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 SECURITIES AND EXCHANGE COMMISSION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-199390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5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26" w:lineRule="exact"/>
        <w:rPr>
          <w:sz w:val="24"/>
          <w:szCs w:val="24"/>
          <w:color w:val="auto"/>
        </w:rPr>
      </w:pPr>
    </w:p>
    <w:p>
      <w:pPr>
        <w:ind w:left="2720" w:right="1599" w:hanging="2455"/>
        <w:spacing w:after="0" w:line="305" w:lineRule="auto"/>
        <w:tabs>
          <w:tab w:leader="none" w:pos="636"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 For the Quarterly Period Ended June 30, 2022</w:t>
      </w:r>
    </w:p>
    <w:p>
      <w:pPr>
        <w:spacing w:after="0" w:line="30" w:lineRule="exact"/>
        <w:rPr>
          <w:sz w:val="24"/>
          <w:szCs w:val="24"/>
          <w:color w:val="auto"/>
        </w:rPr>
      </w:pPr>
    </w:p>
    <w:p>
      <w:pPr>
        <w:ind w:left="3380" w:right="1579" w:hanging="3115"/>
        <w:spacing w:after="0" w:line="336" w:lineRule="auto"/>
        <w:tabs>
          <w:tab w:leader="none" w:pos="632"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 Commission File No. 0-15950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FIRST BUSEY CORPORATION</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72" w:lineRule="exact"/>
        <w:rPr>
          <w:sz w:val="24"/>
          <w:szCs w:val="24"/>
          <w:color w:val="auto"/>
        </w:rPr>
      </w:pPr>
    </w:p>
    <w:tbl>
      <w:tblPr>
        <w:tblLayout w:type="fixed"/>
        <w:tblInd w:w="660" w:type="dxa"/>
        <w:tblCellMar>
          <w:top w:w="0" w:type="dxa"/>
          <w:left w:w="0" w:type="dxa"/>
          <w:bottom w:w="0" w:type="dxa"/>
          <w:right w:w="0" w:type="dxa"/>
        </w:tblCellMar>
      </w:tblPr>
      <w:tr>
        <w:trPr>
          <w:trHeight w:val="207"/>
        </w:trPr>
        <w:tc>
          <w:tcPr>
            <w:tcW w:w="3960" w:type="dxa"/>
            <w:vAlign w:val="bottom"/>
          </w:tcPr>
          <w:p>
            <w:pPr>
              <w:jc w:val="center"/>
              <w:ind w:right="770"/>
              <w:spacing w:after="0"/>
              <w:rPr>
                <w:sz w:val="20"/>
                <w:szCs w:val="20"/>
                <w:color w:val="auto"/>
              </w:rPr>
            </w:pPr>
            <w:r>
              <w:rPr>
                <w:rFonts w:ascii="Arial" w:cs="Arial" w:eastAsia="Arial" w:hAnsi="Arial"/>
                <w:sz w:val="18"/>
                <w:szCs w:val="18"/>
                <w:b w:val="1"/>
                <w:bCs w:val="1"/>
                <w:color w:val="auto"/>
                <w:w w:val="90"/>
              </w:rPr>
              <w:t>Nevada</w:t>
            </w:r>
          </w:p>
        </w:tc>
        <w:tc>
          <w:tcPr>
            <w:tcW w:w="3480" w:type="dxa"/>
            <w:vAlign w:val="bottom"/>
          </w:tcPr>
          <w:p>
            <w:pPr>
              <w:jc w:val="right"/>
              <w:ind w:right="770"/>
              <w:spacing w:after="0"/>
              <w:rPr>
                <w:sz w:val="20"/>
                <w:szCs w:val="20"/>
                <w:color w:val="auto"/>
              </w:rPr>
            </w:pPr>
            <w:r>
              <w:rPr>
                <w:rFonts w:ascii="Arial" w:cs="Arial" w:eastAsia="Arial" w:hAnsi="Arial"/>
                <w:sz w:val="18"/>
                <w:szCs w:val="18"/>
                <w:b w:val="1"/>
                <w:bCs w:val="1"/>
                <w:color w:val="auto"/>
              </w:rPr>
              <w:t>37-1078406</w:t>
            </w:r>
          </w:p>
        </w:tc>
      </w:tr>
      <w:tr>
        <w:trPr>
          <w:trHeight w:val="202"/>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color w:val="auto"/>
                <w:w w:val="92"/>
              </w:rPr>
              <w:t>(State or other jurisdiction of incorporation</w:t>
            </w:r>
          </w:p>
        </w:tc>
        <w:tc>
          <w:tcPr>
            <w:tcW w:w="3480" w:type="dxa"/>
            <w:vAlign w:val="bottom"/>
          </w:tcPr>
          <w:p>
            <w:pPr>
              <w:jc w:val="center"/>
              <w:ind w:left="790"/>
              <w:spacing w:after="0" w:line="202" w:lineRule="exact"/>
              <w:rPr>
                <w:sz w:val="20"/>
                <w:szCs w:val="20"/>
                <w:color w:val="auto"/>
              </w:rPr>
            </w:pPr>
            <w:r>
              <w:rPr>
                <w:rFonts w:ascii="Arial" w:cs="Arial" w:eastAsia="Arial" w:hAnsi="Arial"/>
                <w:sz w:val="18"/>
                <w:szCs w:val="18"/>
                <w:color w:val="auto"/>
                <w:w w:val="93"/>
              </w:rPr>
              <w:t>(I.R.S. Employer Identification No.)</w:t>
            </w:r>
          </w:p>
        </w:tc>
      </w:tr>
      <w:tr>
        <w:trPr>
          <w:trHeight w:val="212"/>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or organization)</w:t>
            </w:r>
          </w:p>
        </w:tc>
        <w:tc>
          <w:tcPr>
            <w:tcW w:w="3480" w:type="dxa"/>
            <w:vAlign w:val="bottom"/>
          </w:tcPr>
          <w:p>
            <w:pPr>
              <w:spacing w:after="0"/>
              <w:rPr>
                <w:sz w:val="18"/>
                <w:szCs w:val="18"/>
                <w:color w:val="auto"/>
              </w:rPr>
            </w:pPr>
          </w:p>
        </w:tc>
      </w:tr>
      <w:tr>
        <w:trPr>
          <w:trHeight w:val="203"/>
        </w:trPr>
        <w:tc>
          <w:tcPr>
            <w:tcW w:w="3960" w:type="dxa"/>
            <w:vAlign w:val="bottom"/>
          </w:tcPr>
          <w:p>
            <w:pPr>
              <w:jc w:val="center"/>
              <w:ind w:right="770"/>
              <w:spacing w:after="0" w:line="202" w:lineRule="exact"/>
              <w:rPr>
                <w:sz w:val="20"/>
                <w:szCs w:val="20"/>
                <w:color w:val="auto"/>
              </w:rPr>
            </w:pPr>
            <w:r>
              <w:rPr>
                <w:rFonts w:ascii="Arial" w:cs="Arial" w:eastAsia="Arial" w:hAnsi="Arial"/>
                <w:sz w:val="18"/>
                <w:szCs w:val="18"/>
                <w:b w:val="1"/>
                <w:bCs w:val="1"/>
                <w:color w:val="auto"/>
                <w:w w:val="90"/>
              </w:rPr>
              <w:t>100 W. University Ave.</w:t>
            </w:r>
          </w:p>
        </w:tc>
        <w:tc>
          <w:tcPr>
            <w:tcW w:w="3480" w:type="dxa"/>
            <w:vAlign w:val="bottom"/>
          </w:tcPr>
          <w:p>
            <w:pPr>
              <w:spacing w:after="0"/>
              <w:rPr>
                <w:sz w:val="17"/>
                <w:szCs w:val="17"/>
                <w:color w:val="auto"/>
              </w:rPr>
            </w:pPr>
          </w:p>
        </w:tc>
      </w:tr>
      <w:tr>
        <w:trPr>
          <w:trHeight w:val="207"/>
        </w:trPr>
        <w:tc>
          <w:tcPr>
            <w:tcW w:w="3960" w:type="dxa"/>
            <w:vAlign w:val="bottom"/>
          </w:tcPr>
          <w:p>
            <w:pPr>
              <w:jc w:val="center"/>
              <w:ind w:right="790"/>
              <w:spacing w:after="0"/>
              <w:rPr>
                <w:sz w:val="20"/>
                <w:szCs w:val="20"/>
                <w:color w:val="auto"/>
              </w:rPr>
            </w:pPr>
            <w:r>
              <w:rPr>
                <w:rFonts w:ascii="Arial" w:cs="Arial" w:eastAsia="Arial" w:hAnsi="Arial"/>
                <w:sz w:val="18"/>
                <w:szCs w:val="18"/>
                <w:b w:val="1"/>
                <w:bCs w:val="1"/>
                <w:color w:val="auto"/>
                <w:w w:val="92"/>
              </w:rPr>
              <w:t>Champaign, Illinois</w:t>
            </w:r>
          </w:p>
        </w:tc>
        <w:tc>
          <w:tcPr>
            <w:tcW w:w="3480" w:type="dxa"/>
            <w:vAlign w:val="bottom"/>
          </w:tcPr>
          <w:p>
            <w:pPr>
              <w:jc w:val="right"/>
              <w:ind w:right="990"/>
              <w:spacing w:after="0"/>
              <w:rPr>
                <w:sz w:val="20"/>
                <w:szCs w:val="20"/>
                <w:color w:val="auto"/>
              </w:rPr>
            </w:pPr>
            <w:r>
              <w:rPr>
                <w:rFonts w:ascii="Arial" w:cs="Arial" w:eastAsia="Arial" w:hAnsi="Arial"/>
                <w:sz w:val="18"/>
                <w:szCs w:val="18"/>
                <w:b w:val="1"/>
                <w:bCs w:val="1"/>
                <w:color w:val="auto"/>
              </w:rPr>
              <w:t>61820</w:t>
            </w:r>
          </w:p>
        </w:tc>
      </w:tr>
      <w:tr>
        <w:trPr>
          <w:trHeight w:val="230"/>
        </w:trPr>
        <w:tc>
          <w:tcPr>
            <w:tcW w:w="3960" w:type="dxa"/>
            <w:vAlign w:val="bottom"/>
          </w:tcPr>
          <w:p>
            <w:pPr>
              <w:jc w:val="center"/>
              <w:ind w:right="790"/>
              <w:spacing w:after="0"/>
              <w:rPr>
                <w:sz w:val="20"/>
                <w:szCs w:val="20"/>
                <w:color w:val="auto"/>
              </w:rPr>
            </w:pPr>
            <w:r>
              <w:rPr>
                <w:rFonts w:ascii="Arial" w:cs="Arial" w:eastAsia="Arial" w:hAnsi="Arial"/>
                <w:sz w:val="18"/>
                <w:szCs w:val="18"/>
                <w:color w:val="auto"/>
                <w:w w:val="92"/>
              </w:rPr>
              <w:t>(Address of principal executive offices)</w:t>
            </w:r>
          </w:p>
        </w:tc>
        <w:tc>
          <w:tcPr>
            <w:tcW w:w="3480" w:type="dxa"/>
            <w:vAlign w:val="bottom"/>
          </w:tcPr>
          <w:p>
            <w:pPr>
              <w:jc w:val="center"/>
              <w:ind w:left="790"/>
              <w:spacing w:after="0"/>
              <w:rPr>
                <w:sz w:val="20"/>
                <w:szCs w:val="20"/>
                <w:color w:val="auto"/>
              </w:rPr>
            </w:pPr>
            <w:r>
              <w:rPr>
                <w:rFonts w:ascii="Arial" w:cs="Arial" w:eastAsia="Arial" w:hAnsi="Arial"/>
                <w:sz w:val="18"/>
                <w:szCs w:val="18"/>
                <w:color w:val="auto"/>
                <w:w w:val="93"/>
              </w:rPr>
              <w:t>(Zip code)</w:t>
            </w:r>
          </w:p>
        </w:tc>
      </w:tr>
    </w:tbl>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(217) 365-4544</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16"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74" w:lineRule="exact"/>
        <w:rPr>
          <w:sz w:val="24"/>
          <w:szCs w:val="24"/>
          <w:color w:val="auto"/>
        </w:rPr>
      </w:pPr>
    </w:p>
    <w:p>
      <w:pPr>
        <w:ind w:left="6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00" w:lineRule="exact"/>
        <w:rPr>
          <w:sz w:val="24"/>
          <w:szCs w:val="24"/>
          <w:color w:val="auto"/>
        </w:rPr>
      </w:pPr>
    </w:p>
    <w:tbl>
      <w:tblPr>
        <w:tblLayout w:type="fixed"/>
        <w:tblInd w:w="60" w:type="dxa"/>
        <w:tblCellMar>
          <w:top w:w="0" w:type="dxa"/>
          <w:left w:w="0" w:type="dxa"/>
          <w:bottom w:w="0" w:type="dxa"/>
          <w:right w:w="0" w:type="dxa"/>
        </w:tblCellMar>
      </w:tblPr>
      <w:tr>
        <w:trPr>
          <w:trHeight w:val="221"/>
        </w:trPr>
        <w:tc>
          <w:tcPr>
            <w:tcW w:w="28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Title of each class</w:t>
            </w: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Trading Symbol (s)</w:t>
            </w:r>
          </w:p>
        </w:tc>
        <w:tc>
          <w:tcPr>
            <w:tcW w:w="4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820" w:type="dxa"/>
            <w:vAlign w:val="bottom"/>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020" w:type="dxa"/>
            <w:vAlign w:val="bottom"/>
          </w:tcPr>
          <w:p>
            <w:pPr>
              <w:jc w:val="center"/>
              <w:spacing w:after="0"/>
              <w:rPr>
                <w:sz w:val="20"/>
                <w:szCs w:val="20"/>
                <w:color w:val="auto"/>
              </w:rPr>
            </w:pPr>
            <w:r>
              <w:rPr>
                <w:rFonts w:ascii="Arial" w:cs="Arial" w:eastAsia="Arial" w:hAnsi="Arial"/>
                <w:sz w:val="18"/>
                <w:szCs w:val="18"/>
                <w:color w:val="auto"/>
                <w:w w:val="93"/>
              </w:rPr>
              <w:t>BUSE</w:t>
            </w:r>
          </w:p>
        </w:tc>
        <w:tc>
          <w:tcPr>
            <w:tcW w:w="4060" w:type="dxa"/>
            <w:vAlign w:val="bottom"/>
          </w:tcPr>
          <w:p>
            <w:pPr>
              <w:jc w:val="center"/>
              <w:spacing w:after="0"/>
              <w:rPr>
                <w:sz w:val="20"/>
                <w:szCs w:val="20"/>
                <w:color w:val="auto"/>
              </w:rPr>
            </w:pPr>
            <w:r>
              <w:rPr>
                <w:rFonts w:ascii="Arial" w:cs="Arial" w:eastAsia="Arial" w:hAnsi="Arial"/>
                <w:sz w:val="18"/>
                <w:szCs w:val="18"/>
                <w:color w:val="auto"/>
                <w:w w:val="91"/>
              </w:rPr>
              <w:t>The Nasdaq Stock Market LLC</w:t>
            </w:r>
          </w:p>
        </w:tc>
      </w:tr>
    </w:tbl>
    <w:p>
      <w:pPr>
        <w:spacing w:after="0" w:line="52" w:lineRule="exact"/>
        <w:rPr>
          <w:sz w:val="24"/>
          <w:szCs w:val="24"/>
          <w:color w:val="auto"/>
        </w:rPr>
      </w:pPr>
    </w:p>
    <w:p>
      <w:pPr>
        <w:ind w:left="60" w:right="399"/>
        <w:spacing w:after="0" w:line="218"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ind w:left="60" w:right="239"/>
        <w:spacing w:after="0" w:line="219"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47" w:lineRule="exact"/>
        <w:rPr>
          <w:sz w:val="24"/>
          <w:szCs w:val="24"/>
          <w:color w:val="auto"/>
        </w:rPr>
      </w:pPr>
    </w:p>
    <w:p>
      <w:pPr>
        <w:ind w:left="60" w:right="219"/>
        <w:spacing w:after="0" w:line="27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5" w:right="1440" w:bottom="1440" w:gutter="0" w:footer="0" w:header="0"/>
        </w:sectPr>
      </w:pPr>
    </w:p>
    <w:p>
      <w:pPr>
        <w:spacing w:after="0" w:line="56" w:lineRule="exact"/>
        <w:rPr>
          <w:sz w:val="24"/>
          <w:szCs w:val="24"/>
          <w:color w:val="auto"/>
        </w:rPr>
      </w:pPr>
    </w:p>
    <w:p>
      <w:pPr>
        <w:ind w:left="500"/>
        <w:spacing w:after="0" w:line="324" w:lineRule="auto"/>
        <w:rPr>
          <w:sz w:val="20"/>
          <w:szCs w:val="20"/>
          <w:color w:val="auto"/>
        </w:rPr>
      </w:pPr>
      <w:r>
        <w:rPr>
          <w:rFonts w:ascii="Arial" w:cs="Arial" w:eastAsia="Arial" w:hAnsi="Arial"/>
          <w:sz w:val="16"/>
          <w:szCs w:val="16"/>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5"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jc w:val="both"/>
        <w:ind w:right="200" w:firstLine="762"/>
        <w:spacing w:after="0" w:line="243"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348" w:lineRule="exact"/>
        <w:rPr>
          <w:sz w:val="24"/>
          <w:szCs w:val="24"/>
          <w:color w:val="auto"/>
        </w:rPr>
      </w:pPr>
    </w:p>
    <w:p>
      <w:pPr>
        <w:sectPr>
          <w:pgSz w:w="11900" w:h="16838" w:orient="portrait"/>
          <w:cols w:equalWidth="0" w:num="4">
            <w:col w:w="2480" w:space="160"/>
            <w:col w:w="320" w:space="720"/>
            <w:col w:w="2380" w:space="720"/>
            <w:col w:w="2239"/>
          </w:cols>
          <w:pgMar w:left="1440" w:top="665" w:right="1440" w:bottom="1440" w:gutter="0" w:footer="0" w:header="0"/>
          <w:type w:val="continuous"/>
        </w:sectPr>
      </w:pPr>
    </w:p>
    <w:p>
      <w:pPr>
        <w:jc w:val="both"/>
        <w:ind w:left="60" w:right="439"/>
        <w:spacing w:after="0" w:line="21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7" w:lineRule="exact"/>
        <w:rPr>
          <w:sz w:val="24"/>
          <w:szCs w:val="24"/>
          <w:color w:val="auto"/>
        </w:rPr>
      </w:pPr>
    </w:p>
    <w:p>
      <w:pPr>
        <w:ind w:left="60"/>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r>
    </w:p>
    <w:p>
      <w:pPr>
        <w:spacing w:after="0" w:line="16" w:lineRule="exact"/>
        <w:rPr>
          <w:sz w:val="24"/>
          <w:szCs w:val="24"/>
          <w:color w:val="auto"/>
        </w:rPr>
      </w:pPr>
    </w:p>
    <w:p>
      <w:pPr>
        <w:ind w:left="300" w:hanging="250"/>
        <w:spacing w:after="0" w:line="207" w:lineRule="exact"/>
        <w:tabs>
          <w:tab w:leader="none" w:pos="30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81"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8"/>
                <w:szCs w:val="18"/>
                <w:color w:val="auto"/>
              </w:rPr>
            </w:pPr>
          </w:p>
        </w:tc>
        <w:tc>
          <w:tcPr>
            <w:tcW w:w="3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7"/>
              </w:rPr>
              <w:t>Class</w:t>
            </w:r>
          </w:p>
        </w:tc>
        <w:tc>
          <w:tcPr>
            <w:tcW w:w="4340" w:type="dxa"/>
            <w:vAlign w:val="bottom"/>
            <w:gridSpan w:val="2"/>
          </w:tcPr>
          <w:p>
            <w:pPr>
              <w:jc w:val="center"/>
              <w:ind w:right="900"/>
              <w:spacing w:after="0"/>
              <w:rPr>
                <w:sz w:val="20"/>
                <w:szCs w:val="20"/>
                <w:color w:val="auto"/>
              </w:rPr>
            </w:pPr>
            <w:r>
              <w:rPr>
                <w:rFonts w:ascii="Arial" w:cs="Arial" w:eastAsia="Arial" w:hAnsi="Arial"/>
                <w:sz w:val="18"/>
                <w:szCs w:val="18"/>
                <w:b w:val="1"/>
                <w:bCs w:val="1"/>
                <w:color w:val="auto"/>
                <w:w w:val="89"/>
              </w:rPr>
              <w:t>Outstanding at August 4, 2022</w:t>
            </w:r>
          </w:p>
        </w:tc>
      </w:tr>
      <w:tr>
        <w:trPr>
          <w:trHeight w:val="210"/>
        </w:trPr>
        <w:tc>
          <w:tcPr>
            <w:tcW w:w="920" w:type="dxa"/>
            <w:vAlign w:val="bottom"/>
            <w:tcBorders>
              <w:bottom w:val="single" w:sz="8" w:color="auto"/>
            </w:tcBorders>
          </w:tcPr>
          <w:p>
            <w:pPr>
              <w:spacing w:after="0"/>
              <w:rPr>
                <w:sz w:val="18"/>
                <w:szCs w:val="18"/>
                <w:color w:val="auto"/>
              </w:rPr>
            </w:pPr>
          </w:p>
        </w:tc>
        <w:tc>
          <w:tcPr>
            <w:tcW w:w="34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Common Stock, $.001 par value</w:t>
            </w:r>
          </w:p>
        </w:tc>
        <w:tc>
          <w:tcPr>
            <w:tcW w:w="260" w:type="dxa"/>
            <w:vAlign w:val="bottom"/>
            <w:tcBorders>
              <w:bottom w:val="single" w:sz="8" w:color="auto"/>
            </w:tcBorders>
          </w:tcPr>
          <w:p>
            <w:pPr>
              <w:spacing w:after="0"/>
              <w:rPr>
                <w:sz w:val="18"/>
                <w:szCs w:val="18"/>
                <w:color w:val="auto"/>
              </w:rPr>
            </w:pPr>
          </w:p>
        </w:tc>
        <w:tc>
          <w:tcPr>
            <w:tcW w:w="344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55,217,703</w:t>
            </w:r>
          </w:p>
        </w:tc>
        <w:tc>
          <w:tcPr>
            <w:tcW w:w="900" w:type="dxa"/>
            <w:vAlign w:val="bottom"/>
            <w:tcBorders>
              <w:bottom w:val="single" w:sz="8" w:color="auto"/>
            </w:tcBorders>
          </w:tcPr>
          <w:p>
            <w:pPr>
              <w:spacing w:after="0"/>
              <w:rPr>
                <w:sz w:val="18"/>
                <w:szCs w:val="18"/>
                <w:color w:val="auto"/>
              </w:rPr>
            </w:pPr>
          </w:p>
        </w:tc>
      </w:tr>
      <w:tr>
        <w:trPr>
          <w:trHeight w:val="81"/>
        </w:trPr>
        <w:tc>
          <w:tcPr>
            <w:tcW w:w="920" w:type="dxa"/>
            <w:vAlign w:val="bottom"/>
            <w:tcBorders>
              <w:bottom w:val="single" w:sz="8" w:color="auto"/>
            </w:tcBorders>
          </w:tcPr>
          <w:p>
            <w:pPr>
              <w:spacing w:after="0"/>
              <w:rPr>
                <w:sz w:val="7"/>
                <w:szCs w:val="7"/>
                <w:color w:val="auto"/>
              </w:rPr>
            </w:pPr>
          </w:p>
        </w:tc>
        <w:tc>
          <w:tcPr>
            <w:tcW w:w="34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344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5" w:right="1440"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jc w:val="center"/>
        <w:ind w:right="19"/>
        <w:spacing w:after="0"/>
        <w:rPr>
          <w:sz w:val="20"/>
          <w:szCs w:val="20"/>
          <w:color w:val="auto"/>
        </w:rPr>
      </w:pPr>
      <w:r>
        <w:rPr>
          <w:rFonts w:ascii="Arial" w:cs="Arial" w:eastAsia="Arial" w:hAnsi="Arial"/>
          <w:sz w:val="18"/>
          <w:szCs w:val="18"/>
          <w:b w:val="1"/>
          <w:bCs w:val="1"/>
          <w:color w:val="auto"/>
        </w:rPr>
        <w:t>June 30, 2022</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220" w:type="dxa"/>
            <w:vAlign w:val="bottom"/>
            <w:gridSpan w:val="43"/>
          </w:tcPr>
          <w:p>
            <w:pPr>
              <w:spacing w:after="0"/>
              <w:rPr>
                <w:sz w:val="20"/>
                <w:szCs w:val="20"/>
                <w:color w:val="auto"/>
              </w:rPr>
            </w:pPr>
            <w:r>
              <w:rPr>
                <w:rFonts w:ascii="Arial" w:cs="Arial" w:eastAsia="Arial" w:hAnsi="Arial"/>
                <w:sz w:val="18"/>
                <w:szCs w:val="18"/>
                <w:color w:val="auto"/>
              </w:rPr>
              <w:t>GLOSSARY</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460" w:type="dxa"/>
            <w:vAlign w:val="bottom"/>
            <w:tcBorders>
              <w:bottom w:val="single" w:sz="8" w:color="0000EE"/>
            </w:tcBorders>
          </w:tcPr>
          <w:p>
            <w:pPr>
              <w:spacing w:after="0"/>
              <w:rPr>
                <w:rFonts w:ascii="Arial" w:cs="Arial" w:eastAsia="Arial" w:hAnsi="Arial"/>
                <w:sz w:val="18"/>
                <w:szCs w:val="18"/>
                <w:b w:val="1"/>
                <w:bCs w:val="1"/>
                <w:color w:val="0000EE"/>
                <w:w w:val="97"/>
              </w:rPr>
            </w:pPr>
            <w:hyperlink w:anchor="page5">
              <w:r>
                <w:rPr>
                  <w:rFonts w:ascii="Arial" w:cs="Arial" w:eastAsia="Arial" w:hAnsi="Arial"/>
                  <w:sz w:val="18"/>
                  <w:szCs w:val="18"/>
                  <w:b w:val="1"/>
                  <w:bCs w:val="1"/>
                  <w:color w:val="0000EE"/>
                  <w:w w:val="97"/>
                </w:rPr>
                <w:t>Part I</w:t>
              </w:r>
            </w:hyperlink>
          </w:p>
        </w:tc>
        <w:tc>
          <w:tcPr>
            <w:tcW w:w="260" w:type="dxa"/>
            <w:vAlign w:val="bottom"/>
            <w:gridSpan w:val="5"/>
          </w:tcPr>
          <w:p>
            <w:pPr>
              <w:spacing w:after="0"/>
              <w:rPr>
                <w:sz w:val="24"/>
                <w:szCs w:val="24"/>
                <w:color w:val="auto"/>
              </w:rPr>
            </w:pPr>
          </w:p>
        </w:tc>
        <w:tc>
          <w:tcPr>
            <w:tcW w:w="2400" w:type="dxa"/>
            <w:vAlign w:val="bottom"/>
            <w:tcBorders>
              <w:bottom w:val="single" w:sz="8" w:color="0000EE"/>
            </w:tcBorders>
            <w:gridSpan w:val="17"/>
          </w:tcPr>
          <w:p>
            <w:pPr>
              <w:spacing w:after="0"/>
              <w:rPr>
                <w:rFonts w:ascii="Arial" w:cs="Arial" w:eastAsia="Arial" w:hAnsi="Arial"/>
                <w:sz w:val="18"/>
                <w:szCs w:val="18"/>
                <w:b w:val="1"/>
                <w:bCs w:val="1"/>
                <w:color w:val="0000EE"/>
              </w:rPr>
            </w:pPr>
            <w:hyperlink w:anchor="page5">
              <w:r>
                <w:rPr>
                  <w:rFonts w:ascii="Arial" w:cs="Arial" w:eastAsia="Arial" w:hAnsi="Arial"/>
                  <w:sz w:val="18"/>
                  <w:szCs w:val="18"/>
                  <w:b w:val="1"/>
                  <w:bCs w:val="1"/>
                  <w:color w:val="0000EE"/>
                </w:rPr>
                <w:t>FINANCIAL INFORMATION</w:t>
              </w:r>
            </w:hyperlink>
          </w:p>
        </w:tc>
        <w:tc>
          <w:tcPr>
            <w:tcW w:w="5100" w:type="dxa"/>
            <w:vAlign w:val="bottom"/>
            <w:gridSpan w:val="20"/>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720" w:type="dxa"/>
            <w:vAlign w:val="bottom"/>
            <w:gridSpan w:val="6"/>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Item 1.</w:t>
              </w:r>
            </w:hyperlink>
          </w:p>
        </w:tc>
        <w:tc>
          <w:tcPr>
            <w:tcW w:w="7500" w:type="dxa"/>
            <w:vAlign w:val="bottom"/>
            <w:gridSpan w:val="3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FINANCIAL STATEMENTS (UNAUDITED)</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322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CONSOLIDATED BALANCE SHEETS</w:t>
              </w:r>
            </w:hyperlink>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980" w:type="dxa"/>
            <w:vAlign w:val="bottom"/>
            <w:tcBorders>
              <w:top w:val="single" w:sz="8" w:color="0000EE"/>
            </w:tcBorders>
            <w:gridSpan w:val="22"/>
          </w:tcPr>
          <w:p>
            <w:pPr>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CONSOLIDATED STATEMENTS OF</w:t>
              </w:r>
            </w:hyperlink>
          </w:p>
        </w:tc>
        <w:tc>
          <w:tcPr>
            <w:tcW w:w="4360" w:type="dxa"/>
            <w:vAlign w:val="bottom"/>
            <w:gridSpan w:val="14"/>
          </w:tcPr>
          <w:p>
            <w:pPr>
              <w:jc w:val="center"/>
              <w:ind w:right="3140"/>
              <w:spacing w:after="0" w:line="182" w:lineRule="exact"/>
              <w:rPr>
                <w:rFonts w:ascii="Arial" w:cs="Arial" w:eastAsia="Arial" w:hAnsi="Arial"/>
                <w:sz w:val="18"/>
                <w:szCs w:val="18"/>
                <w:color w:val="0000EE"/>
                <w:w w:val="89"/>
              </w:rPr>
            </w:pPr>
            <w:hyperlink w:anchor="page7">
              <w:r>
                <w:rPr>
                  <w:rFonts w:ascii="Arial" w:cs="Arial" w:eastAsia="Arial" w:hAnsi="Arial"/>
                  <w:sz w:val="18"/>
                  <w:szCs w:val="18"/>
                  <w:color w:val="0000EE"/>
                  <w:w w:val="89"/>
                </w:rPr>
                <w:t>INCOME (LOSS)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0" w:type="dxa"/>
            <w:vAlign w:val="bottom"/>
            <w:tcBorders>
              <w:top w:val="single" w:sz="8" w:color="0000EE"/>
            </w:tcBorders>
            <w:gridSpan w:val="28"/>
          </w:tcPr>
          <w:p>
            <w:pPr>
              <w:spacing w:after="0" w:line="18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COMPREHENSIVE</w:t>
              </w:r>
            </w:hyperlink>
          </w:p>
        </w:tc>
        <w:tc>
          <w:tcPr>
            <w:tcW w:w="140" w:type="dxa"/>
            <w:vAlign w:val="bottom"/>
          </w:tcPr>
          <w:p>
            <w:pPr>
              <w:spacing w:after="0"/>
              <w:rPr>
                <w:sz w:val="15"/>
                <w:szCs w:val="15"/>
                <w:color w:val="auto"/>
              </w:rPr>
            </w:pPr>
          </w:p>
        </w:tc>
        <w:tc>
          <w:tcPr>
            <w:tcW w:w="3000" w:type="dxa"/>
            <w:vAlign w:val="bottom"/>
            <w:gridSpan w:val="7"/>
          </w:tcPr>
          <w:p>
            <w:pPr>
              <w:ind w:left="100"/>
              <w:spacing w:after="0" w:line="182" w:lineRule="exact"/>
              <w:rPr>
                <w:rFonts w:ascii="Arial" w:cs="Arial" w:eastAsia="Arial" w:hAnsi="Arial"/>
                <w:sz w:val="18"/>
                <w:szCs w:val="18"/>
                <w:color w:val="0000EE"/>
              </w:rPr>
            </w:pPr>
            <w:hyperlink w:anchor="page8">
              <w:r>
                <w:rPr>
                  <w:rFonts w:ascii="Arial" w:cs="Arial" w:eastAsia="Arial" w:hAnsi="Arial"/>
                  <w:sz w:val="18"/>
                  <w:szCs w:val="18"/>
                  <w:color w:val="0000EE"/>
                </w:rPr>
                <w:t>INCOME</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140" w:type="dxa"/>
            <w:vAlign w:val="bottom"/>
            <w:tcBorders>
              <w:top w:val="single" w:sz="8" w:color="0000EE"/>
            </w:tcBorders>
            <w:gridSpan w:val="32"/>
          </w:tcPr>
          <w:p>
            <w:pPr>
              <w:spacing w:after="0" w:line="18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CONSOLIDATED STATEMENTS OF STOCKHOLDERS’ EQUITY</w:t>
              </w:r>
            </w:hyperlink>
          </w:p>
        </w:tc>
        <w:tc>
          <w:tcPr>
            <w:tcW w:w="2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20" w:type="dxa"/>
            <w:vAlign w:val="bottom"/>
            <w:tcBorders>
              <w:top w:val="single" w:sz="8" w:color="0000EE"/>
              <w:bottom w:val="single" w:sz="8" w:color="0000EE"/>
            </w:tcBorders>
            <w:gridSpan w:val="27"/>
          </w:tcPr>
          <w:p>
            <w:pPr>
              <w:spacing w:after="0" w:line="182"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CONSOLIDATED STATEMENTS OF CASH FLOWS</w:t>
              </w:r>
            </w:hyperlink>
          </w:p>
        </w:tc>
        <w:tc>
          <w:tcPr>
            <w:tcW w:w="1040" w:type="dxa"/>
            <w:vAlign w:val="bottom"/>
            <w:tcBorders>
              <w:top w:val="single" w:sz="8" w:color="0000EE"/>
            </w:tcBorders>
            <w:gridSpan w:val="4"/>
          </w:tcPr>
          <w:p>
            <w:pPr>
              <w:spacing w:after="0"/>
              <w:rPr>
                <w:sz w:val="15"/>
                <w:szCs w:val="15"/>
                <w:color w:val="auto"/>
              </w:rPr>
            </w:pPr>
          </w:p>
        </w:tc>
        <w:tc>
          <w:tcPr>
            <w:tcW w:w="360" w:type="dxa"/>
            <w:vAlign w:val="bottom"/>
            <w:gridSpan w:val="2"/>
          </w:tcPr>
          <w:p>
            <w:pPr>
              <w:spacing w:after="0"/>
              <w:rPr>
                <w:sz w:val="15"/>
                <w:szCs w:val="15"/>
                <w:color w:val="auto"/>
              </w:rPr>
            </w:pPr>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180" w:type="dxa"/>
            <w:vAlign w:val="bottom"/>
            <w:gridSpan w:val="28"/>
          </w:tcPr>
          <w:p>
            <w:pPr>
              <w:spacing w:after="0" w:line="182" w:lineRule="exact"/>
              <w:rPr>
                <w:rFonts w:ascii="Arial" w:cs="Arial" w:eastAsia="Arial" w:hAnsi="Arial"/>
                <w:sz w:val="18"/>
                <w:szCs w:val="18"/>
                <w:color w:val="0000EE"/>
                <w:w w:val="92"/>
              </w:rPr>
            </w:pPr>
            <w:hyperlink w:anchor="page13">
              <w:r>
                <w:rPr>
                  <w:rFonts w:ascii="Arial" w:cs="Arial" w:eastAsia="Arial" w:hAnsi="Arial"/>
                  <w:sz w:val="18"/>
                  <w:szCs w:val="18"/>
                  <w:color w:val="0000EE"/>
                  <w:w w:val="92"/>
                </w:rPr>
                <w:t>NOTES TO UNAUDITED CONSOLIDATED FINANCIAL</w:t>
              </w:r>
            </w:hyperlink>
          </w:p>
        </w:tc>
        <w:tc>
          <w:tcPr>
            <w:tcW w:w="3320" w:type="dxa"/>
            <w:vAlign w:val="bottom"/>
            <w:gridSpan w:val="9"/>
          </w:tcPr>
          <w:p>
            <w:pPr>
              <w:ind w:left="260"/>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STATEMENTS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42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Note 1: Significant Accounting Policies</w:t>
              </w:r>
            </w:hyperlink>
          </w:p>
        </w:tc>
        <w:tc>
          <w:tcPr>
            <w:tcW w:w="5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15">
              <w:r>
                <w:rPr>
                  <w:rFonts w:ascii="Arial" w:cs="Arial" w:eastAsia="Arial" w:hAnsi="Arial"/>
                  <w:sz w:val="18"/>
                  <w:szCs w:val="18"/>
                  <w:color w:val="0000EE"/>
                  <w:w w:val="89"/>
                </w:rPr>
                <w:t>Note 2:</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Acquisitions</w:t>
              </w:r>
            </w:hyperlink>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Note 3:</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18">
              <w:r>
                <w:rPr>
                  <w:rFonts w:ascii="Arial" w:cs="Arial" w:eastAsia="Arial" w:hAnsi="Arial"/>
                  <w:sz w:val="18"/>
                  <w:szCs w:val="18"/>
                  <w:color w:val="0000EE"/>
                </w:rPr>
                <w:t>Securities</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Note 4:</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tcBorders>
              <w:top w:val="single" w:sz="8" w:color="0000EE"/>
            </w:tcBorders>
            <w:gridSpan w:val="3"/>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Portfolio</w:t>
              </w:r>
            </w:hyperlink>
          </w:p>
        </w:tc>
        <w:tc>
          <w:tcPr>
            <w:tcW w:w="5980" w:type="dxa"/>
            <w:vAlign w:val="bottom"/>
            <w:gridSpan w:val="27"/>
          </w:tcPr>
          <w:p>
            <w:pPr>
              <w:spacing w:after="0" w:line="182" w:lineRule="exact"/>
              <w:rPr>
                <w:rFonts w:ascii="Arial" w:cs="Arial" w:eastAsia="Arial" w:hAnsi="Arial"/>
                <w:sz w:val="18"/>
                <w:szCs w:val="18"/>
                <w:color w:val="0000EE"/>
              </w:rPr>
            </w:pPr>
            <w:hyperlink w:anchor="page21">
              <w:r>
                <w:rPr>
                  <w:rFonts w:ascii="Arial" w:cs="Arial" w:eastAsia="Arial" w:hAnsi="Arial"/>
                  <w:sz w:val="18"/>
                  <w:szCs w:val="18"/>
                  <w:color w:val="0000EE"/>
                </w:rPr>
                <w:t>Loans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30">
              <w:r>
                <w:rPr>
                  <w:rFonts w:ascii="Arial" w:cs="Arial" w:eastAsia="Arial" w:hAnsi="Arial"/>
                  <w:sz w:val="18"/>
                  <w:szCs w:val="18"/>
                  <w:color w:val="0000EE"/>
                  <w:w w:val="89"/>
                </w:rPr>
                <w:t>Note 5:</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Deposits</w:t>
              </w:r>
            </w:hyperlink>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20" w:type="dxa"/>
            <w:vAlign w:val="bottom"/>
            <w:gridSpan w:val="3"/>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gridSpan w:val="4"/>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31</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89"/>
              </w:rPr>
            </w:pPr>
            <w:hyperlink w:anchor="page31">
              <w:r>
                <w:rPr>
                  <w:rFonts w:ascii="Arial" w:cs="Arial" w:eastAsia="Arial" w:hAnsi="Arial"/>
                  <w:sz w:val="18"/>
                  <w:szCs w:val="18"/>
                  <w:color w:val="0000EE"/>
                  <w:w w:val="89"/>
                </w:rPr>
                <w:t>Note 6:</w:t>
              </w:r>
            </w:hyperlink>
          </w:p>
        </w:tc>
        <w:tc>
          <w:tcPr>
            <w:tcW w:w="8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6660" w:type="dxa"/>
            <w:vAlign w:val="bottom"/>
            <w:gridSpan w:val="30"/>
          </w:tcPr>
          <w:p>
            <w:pPr>
              <w:spacing w:after="0" w:line="182" w:lineRule="exact"/>
              <w:rPr>
                <w:rFonts w:ascii="Arial" w:cs="Arial" w:eastAsia="Arial" w:hAnsi="Arial"/>
                <w:sz w:val="18"/>
                <w:szCs w:val="18"/>
                <w:color w:val="0000EE"/>
              </w:rPr>
            </w:pPr>
            <w:hyperlink w:anchor="page31">
              <w:r>
                <w:rPr>
                  <w:rFonts w:ascii="Arial" w:cs="Arial" w:eastAsia="Arial" w:hAnsi="Arial"/>
                  <w:sz w:val="18"/>
                  <w:szCs w:val="18"/>
                  <w:color w:val="0000EE"/>
                </w:rPr>
                <w:t>Borrowings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Note 7:</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1"/>
              </w:rPr>
            </w:pPr>
            <w:hyperlink w:anchor="page33">
              <w:r>
                <w:rPr>
                  <w:rFonts w:ascii="Arial" w:cs="Arial" w:eastAsia="Arial" w:hAnsi="Arial"/>
                  <w:sz w:val="18"/>
                  <w:szCs w:val="18"/>
                  <w:color w:val="0000EE"/>
                  <w:w w:val="91"/>
                </w:rPr>
                <w:t>Regulatory</w:t>
              </w:r>
            </w:hyperlink>
          </w:p>
        </w:tc>
        <w:tc>
          <w:tcPr>
            <w:tcW w:w="520" w:type="dxa"/>
            <w:vAlign w:val="bottom"/>
            <w:tcBorders>
              <w:bottom w:val="single" w:sz="8" w:color="0000EE"/>
            </w:tcBorders>
            <w:gridSpan w:val="5"/>
          </w:tcPr>
          <w:p>
            <w:pPr>
              <w:spacing w:after="0" w:line="182"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Capital</w:t>
              </w:r>
            </w:hyperlink>
          </w:p>
        </w:tc>
        <w:tc>
          <w:tcPr>
            <w:tcW w:w="5320" w:type="dxa"/>
            <w:vAlign w:val="bottom"/>
            <w:gridSpan w:val="21"/>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gridSpan w:val="2"/>
          </w:tcPr>
          <w:p>
            <w:pPr>
              <w:spacing w:after="0" w:line="182"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Note 8:</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60" w:type="dxa"/>
            <w:vAlign w:val="bottom"/>
            <w:gridSpan w:val="30"/>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Stock-Based Compensation</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Borders>
              <w:top w:val="single" w:sz="8" w:color="0000EE"/>
            </w:tcBorders>
            <w:gridSpan w:val="2"/>
          </w:tcPr>
          <w:p>
            <w:pPr>
              <w:spacing w:after="0" w:line="18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Note 9:</w:t>
              </w:r>
            </w:hyperlink>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960" w:type="dxa"/>
            <w:vAlign w:val="bottom"/>
            <w:tcBorders>
              <w:top w:val="single" w:sz="8" w:color="0000EE"/>
            </w:tcBorders>
            <w:gridSpan w:val="13"/>
          </w:tcPr>
          <w:p>
            <w:pPr>
              <w:spacing w:after="0" w:line="182"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Outstanding Commitments</w:t>
              </w:r>
            </w:hyperlink>
          </w:p>
        </w:tc>
        <w:tc>
          <w:tcPr>
            <w:tcW w:w="4700" w:type="dxa"/>
            <w:vAlign w:val="bottom"/>
            <w:gridSpan w:val="17"/>
          </w:tcPr>
          <w:p>
            <w:pPr>
              <w:jc w:val="center"/>
              <w:ind w:right="2820"/>
              <w:spacing w:after="0" w:line="182" w:lineRule="exact"/>
              <w:rPr>
                <w:rFonts w:ascii="Arial" w:cs="Arial" w:eastAsia="Arial" w:hAnsi="Arial"/>
                <w:sz w:val="18"/>
                <w:szCs w:val="18"/>
                <w:color w:val="0000EE"/>
                <w:w w:val="93"/>
              </w:rPr>
            </w:pPr>
            <w:hyperlink w:anchor="page38">
              <w:r>
                <w:rPr>
                  <w:rFonts w:ascii="Arial" w:cs="Arial" w:eastAsia="Arial" w:hAnsi="Arial"/>
                  <w:sz w:val="18"/>
                  <w:szCs w:val="18"/>
                  <w:color w:val="0000EE"/>
                  <w:w w:val="93"/>
                </w:rPr>
                <w:t>and Contingent Liabilities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38</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340" w:type="dxa"/>
            <w:vAlign w:val="bottom"/>
            <w:gridSpan w:val="36"/>
          </w:tcPr>
          <w:p>
            <w:pPr>
              <w:spacing w:after="0" w:line="182" w:lineRule="exact"/>
              <w:rPr>
                <w:rFonts w:ascii="Arial" w:cs="Arial" w:eastAsia="Arial" w:hAnsi="Arial"/>
                <w:sz w:val="18"/>
                <w:szCs w:val="18"/>
                <w:color w:val="0000EE"/>
              </w:rPr>
            </w:pPr>
            <w:hyperlink w:anchor="page38">
              <w:r>
                <w:rPr>
                  <w:rFonts w:ascii="Arial" w:cs="Arial" w:eastAsia="Arial" w:hAnsi="Arial"/>
                  <w:sz w:val="18"/>
                  <w:szCs w:val="18"/>
                  <w:color w:val="0000EE"/>
                </w:rPr>
                <w:t>Note 10: Derivative Financial Instruments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w w:val="91"/>
              </w:rPr>
              <w:t>Note 11:</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340" w:type="dxa"/>
            <w:vAlign w:val="bottom"/>
            <w:tcBorders>
              <w:top w:val="single" w:sz="8" w:color="0000EE"/>
            </w:tcBorders>
            <w:gridSpan w:val="17"/>
          </w:tcPr>
          <w:p>
            <w:pPr>
              <w:spacing w:after="0" w:line="182" w:lineRule="exact"/>
              <w:rPr>
                <w:sz w:val="20"/>
                <w:szCs w:val="20"/>
                <w:color w:val="auto"/>
              </w:rPr>
            </w:pPr>
            <w:r>
              <w:rPr>
                <w:rFonts w:ascii="Arial" w:cs="Arial" w:eastAsia="Arial" w:hAnsi="Arial"/>
                <w:sz w:val="18"/>
                <w:szCs w:val="18"/>
                <w:color w:val="0000EE"/>
              </w:rPr>
              <w:t>Fair Value Measurements</w:t>
            </w:r>
          </w:p>
        </w:tc>
        <w:tc>
          <w:tcPr>
            <w:tcW w:w="20" w:type="dxa"/>
            <w:vAlign w:val="bottom"/>
          </w:tcPr>
          <w:p>
            <w:pPr>
              <w:spacing w:after="0"/>
              <w:rPr>
                <w:sz w:val="15"/>
                <w:szCs w:val="15"/>
                <w:color w:val="auto"/>
              </w:rPr>
            </w:pPr>
          </w:p>
        </w:tc>
        <w:tc>
          <w:tcPr>
            <w:tcW w:w="880" w:type="dxa"/>
            <w:vAlign w:val="bottom"/>
            <w:gridSpan w:val="2"/>
          </w:tcPr>
          <w:p>
            <w:pPr>
              <w:spacing w:after="0"/>
              <w:rPr>
                <w:sz w:val="15"/>
                <w:szCs w:val="15"/>
                <w:color w:val="auto"/>
              </w:rPr>
            </w:pPr>
          </w:p>
        </w:tc>
        <w:tc>
          <w:tcPr>
            <w:tcW w:w="420" w:type="dxa"/>
            <w:vAlign w:val="bottom"/>
            <w:gridSpan w:val="3"/>
          </w:tcPr>
          <w:p>
            <w:pPr>
              <w:spacing w:after="0"/>
              <w:rPr>
                <w:sz w:val="15"/>
                <w:szCs w:val="15"/>
                <w:color w:val="auto"/>
              </w:rPr>
            </w:pPr>
          </w:p>
        </w:tc>
        <w:tc>
          <w:tcPr>
            <w:tcW w:w="158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00" w:type="dxa"/>
            <w:vAlign w:val="bottom"/>
            <w:tcBorders>
              <w:left w:val="single" w:sz="8" w:color="0000EE"/>
            </w:tcBorders>
            <w:gridSpan w:val="2"/>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vMerge w:val="restart"/>
          </w:tcPr>
          <w:p>
            <w:pPr>
              <w:jc w:val="right"/>
              <w:spacing w:after="0" w:line="202"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Borders>
              <w:bottom w:val="single" w:sz="8" w:color="0000EE"/>
            </w:tcBorders>
            <w:gridSpan w:val="3"/>
          </w:tcPr>
          <w:p>
            <w:pPr>
              <w:spacing w:after="0" w:line="182" w:lineRule="exact"/>
              <w:rPr>
                <w:rFonts w:ascii="Arial" w:cs="Arial" w:eastAsia="Arial" w:hAnsi="Arial"/>
                <w:sz w:val="18"/>
                <w:szCs w:val="18"/>
                <w:color w:val="0000EE"/>
                <w:w w:val="88"/>
              </w:rPr>
            </w:pPr>
            <w:hyperlink w:anchor="page46">
              <w:r>
                <w:rPr>
                  <w:rFonts w:ascii="Arial" w:cs="Arial" w:eastAsia="Arial" w:hAnsi="Arial"/>
                  <w:sz w:val="18"/>
                  <w:szCs w:val="18"/>
                  <w:color w:val="0000EE"/>
                  <w:w w:val="88"/>
                </w:rPr>
                <w:t>Note 12:</w:t>
              </w:r>
            </w:hyperlink>
          </w:p>
        </w:tc>
        <w:tc>
          <w:tcPr>
            <w:tcW w:w="40" w:type="dxa"/>
            <w:vAlign w:val="bottom"/>
            <w:tcBorders>
              <w:bottom w:val="single" w:sz="8" w:color="0000EE"/>
            </w:tcBorders>
            <w:gridSpan w:val="2"/>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060" w:type="dxa"/>
            <w:vAlign w:val="bottom"/>
            <w:tcBorders>
              <w:bottom w:val="single" w:sz="8" w:color="0000EE"/>
            </w:tcBorders>
            <w:gridSpan w:val="14"/>
          </w:tcPr>
          <w:p>
            <w:pPr>
              <w:spacing w:after="0" w:line="182" w:lineRule="exact"/>
              <w:rPr>
                <w:rFonts w:ascii="Arial" w:cs="Arial" w:eastAsia="Arial" w:hAnsi="Arial"/>
                <w:sz w:val="18"/>
                <w:szCs w:val="18"/>
                <w:color w:val="0000EE"/>
                <w:w w:val="87"/>
              </w:rPr>
            </w:pPr>
            <w:hyperlink w:anchor="page46">
              <w:r>
                <w:rPr>
                  <w:rFonts w:ascii="Arial" w:cs="Arial" w:eastAsia="Arial" w:hAnsi="Arial"/>
                  <w:sz w:val="18"/>
                  <w:szCs w:val="18"/>
                  <w:color w:val="0000EE"/>
                  <w:w w:val="87"/>
                </w:rPr>
                <w:t>Earnings per Common Share</w:t>
              </w:r>
            </w:hyperlink>
          </w:p>
        </w:tc>
        <w:tc>
          <w:tcPr>
            <w:tcW w:w="4600" w:type="dxa"/>
            <w:vAlign w:val="bottom"/>
            <w:gridSpan w:val="16"/>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5"/>
          </w:tcPr>
          <w:p>
            <w:pPr>
              <w:spacing w:after="0" w:line="182" w:lineRule="exact"/>
              <w:rPr>
                <w:rFonts w:ascii="Arial" w:cs="Arial" w:eastAsia="Arial" w:hAnsi="Arial"/>
                <w:sz w:val="18"/>
                <w:szCs w:val="18"/>
                <w:color w:val="0000EE"/>
                <w:w w:val="93"/>
              </w:rPr>
            </w:pPr>
            <w:hyperlink w:anchor="page48">
              <w:r>
                <w:rPr>
                  <w:rFonts w:ascii="Arial" w:cs="Arial" w:eastAsia="Arial" w:hAnsi="Arial"/>
                  <w:sz w:val="18"/>
                  <w:szCs w:val="18"/>
                  <w:color w:val="0000EE"/>
                  <w:w w:val="93"/>
                </w:rPr>
                <w:t>Note 13:</w:t>
              </w:r>
            </w:hyperlink>
          </w:p>
        </w:tc>
        <w:tc>
          <w:tcPr>
            <w:tcW w:w="20" w:type="dxa"/>
            <w:vAlign w:val="bottom"/>
          </w:tcPr>
          <w:p>
            <w:pPr>
              <w:spacing w:after="0"/>
              <w:rPr>
                <w:sz w:val="15"/>
                <w:szCs w:val="15"/>
                <w:color w:val="auto"/>
              </w:rPr>
            </w:pPr>
          </w:p>
        </w:tc>
        <w:tc>
          <w:tcPr>
            <w:tcW w:w="6660" w:type="dxa"/>
            <w:vAlign w:val="bottom"/>
            <w:gridSpan w:val="30"/>
          </w:tcPr>
          <w:p>
            <w:pPr>
              <w:spacing w:after="0" w:line="182" w:lineRule="exact"/>
              <w:rPr>
                <w:rFonts w:ascii="Arial" w:cs="Arial" w:eastAsia="Arial" w:hAnsi="Arial"/>
                <w:sz w:val="18"/>
                <w:szCs w:val="18"/>
                <w:color w:val="0000EE"/>
              </w:rPr>
            </w:pPr>
            <w:hyperlink w:anchor="page48">
              <w:r>
                <w:rPr>
                  <w:rFonts w:ascii="Arial" w:cs="Arial" w:eastAsia="Arial" w:hAnsi="Arial"/>
                  <w:sz w:val="18"/>
                  <w:szCs w:val="18"/>
                  <w:color w:val="0000EE"/>
                </w:rPr>
                <w:t>Accumulated Other Comprehensive Income (Loss)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Borders>
              <w:top w:val="single" w:sz="8" w:color="0000EE"/>
            </w:tcBorders>
            <w:gridSpan w:val="5"/>
          </w:tcPr>
          <w:p>
            <w:pPr>
              <w:spacing w:after="0" w:line="182" w:lineRule="exact"/>
              <w:rPr>
                <w:rFonts w:ascii="Arial" w:cs="Arial" w:eastAsia="Arial" w:hAnsi="Arial"/>
                <w:sz w:val="18"/>
                <w:szCs w:val="18"/>
                <w:color w:val="0000EE"/>
                <w:w w:val="93"/>
              </w:rPr>
            </w:pPr>
            <w:hyperlink w:anchor="page49">
              <w:r>
                <w:rPr>
                  <w:rFonts w:ascii="Arial" w:cs="Arial" w:eastAsia="Arial" w:hAnsi="Arial"/>
                  <w:sz w:val="18"/>
                  <w:szCs w:val="18"/>
                  <w:color w:val="0000EE"/>
                  <w:w w:val="93"/>
                </w:rPr>
                <w:t>Note 14:</w:t>
              </w:r>
            </w:hyperlink>
          </w:p>
        </w:tc>
        <w:tc>
          <w:tcPr>
            <w:tcW w:w="20" w:type="dxa"/>
            <w:vAlign w:val="bottom"/>
          </w:tcPr>
          <w:p>
            <w:pPr>
              <w:spacing w:after="0"/>
              <w:rPr>
                <w:sz w:val="15"/>
                <w:szCs w:val="15"/>
                <w:color w:val="auto"/>
              </w:rPr>
            </w:pPr>
          </w:p>
        </w:tc>
        <w:tc>
          <w:tcPr>
            <w:tcW w:w="36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49">
              <w:r>
                <w:rPr>
                  <w:rFonts w:ascii="Arial" w:cs="Arial" w:eastAsia="Arial" w:hAnsi="Arial"/>
                  <w:sz w:val="18"/>
                  <w:szCs w:val="18"/>
                  <w:color w:val="0000EE"/>
                </w:rPr>
                <w:t>Operating Segments and Related Information</w:t>
              </w:r>
            </w:hyperlink>
          </w:p>
        </w:tc>
        <w:tc>
          <w:tcPr>
            <w:tcW w:w="1580" w:type="dxa"/>
            <w:vAlign w:val="bottom"/>
            <w:gridSpan w:val="5"/>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20" w:type="dxa"/>
            <w:vAlign w:val="bottom"/>
            <w:gridSpan w:val="6"/>
            <w:vMerge w:val="restart"/>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2.</w:t>
              </w:r>
            </w:hyperlink>
          </w:p>
        </w:tc>
        <w:tc>
          <w:tcPr>
            <w:tcW w:w="160" w:type="dxa"/>
            <w:vAlign w:val="bottom"/>
          </w:tcPr>
          <w:p>
            <w:pPr>
              <w:spacing w:after="0"/>
              <w:rPr>
                <w:sz w:val="15"/>
                <w:szCs w:val="15"/>
                <w:color w:val="auto"/>
              </w:rPr>
            </w:pPr>
          </w:p>
        </w:tc>
        <w:tc>
          <w:tcPr>
            <w:tcW w:w="660" w:type="dxa"/>
            <w:vAlign w:val="bottom"/>
            <w:tcBorders>
              <w:top w:val="single" w:sz="8" w:color="0000EE"/>
            </w:tcBorders>
            <w:gridSpan w:val="5"/>
          </w:tcPr>
          <w:p>
            <w:pPr>
              <w:spacing w:after="0" w:line="182" w:lineRule="exact"/>
              <w:rPr>
                <w:rFonts w:ascii="Arial" w:cs="Arial" w:eastAsia="Arial" w:hAnsi="Arial"/>
                <w:sz w:val="18"/>
                <w:szCs w:val="18"/>
                <w:color w:val="0000EE"/>
                <w:w w:val="93"/>
              </w:rPr>
            </w:pPr>
            <w:hyperlink w:anchor="page51">
              <w:r>
                <w:rPr>
                  <w:rFonts w:ascii="Arial" w:cs="Arial" w:eastAsia="Arial" w:hAnsi="Arial"/>
                  <w:sz w:val="18"/>
                  <w:szCs w:val="18"/>
                  <w:color w:val="0000EE"/>
                  <w:w w:val="93"/>
                </w:rPr>
                <w:t>Note 15:</w:t>
              </w:r>
            </w:hyperlink>
          </w:p>
        </w:tc>
        <w:tc>
          <w:tcPr>
            <w:tcW w:w="20" w:type="dxa"/>
            <w:vAlign w:val="bottom"/>
          </w:tcPr>
          <w:p>
            <w:pPr>
              <w:spacing w:after="0"/>
              <w:rPr>
                <w:sz w:val="15"/>
                <w:szCs w:val="15"/>
                <w:color w:val="auto"/>
              </w:rPr>
            </w:pPr>
          </w:p>
        </w:tc>
        <w:tc>
          <w:tcPr>
            <w:tcW w:w="32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51">
              <w:r>
                <w:rPr>
                  <w:rFonts w:ascii="Arial" w:cs="Arial" w:eastAsia="Arial" w:hAnsi="Arial"/>
                  <w:sz w:val="18"/>
                  <w:szCs w:val="18"/>
                  <w:color w:val="0000EE"/>
                </w:rPr>
                <w:t>Leases</w:t>
              </w:r>
            </w:hyperlink>
          </w:p>
        </w:tc>
        <w:tc>
          <w:tcPr>
            <w:tcW w:w="2000" w:type="dxa"/>
            <w:vAlign w:val="bottom"/>
            <w:gridSpan w:val="8"/>
          </w:tcPr>
          <w:p>
            <w:pPr>
              <w:spacing w:after="0"/>
              <w:rPr>
                <w:sz w:val="15"/>
                <w:szCs w:val="15"/>
                <w:color w:val="auto"/>
              </w:rPr>
            </w:pPr>
          </w:p>
        </w:tc>
        <w:tc>
          <w:tcPr>
            <w:tcW w:w="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 w:type="dxa"/>
            <w:vAlign w:val="bottom"/>
            <w:gridSpan w:val="6"/>
            <w:vMerge w:val="continue"/>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6"/>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7340" w:type="dxa"/>
            <w:vAlign w:val="bottom"/>
            <w:gridSpan w:val="36"/>
          </w:tcPr>
          <w:p>
            <w:pPr>
              <w:spacing w:after="0" w:line="182" w:lineRule="exact"/>
              <w:rPr>
                <w:rFonts w:ascii="Arial" w:cs="Arial" w:eastAsia="Arial" w:hAnsi="Arial"/>
                <w:sz w:val="18"/>
                <w:szCs w:val="18"/>
                <w:color w:val="0000EE"/>
                <w:w w:val="95"/>
              </w:rPr>
            </w:pPr>
            <w:hyperlink w:anchor="page53">
              <w:r>
                <w:rPr>
                  <w:rFonts w:ascii="Arial" w:cs="Arial" w:eastAsia="Arial" w:hAnsi="Arial"/>
                  <w:sz w:val="18"/>
                  <w:szCs w:val="18"/>
                  <w:color w:val="0000EE"/>
                  <w:w w:val="95"/>
                </w:rPr>
                <w:t>MANAGEMENT’S DISCUSSION AND ANALYSIS OF FINANCIAL CONDITION AND RESULTS</w:t>
              </w:r>
            </w:hyperlink>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500" w:type="dxa"/>
            <w:vAlign w:val="bottom"/>
            <w:tcBorders>
              <w:top w:val="single" w:sz="8" w:color="0000EE"/>
            </w:tcBorders>
            <w:gridSpan w:val="37"/>
          </w:tcPr>
          <w:p>
            <w:pPr>
              <w:spacing w:after="0" w:line="182" w:lineRule="exact"/>
              <w:rPr>
                <w:rFonts w:ascii="Arial" w:cs="Arial" w:eastAsia="Arial" w:hAnsi="Arial"/>
                <w:sz w:val="18"/>
                <w:szCs w:val="18"/>
                <w:color w:val="0000EE"/>
              </w:rPr>
            </w:pPr>
            <w:hyperlink w:anchor="page53">
              <w:r>
                <w:rPr>
                  <w:rFonts w:ascii="Arial" w:cs="Arial" w:eastAsia="Arial" w:hAnsi="Arial"/>
                  <w:sz w:val="18"/>
                  <w:szCs w:val="18"/>
                  <w:color w:val="0000EE"/>
                </w:rPr>
                <w:t>OF OPERATIONS</w:t>
              </w:r>
            </w:hyperlink>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20" w:type="dxa"/>
            <w:vAlign w:val="bottom"/>
            <w:gridSpan w:val="6"/>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Item 3.</w:t>
              </w:r>
            </w:hyperlink>
          </w:p>
        </w:tc>
        <w:tc>
          <w:tcPr>
            <w:tcW w:w="14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QUANTITATIVE</w:t>
              </w:r>
            </w:hyperlink>
          </w:p>
        </w:tc>
        <w:tc>
          <w:tcPr>
            <w:tcW w:w="6060" w:type="dxa"/>
            <w:vAlign w:val="bottom"/>
            <w:gridSpan w:val="28"/>
          </w:tcPr>
          <w:p>
            <w:pPr>
              <w:jc w:val="center"/>
              <w:ind w:right="1360"/>
              <w:spacing w:after="0" w:line="182" w:lineRule="exact"/>
              <w:rPr>
                <w:rFonts w:ascii="Arial" w:cs="Arial" w:eastAsia="Arial" w:hAnsi="Arial"/>
                <w:sz w:val="18"/>
                <w:szCs w:val="18"/>
                <w:color w:val="0000EE"/>
                <w:w w:val="96"/>
              </w:rPr>
            </w:pPr>
            <w:hyperlink w:anchor="page81">
              <w:r>
                <w:rPr>
                  <w:rFonts w:ascii="Arial" w:cs="Arial" w:eastAsia="Arial" w:hAnsi="Arial"/>
                  <w:sz w:val="18"/>
                  <w:szCs w:val="18"/>
                  <w:color w:val="0000EE"/>
                  <w:w w:val="96"/>
                </w:rPr>
                <w:t>AND QUALITATIVE DISCLOSURES ABOUT MARKET RISK</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00" w:type="dxa"/>
            <w:vAlign w:val="bottom"/>
            <w:tcBorders>
              <w:top w:val="single" w:sz="8" w:color="0000EE"/>
            </w:tcBorders>
            <w:gridSpan w:val="2"/>
          </w:tcPr>
          <w:p>
            <w:pPr>
              <w:spacing w:after="0" w:line="182" w:lineRule="exact"/>
              <w:rPr>
                <w:rFonts w:ascii="Arial" w:cs="Arial" w:eastAsia="Arial" w:hAnsi="Arial"/>
                <w:sz w:val="18"/>
                <w:szCs w:val="18"/>
                <w:color w:val="0000EE"/>
                <w:w w:val="87"/>
              </w:rPr>
            </w:pPr>
            <w:hyperlink w:anchor="page82">
              <w:r>
                <w:rPr>
                  <w:rFonts w:ascii="Arial" w:cs="Arial" w:eastAsia="Arial" w:hAnsi="Arial"/>
                  <w:sz w:val="18"/>
                  <w:szCs w:val="18"/>
                  <w:color w:val="0000EE"/>
                  <w:w w:val="87"/>
                </w:rPr>
                <w:t>Item 4.</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140" w:type="dxa"/>
            <w:vAlign w:val="bottom"/>
            <w:tcBorders>
              <w:top w:val="single" w:sz="8" w:color="0000EE"/>
            </w:tcBorders>
            <w:gridSpan w:val="36"/>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CONTROLS AND PROCEDURES</w:t>
              </w:r>
            </w:hyperlink>
          </w:p>
        </w:tc>
        <w:tc>
          <w:tcPr>
            <w:tcW w:w="1360" w:type="dxa"/>
            <w:vAlign w:val="bottom"/>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0" w:type="dxa"/>
            <w:vAlign w:val="bottom"/>
            <w:gridSpan w:val="5"/>
            <w:shd w:val="clear" w:color="auto" w:fill="0000EE"/>
          </w:tcPr>
          <w:p>
            <w:pPr>
              <w:spacing w:after="0" w:line="20" w:lineRule="exact"/>
              <w:rPr>
                <w:sz w:val="1"/>
                <w:szCs w:val="1"/>
                <w:color w:val="auto"/>
              </w:rPr>
            </w:pPr>
          </w:p>
        </w:tc>
        <w:tc>
          <w:tcPr>
            <w:tcW w:w="46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580" w:type="dxa"/>
            <w:vAlign w:val="bottom"/>
            <w:gridSpan w:val="5"/>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gridSpan w:val="6"/>
          </w:tcPr>
          <w:p>
            <w:pPr>
              <w:spacing w:after="0" w:line="20" w:lineRule="exact"/>
              <w:rPr>
                <w:sz w:val="1"/>
                <w:szCs w:val="1"/>
                <w:color w:val="auto"/>
              </w:rPr>
            </w:pPr>
          </w:p>
        </w:tc>
        <w:tc>
          <w:tcPr>
            <w:tcW w:w="2880" w:type="dxa"/>
            <w:vAlign w:val="bottom"/>
            <w:gridSpan w:val="10"/>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gridSpan w:val="4"/>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Part II</w:t>
              </w:r>
            </w:hyperlink>
          </w:p>
        </w:tc>
        <w:tc>
          <w:tcPr>
            <w:tcW w:w="180" w:type="dxa"/>
            <w:vAlign w:val="bottom"/>
            <w:gridSpan w:val="2"/>
          </w:tcPr>
          <w:p>
            <w:pPr>
              <w:spacing w:after="0"/>
              <w:rPr>
                <w:sz w:val="24"/>
                <w:szCs w:val="24"/>
                <w:color w:val="auto"/>
              </w:rPr>
            </w:pPr>
          </w:p>
        </w:tc>
        <w:tc>
          <w:tcPr>
            <w:tcW w:w="7500" w:type="dxa"/>
            <w:vAlign w:val="bottom"/>
            <w:gridSpan w:val="37"/>
          </w:tcPr>
          <w:p>
            <w:pPr>
              <w:spacing w:after="0"/>
              <w:rPr>
                <w:rFonts w:ascii="Arial" w:cs="Arial" w:eastAsia="Arial" w:hAnsi="Arial"/>
                <w:sz w:val="18"/>
                <w:szCs w:val="18"/>
                <w:b w:val="1"/>
                <w:bCs w:val="1"/>
                <w:color w:val="0000EE"/>
              </w:rPr>
            </w:pPr>
            <w:hyperlink w:anchor="page82">
              <w:r>
                <w:rPr>
                  <w:rFonts w:ascii="Arial" w:cs="Arial" w:eastAsia="Arial" w:hAnsi="Arial"/>
                  <w:sz w:val="18"/>
                  <w:szCs w:val="18"/>
                  <w:b w:val="1"/>
                  <w:bCs w:val="1"/>
                  <w:color w:val="0000EE"/>
                </w:rPr>
                <w:t>OTHER INFORMATION</w:t>
              </w:r>
            </w:hyperlink>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52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0"/>
              </w:rPr>
            </w:pPr>
            <w:hyperlink w:anchor="page82">
              <w:r>
                <w:rPr>
                  <w:rFonts w:ascii="Arial" w:cs="Arial" w:eastAsia="Arial" w:hAnsi="Arial"/>
                  <w:sz w:val="18"/>
                  <w:szCs w:val="18"/>
                  <w:color w:val="0000EE"/>
                  <w:w w:val="90"/>
                </w:rPr>
                <w:t>Item 1.</w:t>
              </w:r>
            </w:hyperlink>
          </w:p>
        </w:tc>
        <w:tc>
          <w:tcPr>
            <w:tcW w:w="20" w:type="dxa"/>
            <w:vAlign w:val="bottom"/>
            <w:tcBorders>
              <w:top w:val="single" w:sz="8" w:color="0000EE"/>
            </w:tcBorders>
          </w:tcPr>
          <w:p>
            <w:pPr>
              <w:spacing w:after="0"/>
              <w:rPr>
                <w:sz w:val="24"/>
                <w:szCs w:val="24"/>
                <w:color w:val="auto"/>
              </w:rPr>
            </w:pPr>
          </w:p>
        </w:tc>
        <w:tc>
          <w:tcPr>
            <w:tcW w:w="180" w:type="dxa"/>
            <w:vAlign w:val="bottom"/>
            <w:gridSpan w:val="2"/>
          </w:tcPr>
          <w:p>
            <w:pPr>
              <w:spacing w:after="0"/>
              <w:rPr>
                <w:sz w:val="24"/>
                <w:szCs w:val="24"/>
                <w:color w:val="auto"/>
              </w:rPr>
            </w:pPr>
          </w:p>
        </w:tc>
        <w:tc>
          <w:tcPr>
            <w:tcW w:w="1880" w:type="dxa"/>
            <w:vAlign w:val="bottom"/>
            <w:tcBorders>
              <w:top w:val="single" w:sz="8" w:color="0000EE"/>
              <w:bottom w:val="single" w:sz="8" w:color="0000EE"/>
            </w:tcBorders>
            <w:gridSpan w:val="13"/>
          </w:tcPr>
          <w:p>
            <w:pPr>
              <w:spacing w:after="0"/>
              <w:rPr>
                <w:rFonts w:ascii="Arial" w:cs="Arial" w:eastAsia="Arial" w:hAnsi="Arial"/>
                <w:sz w:val="18"/>
                <w:szCs w:val="18"/>
                <w:color w:val="0000EE"/>
                <w:w w:val="94"/>
              </w:rPr>
            </w:pPr>
            <w:hyperlink w:anchor="page82">
              <w:r>
                <w:rPr>
                  <w:rFonts w:ascii="Arial" w:cs="Arial" w:eastAsia="Arial" w:hAnsi="Arial"/>
                  <w:sz w:val="18"/>
                  <w:szCs w:val="18"/>
                  <w:color w:val="0000EE"/>
                  <w:w w:val="94"/>
                </w:rPr>
                <w:t>LEGAL PROCEEDINGS</w:t>
              </w:r>
            </w:hyperlink>
          </w:p>
        </w:tc>
        <w:tc>
          <w:tcPr>
            <w:tcW w:w="140" w:type="dxa"/>
            <w:vAlign w:val="bottom"/>
            <w:tcBorders>
              <w:top w:val="single" w:sz="8" w:color="0000EE"/>
            </w:tcBorders>
            <w:gridSpan w:val="2"/>
          </w:tcPr>
          <w:p>
            <w:pPr>
              <w:spacing w:after="0"/>
              <w:rPr>
                <w:sz w:val="24"/>
                <w:szCs w:val="24"/>
                <w:color w:val="auto"/>
              </w:rPr>
            </w:pPr>
          </w:p>
        </w:tc>
        <w:tc>
          <w:tcPr>
            <w:tcW w:w="5480" w:type="dxa"/>
            <w:vAlign w:val="bottom"/>
            <w:gridSpan w:val="22"/>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220" w:type="dxa"/>
            <w:vAlign w:val="bottom"/>
            <w:gridSpan w:val="43"/>
          </w:tcPr>
          <w:p>
            <w:pPr>
              <w:spacing w:after="0" w:line="182" w:lineRule="exact"/>
              <w:rPr>
                <w:rFonts w:ascii="Arial" w:cs="Arial" w:eastAsia="Arial" w:hAnsi="Arial"/>
                <w:sz w:val="18"/>
                <w:szCs w:val="18"/>
                <w:color w:val="0000EE"/>
              </w:rPr>
            </w:pPr>
            <w:hyperlink w:anchor="page82">
              <w:r>
                <w:rPr>
                  <w:rFonts w:ascii="Arial" w:cs="Arial" w:eastAsia="Arial" w:hAnsi="Arial"/>
                  <w:sz w:val="18"/>
                  <w:szCs w:val="18"/>
                  <w:color w:val="0000EE"/>
                </w:rPr>
                <w:t>Item 1A</w:t>
              </w:r>
            </w:hyperlink>
            <w:r>
              <w:rPr>
                <w:rFonts w:ascii="Arial" w:cs="Arial" w:eastAsia="Arial" w:hAnsi="Arial"/>
                <w:sz w:val="18"/>
                <w:szCs w:val="18"/>
                <w:color w:val="000000"/>
              </w:rPr>
              <w:t>.</w:t>
            </w:r>
            <w:r>
              <w:rPr>
                <w:rFonts w:ascii="Arial" w:cs="Arial" w:eastAsia="Arial" w:hAnsi="Arial"/>
                <w:sz w:val="18"/>
                <w:szCs w:val="18"/>
                <w:color w:val="0000EE"/>
              </w:rPr>
              <w:t xml:space="preserve"> </w:t>
            </w:r>
            <w:hyperlink w:anchor="page82">
              <w:r>
                <w:rPr>
                  <w:rFonts w:ascii="Arial" w:cs="Arial" w:eastAsia="Arial" w:hAnsi="Arial"/>
                  <w:sz w:val="18"/>
                  <w:szCs w:val="18"/>
                  <w:color w:val="0000EE"/>
                </w:rPr>
                <w:t>RISK FACTORS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0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Item 2.</w:t>
              </w:r>
            </w:hyperlink>
          </w:p>
        </w:tc>
        <w:tc>
          <w:tcPr>
            <w:tcW w:w="120" w:type="dxa"/>
            <w:vAlign w:val="bottom"/>
          </w:tcPr>
          <w:p>
            <w:pPr>
              <w:spacing w:after="0"/>
              <w:rPr>
                <w:sz w:val="15"/>
                <w:szCs w:val="15"/>
                <w:color w:val="auto"/>
              </w:rPr>
            </w:pPr>
          </w:p>
        </w:tc>
        <w:tc>
          <w:tcPr>
            <w:tcW w:w="1300" w:type="dxa"/>
            <w:vAlign w:val="bottom"/>
            <w:tcBorders>
              <w:top w:val="single" w:sz="8" w:color="0000EE"/>
            </w:tcBorders>
            <w:gridSpan w:val="8"/>
          </w:tcPr>
          <w:p>
            <w:pPr>
              <w:spacing w:after="0" w:line="182" w:lineRule="exact"/>
              <w:rPr>
                <w:rFonts w:ascii="Arial" w:cs="Arial" w:eastAsia="Arial" w:hAnsi="Arial"/>
                <w:sz w:val="18"/>
                <w:szCs w:val="18"/>
                <w:color w:val="0000EE"/>
                <w:w w:val="88"/>
              </w:rPr>
            </w:pPr>
            <w:hyperlink w:anchor="page83">
              <w:r>
                <w:rPr>
                  <w:rFonts w:ascii="Arial" w:cs="Arial" w:eastAsia="Arial" w:hAnsi="Arial"/>
                  <w:sz w:val="18"/>
                  <w:szCs w:val="18"/>
                  <w:color w:val="0000EE"/>
                  <w:w w:val="88"/>
                </w:rPr>
                <w:t>UNREGISTERED</w:t>
              </w:r>
            </w:hyperlink>
          </w:p>
        </w:tc>
        <w:tc>
          <w:tcPr>
            <w:tcW w:w="6200" w:type="dxa"/>
            <w:vAlign w:val="bottom"/>
            <w:gridSpan w:val="29"/>
          </w:tcPr>
          <w:p>
            <w:pPr>
              <w:jc w:val="center"/>
              <w:ind w:right="1320"/>
              <w:spacing w:after="0" w:line="182" w:lineRule="exact"/>
              <w:rPr>
                <w:rFonts w:ascii="Arial" w:cs="Arial" w:eastAsia="Arial" w:hAnsi="Arial"/>
                <w:sz w:val="18"/>
                <w:szCs w:val="18"/>
                <w:color w:val="0000EE"/>
                <w:w w:val="94"/>
              </w:rPr>
            </w:pPr>
            <w:hyperlink w:anchor="page83">
              <w:r>
                <w:rPr>
                  <w:rFonts w:ascii="Arial" w:cs="Arial" w:eastAsia="Arial" w:hAnsi="Arial"/>
                  <w:sz w:val="18"/>
                  <w:szCs w:val="18"/>
                  <w:color w:val="0000EE"/>
                  <w:w w:val="94"/>
                </w:rPr>
                <w:t>SALES OF EQUITY SECURITIES AND USE OF PROCEEDS</w:t>
              </w:r>
            </w:hyperlink>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3.</w:t>
              </w:r>
            </w:hyperlink>
          </w:p>
        </w:tc>
        <w:tc>
          <w:tcPr>
            <w:tcW w:w="200" w:type="dxa"/>
            <w:vAlign w:val="bottom"/>
            <w:gridSpan w:val="3"/>
          </w:tcPr>
          <w:p>
            <w:pPr>
              <w:spacing w:after="0"/>
              <w:rPr>
                <w:sz w:val="15"/>
                <w:szCs w:val="15"/>
                <w:color w:val="auto"/>
              </w:rPr>
            </w:pPr>
          </w:p>
        </w:tc>
        <w:tc>
          <w:tcPr>
            <w:tcW w:w="6080" w:type="dxa"/>
            <w:vAlign w:val="bottom"/>
            <w:tcBorders>
              <w:top w:val="single" w:sz="8" w:color="0000EE"/>
            </w:tcBorders>
            <w:gridSpan w:val="35"/>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DEFAULTS UPON SENIOR SECURITIES</w:t>
              </w:r>
            </w:hyperlink>
          </w:p>
        </w:tc>
        <w:tc>
          <w:tcPr>
            <w:tcW w:w="1420" w:type="dxa"/>
            <w:vAlign w:val="bottom"/>
            <w:gridSpan w:val="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4.</w:t>
              </w:r>
            </w:hyperlink>
          </w:p>
        </w:tc>
        <w:tc>
          <w:tcPr>
            <w:tcW w:w="200" w:type="dxa"/>
            <w:vAlign w:val="bottom"/>
            <w:gridSpan w:val="3"/>
          </w:tcPr>
          <w:p>
            <w:pPr>
              <w:spacing w:after="0"/>
              <w:rPr>
                <w:sz w:val="15"/>
                <w:szCs w:val="15"/>
                <w:color w:val="auto"/>
              </w:rPr>
            </w:pPr>
          </w:p>
        </w:tc>
        <w:tc>
          <w:tcPr>
            <w:tcW w:w="3200" w:type="dxa"/>
            <w:vAlign w:val="bottom"/>
            <w:tcBorders>
              <w:top w:val="single" w:sz="8" w:color="0000EE"/>
            </w:tcBorders>
            <w:gridSpan w:val="25"/>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MINE SAFETY DISCLOSURES</w:t>
              </w:r>
            </w:hyperlink>
          </w:p>
        </w:tc>
        <w:tc>
          <w:tcPr>
            <w:tcW w:w="4300" w:type="dxa"/>
            <w:vAlign w:val="bottom"/>
            <w:gridSpan w:val="12"/>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tcBorders>
            <w:gridSpan w:val="3"/>
          </w:tcPr>
          <w:p>
            <w:pPr>
              <w:spacing w:after="0" w:line="182" w:lineRule="exact"/>
              <w:rPr>
                <w:rFonts w:ascii="Arial" w:cs="Arial" w:eastAsia="Arial" w:hAnsi="Arial"/>
                <w:sz w:val="18"/>
                <w:szCs w:val="18"/>
                <w:color w:val="0000EE"/>
                <w:w w:val="90"/>
              </w:rPr>
            </w:pPr>
            <w:hyperlink w:anchor="page83">
              <w:r>
                <w:rPr>
                  <w:rFonts w:ascii="Arial" w:cs="Arial" w:eastAsia="Arial" w:hAnsi="Arial"/>
                  <w:sz w:val="18"/>
                  <w:szCs w:val="18"/>
                  <w:color w:val="0000EE"/>
                  <w:w w:val="90"/>
                </w:rPr>
                <w:t>Item 5.</w:t>
              </w:r>
            </w:hyperlink>
          </w:p>
        </w:tc>
        <w:tc>
          <w:tcPr>
            <w:tcW w:w="200" w:type="dxa"/>
            <w:vAlign w:val="bottom"/>
            <w:gridSpan w:val="3"/>
          </w:tcPr>
          <w:p>
            <w:pPr>
              <w:spacing w:after="0"/>
              <w:rPr>
                <w:sz w:val="15"/>
                <w:szCs w:val="15"/>
                <w:color w:val="auto"/>
              </w:rPr>
            </w:pPr>
          </w:p>
        </w:tc>
        <w:tc>
          <w:tcPr>
            <w:tcW w:w="244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83">
              <w:r>
                <w:rPr>
                  <w:rFonts w:ascii="Arial" w:cs="Arial" w:eastAsia="Arial" w:hAnsi="Arial"/>
                  <w:sz w:val="18"/>
                  <w:szCs w:val="18"/>
                  <w:color w:val="0000EE"/>
                </w:rPr>
                <w:t>OTHER INFORMATION</w:t>
              </w:r>
            </w:hyperlink>
          </w:p>
        </w:tc>
        <w:tc>
          <w:tcPr>
            <w:tcW w:w="5060" w:type="dxa"/>
            <w:vAlign w:val="bottom"/>
            <w:gridSpan w:val="19"/>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2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0"/>
              </w:rPr>
            </w:pPr>
            <w:hyperlink w:anchor="page84">
              <w:r>
                <w:rPr>
                  <w:rFonts w:ascii="Arial" w:cs="Arial" w:eastAsia="Arial" w:hAnsi="Arial"/>
                  <w:sz w:val="18"/>
                  <w:szCs w:val="18"/>
                  <w:color w:val="0000EE"/>
                  <w:w w:val="90"/>
                </w:rPr>
                <w:t>Item 6.</w:t>
              </w:r>
            </w:hyperlink>
          </w:p>
        </w:tc>
        <w:tc>
          <w:tcPr>
            <w:tcW w:w="200" w:type="dxa"/>
            <w:vAlign w:val="bottom"/>
            <w:gridSpan w:val="3"/>
          </w:tcPr>
          <w:p>
            <w:pPr>
              <w:spacing w:after="0"/>
              <w:rPr>
                <w:sz w:val="15"/>
                <w:szCs w:val="15"/>
                <w:color w:val="auto"/>
              </w:rPr>
            </w:pPr>
          </w:p>
        </w:tc>
        <w:tc>
          <w:tcPr>
            <w:tcW w:w="840" w:type="dxa"/>
            <w:vAlign w:val="bottom"/>
            <w:tcBorders>
              <w:top w:val="single" w:sz="8" w:color="0000EE"/>
              <w:bottom w:val="single" w:sz="8" w:color="0000EE"/>
            </w:tcBorders>
            <w:gridSpan w:val="7"/>
          </w:tcPr>
          <w:p>
            <w:pPr>
              <w:spacing w:after="0" w:line="182" w:lineRule="exact"/>
              <w:rPr>
                <w:rFonts w:ascii="Arial" w:cs="Arial" w:eastAsia="Arial" w:hAnsi="Arial"/>
                <w:sz w:val="18"/>
                <w:szCs w:val="18"/>
                <w:color w:val="0000EE"/>
                <w:w w:val="97"/>
              </w:rPr>
            </w:pPr>
            <w:hyperlink w:anchor="page84">
              <w:r>
                <w:rPr>
                  <w:rFonts w:ascii="Arial" w:cs="Arial" w:eastAsia="Arial" w:hAnsi="Arial"/>
                  <w:sz w:val="18"/>
                  <w:szCs w:val="18"/>
                  <w:color w:val="0000EE"/>
                  <w:w w:val="97"/>
                </w:rPr>
                <w:t>EXHIBITS</w:t>
              </w:r>
            </w:hyperlink>
          </w:p>
        </w:tc>
        <w:tc>
          <w:tcPr>
            <w:tcW w:w="1040" w:type="dxa"/>
            <w:vAlign w:val="bottom"/>
            <w:tcBorders>
              <w:top w:val="single" w:sz="8" w:color="0000EE"/>
            </w:tcBorders>
            <w:gridSpan w:val="6"/>
          </w:tcPr>
          <w:p>
            <w:pPr>
              <w:spacing w:after="0"/>
              <w:rPr>
                <w:sz w:val="15"/>
                <w:szCs w:val="15"/>
                <w:color w:val="auto"/>
              </w:rPr>
            </w:pPr>
          </w:p>
        </w:tc>
        <w:tc>
          <w:tcPr>
            <w:tcW w:w="5620" w:type="dxa"/>
            <w:vAlign w:val="bottom"/>
            <w:gridSpan w:val="24"/>
          </w:tcPr>
          <w:p>
            <w:pPr>
              <w:spacing w:after="0"/>
              <w:rPr>
                <w:sz w:val="15"/>
                <w:szCs w:val="15"/>
                <w:color w:val="auto"/>
              </w:rPr>
            </w:pPr>
          </w:p>
        </w:tc>
        <w:tc>
          <w:tcPr>
            <w:tcW w:w="680" w:type="dxa"/>
            <w:vAlign w:val="bottom"/>
          </w:tcPr>
          <w:p>
            <w:pPr>
              <w:jc w:val="right"/>
              <w:spacing w:after="0" w:line="182" w:lineRule="exact"/>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1160" w:type="dxa"/>
            <w:vAlign w:val="bottom"/>
            <w:tcBorders>
              <w:bottom w:val="single" w:sz="8" w:color="0000EE"/>
            </w:tcBorders>
            <w:gridSpan w:val="8"/>
          </w:tcPr>
          <w:p>
            <w:pPr>
              <w:spacing w:after="0"/>
              <w:rPr>
                <w:rFonts w:ascii="Arial" w:cs="Arial" w:eastAsia="Arial" w:hAnsi="Arial"/>
                <w:sz w:val="18"/>
                <w:szCs w:val="18"/>
                <w:b w:val="1"/>
                <w:bCs w:val="1"/>
                <w:color w:val="0000EE"/>
                <w:w w:val="96"/>
              </w:rPr>
            </w:pPr>
            <w:hyperlink w:anchor="page85">
              <w:r>
                <w:rPr>
                  <w:rFonts w:ascii="Arial" w:cs="Arial" w:eastAsia="Arial" w:hAnsi="Arial"/>
                  <w:sz w:val="18"/>
                  <w:szCs w:val="18"/>
                  <w:b w:val="1"/>
                  <w:bCs w:val="1"/>
                  <w:color w:val="0000EE"/>
                  <w:w w:val="96"/>
                </w:rPr>
                <w:t>SIGNATURES</w:t>
              </w:r>
            </w:hyperlink>
          </w:p>
        </w:tc>
        <w:tc>
          <w:tcPr>
            <w:tcW w:w="7060" w:type="dxa"/>
            <w:vAlign w:val="bottom"/>
            <w:gridSpan w:val="35"/>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871"/>
        </w:trPr>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80" w:type="dxa"/>
            <w:vAlign w:val="bottom"/>
            <w:gridSpan w:val="27"/>
          </w:tcPr>
          <w:p>
            <w:pPr>
              <w:jc w:val="center"/>
              <w:ind w:left="3270"/>
              <w:spacing w:after="0"/>
              <w:rPr>
                <w:sz w:val="20"/>
                <w:szCs w:val="20"/>
                <w:color w:val="auto"/>
              </w:rPr>
            </w:pPr>
            <w:r>
              <w:rPr>
                <w:rFonts w:ascii="Arial" w:cs="Arial" w:eastAsia="Arial" w:hAnsi="Arial"/>
                <w:sz w:val="18"/>
                <w:szCs w:val="18"/>
                <w:color w:val="auto"/>
                <w:w w:val="79"/>
              </w:rPr>
              <w:t>2</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We use acronyms, abbreviations, and other terms throughout this Quarterly Report, as defined in the glossary below:</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196"/>
        </w:trPr>
        <w:tc>
          <w:tcPr>
            <w:tcW w:w="2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2020 Equity Plan</w:t>
            </w:r>
          </w:p>
        </w:tc>
        <w:tc>
          <w:tcPr>
            <w:tcW w:w="28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First Busey's 2020 Equity Incentive Plan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ACL</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Allowance for credit losses</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Annual Report</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Annual report filed with the SEC on Form 10-K pursuant to Section 13 or 15(d) of the</w:t>
            </w:r>
          </w:p>
        </w:tc>
        <w:tc>
          <w:tcPr>
            <w:tcW w:w="20" w:type="dxa"/>
            <w:vAlign w:val="bottom"/>
          </w:tcPr>
          <w:p>
            <w:pPr>
              <w:spacing w:after="0"/>
              <w:rPr>
                <w:sz w:val="16"/>
                <w:szCs w:val="16"/>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Exchange Act</w:t>
            </w:r>
          </w:p>
        </w:tc>
        <w:tc>
          <w:tcPr>
            <w:tcW w:w="20" w:type="dxa"/>
            <w:vAlign w:val="bottom"/>
          </w:tcPr>
          <w:p>
            <w:pPr>
              <w:spacing w:after="0"/>
              <w:rPr>
                <w:sz w:val="18"/>
                <w:szCs w:val="18"/>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AOCI</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ASC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Accounting Standards Codification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ASU</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Accounting Standards Update</w:t>
            </w:r>
          </w:p>
        </w:tc>
        <w:tc>
          <w:tcPr>
            <w:tcW w:w="20" w:type="dxa"/>
            <w:vAlign w:val="bottom"/>
          </w:tcPr>
          <w:p>
            <w:pPr>
              <w:spacing w:after="0"/>
              <w:rPr>
                <w:sz w:val="17"/>
                <w:szCs w:val="17"/>
                <w:color w:val="auto"/>
              </w:rPr>
            </w:pPr>
          </w:p>
        </w:tc>
      </w:tr>
      <w:tr>
        <w:trPr>
          <w:trHeight w:val="188"/>
        </w:trPr>
        <w:tc>
          <w:tcPr>
            <w:tcW w:w="250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Basel III</w:t>
            </w:r>
          </w:p>
        </w:tc>
        <w:tc>
          <w:tcPr>
            <w:tcW w:w="64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5"/>
              </w:rPr>
              <w:t>2010  capital  accord  adopted  by  the  international  Basel  Committee  on  Banking</w:t>
            </w:r>
          </w:p>
        </w:tc>
        <w:tc>
          <w:tcPr>
            <w:tcW w:w="20" w:type="dxa"/>
            <w:vAlign w:val="bottom"/>
          </w:tcPr>
          <w:p>
            <w:pPr>
              <w:spacing w:after="0"/>
              <w:rPr>
                <w:sz w:val="16"/>
                <w:szCs w:val="16"/>
                <w:color w:val="auto"/>
              </w:rPr>
            </w:pPr>
          </w:p>
        </w:tc>
      </w:tr>
      <w:tr>
        <w:trPr>
          <w:trHeight w:val="217"/>
        </w:trPr>
        <w:tc>
          <w:tcPr>
            <w:tcW w:w="2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Supervision</w:t>
            </w:r>
          </w:p>
        </w:tc>
        <w:tc>
          <w:tcPr>
            <w:tcW w:w="20" w:type="dxa"/>
            <w:vAlign w:val="bottom"/>
          </w:tcPr>
          <w:p>
            <w:pPr>
              <w:spacing w:after="0"/>
              <w:rPr>
                <w:sz w:val="18"/>
                <w:szCs w:val="18"/>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Basel III Rule</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6"/>
              </w:rPr>
              <w:t>Regulations promulgated by U.S. federal banking agencies – the OCC, the Federal</w:t>
            </w:r>
          </w:p>
        </w:tc>
        <w:tc>
          <w:tcPr>
            <w:tcW w:w="2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1"/>
              </w:rPr>
              <w:t>Reserve, and the FDIC – to both enforce implementation of certain aspects of the Basel</w:t>
            </w: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5"/>
              </w:rPr>
              <w:t>III capital reforms and effect certain changes required by the Dodd-Frank Wall Street</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Reform and Consumer Protection Act</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Cummins-American Corp.</w:t>
            </w:r>
          </w:p>
        </w:tc>
        <w:tc>
          <w:tcPr>
            <w:tcW w:w="20" w:type="dxa"/>
            <w:vAlign w:val="bottom"/>
          </w:tcPr>
          <w:p>
            <w:pPr>
              <w:spacing w:after="0"/>
              <w:rPr>
                <w:sz w:val="17"/>
                <w:szCs w:val="17"/>
                <w:color w:val="auto"/>
              </w:rPr>
            </w:pPr>
          </w:p>
        </w:tc>
      </w:tr>
      <w:tr>
        <w:trPr>
          <w:trHeight w:val="202"/>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CARES Act</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Aid, Relief, and Economic Security Act</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CECL</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Expected Credit Losses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COVID-19</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Coronavirus disease 2019</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DSU</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Deferred stock unit</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ESPP</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Employee Stock Purchase Plan</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Exchange Act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Securities Exchange Act of 1934, as amended</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Fair value</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6"/>
              </w:rPr>
              <w:t>The price that would be received to sell an asset, or paid to transfer a liability, in an</w:t>
            </w:r>
          </w:p>
        </w:tc>
        <w:tc>
          <w:tcPr>
            <w:tcW w:w="2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2"/>
              </w:rPr>
              <w:t>orderly transaction between market participants at the measurement date, as defined in</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 xml:space="preserve">ASC Topic 820 </w:t>
            </w:r>
            <w:r>
              <w:rPr>
                <w:rFonts w:ascii="Arial" w:cs="Arial" w:eastAsia="Arial" w:hAnsi="Arial"/>
                <w:sz w:val="18"/>
                <w:szCs w:val="18"/>
                <w:i w:val="1"/>
                <w:iCs w:val="1"/>
                <w:color w:val="auto"/>
              </w:rPr>
              <w:t>“Fair Value Measurement”</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FDIC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Deposit Insurance Corporation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Federal Reserve</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Board of Governors of the Federal Reserve System</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FHLB</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Home Loan Bank</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First Busey</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2"/>
              </w:rPr>
              <w:t>First Busey Corporation and its wholly-owned consolidated subsidiaries; also, “Busey,”</w:t>
            </w:r>
          </w:p>
        </w:tc>
        <w:tc>
          <w:tcPr>
            <w:tcW w:w="20" w:type="dxa"/>
            <w:vAlign w:val="bottom"/>
          </w:tcPr>
          <w:p>
            <w:pPr>
              <w:spacing w:after="0"/>
              <w:rPr>
                <w:sz w:val="16"/>
                <w:szCs w:val="16"/>
                <w:color w:val="auto"/>
              </w:rPr>
            </w:pP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the “Company,” “we,” “us,” and “our”</w:t>
            </w:r>
          </w:p>
        </w:tc>
      </w:tr>
      <w:tr>
        <w:trPr>
          <w:trHeight w:val="202"/>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First Busey Risk Management</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First Busey Risk Management, Inc.</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FirsTech</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FirsTech, Inc.</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FOMC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Federal Open Market Committee</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GAAP</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U.S. Generally Accepted Accounting Principles</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GSB</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Glenview State Bank</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Interagency Statement</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4"/>
              </w:rPr>
              <w:t>Interagency Statement on Loan Modifications and Reporting for Financial Institutions</w:t>
            </w:r>
          </w:p>
        </w:tc>
        <w:tc>
          <w:tcPr>
            <w:tcW w:w="2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4"/>
              </w:rPr>
              <w:t>Working with Customers Affected by the Coronavirus, issued on March 22, 2020, and</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revised on April 7, 2020</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LIBOR</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London Interbank Offered Rate</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LOCOM</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7"/>
              </w:rPr>
              <w:t>Lower of Cost or Market, an accounting approach under which loans are carried at</w:t>
            </w:r>
          </w:p>
        </w:tc>
        <w:tc>
          <w:tcPr>
            <w:tcW w:w="20" w:type="dxa"/>
            <w:vAlign w:val="bottom"/>
          </w:tcPr>
          <w:p>
            <w:pPr>
              <w:spacing w:after="0"/>
              <w:rPr>
                <w:sz w:val="16"/>
                <w:szCs w:val="16"/>
                <w:color w:val="auto"/>
              </w:rPr>
            </w:pPr>
          </w:p>
        </w:tc>
      </w:tr>
      <w:tr>
        <w:trPr>
          <w:trHeight w:val="203"/>
        </w:trPr>
        <w:tc>
          <w:tcPr>
            <w:tcW w:w="2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20" w:type="dxa"/>
            <w:vAlign w:val="bottom"/>
            <w:gridSpan w:val="2"/>
          </w:tcPr>
          <w:p>
            <w:pPr>
              <w:spacing w:after="0" w:line="202" w:lineRule="exact"/>
              <w:rPr>
                <w:sz w:val="20"/>
                <w:szCs w:val="20"/>
                <w:color w:val="auto"/>
              </w:rPr>
            </w:pPr>
            <w:r>
              <w:rPr>
                <w:rFonts w:ascii="Arial" w:cs="Arial" w:eastAsia="Arial" w:hAnsi="Arial"/>
                <w:sz w:val="18"/>
                <w:szCs w:val="18"/>
                <w:color w:val="auto"/>
                <w:w w:val="93"/>
              </w:rPr>
              <w:t>amortized historical cost less loan write-offs and downward market value adjustments,</w:t>
            </w:r>
          </w:p>
        </w:tc>
      </w:tr>
      <w:tr>
        <w:trPr>
          <w:trHeight w:val="217"/>
        </w:trPr>
        <w:tc>
          <w:tcPr>
            <w:tcW w:w="2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as may be applicable</w:t>
            </w: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NM</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Not meaningful</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NMTC</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New Markets Tax Credit</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OCI</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comprehensive income (loss)</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OREO</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Other real estate owned</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PCD</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Purchased credit deteriorated</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PPP</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Paycheck Protection Program</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PSU</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Performance-based restricted stock unit</w:t>
            </w:r>
          </w:p>
        </w:tc>
        <w:tc>
          <w:tcPr>
            <w:tcW w:w="20" w:type="dxa"/>
            <w:vAlign w:val="bottom"/>
          </w:tcPr>
          <w:p>
            <w:pPr>
              <w:spacing w:after="0"/>
              <w:rPr>
                <w:sz w:val="17"/>
                <w:szCs w:val="17"/>
                <w:color w:val="auto"/>
              </w:rPr>
            </w:pPr>
          </w:p>
        </w:tc>
      </w:tr>
      <w:tr>
        <w:trPr>
          <w:trHeight w:val="188"/>
        </w:trPr>
        <w:tc>
          <w:tcPr>
            <w:tcW w:w="250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Quarterly Report</w:t>
            </w:r>
          </w:p>
        </w:tc>
        <w:tc>
          <w:tcPr>
            <w:tcW w:w="6400" w:type="dxa"/>
            <w:vAlign w:val="bottom"/>
          </w:tcPr>
          <w:p>
            <w:pPr>
              <w:spacing w:after="0" w:line="189" w:lineRule="exact"/>
              <w:rPr>
                <w:sz w:val="20"/>
                <w:szCs w:val="20"/>
                <w:color w:val="auto"/>
              </w:rPr>
            </w:pPr>
            <w:r>
              <w:rPr>
                <w:rFonts w:ascii="Arial" w:cs="Arial" w:eastAsia="Arial" w:hAnsi="Arial"/>
                <w:sz w:val="18"/>
                <w:szCs w:val="18"/>
                <w:color w:val="auto"/>
                <w:w w:val="92"/>
              </w:rPr>
              <w:t>Quarterly report filed with the SEC on Form 10-Q pursuant to Section 13 or 15(d) of the</w:t>
            </w:r>
          </w:p>
        </w:tc>
        <w:tc>
          <w:tcPr>
            <w:tcW w:w="20" w:type="dxa"/>
            <w:vAlign w:val="bottom"/>
          </w:tcPr>
          <w:p>
            <w:pPr>
              <w:spacing w:after="0"/>
              <w:rPr>
                <w:sz w:val="16"/>
                <w:szCs w:val="16"/>
                <w:color w:val="auto"/>
              </w:rPr>
            </w:pPr>
          </w:p>
        </w:tc>
      </w:tr>
      <w:tr>
        <w:trPr>
          <w:trHeight w:val="230"/>
        </w:trPr>
        <w:tc>
          <w:tcPr>
            <w:tcW w:w="2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20" w:type="dxa"/>
            <w:vAlign w:val="bottom"/>
            <w:gridSpan w:val="2"/>
          </w:tcPr>
          <w:p>
            <w:pPr>
              <w:spacing w:after="0"/>
              <w:rPr>
                <w:sz w:val="20"/>
                <w:szCs w:val="20"/>
                <w:color w:val="auto"/>
              </w:rPr>
            </w:pPr>
            <w:r>
              <w:rPr>
                <w:rFonts w:ascii="Arial" w:cs="Arial" w:eastAsia="Arial" w:hAnsi="Arial"/>
                <w:sz w:val="18"/>
                <w:szCs w:val="18"/>
                <w:color w:val="auto"/>
              </w:rPr>
              <w:t>Exchange Act</w:t>
            </w:r>
          </w:p>
        </w:tc>
      </w:tr>
      <w:tr>
        <w:trPr>
          <w:trHeight w:val="634"/>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19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r>
      <w:tr>
        <w:trPr>
          <w:trHeight w:val="547"/>
        </w:trPr>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00" w:type="dxa"/>
            <w:vAlign w:val="bottom"/>
            <w:gridSpan w:val="2"/>
          </w:tcPr>
          <w:p>
            <w:pPr>
              <w:ind w:left="20"/>
              <w:spacing w:after="0"/>
              <w:rPr>
                <w:sz w:val="20"/>
                <w:szCs w:val="20"/>
                <w:color w:val="auto"/>
              </w:rPr>
            </w:pPr>
            <w:r>
              <w:rPr>
                <w:rFonts w:ascii="Arial" w:cs="Arial" w:eastAsia="Arial" w:hAnsi="Arial"/>
                <w:sz w:val="14"/>
                <w:szCs w:val="14"/>
                <w:b w:val="1"/>
                <w:bCs w:val="1"/>
                <w:color w:val="auto"/>
              </w:rPr>
              <w:t>Term</w:t>
            </w:r>
          </w:p>
        </w:tc>
        <w:tc>
          <w:tcPr>
            <w:tcW w:w="6420" w:type="dxa"/>
            <w:vAlign w:val="bottom"/>
            <w:gridSpan w:val="2"/>
          </w:tcPr>
          <w:p>
            <w:pPr>
              <w:spacing w:after="0"/>
              <w:rPr>
                <w:sz w:val="20"/>
                <w:szCs w:val="20"/>
                <w:color w:val="auto"/>
              </w:rPr>
            </w:pPr>
            <w:r>
              <w:rPr>
                <w:rFonts w:ascii="Arial" w:cs="Arial" w:eastAsia="Arial" w:hAnsi="Arial"/>
                <w:sz w:val="14"/>
                <w:szCs w:val="14"/>
                <w:b w:val="1"/>
                <w:bCs w:val="1"/>
                <w:color w:val="auto"/>
              </w:rPr>
              <w:t>Definition</w:t>
            </w:r>
          </w:p>
        </w:tc>
      </w:tr>
      <w:tr>
        <w:trPr>
          <w:trHeight w:val="196"/>
        </w:trPr>
        <w:tc>
          <w:tcPr>
            <w:tcW w:w="22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RSU</w:t>
            </w:r>
          </w:p>
        </w:tc>
        <w:tc>
          <w:tcPr>
            <w:tcW w:w="280" w:type="dxa"/>
            <w:vAlign w:val="bottom"/>
            <w:tcBorders>
              <w:top w:val="single" w:sz="8" w:color="CCEEFF"/>
            </w:tcBorders>
            <w:shd w:val="clear" w:color="auto" w:fill="CCEEFF"/>
          </w:tcPr>
          <w:p>
            <w:pPr>
              <w:spacing w:after="0"/>
              <w:rPr>
                <w:sz w:val="17"/>
                <w:szCs w:val="17"/>
                <w:color w:val="auto"/>
              </w:rPr>
            </w:pPr>
          </w:p>
        </w:tc>
        <w:tc>
          <w:tcPr>
            <w:tcW w:w="64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Restricted stock unit</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SBA</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U.S. Small Business Administration</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SEC</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Securities and Exchange Commission</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SOFR</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Secured Overnight Financing Rate published by the Federal Reserve</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TDR</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Troubled debt restructuring</w:t>
            </w:r>
          </w:p>
        </w:tc>
        <w:tc>
          <w:tcPr>
            <w:tcW w:w="20" w:type="dxa"/>
            <w:vAlign w:val="bottom"/>
          </w:tcPr>
          <w:p>
            <w:pPr>
              <w:spacing w:after="0"/>
              <w:rPr>
                <w:sz w:val="17"/>
                <w:szCs w:val="17"/>
                <w:color w:val="auto"/>
              </w:rPr>
            </w:pPr>
          </w:p>
        </w:tc>
      </w:tr>
      <w:tr>
        <w:trPr>
          <w:trHeight w:val="203"/>
        </w:trPr>
        <w:tc>
          <w:tcPr>
            <w:tcW w:w="250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U.S.</w:t>
            </w:r>
          </w:p>
        </w:tc>
        <w:tc>
          <w:tcPr>
            <w:tcW w:w="6400" w:type="dxa"/>
            <w:vAlign w:val="bottom"/>
          </w:tcPr>
          <w:p>
            <w:pPr>
              <w:spacing w:after="0" w:line="202" w:lineRule="exact"/>
              <w:rPr>
                <w:sz w:val="20"/>
                <w:szCs w:val="20"/>
                <w:color w:val="auto"/>
              </w:rPr>
            </w:pPr>
            <w:r>
              <w:rPr>
                <w:rFonts w:ascii="Arial" w:cs="Arial" w:eastAsia="Arial" w:hAnsi="Arial"/>
                <w:sz w:val="18"/>
                <w:szCs w:val="18"/>
                <w:color w:val="auto"/>
              </w:rPr>
              <w:t>United States of America</w:t>
            </w:r>
          </w:p>
        </w:tc>
        <w:tc>
          <w:tcPr>
            <w:tcW w:w="20" w:type="dxa"/>
            <w:vAlign w:val="bottom"/>
          </w:tcPr>
          <w:p>
            <w:pPr>
              <w:spacing w:after="0"/>
              <w:rPr>
                <w:sz w:val="17"/>
                <w:szCs w:val="17"/>
                <w:color w:val="auto"/>
              </w:rPr>
            </w:pPr>
          </w:p>
        </w:tc>
      </w:tr>
      <w:tr>
        <w:trPr>
          <w:trHeight w:val="203"/>
        </w:trPr>
        <w:tc>
          <w:tcPr>
            <w:tcW w:w="250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U.S. Treasury</w:t>
            </w:r>
          </w:p>
        </w:tc>
        <w:tc>
          <w:tcPr>
            <w:tcW w:w="64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U.S. Department of the Treasury</w:t>
            </w:r>
          </w:p>
        </w:tc>
        <w:tc>
          <w:tcPr>
            <w:tcW w:w="20" w:type="dxa"/>
            <w:vAlign w:val="bottom"/>
          </w:tcPr>
          <w:p>
            <w:pPr>
              <w:spacing w:after="0"/>
              <w:rPr>
                <w:sz w:val="17"/>
                <w:szCs w:val="17"/>
                <w:color w:val="auto"/>
              </w:rPr>
            </w:pPr>
          </w:p>
        </w:tc>
      </w:tr>
      <w:tr>
        <w:trPr>
          <w:trHeight w:val="864"/>
        </w:trPr>
        <w:tc>
          <w:tcPr>
            <w:tcW w:w="2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0" w:type="dxa"/>
            <w:vAlign w:val="bottom"/>
          </w:tcPr>
          <w:p>
            <w:pPr>
              <w:ind w:left="192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24"/>
                <w:szCs w:val="24"/>
                <w:color w:val="auto"/>
              </w:rPr>
            </w:pPr>
          </w:p>
        </w:tc>
      </w:tr>
      <w:tr>
        <w:trPr>
          <w:trHeight w:val="547"/>
        </w:trPr>
        <w:tc>
          <w:tcPr>
            <w:tcW w:w="22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CONSOLIDATED BALANCE SHEETS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10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80" w:type="dxa"/>
            <w:vAlign w:val="bottom"/>
          </w:tcPr>
          <w:p>
            <w:pPr>
              <w:jc w:val="right"/>
              <w:ind w:right="48"/>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Cash and cash equivalents: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Cash and due from banks</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131,113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102,983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Interest-bearing deposits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99,739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733,112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cash and cash equivalents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230,852</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836,095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Debt securities available for sale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2,744,646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3,981,251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Debt securities held to maturity</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953,012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Equity securities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11,264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Loans held for sale (2022 at LOCOM, 2021 at fair value)</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4,813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23,875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Portfolio loans (net of ACL of $88,757 at June 30, 2022, and $87,887 at December 31, 2021)</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7,409,021</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7,101,111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Premises and equipment, net</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130,892</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136,147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Right of use assets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10,533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317,873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317,873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52,089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58,051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20"/>
              <w:spacing w:after="0"/>
              <w:rPr>
                <w:sz w:val="20"/>
                <w:szCs w:val="20"/>
                <w:color w:val="auto"/>
              </w:rPr>
            </w:pPr>
            <w:r>
              <w:rPr>
                <w:rFonts w:ascii="Arial" w:cs="Arial" w:eastAsia="Arial" w:hAnsi="Arial"/>
                <w:sz w:val="14"/>
                <w:szCs w:val="14"/>
                <w:color w:val="auto"/>
              </w:rPr>
              <w:t>Cash surrender value of bank owned life insurance</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178,575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176,940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assets</w:t>
            </w: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314,781</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204,242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12,356,433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12,859,689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Liabilities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Deposits: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660"/>
              <w:spacing w:after="0"/>
              <w:rPr>
                <w:sz w:val="20"/>
                <w:szCs w:val="20"/>
                <w:color w:val="auto"/>
              </w:rPr>
            </w:pPr>
            <w:r>
              <w:rPr>
                <w:rFonts w:ascii="Arial" w:cs="Arial" w:eastAsia="Arial" w:hAnsi="Arial"/>
                <w:sz w:val="14"/>
                <w:szCs w:val="14"/>
                <w:color w:val="auto"/>
              </w:rPr>
              <w:t>Noninterest-bearing</w:t>
            </w: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3,505,299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3,670,267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660"/>
              <w:spacing w:after="0"/>
              <w:rPr>
                <w:sz w:val="20"/>
                <w:szCs w:val="20"/>
                <w:color w:val="auto"/>
              </w:rPr>
            </w:pPr>
            <w:r>
              <w:rPr>
                <w:rFonts w:ascii="Arial" w:cs="Arial" w:eastAsia="Arial" w:hAnsi="Arial"/>
                <w:sz w:val="14"/>
                <w:szCs w:val="14"/>
                <w:color w:val="auto"/>
              </w:rPr>
              <w:t>Interest-bearing</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6,891,929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7,098,310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shd w:val="clear" w:color="auto" w:fill="CCEEFF"/>
          </w:tcPr>
          <w:p>
            <w:pPr>
              <w:ind w:left="440"/>
              <w:spacing w:after="0" w:line="155" w:lineRule="exact"/>
              <w:rPr>
                <w:sz w:val="20"/>
                <w:szCs w:val="20"/>
                <w:color w:val="auto"/>
              </w:rPr>
            </w:pPr>
            <w:r>
              <w:rPr>
                <w:rFonts w:ascii="Arial" w:cs="Arial" w:eastAsia="Arial" w:hAnsi="Arial"/>
                <w:sz w:val="14"/>
                <w:szCs w:val="14"/>
                <w:color w:val="auto"/>
              </w:rPr>
              <w:t>Total deposits</w:t>
            </w:r>
          </w:p>
        </w:tc>
        <w:tc>
          <w:tcPr>
            <w:tcW w:w="18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10,397,228</w:t>
            </w:r>
          </w:p>
        </w:tc>
        <w:tc>
          <w:tcPr>
            <w:tcW w:w="1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color w:val="auto"/>
              </w:rPr>
              <w:t>10,768,577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Securities sold under agreements to repurchase</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228,383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270,139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Short-term borrowings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16,396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17,678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Long-term debt</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46,056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Senior notes, net of unamortized issuance costs</w:t>
            </w:r>
          </w:p>
        </w:tc>
        <w:tc>
          <w:tcPr>
            <w:tcW w:w="180" w:type="dxa"/>
            <w:vAlign w:val="bottom"/>
          </w:tcPr>
          <w:p>
            <w:pPr>
              <w:spacing w:after="0"/>
              <w:rPr>
                <w:sz w:val="14"/>
                <w:szCs w:val="14"/>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39,944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Subordinated notes, net of unamortized issuance costs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281,304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182,773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Junior subordinated debt owed to unconsolidated trusts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71,635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Lease liabilities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8,655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10,591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Other liabilities</w:t>
            </w:r>
          </w:p>
        </w:tc>
        <w:tc>
          <w:tcPr>
            <w:tcW w:w="1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154,789</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133,184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liabilities</w:t>
            </w:r>
          </w:p>
        </w:tc>
        <w:tc>
          <w:tcPr>
            <w:tcW w:w="180" w:type="dxa"/>
            <w:vAlign w:val="bottom"/>
            <w:tcBorders>
              <w:bottom w:val="single" w:sz="8" w:color="auto"/>
            </w:tcBorders>
            <w:shd w:val="clear" w:color="auto" w:fill="CCEEFF"/>
          </w:tcPr>
          <w:p>
            <w:pPr>
              <w:spacing w:after="0"/>
              <w:rPr>
                <w:sz w:val="13"/>
                <w:szCs w:val="13"/>
                <w:color w:val="auto"/>
              </w:rPr>
            </w:pPr>
          </w:p>
        </w:tc>
        <w:tc>
          <w:tcPr>
            <w:tcW w:w="8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11,194,476</w:t>
            </w:r>
          </w:p>
        </w:tc>
        <w:tc>
          <w:tcPr>
            <w:tcW w:w="1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11,540,577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Outstanding commitments and contingent liabilities (see Notes 9 and 15)</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b w:val="1"/>
                <w:bCs w:val="1"/>
                <w:color w:val="auto"/>
              </w:rPr>
              <w:t>Stockholders’ Equity</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Common stock, ($.001 par value; 100,000,000 shares authorized)</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Additional paid-in capital</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1,317,675</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1,316,984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Retained earnings</w:t>
            </w:r>
          </w:p>
        </w:tc>
        <w:tc>
          <w:tcPr>
            <w:tcW w:w="18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124,685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92,463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AOCI</w:t>
            </w:r>
          </w:p>
        </w:tc>
        <w:tc>
          <w:tcPr>
            <w:tcW w:w="18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(211,107)</w:t>
            </w: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(23,758)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580" w:type="dxa"/>
            <w:vAlign w:val="bottom"/>
          </w:tcPr>
          <w:p>
            <w:pPr>
              <w:ind w:left="440"/>
              <w:spacing w:after="0" w:line="155" w:lineRule="exact"/>
              <w:rPr>
                <w:sz w:val="20"/>
                <w:szCs w:val="20"/>
                <w:color w:val="auto"/>
              </w:rPr>
            </w:pPr>
            <w:r>
              <w:rPr>
                <w:rFonts w:ascii="Arial" w:cs="Arial" w:eastAsia="Arial" w:hAnsi="Arial"/>
                <w:sz w:val="14"/>
                <w:szCs w:val="14"/>
                <w:color w:val="auto"/>
              </w:rPr>
              <w:t>Total stockholders’ equity before treasury stock</w:t>
            </w:r>
          </w:p>
        </w:tc>
        <w:tc>
          <w:tcPr>
            <w:tcW w:w="1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1,231,311</w:t>
            </w:r>
          </w:p>
        </w:tc>
        <w:tc>
          <w:tcPr>
            <w:tcW w:w="1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1,385,747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Treasury stock at cost</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(69,354)</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(66,635)</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top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1,161,957</w:t>
            </w:r>
          </w:p>
        </w:tc>
        <w:tc>
          <w:tcPr>
            <w:tcW w:w="1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1,319,112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658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auto"/>
            </w:tcBorders>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12,356,433</w:t>
            </w:r>
          </w:p>
        </w:tc>
        <w:tc>
          <w:tcPr>
            <w:tcW w:w="1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12,859,689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65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20"/>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Common shares issued</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58,116,970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58,116,970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580" w:type="dxa"/>
            <w:vAlign w:val="bottom"/>
          </w:tcPr>
          <w:p>
            <w:pPr>
              <w:ind w:left="440"/>
              <w:spacing w:after="0"/>
              <w:rPr>
                <w:sz w:val="20"/>
                <w:szCs w:val="20"/>
                <w:color w:val="auto"/>
              </w:rPr>
            </w:pPr>
            <w:r>
              <w:rPr>
                <w:rFonts w:ascii="Arial" w:cs="Arial" w:eastAsia="Arial" w:hAnsi="Arial"/>
                <w:sz w:val="14"/>
                <w:szCs w:val="14"/>
                <w:color w:val="auto"/>
              </w:rPr>
              <w:t>Less treasury shares</w:t>
            </w:r>
          </w:p>
        </w:tc>
        <w:tc>
          <w:tcPr>
            <w:tcW w:w="1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(2,781,267)</w:t>
            </w: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(2,682,060)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580" w:type="dxa"/>
            <w:vAlign w:val="bottom"/>
            <w:tcBorders>
              <w:top w:val="single" w:sz="8" w:color="CCEEFF"/>
              <w:bottom w:val="single" w:sz="8" w:color="CCEEFF"/>
            </w:tcBorders>
            <w:shd w:val="clear" w:color="auto" w:fill="CCEEFF"/>
          </w:tcPr>
          <w:p>
            <w:pPr>
              <w:ind w:left="220"/>
              <w:spacing w:after="0" w:line="155" w:lineRule="exact"/>
              <w:rPr>
                <w:sz w:val="20"/>
                <w:szCs w:val="20"/>
                <w:color w:val="auto"/>
              </w:rPr>
            </w:pPr>
            <w:r>
              <w:rPr>
                <w:rFonts w:ascii="Arial" w:cs="Arial" w:eastAsia="Arial" w:hAnsi="Arial"/>
                <w:sz w:val="14"/>
                <w:szCs w:val="14"/>
                <w:color w:val="auto"/>
              </w:rPr>
              <w:t>Common shares outstanding</w:t>
            </w:r>
          </w:p>
        </w:tc>
        <w:tc>
          <w:tcPr>
            <w:tcW w:w="180" w:type="dxa"/>
            <w:vAlign w:val="bottom"/>
            <w:tcBorders>
              <w:top w:val="single" w:sz="8" w:color="auto"/>
              <w:bottom w:val="single" w:sz="8" w:color="auto"/>
            </w:tcBorders>
            <w:shd w:val="clear" w:color="auto" w:fill="CCEEFF"/>
          </w:tcPr>
          <w:p>
            <w:pPr>
              <w:spacing w:after="0"/>
              <w:rPr>
                <w:sz w:val="13"/>
                <w:szCs w:val="13"/>
                <w:color w:val="auto"/>
              </w:rPr>
            </w:pPr>
          </w:p>
        </w:tc>
        <w:tc>
          <w:tcPr>
            <w:tcW w:w="8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55,335,703</w:t>
            </w:r>
          </w:p>
        </w:tc>
        <w:tc>
          <w:tcPr>
            <w:tcW w:w="18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rPr>
                <w:sz w:val="13"/>
                <w:szCs w:val="13"/>
                <w:color w:val="auto"/>
              </w:rPr>
            </w:pPr>
          </w:p>
        </w:tc>
        <w:tc>
          <w:tcPr>
            <w:tcW w:w="9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55,434,910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2" w:lineRule="exact"/>
        <w:rPr>
          <w:sz w:val="20"/>
          <w:szCs w:val="20"/>
          <w:color w:val="auto"/>
        </w:rPr>
      </w:pPr>
    </w:p>
    <w:p>
      <w:pPr>
        <w:jc w:val="center"/>
        <w:ind w:left="1500" w:right="2060"/>
        <w:spacing w:after="0" w:line="239" w:lineRule="auto"/>
        <w:rPr>
          <w:sz w:val="20"/>
          <w:szCs w:val="20"/>
          <w:color w:val="auto"/>
        </w:rPr>
      </w:pPr>
      <w:r>
        <w:rPr>
          <w:rFonts w:ascii="Arial" w:cs="Arial" w:eastAsia="Arial" w:hAnsi="Arial"/>
          <w:sz w:val="18"/>
          <w:szCs w:val="18"/>
          <w:b w:val="1"/>
          <w:bCs w:val="1"/>
          <w:color w:val="auto"/>
        </w:rPr>
        <w:t xml:space="preserve">FIRST BUSEY CORPORATION CONSOLIDATED STATEMENTS OF INCOME (Unaudited) </w:t>
      </w:r>
      <w:r>
        <w:rPr>
          <w:rFonts w:ascii="Arial" w:cs="Arial" w:eastAsia="Arial" w:hAnsi="Arial"/>
          <w:sz w:val="18"/>
          <w:szCs w:val="18"/>
          <w:i w:val="1"/>
          <w:iCs w:val="1"/>
          <w:color w:val="auto"/>
        </w:rPr>
        <w:t>(dollars in thousands, except per share amounts)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2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Three Months Ended June 30,</w:t>
            </w:r>
          </w:p>
        </w:tc>
        <w:tc>
          <w:tcPr>
            <w:tcW w:w="140" w:type="dxa"/>
            <w:vAlign w:val="bottom"/>
          </w:tcPr>
          <w:p>
            <w:pPr>
              <w:spacing w:after="0"/>
              <w:rPr>
                <w:sz w:val="16"/>
                <w:szCs w:val="16"/>
                <w:color w:val="auto"/>
              </w:rPr>
            </w:pPr>
          </w:p>
        </w:tc>
        <w:tc>
          <w:tcPr>
            <w:tcW w:w="2000" w:type="dxa"/>
            <w:vAlign w:val="bottom"/>
            <w:gridSpan w:val="4"/>
          </w:tcPr>
          <w:p>
            <w:pPr>
              <w:jc w:val="right"/>
              <w:ind w:right="168"/>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56"/>
        </w:trPr>
        <w:tc>
          <w:tcPr>
            <w:tcW w:w="4460" w:type="dxa"/>
            <w:vAlign w:val="bottom"/>
            <w:tcBorders>
              <w:bottom w:val="single" w:sz="8" w:color="CCEEFF"/>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4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68"/>
              <w:spacing w:after="0" w:line="155" w:lineRule="exact"/>
              <w:rPr>
                <w:sz w:val="20"/>
                <w:szCs w:val="20"/>
                <w:color w:val="auto"/>
              </w:rPr>
            </w:pPr>
            <w:r>
              <w:rPr>
                <w:rFonts w:ascii="Arial" w:cs="Arial" w:eastAsia="Arial" w:hAnsi="Arial"/>
                <w:sz w:val="14"/>
                <w:szCs w:val="14"/>
                <w:b w:val="1"/>
                <w:bCs w:val="1"/>
                <w:color w:val="auto"/>
              </w:rPr>
              <w:t>2021</w:t>
            </w:r>
          </w:p>
        </w:tc>
      </w:tr>
      <w:tr>
        <w:trPr>
          <w:trHeight w:val="155"/>
        </w:trPr>
        <w:tc>
          <w:tcPr>
            <w:tcW w:w="4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Interest income</w:t>
            </w: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Interest and fees on loans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65,567</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61,404</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126,449</w:t>
            </w:r>
          </w:p>
        </w:tc>
        <w:tc>
          <w:tcPr>
            <w:tcW w:w="20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123,969</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and dividends on investment securities: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4460" w:type="dxa"/>
            <w:vAlign w:val="bottom"/>
          </w:tcPr>
          <w:p>
            <w:pPr>
              <w:ind w:left="440"/>
              <w:spacing w:after="0"/>
              <w:rPr>
                <w:sz w:val="20"/>
                <w:szCs w:val="20"/>
                <w:color w:val="auto"/>
              </w:rPr>
            </w:pPr>
            <w:r>
              <w:rPr>
                <w:rFonts w:ascii="Arial" w:cs="Arial" w:eastAsia="Arial" w:hAnsi="Arial"/>
                <w:sz w:val="14"/>
                <w:szCs w:val="14"/>
                <w:color w:val="auto"/>
              </w:rPr>
              <w:t>Taxable interest income</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15,840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9,081</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29,934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17,692</w:t>
            </w:r>
          </w:p>
        </w:tc>
      </w:tr>
      <w:tr>
        <w:trPr>
          <w:trHeight w:val="162"/>
        </w:trPr>
        <w:tc>
          <w:tcPr>
            <w:tcW w:w="4460" w:type="dxa"/>
            <w:vAlign w:val="bottom"/>
            <w:shd w:val="clear" w:color="auto" w:fill="CCEEFF"/>
          </w:tcPr>
          <w:p>
            <w:pPr>
              <w:ind w:left="440"/>
              <w:spacing w:after="0"/>
              <w:rPr>
                <w:sz w:val="20"/>
                <w:szCs w:val="20"/>
                <w:color w:val="auto"/>
              </w:rPr>
            </w:pPr>
            <w:r>
              <w:rPr>
                <w:rFonts w:ascii="Arial" w:cs="Arial" w:eastAsia="Arial" w:hAnsi="Arial"/>
                <w:sz w:val="14"/>
                <w:szCs w:val="14"/>
                <w:color w:val="auto"/>
              </w:rPr>
              <w:t>Non-taxable interest income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1,963</w:t>
            </w:r>
          </w:p>
        </w:tc>
      </w:tr>
      <w:tr>
        <w:trPr>
          <w:trHeight w:val="162"/>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interest income</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635</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395</w:t>
            </w:r>
          </w:p>
        </w:tc>
      </w:tr>
      <w:tr>
        <w:trPr>
          <w:trHeight w:val="156"/>
        </w:trPr>
        <w:tc>
          <w:tcPr>
            <w:tcW w:w="4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interest income</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82,596</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71,688</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158,687</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144,019</w:t>
            </w:r>
          </w:p>
        </w:tc>
      </w:tr>
      <w:tr>
        <w:trPr>
          <w:trHeight w:val="155"/>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Interest expense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Deposits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2,146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3,295</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4,270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7,027</w:t>
            </w:r>
          </w:p>
        </w:tc>
      </w:tr>
      <w:tr>
        <w:trPr>
          <w:trHeight w:val="143"/>
        </w:trPr>
        <w:tc>
          <w:tcPr>
            <w:tcW w:w="446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Federal funds purchased and securities sold under agreements to</w:t>
            </w:r>
          </w:p>
        </w:tc>
        <w:tc>
          <w:tcPr>
            <w:tcW w:w="8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r>
      <w:tr>
        <w:trPr>
          <w:trHeight w:val="181"/>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w:t>
            </w:r>
          </w:p>
        </w:tc>
        <w:tc>
          <w:tcPr>
            <w:tcW w:w="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Short-term borrowings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236</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83</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Long-term debt</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261</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Senior notes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237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637</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799</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Subordinated notes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2,480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5,505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4,956</w:t>
            </w:r>
          </w:p>
        </w:tc>
      </w:tr>
      <w:tr>
        <w:trPr>
          <w:trHeight w:val="162"/>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Junior subordinated debt owed to unconsolidated trusts</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1,362</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1,457</w:t>
            </w:r>
          </w:p>
        </w:tc>
      </w:tr>
      <w:tr>
        <w:trPr>
          <w:trHeight w:val="155"/>
        </w:trPr>
        <w:tc>
          <w:tcPr>
            <w:tcW w:w="4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interest expense</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6,668</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7,146</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12,703</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14,584</w:t>
            </w:r>
          </w:p>
        </w:tc>
      </w:tr>
      <w:tr>
        <w:trPr>
          <w:trHeight w:val="156"/>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interest income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75,928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64,542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145,984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129,435</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Provision for credit losses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4"/>
                <w:szCs w:val="14"/>
                <w:color w:val="auto"/>
              </w:rPr>
              <w:t>(1,700)</w:t>
            </w: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1,400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(8,496)</w:t>
            </w:r>
          </w:p>
        </w:tc>
      </w:tr>
      <w:tr>
        <w:trPr>
          <w:trHeight w:val="155"/>
        </w:trPr>
        <w:tc>
          <w:tcPr>
            <w:tcW w:w="446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Net interest income after provision for credit losses</w:t>
            </w:r>
          </w:p>
        </w:tc>
        <w:tc>
          <w:tcPr>
            <w:tcW w:w="80" w:type="dxa"/>
            <w:vAlign w:val="bottom"/>
            <w:tcBorders>
              <w:top w:val="single" w:sz="8" w:color="auto"/>
              <w:bottom w:val="single" w:sz="8" w:color="auto"/>
            </w:tcBorders>
            <w:shd w:val="clear" w:color="auto" w:fill="CCEEFF"/>
          </w:tcPr>
          <w:p>
            <w:pPr>
              <w:spacing w:after="0"/>
              <w:rPr>
                <w:sz w:val="13"/>
                <w:szCs w:val="13"/>
                <w:color w:val="auto"/>
              </w:rPr>
            </w:pPr>
          </w:p>
        </w:tc>
        <w:tc>
          <w:tcPr>
            <w:tcW w:w="8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74,275</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66,242</w:t>
            </w:r>
          </w:p>
        </w:tc>
        <w:tc>
          <w:tcPr>
            <w:tcW w:w="2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bottom w:val="single" w:sz="8" w:color="auto"/>
            </w:tcBorders>
            <w:shd w:val="clear" w:color="auto" w:fill="CCEEFF"/>
          </w:tcPr>
          <w:p>
            <w:pPr>
              <w:spacing w:after="0"/>
              <w:rPr>
                <w:sz w:val="13"/>
                <w:szCs w:val="13"/>
                <w:color w:val="auto"/>
              </w:rPr>
            </w:pPr>
          </w:p>
        </w:tc>
        <w:tc>
          <w:tcPr>
            <w:tcW w:w="8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144,584</w:t>
            </w:r>
          </w:p>
        </w:tc>
        <w:tc>
          <w:tcPr>
            <w:tcW w:w="2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137,931</w:t>
            </w:r>
          </w:p>
        </w:tc>
      </w:tr>
      <w:tr>
        <w:trPr>
          <w:trHeight w:val="156"/>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Noninterest income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Wealth management fees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14,135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13,002</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29,914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25,586</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Fees for customer services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9,588</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18,495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16,648</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Payment technology solutions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4,888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4,530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9,965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9,151</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Mortgage revenue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1,747</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1,259</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4,413</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Income on bank owned life insurance</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874</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1,758</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2,440</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Realized net gains (losses) on securities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119</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Unrealized net gains (losses) recognized on equity securities</w:t>
            </w:r>
          </w:p>
        </w:tc>
        <w:tc>
          <w:tcPr>
            <w:tcW w:w="80" w:type="dxa"/>
            <w:vAlign w:val="bottom"/>
          </w:tcPr>
          <w:p>
            <w:pPr>
              <w:spacing w:after="0"/>
              <w:rPr>
                <w:sz w:val="14"/>
                <w:szCs w:val="1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(1,734)</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804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4"/>
                <w:szCs w:val="14"/>
                <w:color w:val="auto"/>
              </w:rPr>
              <w:t>(2,454)</w:t>
            </w: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2,420</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Other income</w:t>
            </w:r>
          </w:p>
        </w:tc>
        <w:tc>
          <w:tcPr>
            <w:tcW w:w="8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2,964</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2,747</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7,728</w:t>
            </w:r>
          </w:p>
        </w:tc>
        <w:tc>
          <w:tcPr>
            <w:tcW w:w="2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3,679</w:t>
            </w:r>
          </w:p>
        </w:tc>
      </w:tr>
      <w:tr>
        <w:trPr>
          <w:trHeight w:val="156"/>
        </w:trPr>
        <w:tc>
          <w:tcPr>
            <w:tcW w:w="446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color w:val="auto"/>
              </w:rPr>
              <w:t>Total noninterest income</w:t>
            </w:r>
          </w:p>
        </w:tc>
        <w:tc>
          <w:tcPr>
            <w:tcW w:w="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31,019</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33,011</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66,791</w:t>
            </w:r>
          </w:p>
        </w:tc>
        <w:tc>
          <w:tcPr>
            <w:tcW w:w="2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64,456</w:t>
            </w:r>
          </w:p>
        </w:tc>
      </w:tr>
      <w:tr>
        <w:trPr>
          <w:trHeight w:val="155"/>
        </w:trPr>
        <w:tc>
          <w:tcPr>
            <w:tcW w:w="4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r>
      <w:tr>
        <w:trPr>
          <w:trHeight w:val="162"/>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Noninterest expense</w:t>
            </w: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Salaries, wages, and employee benefits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38,110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34,889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77,464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65,273</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Data processing</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5,375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10,353</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9,099</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Net occupancy expense of premises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4,720</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9,787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8,809</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Furniture and equipment expenses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2,045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2,066</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4,075</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4,092</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Professional fees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2,311</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4,256</w:t>
            </w:r>
          </w:p>
        </w:tc>
      </w:tr>
      <w:tr>
        <w:trPr>
          <w:trHeight w:val="162"/>
        </w:trPr>
        <w:tc>
          <w:tcPr>
            <w:tcW w:w="4460" w:type="dxa"/>
            <w:vAlign w:val="bottom"/>
          </w:tcPr>
          <w:p>
            <w:pPr>
              <w:ind w:left="220"/>
              <w:spacing w:after="0"/>
              <w:rPr>
                <w:sz w:val="20"/>
                <w:szCs w:val="20"/>
                <w:color w:val="auto"/>
              </w:rPr>
            </w:pPr>
            <w:r>
              <w:rPr>
                <w:rFonts w:ascii="Arial" w:cs="Arial" w:eastAsia="Arial" w:hAnsi="Arial"/>
                <w:sz w:val="14"/>
                <w:szCs w:val="14"/>
                <w:color w:val="auto"/>
              </w:rPr>
              <w:t>Amortization of intangible assets</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2,951</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2,650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5,962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5,051</w:t>
            </w:r>
          </w:p>
        </w:tc>
      </w:tr>
      <w:tr>
        <w:trPr>
          <w:trHeight w:val="162"/>
        </w:trPr>
        <w:tc>
          <w:tcPr>
            <w:tcW w:w="44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Interchange expense</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1,442</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3,032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2,926</w:t>
            </w:r>
          </w:p>
        </w:tc>
      </w:tr>
      <w:tr>
        <w:trPr>
          <w:trHeight w:val="162"/>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Other expense</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12,797</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10,202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25,681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17,618</w:t>
            </w:r>
          </w:p>
        </w:tc>
      </w:tr>
      <w:tr>
        <w:trPr>
          <w:trHeight w:val="155"/>
        </w:trPr>
        <w:tc>
          <w:tcPr>
            <w:tcW w:w="4460" w:type="dxa"/>
            <w:vAlign w:val="bottom"/>
            <w:shd w:val="clear" w:color="auto" w:fill="CCEEFF"/>
          </w:tcPr>
          <w:p>
            <w:pPr>
              <w:ind w:left="20"/>
              <w:spacing w:after="0" w:line="155" w:lineRule="exact"/>
              <w:rPr>
                <w:sz w:val="20"/>
                <w:szCs w:val="20"/>
                <w:color w:val="auto"/>
              </w:rPr>
            </w:pPr>
            <w:r>
              <w:rPr>
                <w:rFonts w:ascii="Arial" w:cs="Arial" w:eastAsia="Arial" w:hAnsi="Arial"/>
                <w:sz w:val="14"/>
                <w:szCs w:val="14"/>
                <w:color w:val="auto"/>
              </w:rPr>
              <w:t>Total noninterest expense</w:t>
            </w:r>
          </w:p>
        </w:tc>
        <w:tc>
          <w:tcPr>
            <w:tcW w:w="8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69,092</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62,625</w:t>
            </w:r>
          </w:p>
        </w:tc>
        <w:tc>
          <w:tcPr>
            <w:tcW w:w="2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139,468</w:t>
            </w:r>
          </w:p>
        </w:tc>
        <w:tc>
          <w:tcPr>
            <w:tcW w:w="20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117,124</w:t>
            </w:r>
          </w:p>
        </w:tc>
      </w:tr>
      <w:tr>
        <w:trPr>
          <w:trHeight w:val="155"/>
        </w:trPr>
        <w:tc>
          <w:tcPr>
            <w:tcW w:w="4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8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36,202</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36,628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71,907</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85,263</w:t>
            </w:r>
          </w:p>
        </w:tc>
      </w:tr>
      <w:tr>
        <w:trPr>
          <w:trHeight w:val="162"/>
        </w:trPr>
        <w:tc>
          <w:tcPr>
            <w:tcW w:w="44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Income taxes</w:t>
            </w: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6,378</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6,862</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13,644</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17,681</w:t>
            </w:r>
          </w:p>
        </w:tc>
      </w:tr>
      <w:tr>
        <w:trPr>
          <w:trHeight w:val="155"/>
        </w:trPr>
        <w:tc>
          <w:tcPr>
            <w:tcW w:w="44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income</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29,824</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29,766</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8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58,263</w:t>
            </w:r>
          </w:p>
        </w:tc>
        <w:tc>
          <w:tcPr>
            <w:tcW w:w="2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67,582</w:t>
            </w:r>
          </w:p>
        </w:tc>
      </w:tr>
      <w:tr>
        <w:trPr>
          <w:trHeight w:val="20"/>
        </w:trPr>
        <w:tc>
          <w:tcPr>
            <w:tcW w:w="4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43"/>
        </w:trPr>
        <w:tc>
          <w:tcPr>
            <w:tcW w:w="4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Basic earnings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1.05</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w:t>
            </w:r>
          </w:p>
        </w:tc>
      </w:tr>
      <w:tr>
        <w:trPr>
          <w:trHeight w:val="162"/>
        </w:trPr>
        <w:tc>
          <w:tcPr>
            <w:tcW w:w="4460" w:type="dxa"/>
            <w:vAlign w:val="bottom"/>
          </w:tcPr>
          <w:p>
            <w:pPr>
              <w:ind w:left="20"/>
              <w:spacing w:after="0"/>
              <w:rPr>
                <w:sz w:val="20"/>
                <w:szCs w:val="20"/>
                <w:color w:val="auto"/>
              </w:rPr>
            </w:pPr>
            <w:r>
              <w:rPr>
                <w:rFonts w:ascii="Arial" w:cs="Arial" w:eastAsia="Arial" w:hAnsi="Arial"/>
                <w:sz w:val="14"/>
                <w:szCs w:val="14"/>
                <w:b w:val="1"/>
                <w:bCs w:val="1"/>
                <w:color w:val="auto"/>
              </w:rPr>
              <w:t>Diluted earnings per common share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0.53</w:t>
            </w:r>
          </w:p>
        </w:tc>
        <w:tc>
          <w:tcPr>
            <w:tcW w:w="20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1.04</w:t>
            </w:r>
          </w:p>
        </w:tc>
        <w:tc>
          <w:tcPr>
            <w:tcW w:w="200" w:type="dxa"/>
            <w:vAlign w:val="bottom"/>
          </w:tcPr>
          <w:p>
            <w:pPr>
              <w:spacing w:after="0"/>
              <w:rPr>
                <w:sz w:val="14"/>
                <w:szCs w:val="14"/>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1.22</w:t>
            </w: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Dividends declared per share of common stock</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c>
          <w:tcPr>
            <w:tcW w:w="20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0.46</w:t>
            </w: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880" w:type="dxa"/>
            <w:vAlign w:val="bottom"/>
          </w:tcPr>
          <w:p>
            <w:pPr>
              <w:spacing w:after="0"/>
              <w:rPr>
                <w:sz w:val="16"/>
                <w:szCs w:val="16"/>
                <w:color w:val="auto"/>
              </w:rPr>
            </w:pPr>
          </w:p>
        </w:tc>
        <w:tc>
          <w:tcPr>
            <w:tcW w:w="2120" w:type="dxa"/>
            <w:vAlign w:val="bottom"/>
            <w:gridSpan w:val="6"/>
          </w:tcPr>
          <w:p>
            <w:pPr>
              <w:ind w:left="220"/>
              <w:spacing w:after="0"/>
              <w:rPr>
                <w:sz w:val="20"/>
                <w:szCs w:val="20"/>
                <w:color w:val="auto"/>
              </w:rPr>
            </w:pPr>
            <w:r>
              <w:rPr>
                <w:rFonts w:ascii="Arial" w:cs="Arial" w:eastAsia="Arial" w:hAnsi="Arial"/>
                <w:sz w:val="14"/>
                <w:szCs w:val="14"/>
                <w:b w:val="1"/>
                <w:bCs w:val="1"/>
                <w:color w:val="auto"/>
                <w:w w:val="94"/>
              </w:rPr>
              <w:t>Three Months Ended June 30,</w:t>
            </w:r>
          </w:p>
        </w:tc>
        <w:tc>
          <w:tcPr>
            <w:tcW w:w="140" w:type="dxa"/>
            <w:vAlign w:val="bottom"/>
          </w:tcPr>
          <w:p>
            <w:pPr>
              <w:spacing w:after="0"/>
              <w:rPr>
                <w:sz w:val="16"/>
                <w:szCs w:val="16"/>
                <w:color w:val="auto"/>
              </w:rPr>
            </w:pPr>
          </w:p>
        </w:tc>
        <w:tc>
          <w:tcPr>
            <w:tcW w:w="1760" w:type="dxa"/>
            <w:vAlign w:val="bottom"/>
            <w:gridSpan w:val="6"/>
          </w:tcPr>
          <w:p>
            <w:pPr>
              <w:ind w:left="20"/>
              <w:spacing w:after="0"/>
              <w:rPr>
                <w:sz w:val="20"/>
                <w:szCs w:val="20"/>
                <w:color w:val="auto"/>
              </w:rPr>
            </w:pPr>
            <w:r>
              <w:rPr>
                <w:rFonts w:ascii="Arial" w:cs="Arial" w:eastAsia="Arial" w:hAnsi="Arial"/>
                <w:sz w:val="14"/>
                <w:szCs w:val="14"/>
                <w:b w:val="1"/>
                <w:bCs w:val="1"/>
                <w:color w:val="auto"/>
                <w:w w:val="94"/>
              </w:rPr>
              <w:t>Six Months Ended June 30,</w:t>
            </w:r>
          </w:p>
        </w:tc>
      </w:tr>
      <w:tr>
        <w:trPr>
          <w:trHeight w:val="156"/>
        </w:trPr>
        <w:tc>
          <w:tcPr>
            <w:tcW w:w="4880" w:type="dxa"/>
            <w:vAlign w:val="bottom"/>
            <w:tcBorders>
              <w:bottom w:val="single" w:sz="8" w:color="CCEEFF"/>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2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52"/>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8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29,824</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29,766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58,263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67,582</w:t>
            </w:r>
          </w:p>
        </w:tc>
      </w:tr>
      <w:tr>
        <w:trPr>
          <w:trHeight w:val="203"/>
        </w:trPr>
        <w:tc>
          <w:tcPr>
            <w:tcW w:w="4880" w:type="dxa"/>
            <w:vAlign w:val="bottom"/>
          </w:tcPr>
          <w:p>
            <w:pPr>
              <w:spacing w:after="0" w:line="202" w:lineRule="exact"/>
              <w:rPr>
                <w:sz w:val="20"/>
                <w:szCs w:val="20"/>
                <w:color w:val="auto"/>
              </w:rPr>
            </w:pPr>
            <w:r>
              <w:rPr>
                <w:rFonts w:ascii="Arial" w:cs="Arial" w:eastAsia="Arial" w:hAnsi="Arial"/>
                <w:sz w:val="18"/>
                <w:szCs w:val="18"/>
                <w:color w:val="auto"/>
              </w:rPr>
              <w:t>OCI:</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4"/>
              </w:rPr>
              <w:t>Unrealized gains (losses) on debt securities available for sale:</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4880" w:type="dxa"/>
            <w:vAlign w:val="bottom"/>
          </w:tcPr>
          <w:p>
            <w:pPr>
              <w:ind w:left="420"/>
              <w:spacing w:after="0" w:line="189" w:lineRule="exact"/>
              <w:rPr>
                <w:sz w:val="20"/>
                <w:szCs w:val="20"/>
                <w:color w:val="auto"/>
              </w:rPr>
            </w:pPr>
            <w:r>
              <w:rPr>
                <w:rFonts w:ascii="Arial" w:cs="Arial" w:eastAsia="Arial" w:hAnsi="Arial"/>
                <w:sz w:val="18"/>
                <w:szCs w:val="18"/>
                <w:color w:val="auto"/>
              </w:rPr>
              <w:t>Net unrealized holding gains (losses) on debt securities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4880" w:type="dxa"/>
            <w:vAlign w:val="bottom"/>
          </w:tcPr>
          <w:p>
            <w:pPr>
              <w:ind w:left="420"/>
              <w:spacing w:after="0" w:line="202" w:lineRule="exact"/>
              <w:rPr>
                <w:sz w:val="20"/>
                <w:szCs w:val="20"/>
                <w:color w:val="auto"/>
              </w:rPr>
            </w:pPr>
            <w:r>
              <w:rPr>
                <w:rFonts w:ascii="Arial" w:cs="Arial" w:eastAsia="Arial" w:hAnsi="Arial"/>
                <w:sz w:val="18"/>
                <w:szCs w:val="18"/>
                <w:color w:val="auto"/>
              </w:rPr>
              <w:t>available for sale, net of taxes of $27,162, ($2,700),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7"/>
        </w:trPr>
        <w:tc>
          <w:tcPr>
            <w:tcW w:w="4880" w:type="dxa"/>
            <w:vAlign w:val="bottom"/>
          </w:tcPr>
          <w:p>
            <w:pPr>
              <w:ind w:left="420"/>
              <w:spacing w:after="0"/>
              <w:rPr>
                <w:sz w:val="20"/>
                <w:szCs w:val="20"/>
                <w:color w:val="auto"/>
              </w:rPr>
            </w:pPr>
            <w:r>
              <w:rPr>
                <w:rFonts w:ascii="Arial" w:cs="Arial" w:eastAsia="Arial" w:hAnsi="Arial"/>
                <w:sz w:val="18"/>
                <w:szCs w:val="18"/>
                <w:color w:val="auto"/>
              </w:rPr>
              <w:t>$56,888, and $9,293, respectively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(68,126)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(142,682)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(23,310)</w:t>
            </w:r>
          </w:p>
        </w:tc>
      </w:tr>
      <w:tr>
        <w:trPr>
          <w:trHeight w:val="188"/>
        </w:trPr>
        <w:tc>
          <w:tcPr>
            <w:tcW w:w="488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w w:val="96"/>
              </w:rPr>
              <w:t>Unrealized gains (losses) on debt securities transferred to</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3"/>
        </w:trPr>
        <w:tc>
          <w:tcPr>
            <w:tcW w:w="4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held to maturity from available for sale, net of taxes of $</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7"/>
        </w:trPr>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 $—, $13,812, and $—, respectively</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(34,644)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8"/>
        </w:trPr>
        <w:tc>
          <w:tcPr>
            <w:tcW w:w="4880" w:type="dxa"/>
            <w:vAlign w:val="bottom"/>
          </w:tcPr>
          <w:p>
            <w:pPr>
              <w:ind w:left="420"/>
              <w:spacing w:after="0" w:line="189" w:lineRule="exact"/>
              <w:rPr>
                <w:sz w:val="20"/>
                <w:szCs w:val="20"/>
                <w:color w:val="auto"/>
              </w:rPr>
            </w:pPr>
            <w:r>
              <w:rPr>
                <w:rFonts w:ascii="Arial" w:cs="Arial" w:eastAsia="Arial" w:hAnsi="Arial"/>
                <w:sz w:val="18"/>
                <w:szCs w:val="18"/>
                <w:color w:val="auto"/>
                <w:w w:val="97"/>
              </w:rPr>
              <w:t>Reclassification adjustment for realized (gains) losses on</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2"/>
        </w:trPr>
        <w:tc>
          <w:tcPr>
            <w:tcW w:w="4880" w:type="dxa"/>
            <w:vAlign w:val="bottom"/>
          </w:tcPr>
          <w:p>
            <w:pPr>
              <w:ind w:left="420"/>
              <w:spacing w:after="0" w:line="202" w:lineRule="exact"/>
              <w:rPr>
                <w:sz w:val="20"/>
                <w:szCs w:val="20"/>
                <w:color w:val="auto"/>
              </w:rPr>
            </w:pPr>
            <w:r>
              <w:rPr>
                <w:rFonts w:ascii="Arial" w:cs="Arial" w:eastAsia="Arial" w:hAnsi="Arial"/>
                <w:sz w:val="18"/>
                <w:szCs w:val="18"/>
                <w:color w:val="auto"/>
                <w:w w:val="99"/>
              </w:rPr>
              <w:t>debt securities available for sale included in net income,</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7"/>
        </w:trPr>
        <w:tc>
          <w:tcPr>
            <w:tcW w:w="4880" w:type="dxa"/>
            <w:vAlign w:val="bottom"/>
          </w:tcPr>
          <w:p>
            <w:pPr>
              <w:ind w:left="420"/>
              <w:spacing w:after="0"/>
              <w:rPr>
                <w:sz w:val="20"/>
                <w:szCs w:val="20"/>
                <w:color w:val="auto"/>
              </w:rPr>
            </w:pPr>
            <w:r>
              <w:rPr>
                <w:rFonts w:ascii="Arial" w:cs="Arial" w:eastAsia="Arial" w:hAnsi="Arial"/>
                <w:sz w:val="18"/>
                <w:szCs w:val="18"/>
                <w:color w:val="auto"/>
              </w:rPr>
              <w:t>net of taxes of ($1), $1, $29, and $8, respectively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88"/>
        </w:trPr>
        <w:tc>
          <w:tcPr>
            <w:tcW w:w="488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w w:val="96"/>
              </w:rPr>
              <w:t>Amortization of unrealized losses on securities transferred</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3"/>
        </w:trPr>
        <w:tc>
          <w:tcPr>
            <w:tcW w:w="4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to held to maturity, net of taxes of ($629), $—, ($881),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7"/>
        </w:trPr>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 respectively</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68"/>
        </w:trPr>
        <w:tc>
          <w:tcPr>
            <w:tcW w:w="4880" w:type="dxa"/>
            <w:vAlign w:val="bottom"/>
          </w:tcPr>
          <w:p>
            <w:pPr>
              <w:ind w:left="220"/>
              <w:spacing w:after="0" w:line="168" w:lineRule="exact"/>
              <w:rPr>
                <w:sz w:val="20"/>
                <w:szCs w:val="20"/>
                <w:color w:val="auto"/>
              </w:rPr>
            </w:pPr>
            <w:r>
              <w:rPr>
                <w:rFonts w:ascii="Arial" w:cs="Arial" w:eastAsia="Arial" w:hAnsi="Arial"/>
                <w:sz w:val="18"/>
                <w:szCs w:val="18"/>
                <w:color w:val="auto"/>
              </w:rPr>
              <w:t>Net change in unrealized gains (losses) on debt securities</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17"/>
        </w:trPr>
        <w:tc>
          <w:tcPr>
            <w:tcW w:w="4880" w:type="dxa"/>
            <w:vAlign w:val="bottom"/>
          </w:tcPr>
          <w:p>
            <w:pPr>
              <w:ind w:left="220"/>
              <w:spacing w:after="0"/>
              <w:rPr>
                <w:sz w:val="20"/>
                <w:szCs w:val="20"/>
                <w:color w:val="auto"/>
              </w:rPr>
            </w:pPr>
            <w:r>
              <w:rPr>
                <w:rFonts w:ascii="Arial" w:cs="Arial" w:eastAsia="Arial" w:hAnsi="Arial"/>
                <w:sz w:val="18"/>
                <w:szCs w:val="18"/>
                <w:color w:val="auto"/>
              </w:rPr>
              <w:t>available for sale</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(66,545)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0"/>
              </w:rPr>
              <w:t>(175,190)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(23,330)</w:t>
            </w:r>
          </w:p>
        </w:tc>
      </w:tr>
      <w:tr>
        <w:trPr>
          <w:trHeight w:val="203"/>
        </w:trPr>
        <w:tc>
          <w:tcPr>
            <w:tcW w:w="4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Unrealized gains (losses) on cash flow hedges: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188"/>
        </w:trPr>
        <w:tc>
          <w:tcPr>
            <w:tcW w:w="4880" w:type="dxa"/>
            <w:vAlign w:val="bottom"/>
          </w:tcPr>
          <w:p>
            <w:pPr>
              <w:ind w:left="420"/>
              <w:spacing w:after="0" w:line="189" w:lineRule="exact"/>
              <w:rPr>
                <w:sz w:val="20"/>
                <w:szCs w:val="20"/>
                <w:color w:val="auto"/>
              </w:rPr>
            </w:pPr>
            <w:r>
              <w:rPr>
                <w:rFonts w:ascii="Arial" w:cs="Arial" w:eastAsia="Arial" w:hAnsi="Arial"/>
                <w:sz w:val="18"/>
                <w:szCs w:val="18"/>
                <w:color w:val="auto"/>
                <w:w w:val="94"/>
              </w:rPr>
              <w:t>Net unrealized holding gains (losses) on cash flow hedges,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03"/>
        </w:trPr>
        <w:tc>
          <w:tcPr>
            <w:tcW w:w="4880" w:type="dxa"/>
            <w:vAlign w:val="bottom"/>
          </w:tcPr>
          <w:p>
            <w:pPr>
              <w:ind w:left="420"/>
              <w:spacing w:after="0" w:line="202" w:lineRule="exact"/>
              <w:rPr>
                <w:sz w:val="20"/>
                <w:szCs w:val="20"/>
                <w:color w:val="auto"/>
              </w:rPr>
            </w:pPr>
            <w:r>
              <w:rPr>
                <w:rFonts w:ascii="Arial" w:cs="Arial" w:eastAsia="Arial" w:hAnsi="Arial"/>
                <w:sz w:val="18"/>
                <w:szCs w:val="18"/>
                <w:color w:val="auto"/>
              </w:rPr>
              <w:t>net of taxes of $2,612, $28, $4,543, and ($136),</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17"/>
        </w:trPr>
        <w:tc>
          <w:tcPr>
            <w:tcW w:w="4880" w:type="dxa"/>
            <w:vAlign w:val="bottom"/>
          </w:tcPr>
          <w:p>
            <w:pPr>
              <w:ind w:left="420"/>
              <w:spacing w:after="0"/>
              <w:rPr>
                <w:sz w:val="20"/>
                <w:szCs w:val="20"/>
                <w:color w:val="auto"/>
              </w:rPr>
            </w:pPr>
            <w:r>
              <w:rPr>
                <w:rFonts w:ascii="Arial" w:cs="Arial" w:eastAsia="Arial" w:hAnsi="Arial"/>
                <w:sz w:val="18"/>
                <w:szCs w:val="18"/>
                <w:color w:val="auto"/>
              </w:rPr>
              <w:t>respectively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(6,550)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(11,395)</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341</w:t>
            </w:r>
          </w:p>
        </w:tc>
      </w:tr>
      <w:tr>
        <w:trPr>
          <w:trHeight w:val="188"/>
        </w:trPr>
        <w:tc>
          <w:tcPr>
            <w:tcW w:w="488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w w:val="97"/>
              </w:rPr>
              <w:t>Reclassification adjustment for realized (gains) losses on</w:t>
            </w:r>
          </w:p>
        </w:tc>
        <w:tc>
          <w:tcPr>
            <w:tcW w:w="2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r>
      <w:tr>
        <w:trPr>
          <w:trHeight w:val="203"/>
        </w:trPr>
        <w:tc>
          <w:tcPr>
            <w:tcW w:w="488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w w:val="99"/>
              </w:rPr>
              <w:t>cash flow hedges included in net income, net of taxes of</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7"/>
        </w:trPr>
        <w:tc>
          <w:tcPr>
            <w:tcW w:w="4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$160, ($82), $303, and ($161), respectively</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405</w:t>
            </w:r>
          </w:p>
        </w:tc>
      </w:tr>
      <w:tr>
        <w:trPr>
          <w:trHeight w:val="196"/>
        </w:trPr>
        <w:tc>
          <w:tcPr>
            <w:tcW w:w="4880" w:type="dxa"/>
            <w:vAlign w:val="bottom"/>
          </w:tcPr>
          <w:p>
            <w:pPr>
              <w:ind w:left="220"/>
              <w:spacing w:after="0" w:line="196" w:lineRule="exact"/>
              <w:rPr>
                <w:sz w:val="20"/>
                <w:szCs w:val="20"/>
                <w:color w:val="auto"/>
              </w:rPr>
            </w:pPr>
            <w:r>
              <w:rPr>
                <w:rFonts w:ascii="Arial" w:cs="Arial" w:eastAsia="Arial" w:hAnsi="Arial"/>
                <w:sz w:val="18"/>
                <w:szCs w:val="18"/>
                <w:color w:val="auto"/>
                <w:w w:val="95"/>
              </w:rPr>
              <w:t>Net change in unrealized gains (losses) on cash flow hedges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(6,957)</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196" w:lineRule="exact"/>
              <w:rPr>
                <w:sz w:val="20"/>
                <w:szCs w:val="20"/>
                <w:color w:val="auto"/>
              </w:rPr>
            </w:pPr>
            <w:r>
              <w:rPr>
                <w:rFonts w:ascii="Arial" w:cs="Arial" w:eastAsia="Arial" w:hAnsi="Arial"/>
                <w:sz w:val="18"/>
                <w:szCs w:val="18"/>
                <w:color w:val="auto"/>
              </w:rPr>
              <w:t>(12,159)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746</w:t>
            </w:r>
          </w:p>
        </w:tc>
      </w:tr>
      <w:tr>
        <w:trPr>
          <w:trHeight w:val="203"/>
        </w:trPr>
        <w:tc>
          <w:tcPr>
            <w:tcW w:w="48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change in AOCI</w:t>
            </w:r>
          </w:p>
        </w:tc>
        <w:tc>
          <w:tcPr>
            <w:tcW w:w="2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(73,502)</w:t>
            </w:r>
          </w:p>
        </w:tc>
        <w:tc>
          <w:tcPr>
            <w:tcW w:w="1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6,904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(187,349)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(22,584)</w:t>
            </w:r>
          </w:p>
        </w:tc>
      </w:tr>
      <w:tr>
        <w:trPr>
          <w:trHeight w:val="196"/>
        </w:trPr>
        <w:tc>
          <w:tcPr>
            <w:tcW w:w="4880" w:type="dxa"/>
            <w:vAlign w:val="bottom"/>
          </w:tcPr>
          <w:p>
            <w:pPr>
              <w:spacing w:after="0" w:line="196" w:lineRule="exact"/>
              <w:rPr>
                <w:sz w:val="20"/>
                <w:szCs w:val="20"/>
                <w:color w:val="auto"/>
              </w:rPr>
            </w:pPr>
            <w:r>
              <w:rPr>
                <w:rFonts w:ascii="Arial" w:cs="Arial" w:eastAsia="Arial" w:hAnsi="Arial"/>
                <w:sz w:val="18"/>
                <w:szCs w:val="18"/>
                <w:color w:val="auto"/>
              </w:rPr>
              <w:t>Total comprehensive income (loss)</w:t>
            </w:r>
          </w:p>
        </w:tc>
        <w:tc>
          <w:tcPr>
            <w:tcW w:w="220" w:type="dxa"/>
            <w:vAlign w:val="bottom"/>
          </w:tcPr>
          <w:p>
            <w:pPr>
              <w:spacing w:after="0"/>
              <w:rPr>
                <w:sz w:val="17"/>
                <w:szCs w:val="17"/>
                <w:color w:val="auto"/>
              </w:rPr>
            </w:pPr>
          </w:p>
        </w:tc>
        <w:tc>
          <w:tcPr>
            <w:tcW w:w="16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(43,678)</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36,670</w:t>
            </w: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(129,086)</w:t>
            </w:r>
          </w:p>
        </w:tc>
        <w:tc>
          <w:tcPr>
            <w:tcW w:w="1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44,998</w:t>
            </w:r>
          </w:p>
        </w:tc>
      </w:tr>
      <w:tr>
        <w:trPr>
          <w:trHeight w:val="20"/>
        </w:trPr>
        <w:tc>
          <w:tcPr>
            <w:tcW w:w="4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20" w:type="dxa"/>
            <w:vAlign w:val="bottom"/>
            <w:tcBorders>
              <w:bottom w:val="single" w:sz="8" w:color="auto"/>
            </w:tcBorders>
            <w:gridSpan w:val="7"/>
          </w:tcPr>
          <w:p>
            <w:pPr>
              <w:jc w:val="center"/>
              <w:ind w:right="40"/>
              <w:spacing w:after="0"/>
              <w:rPr>
                <w:sz w:val="20"/>
                <w:szCs w:val="20"/>
                <w:color w:val="auto"/>
              </w:rPr>
            </w:pPr>
            <w:r>
              <w:rPr>
                <w:rFonts w:ascii="Arial" w:cs="Arial" w:eastAsia="Arial" w:hAnsi="Arial"/>
                <w:sz w:val="14"/>
                <w:szCs w:val="14"/>
                <w:b w:val="1"/>
                <w:bCs w:val="1"/>
                <w:color w:val="auto"/>
                <w:w w:val="93"/>
              </w:rPr>
              <w:t>Three Months Ended June 30, 2022</w:t>
            </w: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133"/>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Stockholders'</w:t>
            </w:r>
          </w:p>
        </w:tc>
      </w:tr>
      <w:tr>
        <w:trPr>
          <w:trHeight w:val="185"/>
        </w:trPr>
        <w:tc>
          <w:tcPr>
            <w:tcW w:w="284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r>
      <w:tr>
        <w:trPr>
          <w:trHeight w:val="155"/>
        </w:trPr>
        <w:tc>
          <w:tcPr>
            <w:tcW w:w="28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March 31, 2022</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55,278,785</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$ 1,318,701</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$ 107,890</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(137,605)</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(71,019)</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1,218,025</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29,824</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29,824</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OCI, net of tax</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(73,502)</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(73,502)</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Repurchase of stock</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(70,000)</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(1,604)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(1,604)</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treasury stock for ESPP</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13,900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(88)</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270</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restricted/deferred stock unit vesting and</w:t>
            </w: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related tax</w:t>
            </w:r>
          </w:p>
        </w:tc>
        <w:tc>
          <w:tcPr>
            <w:tcW w:w="740" w:type="dxa"/>
            <w:vAlign w:val="bottom"/>
          </w:tcPr>
          <w:p>
            <w:pPr>
              <w:jc w:val="right"/>
              <w:spacing w:after="0"/>
              <w:rPr>
                <w:sz w:val="20"/>
                <w:szCs w:val="20"/>
                <w:color w:val="auto"/>
              </w:rPr>
            </w:pPr>
            <w:r>
              <w:rPr>
                <w:rFonts w:ascii="Arial" w:cs="Arial" w:eastAsia="Arial" w:hAnsi="Arial"/>
                <w:sz w:val="14"/>
                <w:szCs w:val="14"/>
                <w:color w:val="auto"/>
              </w:rPr>
              <w:t>113,018</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(3,590)</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2,911</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(679)</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8"/>
              </w:rPr>
              <w:t>Cash dividends on common stock at $0.23</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(12,713)</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(12,713)</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Stock dividend equivalents on RSUs at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$0.23 per share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316</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(316)</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2,336</w:t>
            </w:r>
          </w:p>
        </w:tc>
      </w:tr>
      <w:tr>
        <w:trPr>
          <w:trHeight w:val="156"/>
        </w:trPr>
        <w:tc>
          <w:tcPr>
            <w:tcW w:w="2840" w:type="dxa"/>
            <w:vAlign w:val="bottom"/>
          </w:tcPr>
          <w:p>
            <w:pPr>
              <w:ind w:left="20"/>
              <w:spacing w:after="0" w:line="155" w:lineRule="exact"/>
              <w:rPr>
                <w:sz w:val="20"/>
                <w:szCs w:val="20"/>
                <w:color w:val="auto"/>
              </w:rPr>
            </w:pPr>
            <w:r>
              <w:rPr>
                <w:rFonts w:ascii="Arial" w:cs="Arial" w:eastAsia="Arial" w:hAnsi="Arial"/>
                <w:sz w:val="14"/>
                <w:szCs w:val="14"/>
                <w:color w:val="auto"/>
              </w:rPr>
              <w:t>Balance, June 30, 2022</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55,335,703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$ 1,317,675</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$ 124,685</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(211,107)</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 (69,354)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1,161,957</w:t>
            </w: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358"/>
        </w:trPr>
        <w:tc>
          <w:tcPr>
            <w:tcW w:w="284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20"/>
              <w:spacing w:after="0"/>
              <w:rPr>
                <w:sz w:val="20"/>
                <w:szCs w:val="20"/>
                <w:color w:val="auto"/>
              </w:rPr>
            </w:pPr>
            <w:r>
              <w:rPr>
                <w:rFonts w:ascii="Arial" w:cs="Arial" w:eastAsia="Arial" w:hAnsi="Arial"/>
                <w:sz w:val="14"/>
                <w:szCs w:val="14"/>
                <w:b w:val="1"/>
                <w:bCs w:val="1"/>
                <w:color w:val="auto"/>
                <w:w w:val="92"/>
              </w:rPr>
              <w:t>Six Months Ended June 30, 2022</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r>
      <w:tr>
        <w:trPr>
          <w:trHeight w:val="133"/>
        </w:trPr>
        <w:tc>
          <w:tcPr>
            <w:tcW w:w="28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Other</w:t>
            </w: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b w:val="1"/>
                <w:bCs w:val="1"/>
                <w:color w:val="auto"/>
              </w:rPr>
              <w:t>Common</w:t>
            </w: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Paid-in</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Retained</w:t>
            </w:r>
          </w:p>
        </w:tc>
        <w:tc>
          <w:tcPr>
            <w:tcW w:w="11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Treasury</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w w:val="89"/>
              </w:rPr>
              <w:t>Stockholders'</w:t>
            </w:r>
          </w:p>
        </w:tc>
      </w:tr>
      <w:tr>
        <w:trPr>
          <w:trHeight w:val="185"/>
        </w:trPr>
        <w:tc>
          <w:tcPr>
            <w:tcW w:w="2840" w:type="dxa"/>
            <w:vAlign w:val="bottom"/>
          </w:tcPr>
          <w:p>
            <w:pPr>
              <w:spacing w:after="0"/>
              <w:rPr>
                <w:sz w:val="16"/>
                <w:szCs w:val="16"/>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90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8"/>
              </w:rPr>
              <w:t>Capital</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Earnings</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00" w:type="dxa"/>
            <w:vAlign w:val="bottom"/>
          </w:tcPr>
          <w:p>
            <w:pPr>
              <w:jc w:val="center"/>
              <w:ind w:right="68"/>
              <w:spacing w:after="0"/>
              <w:rPr>
                <w:sz w:val="20"/>
                <w:szCs w:val="20"/>
                <w:color w:val="auto"/>
              </w:rPr>
            </w:pPr>
            <w:r>
              <w:rPr>
                <w:rFonts w:ascii="Arial" w:cs="Arial" w:eastAsia="Arial" w:hAnsi="Arial"/>
                <w:sz w:val="14"/>
                <w:szCs w:val="14"/>
                <w:b w:val="1"/>
                <w:bCs w:val="1"/>
                <w:color w:val="auto"/>
                <w:w w:val="93"/>
              </w:rPr>
              <w:t>Equity</w:t>
            </w:r>
          </w:p>
        </w:tc>
      </w:tr>
      <w:tr>
        <w:trPr>
          <w:trHeight w:val="156"/>
        </w:trPr>
        <w:tc>
          <w:tcPr>
            <w:tcW w:w="284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December 31, 2021</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6"/>
              </w:rPr>
              <w:t>55,434,910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1"/>
              </w:rPr>
              <w:t>$ 1,316,984</w:t>
            </w:r>
          </w:p>
        </w:tc>
        <w:tc>
          <w:tcPr>
            <w:tcW w:w="140" w:type="dxa"/>
            <w:vAlign w:val="bottom"/>
            <w:tcBorders>
              <w:top w:val="single" w:sz="8" w:color="CCEEFF"/>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9"/>
              </w:rPr>
              <w:t>$  92,463</w:t>
            </w:r>
          </w:p>
        </w:tc>
        <w:tc>
          <w:tcPr>
            <w:tcW w:w="1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(23,758)</w:t>
            </w:r>
          </w:p>
        </w:tc>
        <w:tc>
          <w:tcPr>
            <w:tcW w:w="140" w:type="dxa"/>
            <w:vAlign w:val="bottom"/>
            <w:tcBorders>
              <w:top w:val="single" w:sz="8" w:color="CCEEFF"/>
            </w:tcBorders>
            <w:shd w:val="clear" w:color="auto" w:fill="CCEEFF"/>
          </w:tcPr>
          <w:p>
            <w:pPr>
              <w:spacing w:after="0"/>
              <w:rPr>
                <w:sz w:val="13"/>
                <w:szCs w:val="13"/>
                <w:color w:val="auto"/>
              </w:rPr>
            </w:pPr>
          </w:p>
        </w:tc>
        <w:tc>
          <w:tcPr>
            <w:tcW w:w="6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0"/>
              </w:rPr>
              <w:t>$ (66,635)</w:t>
            </w:r>
          </w:p>
        </w:tc>
        <w:tc>
          <w:tcPr>
            <w:tcW w:w="16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1,319,112</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58,263</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58,263</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OCI, net of tax</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(187,349)</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(187,349)</w:t>
            </w:r>
          </w:p>
        </w:tc>
      </w:tr>
      <w:tr>
        <w:trPr>
          <w:trHeight w:val="162"/>
        </w:trPr>
        <w:tc>
          <w:tcPr>
            <w:tcW w:w="2840" w:type="dxa"/>
            <w:vAlign w:val="bottom"/>
          </w:tcPr>
          <w:p>
            <w:pPr>
              <w:ind w:left="220"/>
              <w:spacing w:after="0"/>
              <w:rPr>
                <w:sz w:val="20"/>
                <w:szCs w:val="20"/>
                <w:color w:val="auto"/>
              </w:rPr>
            </w:pPr>
            <w:r>
              <w:rPr>
                <w:rFonts w:ascii="Arial" w:cs="Arial" w:eastAsia="Arial" w:hAnsi="Arial"/>
                <w:sz w:val="14"/>
                <w:szCs w:val="14"/>
                <w:color w:val="auto"/>
              </w:rPr>
              <w:t>Repurchase of stock</w:t>
            </w:r>
          </w:p>
        </w:tc>
        <w:tc>
          <w:tcPr>
            <w:tcW w:w="900" w:type="dxa"/>
            <w:vAlign w:val="bottom"/>
            <w:gridSpan w:val="2"/>
          </w:tcPr>
          <w:p>
            <w:pPr>
              <w:jc w:val="right"/>
              <w:ind w:right="160"/>
              <w:spacing w:after="0"/>
              <w:rPr>
                <w:sz w:val="20"/>
                <w:szCs w:val="20"/>
                <w:color w:val="auto"/>
              </w:rPr>
            </w:pPr>
            <w:r>
              <w:rPr>
                <w:rFonts w:ascii="Arial" w:cs="Arial" w:eastAsia="Arial" w:hAnsi="Arial"/>
                <w:sz w:val="14"/>
                <w:szCs w:val="14"/>
                <w:color w:val="auto"/>
              </w:rPr>
              <w:t>(258,614)</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(6,824)</w:t>
            </w: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(6,824)</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Issuance of treasury stock for ESPP</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39,040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(194)</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1,005</w:t>
            </w: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811</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Net issuance of treasury stock for</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RSU/DSU vesting and related tax</w:t>
            </w:r>
          </w:p>
        </w:tc>
        <w:tc>
          <w:tcPr>
            <w:tcW w:w="740" w:type="dxa"/>
            <w:vAlign w:val="bottom"/>
          </w:tcPr>
          <w:p>
            <w:pPr>
              <w:jc w:val="right"/>
              <w:spacing w:after="0"/>
              <w:rPr>
                <w:sz w:val="20"/>
                <w:szCs w:val="20"/>
                <w:color w:val="auto"/>
              </w:rPr>
            </w:pPr>
            <w:r>
              <w:rPr>
                <w:rFonts w:ascii="Arial" w:cs="Arial" w:eastAsia="Arial" w:hAnsi="Arial"/>
                <w:sz w:val="14"/>
                <w:szCs w:val="14"/>
                <w:color w:val="auto"/>
              </w:rPr>
              <w:t>120,367</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(3,949)</w:t>
            </w:r>
          </w:p>
        </w:tc>
        <w:tc>
          <w:tcPr>
            <w:tcW w:w="8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3,100</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(849)</w:t>
            </w:r>
          </w:p>
        </w:tc>
      </w:tr>
      <w:tr>
        <w:trPr>
          <w:trHeight w:val="143"/>
        </w:trPr>
        <w:tc>
          <w:tcPr>
            <w:tcW w:w="284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w w:val="98"/>
              </w:rPr>
              <w:t>Cash dividends on common stock at $0.46</w:t>
            </w: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r>
      <w:tr>
        <w:trPr>
          <w:trHeight w:val="181"/>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per share</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(25,452)</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(25,452)</w:t>
            </w:r>
          </w:p>
        </w:tc>
      </w:tr>
      <w:tr>
        <w:trPr>
          <w:trHeight w:val="143"/>
        </w:trPr>
        <w:tc>
          <w:tcPr>
            <w:tcW w:w="2840" w:type="dxa"/>
            <w:vAlign w:val="bottom"/>
          </w:tcPr>
          <w:p>
            <w:pPr>
              <w:ind w:left="220"/>
              <w:spacing w:after="0" w:line="143" w:lineRule="exact"/>
              <w:rPr>
                <w:sz w:val="20"/>
                <w:szCs w:val="20"/>
                <w:color w:val="auto"/>
              </w:rPr>
            </w:pPr>
            <w:r>
              <w:rPr>
                <w:rFonts w:ascii="Arial" w:cs="Arial" w:eastAsia="Arial" w:hAnsi="Arial"/>
                <w:sz w:val="14"/>
                <w:szCs w:val="14"/>
                <w:color w:val="auto"/>
              </w:rPr>
              <w:t>Stock dividend equivalents on RSUs at</w:t>
            </w: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81"/>
        </w:trPr>
        <w:tc>
          <w:tcPr>
            <w:tcW w:w="2840" w:type="dxa"/>
            <w:vAlign w:val="bottom"/>
          </w:tcPr>
          <w:p>
            <w:pPr>
              <w:ind w:left="220"/>
              <w:spacing w:after="0"/>
              <w:rPr>
                <w:sz w:val="20"/>
                <w:szCs w:val="20"/>
                <w:color w:val="auto"/>
              </w:rPr>
            </w:pPr>
            <w:r>
              <w:rPr>
                <w:rFonts w:ascii="Arial" w:cs="Arial" w:eastAsia="Arial" w:hAnsi="Arial"/>
                <w:sz w:val="14"/>
                <w:szCs w:val="14"/>
                <w:color w:val="auto"/>
              </w:rPr>
              <w:t>$0.46 per share</w:t>
            </w: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589</w:t>
            </w:r>
          </w:p>
        </w:tc>
        <w:tc>
          <w:tcPr>
            <w:tcW w:w="140" w:type="dxa"/>
            <w:vAlign w:val="bottom"/>
          </w:tcPr>
          <w:p>
            <w:pPr>
              <w:spacing w:after="0"/>
              <w:rPr>
                <w:sz w:val="15"/>
                <w:szCs w:val="15"/>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4"/>
                <w:szCs w:val="14"/>
                <w:color w:val="auto"/>
              </w:rPr>
              <w:t>(589)</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84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Stock-based compensation</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4,245</w:t>
            </w:r>
          </w:p>
        </w:tc>
      </w:tr>
      <w:tr>
        <w:trPr>
          <w:trHeight w:val="156"/>
        </w:trPr>
        <w:tc>
          <w:tcPr>
            <w:tcW w:w="2840" w:type="dxa"/>
            <w:vAlign w:val="bottom"/>
          </w:tcPr>
          <w:p>
            <w:pPr>
              <w:ind w:left="20"/>
              <w:spacing w:after="0" w:line="155" w:lineRule="exact"/>
              <w:rPr>
                <w:sz w:val="20"/>
                <w:szCs w:val="20"/>
                <w:color w:val="auto"/>
              </w:rPr>
            </w:pPr>
            <w:r>
              <w:rPr>
                <w:rFonts w:ascii="Arial" w:cs="Arial" w:eastAsia="Arial" w:hAnsi="Arial"/>
                <w:sz w:val="14"/>
                <w:szCs w:val="14"/>
                <w:color w:val="auto"/>
              </w:rPr>
              <w:t>Balance, June 30, 2022</w:t>
            </w:r>
          </w:p>
        </w:tc>
        <w:tc>
          <w:tcPr>
            <w:tcW w:w="7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6"/>
              </w:rPr>
              <w:t>55,335,703</w:t>
            </w:r>
          </w:p>
        </w:tc>
        <w:tc>
          <w:tcPr>
            <w:tcW w:w="16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58</w:t>
            </w:r>
          </w:p>
        </w:tc>
        <w:tc>
          <w:tcPr>
            <w:tcW w:w="160" w:type="dxa"/>
            <w:vAlign w:val="bottom"/>
          </w:tcPr>
          <w:p>
            <w:pPr>
              <w:spacing w:after="0"/>
              <w:rPr>
                <w:sz w:val="13"/>
                <w:szCs w:val="13"/>
                <w:color w:val="auto"/>
              </w:rPr>
            </w:pP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1"/>
              </w:rPr>
              <w:t>$ 1,317,675</w:t>
            </w:r>
          </w:p>
        </w:tc>
        <w:tc>
          <w:tcPr>
            <w:tcW w:w="140" w:type="dxa"/>
            <w:vAlign w:val="bottom"/>
          </w:tcPr>
          <w:p>
            <w:pPr>
              <w:spacing w:after="0"/>
              <w:rPr>
                <w:sz w:val="13"/>
                <w:szCs w:val="13"/>
                <w:color w:val="auto"/>
              </w:rPr>
            </w:pPr>
          </w:p>
        </w:tc>
        <w:tc>
          <w:tcPr>
            <w:tcW w:w="64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$ 124,685</w:t>
            </w:r>
          </w:p>
        </w:tc>
        <w:tc>
          <w:tcPr>
            <w:tcW w:w="160" w:type="dxa"/>
            <w:vAlign w:val="bottom"/>
          </w:tcPr>
          <w:p>
            <w:pPr>
              <w:spacing w:after="0"/>
              <w:rPr>
                <w:sz w:val="13"/>
                <w:szCs w:val="13"/>
                <w:color w:val="auto"/>
              </w:rPr>
            </w:pPr>
          </w:p>
        </w:tc>
        <w:tc>
          <w:tcPr>
            <w:tcW w:w="200" w:type="dxa"/>
            <w:vAlign w:val="bottom"/>
            <w:tcBorders>
              <w:top w:val="single" w:sz="8" w:color="auto"/>
              <w:bottom w:val="single" w:sz="8" w:color="auto"/>
            </w:tcBorders>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(211,107)</w:t>
            </w:r>
          </w:p>
        </w:tc>
        <w:tc>
          <w:tcPr>
            <w:tcW w:w="140" w:type="dxa"/>
            <w:vAlign w:val="bottom"/>
          </w:tcPr>
          <w:p>
            <w:pPr>
              <w:spacing w:after="0"/>
              <w:rPr>
                <w:sz w:val="13"/>
                <w:szCs w:val="13"/>
                <w:color w:val="auto"/>
              </w:rPr>
            </w:pPr>
          </w:p>
        </w:tc>
        <w:tc>
          <w:tcPr>
            <w:tcW w:w="6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0"/>
              </w:rPr>
              <w:t>$ (69,354)</w:t>
            </w: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1,161,957</w:t>
            </w:r>
          </w:p>
        </w:tc>
      </w:tr>
      <w:tr>
        <w:trPr>
          <w:trHeight w:val="20"/>
        </w:trPr>
        <w:tc>
          <w:tcPr>
            <w:tcW w:w="28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line="234" w:lineRule="auto"/>
        <w:rPr>
          <w:sz w:val="20"/>
          <w:szCs w:val="20"/>
          <w:color w:val="auto"/>
        </w:rPr>
      </w:pPr>
      <w:r>
        <w:rPr>
          <w:rFonts w:ascii="Arial" w:cs="Arial" w:eastAsia="Arial" w:hAnsi="Arial"/>
          <w:sz w:val="18"/>
          <w:szCs w:val="18"/>
          <w:b w:val="1"/>
          <w:bCs w:val="1"/>
          <w:color w:val="auto"/>
        </w:rPr>
        <w:t>CONSOLIDATED STATEMENTS OF STOCKHOLDERS’ EQUITY (Unaudited)</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3"/>
              </w:rPr>
              <w:t>Three Months Ended June 30, 2021</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33"/>
        </w:trPr>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58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March 31, 2021</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54,345,379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$ 1,255,044</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45,897</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3,821</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 (38,996)</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1,265,822</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29,766</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29,766</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OCI, net of tax</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c>
          <w:tcPr>
            <w:tcW w:w="14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6,904</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Stock issued in acquisition, net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2,206,237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58,982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58,984</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(221,000)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(5,738)</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(5,738)</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on common stock at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$0.23 per share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(12,484)</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(12,484)</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on RSUs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at $0.23 per share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(253)</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2,437</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2,437</w:t>
            </w:r>
          </w:p>
        </w:tc>
      </w:tr>
      <w:tr>
        <w:trPr>
          <w:trHeight w:val="156"/>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56,330,616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$ 1,316,716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10,725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 (44,734)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1,345,691</w:t>
            </w:r>
          </w:p>
        </w:tc>
      </w:tr>
      <w:tr>
        <w:trPr>
          <w:trHeight w:val="20"/>
        </w:trPr>
        <w:tc>
          <w:tcPr>
            <w:tcW w:w="2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358"/>
        </w:trPr>
        <w:tc>
          <w:tcPr>
            <w:tcW w:w="258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8"/>
          </w:tcPr>
          <w:p>
            <w:pPr>
              <w:jc w:val="center"/>
              <w:spacing w:after="0"/>
              <w:rPr>
                <w:sz w:val="20"/>
                <w:szCs w:val="20"/>
                <w:color w:val="auto"/>
              </w:rPr>
            </w:pPr>
            <w:r>
              <w:rPr>
                <w:rFonts w:ascii="Arial" w:cs="Arial" w:eastAsia="Arial" w:hAnsi="Arial"/>
                <w:sz w:val="14"/>
                <w:szCs w:val="14"/>
                <w:b w:val="1"/>
                <w:bCs w:val="1"/>
                <w:color w:val="auto"/>
                <w:w w:val="92"/>
              </w:rPr>
              <w:t>Six Months Ended June 30, 2021</w:t>
            </w: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33"/>
        </w:trPr>
        <w:tc>
          <w:tcPr>
            <w:tcW w:w="2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4"/>
              </w:rPr>
              <w:t>Retained</w:t>
            </w:r>
          </w:p>
        </w:tc>
        <w:tc>
          <w:tcPr>
            <w:tcW w:w="11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3"/>
              </w:rPr>
              <w:t>Accumulated</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4"/>
                <w:szCs w:val="1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r>
      <w:tr>
        <w:trPr>
          <w:trHeight w:val="162"/>
        </w:trPr>
        <w:tc>
          <w:tcPr>
            <w:tcW w:w="2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Common</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Paid-in</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1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Comprehensive</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Treasury</w:t>
            </w:r>
          </w:p>
        </w:tc>
        <w:tc>
          <w:tcPr>
            <w:tcW w:w="9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Stockholders'</w:t>
            </w:r>
          </w:p>
        </w:tc>
      </w:tr>
      <w:tr>
        <w:trPr>
          <w:trHeight w:val="185"/>
        </w:trPr>
        <w:tc>
          <w:tcPr>
            <w:tcW w:w="258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Stock</w:t>
            </w:r>
          </w:p>
        </w:tc>
        <w:tc>
          <w:tcPr>
            <w:tcW w:w="9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Deficit)</w:t>
            </w:r>
          </w:p>
        </w:tc>
        <w:tc>
          <w:tcPr>
            <w:tcW w:w="11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0"/>
              </w:rPr>
              <w:t>Income (Loss)</w:t>
            </w: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Stock</w:t>
            </w:r>
          </w:p>
        </w:tc>
        <w:tc>
          <w:tcPr>
            <w:tcW w:w="160" w:type="dxa"/>
            <w:vAlign w:val="bottom"/>
          </w:tcPr>
          <w:p>
            <w:pPr>
              <w:spacing w:after="0"/>
              <w:rPr>
                <w:sz w:val="16"/>
                <w:szCs w:val="16"/>
                <w:color w:val="auto"/>
              </w:rPr>
            </w:pPr>
          </w:p>
        </w:tc>
        <w:tc>
          <w:tcPr>
            <w:tcW w:w="74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r>
      <w:tr>
        <w:trPr>
          <w:trHeight w:val="155"/>
        </w:trPr>
        <w:tc>
          <w:tcPr>
            <w:tcW w:w="258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December 31, 2020</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54,404,379</w:t>
            </w:r>
          </w:p>
        </w:tc>
        <w:tc>
          <w:tcPr>
            <w:tcW w:w="14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56</w:t>
            </w:r>
          </w:p>
        </w:tc>
        <w:tc>
          <w:tcPr>
            <w:tcW w:w="14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$ 1,253,360</w:t>
            </w:r>
          </w:p>
        </w:tc>
        <w:tc>
          <w:tcPr>
            <w:tcW w:w="16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20,830</w:t>
            </w:r>
          </w:p>
        </w:tc>
        <w:tc>
          <w:tcPr>
            <w:tcW w:w="14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33,309</w:t>
            </w:r>
          </w:p>
        </w:tc>
        <w:tc>
          <w:tcPr>
            <w:tcW w:w="140" w:type="dxa"/>
            <w:vAlign w:val="bottom"/>
            <w:tcBorders>
              <w:top w:val="single" w:sz="8" w:color="CCEEFF"/>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 (37,486)</w:t>
            </w:r>
          </w:p>
        </w:tc>
        <w:tc>
          <w:tcPr>
            <w:tcW w:w="14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1,270,069</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Net income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67,582</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67,582</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OCI, net of tax</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(22,584)</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(22,584)</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Stock issued in acquisition, net of</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stock issuance costs</w:t>
            </w:r>
          </w:p>
        </w:tc>
        <w:tc>
          <w:tcPr>
            <w:tcW w:w="740" w:type="dxa"/>
            <w:vAlign w:val="bottom"/>
          </w:tcPr>
          <w:p>
            <w:pPr>
              <w:jc w:val="right"/>
              <w:spacing w:after="0"/>
              <w:rPr>
                <w:sz w:val="20"/>
                <w:szCs w:val="20"/>
                <w:color w:val="auto"/>
              </w:rPr>
            </w:pPr>
            <w:r>
              <w:rPr>
                <w:rFonts w:ascii="Arial" w:cs="Arial" w:eastAsia="Arial" w:hAnsi="Arial"/>
                <w:sz w:val="14"/>
                <w:szCs w:val="14"/>
                <w:color w:val="auto"/>
              </w:rPr>
              <w:t>2,206,237</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58,982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58,984</w:t>
            </w:r>
          </w:p>
        </w:tc>
      </w:tr>
      <w:tr>
        <w:trPr>
          <w:trHeight w:val="162"/>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Repurchase of stock</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(280,000)</w:t>
            </w:r>
          </w:p>
        </w:tc>
        <w:tc>
          <w:tcPr>
            <w:tcW w:w="10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(7,248)</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(7,248)</w:t>
            </w:r>
          </w:p>
        </w:tc>
      </w:tr>
      <w:tr>
        <w:trPr>
          <w:trHeight w:val="143"/>
        </w:trPr>
        <w:tc>
          <w:tcPr>
            <w:tcW w:w="2580" w:type="dxa"/>
            <w:vAlign w:val="bottom"/>
          </w:tcPr>
          <w:p>
            <w:pPr>
              <w:ind w:left="220"/>
              <w:spacing w:after="0" w:line="143" w:lineRule="exact"/>
              <w:rPr>
                <w:sz w:val="20"/>
                <w:szCs w:val="20"/>
                <w:color w:val="auto"/>
              </w:rPr>
            </w:pPr>
            <w:r>
              <w:rPr>
                <w:rFonts w:ascii="Arial" w:cs="Arial" w:eastAsia="Arial" w:hAnsi="Arial"/>
                <w:sz w:val="14"/>
                <w:szCs w:val="14"/>
                <w:color w:val="auto"/>
              </w:rPr>
              <w:t>Cash dividends on common stock at</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r>
      <w:tr>
        <w:trPr>
          <w:trHeight w:val="181"/>
        </w:trPr>
        <w:tc>
          <w:tcPr>
            <w:tcW w:w="2580" w:type="dxa"/>
            <w:vAlign w:val="bottom"/>
          </w:tcPr>
          <w:p>
            <w:pPr>
              <w:ind w:left="220"/>
              <w:spacing w:after="0"/>
              <w:rPr>
                <w:sz w:val="20"/>
                <w:szCs w:val="20"/>
                <w:color w:val="auto"/>
              </w:rPr>
            </w:pPr>
            <w:r>
              <w:rPr>
                <w:rFonts w:ascii="Arial" w:cs="Arial" w:eastAsia="Arial" w:hAnsi="Arial"/>
                <w:sz w:val="14"/>
                <w:szCs w:val="14"/>
                <w:color w:val="auto"/>
              </w:rPr>
              <w:t>$0.46 per share</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4"/>
                <w:szCs w:val="14"/>
                <w:color w:val="auto"/>
              </w:rPr>
              <w:t>(24,997)</w:t>
            </w:r>
          </w:p>
        </w:tc>
        <w:tc>
          <w:tcPr>
            <w:tcW w:w="200" w:type="dxa"/>
            <w:vAlign w:val="bottom"/>
          </w:tcPr>
          <w:p>
            <w:pPr>
              <w:spacing w:after="0"/>
              <w:rPr>
                <w:sz w:val="15"/>
                <w:szCs w:val="15"/>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(24,997)</w:t>
            </w:r>
          </w:p>
        </w:tc>
      </w:tr>
      <w:tr>
        <w:trPr>
          <w:trHeight w:val="143"/>
        </w:trPr>
        <w:tc>
          <w:tcPr>
            <w:tcW w:w="2580" w:type="dxa"/>
            <w:vAlign w:val="bottom"/>
            <w:shd w:val="clear" w:color="auto" w:fill="CCEEFF"/>
          </w:tcPr>
          <w:p>
            <w:pPr>
              <w:ind w:left="220"/>
              <w:spacing w:after="0" w:line="143" w:lineRule="exact"/>
              <w:rPr>
                <w:sz w:val="20"/>
                <w:szCs w:val="20"/>
                <w:color w:val="auto"/>
              </w:rPr>
            </w:pPr>
            <w:r>
              <w:rPr>
                <w:rFonts w:ascii="Arial" w:cs="Arial" w:eastAsia="Arial" w:hAnsi="Arial"/>
                <w:sz w:val="14"/>
                <w:szCs w:val="14"/>
                <w:color w:val="auto"/>
              </w:rPr>
              <w:t>Stock dividend equivalents on RSUs</w:t>
            </w:r>
          </w:p>
        </w:tc>
        <w:tc>
          <w:tcPr>
            <w:tcW w:w="7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181"/>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at $0.46 per share</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5"/>
                <w:szCs w:val="15"/>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489</w:t>
            </w: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(489)</w:t>
            </w:r>
          </w:p>
        </w:tc>
        <w:tc>
          <w:tcPr>
            <w:tcW w:w="20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62"/>
        </w:trPr>
        <w:tc>
          <w:tcPr>
            <w:tcW w:w="2580" w:type="dxa"/>
            <w:vAlign w:val="bottom"/>
          </w:tcPr>
          <w:p>
            <w:pPr>
              <w:ind w:left="220"/>
              <w:spacing w:after="0"/>
              <w:rPr>
                <w:sz w:val="20"/>
                <w:szCs w:val="20"/>
                <w:color w:val="auto"/>
              </w:rPr>
            </w:pPr>
            <w:r>
              <w:rPr>
                <w:rFonts w:ascii="Arial" w:cs="Arial" w:eastAsia="Arial" w:hAnsi="Arial"/>
                <w:sz w:val="14"/>
                <w:szCs w:val="14"/>
                <w:color w:val="auto"/>
              </w:rPr>
              <w:t>Stock-based compensation</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3,885</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3,885</w:t>
            </w:r>
          </w:p>
        </w:tc>
      </w:tr>
      <w:tr>
        <w:trPr>
          <w:trHeight w:val="155"/>
        </w:trPr>
        <w:tc>
          <w:tcPr>
            <w:tcW w:w="2580" w:type="dxa"/>
            <w:vAlign w:val="bottom"/>
            <w:tcBorders>
              <w:top w:val="single" w:sz="8" w:color="CCEEFF"/>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Balance, June 30, 2021</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56,330,616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w w:val="76"/>
              </w:rPr>
              <w:t>$</w:t>
            </w:r>
          </w:p>
        </w:tc>
        <w:tc>
          <w:tcPr>
            <w:tcW w:w="5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4"/>
              </w:rPr>
              <w:t>$ 1,316,716</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62,926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10,725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6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93"/>
              </w:rPr>
              <w:t>$ (44,734)</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60" w:type="dxa"/>
            <w:vAlign w:val="bottom"/>
            <w:tcBorders>
              <w:top w:val="single" w:sz="8" w:color="auto"/>
              <w:bottom w:val="single" w:sz="8" w:color="auto"/>
            </w:tcBorders>
            <w:shd w:val="clear" w:color="auto" w:fill="CCEEFF"/>
          </w:tcPr>
          <w:p>
            <w:pPr>
              <w:jc w:val="right"/>
              <w:ind w:right="8"/>
              <w:spacing w:after="0" w:line="155" w:lineRule="exact"/>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1,345,691</w:t>
            </w:r>
          </w:p>
        </w:tc>
      </w:tr>
      <w:tr>
        <w:trPr>
          <w:trHeight w:val="20"/>
        </w:trPr>
        <w:tc>
          <w:tcPr>
            <w:tcW w:w="2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CASH FLOWS (Unaudited)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5"/>
          </w:tcPr>
          <w:p>
            <w:pPr>
              <w:jc w:val="right"/>
              <w:ind w:right="45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tcBorders>
              <w:bottom w:val="single" w:sz="8" w:color="CCEEFF"/>
            </w:tcBorders>
          </w:tcPr>
          <w:p>
            <w:pPr>
              <w:spacing w:after="0"/>
              <w:rPr>
                <w:sz w:val="12"/>
                <w:szCs w:val="12"/>
                <w:color w:val="auto"/>
              </w:rPr>
            </w:pPr>
          </w:p>
        </w:tc>
        <w:tc>
          <w:tcPr>
            <w:tcW w:w="4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2022</w:t>
            </w:r>
          </w:p>
        </w:tc>
        <w:tc>
          <w:tcPr>
            <w:tcW w:w="18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Operating Activities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Net income</w:t>
            </w:r>
          </w:p>
        </w:tc>
        <w:tc>
          <w:tcPr>
            <w:tcW w:w="70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58,263</w:t>
            </w:r>
          </w:p>
        </w:tc>
        <w:tc>
          <w:tcPr>
            <w:tcW w:w="180" w:type="dxa"/>
            <w:vAlign w:val="bottom"/>
          </w:tcPr>
          <w:p>
            <w:pPr>
              <w:spacing w:after="0"/>
              <w:rPr>
                <w:sz w:val="12"/>
                <w:szCs w:val="12"/>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3"/>
                <w:szCs w:val="13"/>
                <w:color w:val="auto"/>
                <w:w w:val="82"/>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67,582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Adjustments to reconcile net income to net cash provided by (used in) operating activities: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Provision for credit losses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(8,496)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intangible assets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5,962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5,051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Amortization of mortgage servicing rights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1,901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Amortization of NMTC</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3,003</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Depreciation and amortization of premises and equipment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5,438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5,709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on portfolio loans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investment securities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11,069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10,460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amortization (accretion) of premium (discount) on time deposits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(227)</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Net amortization (accretion) of premium (discount) on FHLB advances and other borrowings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577</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Impairment of OREO and other repossessed assets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611</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Impairment of fixed assets held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Impairment of mortgage servicing rights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Impairment of leases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Unrealized (gains) losses recognized on equity securities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2,454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equity securities, net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debt securities, net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loans, net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(1,451)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(6,133)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sales of OREO</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(Gain) loss on sales of premises and equipment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(Gain) loss on life insurance proceeds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(Increase) decrease in cash surrender value of bank owned life insurance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(1,758)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(1,953)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Provision for deferred income taxes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Stock-based compensation</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4,245</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3,885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Mortgage loans originated for sale</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(47,305)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(157,670)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400"/>
              <w:spacing w:after="0"/>
              <w:rPr>
                <w:sz w:val="20"/>
                <w:szCs w:val="20"/>
                <w:color w:val="auto"/>
              </w:rPr>
            </w:pPr>
            <w:r>
              <w:rPr>
                <w:rFonts w:ascii="Arial" w:cs="Arial" w:eastAsia="Arial" w:hAnsi="Arial"/>
                <w:sz w:val="13"/>
                <w:szCs w:val="13"/>
                <w:color w:val="auto"/>
              </w:rPr>
              <w:t>Proceeds from sales of mortgage loans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67,586</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188,216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400"/>
              <w:spacing w:after="0"/>
              <w:rPr>
                <w:sz w:val="20"/>
                <w:szCs w:val="20"/>
                <w:color w:val="auto"/>
              </w:rPr>
            </w:pPr>
            <w:r>
              <w:rPr>
                <w:rFonts w:ascii="Arial" w:cs="Arial" w:eastAsia="Arial" w:hAnsi="Arial"/>
                <w:sz w:val="13"/>
                <w:szCs w:val="13"/>
                <w:color w:val="auto"/>
              </w:rPr>
              <w:t>Net change in operating assets and liabilities: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620"/>
              <w:spacing w:after="0"/>
              <w:rPr>
                <w:sz w:val="20"/>
                <w:szCs w:val="20"/>
                <w:color w:val="auto"/>
              </w:rPr>
            </w:pPr>
            <w:r>
              <w:rPr>
                <w:rFonts w:ascii="Arial" w:cs="Arial" w:eastAsia="Arial" w:hAnsi="Arial"/>
                <w:sz w:val="13"/>
                <w:szCs w:val="13"/>
                <w:color w:val="auto"/>
              </w:rPr>
              <w:t>(Increase) decrease in other assets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(30,313)</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(12,063)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620"/>
              <w:spacing w:after="0"/>
              <w:rPr>
                <w:sz w:val="20"/>
                <w:szCs w:val="20"/>
                <w:color w:val="auto"/>
              </w:rPr>
            </w:pPr>
            <w:r>
              <w:rPr>
                <w:rFonts w:ascii="Arial" w:cs="Arial" w:eastAsia="Arial" w:hAnsi="Arial"/>
                <w:sz w:val="13"/>
                <w:szCs w:val="13"/>
                <w:color w:val="auto"/>
              </w:rPr>
              <w:t>Increase (decrease) in other liabilities</w:t>
            </w:r>
          </w:p>
        </w:tc>
        <w:tc>
          <w:tcPr>
            <w:tcW w:w="4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(8,320)</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(14,260)</w:t>
            </w: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(used in) operating activities</w:t>
            </w:r>
          </w:p>
        </w:tc>
        <w:tc>
          <w:tcPr>
            <w:tcW w:w="440" w:type="dxa"/>
            <w:vAlign w:val="bottom"/>
          </w:tcPr>
          <w:p>
            <w:pPr>
              <w:spacing w:after="0"/>
              <w:rPr>
                <w:sz w:val="12"/>
                <w:szCs w:val="12"/>
                <w:color w:val="auto"/>
              </w:rPr>
            </w:pPr>
          </w:p>
        </w:tc>
        <w:tc>
          <w:tcPr>
            <w:tcW w:w="260" w:type="dxa"/>
            <w:vAlign w:val="bottom"/>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73,682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142" w:lineRule="exact"/>
              <w:rPr>
                <w:sz w:val="20"/>
                <w:szCs w:val="20"/>
                <w:color w:val="auto"/>
              </w:rPr>
            </w:pPr>
            <w:r>
              <w:rPr>
                <w:rFonts w:ascii="Arial" w:cs="Arial" w:eastAsia="Arial" w:hAnsi="Arial"/>
                <w:sz w:val="13"/>
                <w:szCs w:val="13"/>
                <w:color w:val="auto"/>
              </w:rPr>
              <w:t>79,912</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88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94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880" w:type="dxa"/>
            <w:vAlign w:val="bottom"/>
          </w:tcPr>
          <w:p>
            <w:pPr>
              <w:spacing w:after="0"/>
              <w:rPr>
                <w:sz w:val="20"/>
                <w:szCs w:val="20"/>
                <w:color w:val="auto"/>
              </w:rPr>
            </w:pPr>
            <w:r>
              <w:rPr>
                <w:rFonts w:ascii="Arial" w:cs="Arial" w:eastAsia="Arial" w:hAnsi="Arial"/>
                <w:sz w:val="13"/>
                <w:szCs w:val="13"/>
                <w:b w:val="1"/>
                <w:bCs w:val="1"/>
                <w:color w:val="auto"/>
              </w:rPr>
              <w:t>Cash Flows Provided by (Used in) Investing Activities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equity securities</w:t>
            </w:r>
          </w:p>
        </w:tc>
        <w:tc>
          <w:tcPr>
            <w:tcW w:w="70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(5,948)</w:t>
            </w:r>
          </w:p>
        </w:tc>
        <w:tc>
          <w:tcPr>
            <w:tcW w:w="180" w:type="dxa"/>
            <w:vAlign w:val="bottom"/>
            <w:shd w:val="clear" w:color="auto" w:fill="CCEEFF"/>
          </w:tcPr>
          <w:p>
            <w:pPr>
              <w:spacing w:after="0"/>
              <w:rPr>
                <w:sz w:val="12"/>
                <w:szCs w:val="12"/>
                <w:color w:val="auto"/>
              </w:rPr>
            </w:pPr>
          </w:p>
        </w:tc>
        <w:tc>
          <w:tcPr>
            <w:tcW w:w="26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w w:val="82"/>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(5,998)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Purchases of debt securities available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(279,831)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(1,274,797)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equity securities</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6,546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sales of debt securities available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290,955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paydowns and maturities of debt securities held to maturity</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33,894</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paydowns and maturities of debt securities available for sale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273,524</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424,725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cash received in (paid for) acquisitions (see Note 2)</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236,981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Net (increase) decrease in loans</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(310,582)</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81,441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Cash paid for premiums on bank-owned life insurance</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life insurance</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219</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3,227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Purchases of premises and equipment</w:t>
            </w:r>
          </w:p>
        </w:tc>
        <w:tc>
          <w:tcPr>
            <w:tcW w:w="4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(2,672)</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880" w:type="dxa"/>
            <w:vAlign w:val="bottom"/>
          </w:tcPr>
          <w:p>
            <w:pPr>
              <w:ind w:left="200"/>
              <w:spacing w:after="0"/>
              <w:rPr>
                <w:sz w:val="20"/>
                <w:szCs w:val="20"/>
                <w:color w:val="auto"/>
              </w:rPr>
            </w:pPr>
            <w:r>
              <w:rPr>
                <w:rFonts w:ascii="Arial" w:cs="Arial" w:eastAsia="Arial" w:hAnsi="Arial"/>
                <w:sz w:val="13"/>
                <w:szCs w:val="13"/>
                <w:color w:val="auto"/>
              </w:rPr>
              <w:t>Proceeds from disposition of premises and equipment</w:t>
            </w: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3,068</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5,158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8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Proceeds from sales of OREO</w:t>
            </w:r>
          </w:p>
        </w:tc>
        <w:tc>
          <w:tcPr>
            <w:tcW w:w="4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2,469</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spacing w:after="0"/>
              <w:rPr>
                <w:sz w:val="12"/>
                <w:szCs w:val="1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1,410</w:t>
            </w:r>
          </w:p>
        </w:tc>
        <w:tc>
          <w:tcPr>
            <w:tcW w:w="0" w:type="dxa"/>
            <w:vAlign w:val="bottom"/>
          </w:tcPr>
          <w:p>
            <w:pPr>
              <w:spacing w:after="0"/>
              <w:rPr>
                <w:sz w:val="1"/>
                <w:szCs w:val="1"/>
                <w:color w:val="auto"/>
              </w:rPr>
            </w:pPr>
          </w:p>
        </w:tc>
      </w:tr>
      <w:tr>
        <w:trPr>
          <w:trHeight w:val="142"/>
        </w:trPr>
        <w:tc>
          <w:tcPr>
            <w:tcW w:w="5900" w:type="dxa"/>
            <w:vAlign w:val="bottom"/>
            <w:gridSpan w:val="2"/>
          </w:tcPr>
          <w:p>
            <w:pPr>
              <w:spacing w:after="0" w:line="142" w:lineRule="exact"/>
              <w:rPr>
                <w:sz w:val="20"/>
                <w:szCs w:val="20"/>
                <w:color w:val="auto"/>
              </w:rPr>
            </w:pPr>
            <w:r>
              <w:rPr>
                <w:rFonts w:ascii="Arial" w:cs="Arial" w:eastAsia="Arial" w:hAnsi="Arial"/>
                <w:sz w:val="13"/>
                <w:szCs w:val="13"/>
                <w:color w:val="auto"/>
              </w:rPr>
              <w:t>Net cash provided by (used in) investing activities</w:t>
            </w:r>
          </w:p>
        </w:tc>
        <w:tc>
          <w:tcPr>
            <w:tcW w:w="440" w:type="dxa"/>
            <w:vAlign w:val="bottom"/>
          </w:tcPr>
          <w:p>
            <w:pPr>
              <w:spacing w:after="0"/>
              <w:rPr>
                <w:sz w:val="12"/>
                <w:szCs w:val="12"/>
                <w:color w:val="auto"/>
              </w:rPr>
            </w:pPr>
          </w:p>
        </w:tc>
        <w:tc>
          <w:tcPr>
            <w:tcW w:w="260" w:type="dxa"/>
            <w:vAlign w:val="bottom"/>
            <w:tcBorders>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(279,409)</w:t>
            </w:r>
          </w:p>
        </w:tc>
        <w:tc>
          <w:tcPr>
            <w:tcW w:w="18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(238,869)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line="234" w:lineRule="auto"/>
        <w:rPr>
          <w:sz w:val="20"/>
          <w:szCs w:val="20"/>
          <w:color w:val="auto"/>
        </w:rPr>
      </w:pPr>
      <w:r>
        <w:rPr>
          <w:rFonts w:ascii="Arial" w:cs="Arial" w:eastAsia="Arial" w:hAnsi="Arial"/>
          <w:sz w:val="18"/>
          <w:szCs w:val="18"/>
          <w:b w:val="1"/>
          <w:bCs w:val="1"/>
          <w:color w:val="auto"/>
        </w:rPr>
        <w:t>CONSOLIDATED STATEMENTS OF CASH FLOWS (Unaudited) (Continued)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(dollars in thousands)</w:t>
      </w:r>
    </w:p>
    <w:p>
      <w:pPr>
        <w:spacing w:after="0" w:line="19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300" w:type="dxa"/>
            <w:vAlign w:val="bottom"/>
            <w:tcBorders>
              <w:bottom w:val="single" w:sz="8" w:color="auto"/>
            </w:tcBorders>
            <w:gridSpan w:val="4"/>
          </w:tcPr>
          <w:p>
            <w:pPr>
              <w:jc w:val="right"/>
              <w:ind w:right="453"/>
              <w:spacing w:after="0"/>
              <w:rPr>
                <w:sz w:val="20"/>
                <w:szCs w:val="20"/>
                <w:color w:val="auto"/>
              </w:rPr>
            </w:pPr>
            <w:r>
              <w:rPr>
                <w:rFonts w:ascii="Arial" w:cs="Arial" w:eastAsia="Arial" w:hAnsi="Arial"/>
                <w:sz w:val="13"/>
                <w:szCs w:val="13"/>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12"/>
                <w:szCs w:val="12"/>
                <w:color w:val="auto"/>
              </w:rPr>
            </w:pP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2022</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393"/>
              <w:spacing w:after="0" w:line="142" w:lineRule="exact"/>
              <w:rPr>
                <w:sz w:val="20"/>
                <w:szCs w:val="20"/>
                <w:color w:val="auto"/>
              </w:rPr>
            </w:pPr>
            <w:r>
              <w:rPr>
                <w:rFonts w:ascii="Arial" w:cs="Arial" w:eastAsia="Arial" w:hAnsi="Arial"/>
                <w:sz w:val="13"/>
                <w:szCs w:val="13"/>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3"/>
                <w:szCs w:val="13"/>
                <w:b w:val="1"/>
                <w:bCs w:val="1"/>
                <w:color w:val="auto"/>
              </w:rPr>
              <w:t>Cash Flows Provided by (Used in) Financing Activities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Net increase (decrease) in deposits</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(371,122)</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335,422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Net change in federal funds purchased and securities sold under agreements to repurchase</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(41,756)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15,001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FHLB advances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5,000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FHLB advances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(5,336)</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Proceeds from other borrowings, net of debt issuance costs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98,094</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72,500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Repayment of other borrowings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(46,000)</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Cash dividends paid</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(25,452)</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(24,997)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Purchase of treasury stock</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(6,824)</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(7,248)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Cash paid for withholding taxes on stock-based payments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(849)</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Issuance of treasury stock for ESPP</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(271)</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Borders>
              <w:bottom w:val="single" w:sz="8" w:color="CCEEFF"/>
            </w:tcBorders>
          </w:tcPr>
          <w:p>
            <w:pPr>
              <w:ind w:left="200"/>
              <w:spacing w:after="0"/>
              <w:rPr>
                <w:sz w:val="20"/>
                <w:szCs w:val="20"/>
                <w:color w:val="auto"/>
              </w:rPr>
            </w:pPr>
            <w:r>
              <w:rPr>
                <w:rFonts w:ascii="Arial" w:cs="Arial" w:eastAsia="Arial" w:hAnsi="Arial"/>
                <w:sz w:val="13"/>
                <w:szCs w:val="13"/>
                <w:color w:val="auto"/>
              </w:rPr>
              <w:t>Common stock issuance costs</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80" w:type="dxa"/>
            <w:vAlign w:val="bottom"/>
            <w:shd w:val="clear" w:color="auto" w:fill="CCEEFF"/>
          </w:tcPr>
          <w:p>
            <w:pPr>
              <w:spacing w:after="0" w:line="142" w:lineRule="exact"/>
              <w:rPr>
                <w:sz w:val="20"/>
                <w:szCs w:val="20"/>
                <w:color w:val="auto"/>
              </w:rPr>
            </w:pPr>
            <w:r>
              <w:rPr>
                <w:rFonts w:ascii="Arial" w:cs="Arial" w:eastAsia="Arial" w:hAnsi="Arial"/>
                <w:sz w:val="13"/>
                <w:szCs w:val="13"/>
                <w:color w:val="auto"/>
              </w:rPr>
              <w:t>Net cash provided by (used in) financing activities</w:t>
            </w:r>
          </w:p>
        </w:tc>
        <w:tc>
          <w:tcPr>
            <w:tcW w:w="64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(399,516)</w:t>
            </w:r>
          </w:p>
        </w:tc>
        <w:tc>
          <w:tcPr>
            <w:tcW w:w="200" w:type="dxa"/>
            <w:vAlign w:val="bottom"/>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9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3"/>
                <w:szCs w:val="13"/>
                <w:color w:val="auto"/>
              </w:rPr>
              <w:t>391,230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Net increase (decrease) in cash and cash equivalents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(605,243)</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232,273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80" w:type="dxa"/>
            <w:vAlign w:val="bottom"/>
            <w:tcBorders>
              <w:bottom w:val="single" w:sz="8" w:color="CCEEFF"/>
            </w:tcBorders>
          </w:tcPr>
          <w:p>
            <w:pPr>
              <w:spacing w:after="0"/>
              <w:rPr>
                <w:sz w:val="20"/>
                <w:szCs w:val="20"/>
                <w:color w:val="auto"/>
              </w:rPr>
            </w:pPr>
            <w:r>
              <w:rPr>
                <w:rFonts w:ascii="Arial" w:cs="Arial" w:eastAsia="Arial" w:hAnsi="Arial"/>
                <w:sz w:val="13"/>
                <w:szCs w:val="13"/>
                <w:b w:val="1"/>
                <w:bCs w:val="1"/>
                <w:color w:val="auto"/>
              </w:rPr>
              <w:t>Cash and cash equivalents, beginning of period</w:t>
            </w:r>
          </w:p>
        </w:tc>
        <w:tc>
          <w:tcPr>
            <w:tcW w:w="6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836,095</w:t>
            </w:r>
          </w:p>
        </w:tc>
        <w:tc>
          <w:tcPr>
            <w:tcW w:w="20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688,537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Cash and cash equivalents, ending of period</w:t>
            </w:r>
          </w:p>
        </w:tc>
        <w:tc>
          <w:tcPr>
            <w:tcW w:w="900" w:type="dxa"/>
            <w:vAlign w:val="bottom"/>
            <w:gridSpan w:val="2"/>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tcPr>
          <w:p>
            <w:pPr>
              <w:jc w:val="right"/>
              <w:spacing w:after="0"/>
              <w:rPr>
                <w:sz w:val="20"/>
                <w:szCs w:val="20"/>
                <w:color w:val="auto"/>
              </w:rPr>
            </w:pPr>
            <w:r>
              <w:rPr>
                <w:rFonts w:ascii="Arial" w:cs="Arial" w:eastAsia="Arial" w:hAnsi="Arial"/>
                <w:sz w:val="13"/>
                <w:szCs w:val="13"/>
                <w:color w:val="auto"/>
              </w:rPr>
              <w:t>230,852</w:t>
            </w:r>
          </w:p>
        </w:tc>
        <w:tc>
          <w:tcPr>
            <w:tcW w:w="440" w:type="dxa"/>
            <w:vAlign w:val="bottom"/>
            <w:gridSpan w:val="2"/>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tcPr>
          <w:p>
            <w:pPr>
              <w:jc w:val="right"/>
              <w:spacing w:after="0"/>
              <w:rPr>
                <w:sz w:val="20"/>
                <w:szCs w:val="20"/>
                <w:color w:val="auto"/>
              </w:rPr>
            </w:pPr>
            <w:r>
              <w:rPr>
                <w:rFonts w:ascii="Arial" w:cs="Arial" w:eastAsia="Arial" w:hAnsi="Arial"/>
                <w:sz w:val="13"/>
                <w:szCs w:val="13"/>
                <w:color w:val="auto"/>
              </w:rPr>
              <w:t>920,810</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8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CCEEFF"/>
            </w:tcBorders>
            <w:shd w:val="clear" w:color="auto" w:fill="CCEEFF"/>
          </w:tcPr>
          <w:p>
            <w:pPr>
              <w:spacing w:after="0"/>
              <w:rPr>
                <w:sz w:val="11"/>
                <w:szCs w:val="11"/>
                <w:color w:val="auto"/>
              </w:rPr>
            </w:pPr>
          </w:p>
        </w:tc>
        <w:tc>
          <w:tcPr>
            <w:tcW w:w="260" w:type="dxa"/>
            <w:vAlign w:val="bottom"/>
            <w:tcBorders>
              <w:top w:val="single" w:sz="8" w:color="auto"/>
            </w:tcBorders>
            <w:shd w:val="clear" w:color="auto" w:fill="CCEEFF"/>
          </w:tcPr>
          <w:p>
            <w:pPr>
              <w:spacing w:after="0"/>
              <w:rPr>
                <w:sz w:val="11"/>
                <w:szCs w:val="11"/>
                <w:color w:val="auto"/>
              </w:rPr>
            </w:pPr>
          </w:p>
        </w:tc>
        <w:tc>
          <w:tcPr>
            <w:tcW w:w="92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spacing w:after="0"/>
              <w:rPr>
                <w:sz w:val="11"/>
                <w:szCs w:val="11"/>
                <w:color w:val="auto"/>
              </w:rPr>
            </w:pPr>
          </w:p>
        </w:tc>
        <w:tc>
          <w:tcPr>
            <w:tcW w:w="9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SUPPLEMENTAL DISCLOSURES OF CASH FLOW INFORMATION</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Cash payments for:</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Interest</w:t>
            </w:r>
          </w:p>
        </w:tc>
        <w:tc>
          <w:tcPr>
            <w:tcW w:w="900" w:type="dxa"/>
            <w:vAlign w:val="bottom"/>
            <w:gridSpan w:val="2"/>
            <w:shd w:val="clear" w:color="auto" w:fill="CCEEFF"/>
          </w:tcPr>
          <w:p>
            <w:pPr>
              <w:jc w:val="right"/>
              <w:ind w:right="149"/>
              <w:spacing w:after="0"/>
              <w:rPr>
                <w:sz w:val="20"/>
                <w:szCs w:val="20"/>
                <w:color w:val="auto"/>
              </w:rPr>
            </w:pPr>
            <w:r>
              <w:rPr>
                <w:rFonts w:ascii="Arial" w:cs="Arial" w:eastAsia="Arial" w:hAnsi="Arial"/>
                <w:sz w:val="13"/>
                <w:szCs w:val="13"/>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13,452</w:t>
            </w:r>
          </w:p>
        </w:tc>
        <w:tc>
          <w:tcPr>
            <w:tcW w:w="440" w:type="dxa"/>
            <w:vAlign w:val="bottom"/>
            <w:gridSpan w:val="2"/>
            <w:shd w:val="clear" w:color="auto" w:fill="CCEEFF"/>
          </w:tcPr>
          <w:p>
            <w:pPr>
              <w:jc w:val="right"/>
              <w:ind w:right="129"/>
              <w:spacing w:after="0"/>
              <w:rPr>
                <w:sz w:val="20"/>
                <w:szCs w:val="20"/>
                <w:color w:val="auto"/>
              </w:rPr>
            </w:pPr>
            <w:r>
              <w:rPr>
                <w:rFonts w:ascii="Arial" w:cs="Arial" w:eastAsia="Arial" w:hAnsi="Arial"/>
                <w:sz w:val="13"/>
                <w:szCs w:val="13"/>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11,571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Income taxes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20,366</w:t>
            </w: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19,156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80" w:type="dxa"/>
            <w:vAlign w:val="bottom"/>
          </w:tcPr>
          <w:p>
            <w:pPr>
              <w:spacing w:after="0"/>
              <w:rPr>
                <w:sz w:val="20"/>
                <w:szCs w:val="20"/>
                <w:color w:val="auto"/>
              </w:rPr>
            </w:pPr>
            <w:r>
              <w:rPr>
                <w:rFonts w:ascii="Arial" w:cs="Arial" w:eastAsia="Arial" w:hAnsi="Arial"/>
                <w:sz w:val="13"/>
                <w:szCs w:val="13"/>
                <w:b w:val="1"/>
                <w:bCs w:val="1"/>
                <w:color w:val="auto"/>
              </w:rPr>
              <w:t>Non-cash investing and financing activities:</w:t>
            </w: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80" w:type="dxa"/>
            <w:vAlign w:val="bottom"/>
            <w:shd w:val="clear" w:color="auto" w:fill="CCEEFF"/>
          </w:tcPr>
          <w:p>
            <w:pPr>
              <w:ind w:left="200"/>
              <w:spacing w:after="0"/>
              <w:rPr>
                <w:sz w:val="20"/>
                <w:szCs w:val="20"/>
                <w:color w:val="auto"/>
              </w:rPr>
            </w:pPr>
            <w:r>
              <w:rPr>
                <w:rFonts w:ascii="Arial" w:cs="Arial" w:eastAsia="Arial" w:hAnsi="Arial"/>
                <w:sz w:val="13"/>
                <w:szCs w:val="13"/>
                <w:color w:val="auto"/>
              </w:rPr>
              <w:t>OREO acquired in settlement of loans</w:t>
            </w:r>
          </w:p>
        </w:tc>
        <w:tc>
          <w:tcPr>
            <w:tcW w:w="6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w:t>
            </w:r>
          </w:p>
        </w:tc>
        <w:tc>
          <w:tcPr>
            <w:tcW w:w="2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680" w:type="dxa"/>
            <w:vAlign w:val="bottom"/>
          </w:tcPr>
          <w:p>
            <w:pPr>
              <w:ind w:left="200"/>
              <w:spacing w:after="0"/>
              <w:rPr>
                <w:sz w:val="20"/>
                <w:szCs w:val="20"/>
                <w:color w:val="auto"/>
              </w:rPr>
            </w:pPr>
            <w:r>
              <w:rPr>
                <w:rFonts w:ascii="Arial" w:cs="Arial" w:eastAsia="Arial" w:hAnsi="Arial"/>
                <w:sz w:val="13"/>
                <w:szCs w:val="13"/>
                <w:color w:val="auto"/>
              </w:rPr>
              <w:t>Transfer of debt securities available for sale to held to maturity</w:t>
            </w: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985,199</w:t>
            </w: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bl>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Significant Accounting Policies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Nature of Operations</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First Busey Corporation, a Nevada corporation organized in 1980, is a $12.4 billion financial holding company headquartered in Champaign, Illinois. Our common stock is traded on The Nasdaq Global Select Market under the symbol “BUSE.”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color w:val="auto"/>
        </w:rPr>
        <w:t>The Company operates and reports its business in three segments: Banking, FirsTech, and Wealth Management.</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Banking</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Banking operating segment provides a full range of banking services to individual and corporate customers through the Company’s wholly-owned bank subsidiary, Busey Bank, with 58 banking centers in Illinois; the St. Louis, Missouri metropolitan area; southwest Florida; and Indianapolis, Indiana.</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FirsTech</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FirsTech operating segment provides comprehensive and innovative payment technology solutions that include, but are not limited to, text-based mobile bill pay; electronic payment concentration delivered to Automated Clearing House networks, money management, and credit card networks; walk-in payment processing for customers at retail pay agents; customer service payments made over a telephone; direct debit services; and lockbox remittance processing for customers to make payments by mail. FirsTech also provides additional tools to help clients with billing, reconciliation, bill reminders, and treasury services.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Wealth Management</w:t>
      </w:r>
    </w:p>
    <w:p>
      <w:pPr>
        <w:spacing w:after="0" w:line="198"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6"/>
          <w:szCs w:val="16"/>
          <w:color w:val="auto"/>
        </w:rPr>
        <w:t>The Wealth Management operating segment provides a full range of asset management, investment, brokerage, fiduciary, philanthropic advisory, tax preparation, and farm management services to individuals, businesses, and foundations.</w:t>
      </w:r>
    </w:p>
    <w:p>
      <w:pPr>
        <w:spacing w:after="0" w:line="11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Financial Statement Presentation</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These unaudited consolidated financial statements and related notes should be read in conjunction with the audited consolidated financial statements included in our 2021 Annual Report. These interim unaudited consolidated financial statements serve to update our 2021 Annual Report and may not include all information and notes necessary to constitute a complete set of financial statements.</w:t>
      </w:r>
    </w:p>
    <w:p>
      <w:pPr>
        <w:spacing w:after="0" w:line="17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We prepared these unaudited consolidated financial statements in conformity with GAAP. We have eliminated intercompany accounts and transactions. We have also reclassified certain prior year amounts to conform to the current period presentation. These reclassifications did not have a material impact on our consolidated financial condition or results of operations.</w:t>
      </w:r>
    </w:p>
    <w:p>
      <w:pPr>
        <w:spacing w:after="0" w:line="174"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In our opinion, the unaudited consolidated financial statements reflect all normal, recurring adjustments needed to present fairly our results for the interim periods. The results of operations for interim periods are not necessarily indicative of the results that may be expected for the full year or any other interim period.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In preparing the accompanying unaudited consolidated financial statements in conformity with GAAP, the Company’s management is required to make estimates and assumptions that affect the amounts reported in the financial statements and the disclosures provided. Actual results could differ from those estimates. Material estimates which are particularly susceptible to significant change in the near term relate to the fair value of debt securities available for sale, fair value of assets acquired and liabilities assumed in business combinations, goodwill, income taxes, and the determination of the ACL.</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 in Accounting Principle</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Effective January 1, 2022, the Company elected to account for all newly originated loans held for sale at LOCOM. Prior to this change, the Company accounted for loans held for sale at fair value. This change did not have a material impact on our results of operations during the three or six months ended June 30, 2022.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Impact of Recently Adopted Accounting Standards</w:t>
      </w:r>
    </w:p>
    <w:p>
      <w:pPr>
        <w:spacing w:after="0" w:line="198"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 xml:space="preserve">ASU 2021-10 </w:t>
      </w:r>
      <w:r>
        <w:rPr>
          <w:rFonts w:ascii="Arial" w:cs="Arial" w:eastAsia="Arial" w:hAnsi="Arial"/>
          <w:sz w:val="17"/>
          <w:szCs w:val="17"/>
          <w:i w:val="1"/>
          <w:iCs w:val="1"/>
          <w:color w:val="auto"/>
        </w:rPr>
        <w:t>“Government Assistance (Topic 832): Disclosures by Business Entities about Government Assistance”</w:t>
      </w:r>
      <w:r>
        <w:rPr>
          <w:rFonts w:ascii="Arial" w:cs="Arial" w:eastAsia="Arial" w:hAnsi="Arial"/>
          <w:sz w:val="17"/>
          <w:szCs w:val="17"/>
          <w:color w:val="auto"/>
        </w:rPr>
        <w:t xml:space="preserve"> establishes disclosure requirements for transactions with a government that have been accounted for by analogizing to a grant or contribution accounting model. Disclosures required under this standard include 1) the types of transactions, 2) the accounting for those transactions, and 3) the effect of those transactions on the consolidated financial statements. This update is effective for annual periods beginning January 1, 2022, and applies prospectively to all transactions within the scope of the amendments that are reflected in financial statements at the date of initial application and new transactions that are entered into after the date of initial application. Adoption of this standard did not have a material impact on First Busey’s financial position or results of operations.</w:t>
      </w:r>
    </w:p>
    <w:p>
      <w:pPr>
        <w:spacing w:after="0" w:line="167"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6"/>
          <w:szCs w:val="16"/>
          <w:color w:val="auto"/>
        </w:rPr>
        <w:t xml:space="preserve">ASU 2021-05 </w:t>
      </w:r>
      <w:r>
        <w:rPr>
          <w:rFonts w:ascii="Arial" w:cs="Arial" w:eastAsia="Arial" w:hAnsi="Arial"/>
          <w:sz w:val="16"/>
          <w:szCs w:val="16"/>
          <w:i w:val="1"/>
          <w:iCs w:val="1"/>
          <w:color w:val="auto"/>
        </w:rPr>
        <w:t>“Leases (Topic 842): Lessors—Certain Leases with Variable Lease Payments”</w:t>
      </w:r>
      <w:r>
        <w:rPr>
          <w:rFonts w:ascii="Arial" w:cs="Arial" w:eastAsia="Arial" w:hAnsi="Arial"/>
          <w:sz w:val="16"/>
          <w:szCs w:val="16"/>
          <w:color w:val="auto"/>
        </w:rPr>
        <w:t xml:space="preserve"> amends the lessor’s classification of certain leases under ASC Topic 842. Under this updated guidance, leases that would otherwise be classified as a sales-type or direct financing lease must be classified by a lessor as an operating lease when the following conditions are met: 1) the contract includes variable lease payments that do not depend on an index or rate and 2) classification as a sales-type or direct financing lease would result in recognition of a selling loss at lease commencement. This guidance was effective for First Busey beginning January 1, 2022, and was applied on a prospective basis. Adoption of this standard did not have a material impact on the Company’s financial position or results of operations.</w:t>
      </w:r>
    </w:p>
    <w:p>
      <w:pPr>
        <w:spacing w:after="0" w:line="150"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 xml:space="preserve">ASU 2021-04 </w:t>
      </w:r>
      <w:r>
        <w:rPr>
          <w:rFonts w:ascii="Arial" w:cs="Arial" w:eastAsia="Arial" w:hAnsi="Arial"/>
          <w:sz w:val="16"/>
          <w:szCs w:val="16"/>
          <w:i w:val="1"/>
          <w:iCs w:val="1"/>
          <w:color w:val="auto"/>
        </w:rPr>
        <w:t>“Earnings Per Share (Topic 260), Debt—Modifications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Compensation—Stock Compensation (Topic 718), and Derivatives and Hedging—Contracts in Entity’s Own Equity (Subtopic 815-40): Issuer’s Accounting for Certain Modifications or Exchanges of Freestanding Equity-Classified Written Call Options” </w:t>
      </w:r>
      <w:r>
        <w:rPr>
          <w:rFonts w:ascii="Arial" w:cs="Arial" w:eastAsia="Arial" w:hAnsi="Arial"/>
          <w:sz w:val="16"/>
          <w:szCs w:val="16"/>
          <w:color w:val="auto"/>
        </w:rPr>
        <w:t>clarifies how an issuer should account for modifications or exchanges of equity-classified written call</w:t>
      </w:r>
      <w:r>
        <w:rPr>
          <w:rFonts w:ascii="Arial" w:cs="Arial" w:eastAsia="Arial" w:hAnsi="Arial"/>
          <w:sz w:val="16"/>
          <w:szCs w:val="16"/>
          <w:i w:val="1"/>
          <w:iCs w:val="1"/>
          <w:color w:val="auto"/>
        </w:rPr>
        <w:t xml:space="preserve"> </w:t>
      </w:r>
      <w:r>
        <w:rPr>
          <w:rFonts w:ascii="Arial" w:cs="Arial" w:eastAsia="Arial" w:hAnsi="Arial"/>
          <w:sz w:val="16"/>
          <w:szCs w:val="16"/>
          <w:color w:val="auto"/>
        </w:rPr>
        <w:t>options (i.e. a warrant to purchase the issuer’s common stock). This accounting standard requires the issuer to treat a modification of an equity-classified warrant that does not cause the warrant to become liability-classified as an exchange of the original warrant for a new warrant. This guidance applies whether the modification is structured as an amendment to the terms and conditions of the warrant or as termination of the original warrant and issuance of a new warrant. This guidance was effective for First Busey beginning January 1, 2022, and was applied on a prospective basis. Adoption of this standard did not have a material impact on the Company’s financial position or results of operations.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 xml:space="preserve">ASU 2022-03 </w:t>
      </w:r>
      <w:r>
        <w:rPr>
          <w:rFonts w:ascii="Arial" w:cs="Arial" w:eastAsia="Arial" w:hAnsi="Arial"/>
          <w:sz w:val="18"/>
          <w:szCs w:val="18"/>
          <w:i w:val="1"/>
          <w:iCs w:val="1"/>
          <w:color w:val="auto"/>
        </w:rPr>
        <w:t>“Fair Value Measurements (Topic 820): Fair Value Measurement of Equity Securities Subject to Contractual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Sale Restrictions” </w:t>
      </w:r>
      <w:r>
        <w:rPr>
          <w:rFonts w:ascii="Arial" w:cs="Arial" w:eastAsia="Arial" w:hAnsi="Arial"/>
          <w:sz w:val="18"/>
          <w:szCs w:val="18"/>
          <w:color w:val="auto"/>
        </w:rPr>
        <w:t>clarifies that contractual restrictions on the sale of equity securities are not considered in measuring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fair value of those equity securities, and further that contractual sale restrictions cannot be recognized and measured as a separate unit of account. This standard applies prospectively, and is effective for First Busey beginning January 1, 2024. Early adoption is permitted. First Busey is currently evaluating the potential effect on the Company’s financial position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 xml:space="preserve">ASU 2022-02 </w:t>
      </w:r>
      <w:r>
        <w:rPr>
          <w:rFonts w:ascii="Arial" w:cs="Arial" w:eastAsia="Arial" w:hAnsi="Arial"/>
          <w:sz w:val="17"/>
          <w:szCs w:val="17"/>
          <w:i w:val="1"/>
          <w:iCs w:val="1"/>
          <w:color w:val="auto"/>
        </w:rPr>
        <w:t>“Financial Instruments—Credit Losses (Topic 326): Troubled Debt Restructurings and Vintage Disclosures”</w:t>
      </w:r>
      <w:r>
        <w:rPr>
          <w:rFonts w:ascii="Arial" w:cs="Arial" w:eastAsia="Arial" w:hAnsi="Arial"/>
          <w:sz w:val="17"/>
          <w:szCs w:val="17"/>
          <w:color w:val="auto"/>
        </w:rPr>
        <w:t xml:space="preserve"> eliminates the TDR accounting model for creditors that have already adopted CECL. In lieu of the TDR accounting model, loan refinancing and restructuring guidance in ASC Subtopic 310-20 </w:t>
      </w:r>
      <w:r>
        <w:rPr>
          <w:rFonts w:ascii="Arial" w:cs="Arial" w:eastAsia="Arial" w:hAnsi="Arial"/>
          <w:sz w:val="17"/>
          <w:szCs w:val="17"/>
          <w:i w:val="1"/>
          <w:iCs w:val="1"/>
          <w:color w:val="auto"/>
        </w:rPr>
        <w:t>“Investments—Debt Securities”</w:t>
      </w:r>
      <w:r>
        <w:rPr>
          <w:rFonts w:ascii="Arial" w:cs="Arial" w:eastAsia="Arial" w:hAnsi="Arial"/>
          <w:sz w:val="17"/>
          <w:szCs w:val="17"/>
          <w:color w:val="auto"/>
        </w:rPr>
        <w:t xml:space="preserve"> will apply to all loan modifications, including those made for borrowers experiencing financial difficulty. This standard also enhances disclosure requirements related to certain loan modifications. Additionally, this standard introduces new requirements to disclose gross write-off information in the vintage disclosures of financing receivables by credit quality indicator and class of financing receivable by year of origination. This standard applies prospectively. For the transition method related to the recognition and measurement of TDRs, there is an option to apply a modified retrospective transition method, resulting in a cumulative-effect adjustment to retained earnings in the period of adoption. This standard is effective for First Busey beginning January 1, 2023. Early adoption is permitted. First Busey is currently evaluating the potential effect on the Company’s financial position and results of operations.</w:t>
      </w:r>
    </w:p>
    <w:p>
      <w:pPr>
        <w:spacing w:after="0" w:line="172" w:lineRule="exact"/>
        <w:rPr>
          <w:sz w:val="20"/>
          <w:szCs w:val="20"/>
          <w:color w:val="auto"/>
        </w:rPr>
      </w:pPr>
    </w:p>
    <w:p>
      <w:pPr>
        <w:jc w:val="both"/>
        <w:ind w:left="60" w:right="59"/>
        <w:spacing w:after="0" w:line="252" w:lineRule="auto"/>
        <w:rPr>
          <w:sz w:val="20"/>
          <w:szCs w:val="20"/>
          <w:color w:val="auto"/>
        </w:rPr>
      </w:pPr>
      <w:r>
        <w:rPr>
          <w:rFonts w:ascii="Arial" w:cs="Arial" w:eastAsia="Arial" w:hAnsi="Arial"/>
          <w:sz w:val="17"/>
          <w:szCs w:val="17"/>
          <w:color w:val="auto"/>
        </w:rPr>
        <w:t xml:space="preserve">ASU 2022-01 </w:t>
      </w:r>
      <w:r>
        <w:rPr>
          <w:rFonts w:ascii="Arial" w:cs="Arial" w:eastAsia="Arial" w:hAnsi="Arial"/>
          <w:sz w:val="17"/>
          <w:szCs w:val="17"/>
          <w:i w:val="1"/>
          <w:iCs w:val="1"/>
          <w:color w:val="auto"/>
        </w:rPr>
        <w:t>“Derivatives and Hedging (Topic 815): Fair Value Hedging—Portfolio Layer Method”</w:t>
      </w:r>
      <w:r>
        <w:rPr>
          <w:rFonts w:ascii="Arial" w:cs="Arial" w:eastAsia="Arial" w:hAnsi="Arial"/>
          <w:sz w:val="17"/>
          <w:szCs w:val="17"/>
          <w:color w:val="auto"/>
        </w:rPr>
        <w:t xml:space="preserve"> replaces the current last-of-layer hedge accounting method with an expanded portfolio layer method that permits multiple hedged layers of a single closed portfolio. The scope of the portfolio layer method is also expanded to include non-prepayable financial assets. This update also provides additional guidance on the accounting for and disclosure of hedge basis adjustments that are applicable to the portfolio layer method, and specifies how hedge basis adjustments should be considered when determining credit losses for the assets included in the closed portfolio. Amendments related to hedge basis adjustments which are included in this standard apply on a modified retrospective basis by means of a cumulative-effect adjustment to the opening balance of retained earnings on the initial application date. Amendments related to disclosure which are included in this standard may be applied on a prospective basis from the initial application date, or on a retrospective basis to each prior period presented after the date of adoption of the amendments in ASU 2017-12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(Topic 815): Targeted Improvements to Accounting for Hedging Activities.” </w:t>
      </w:r>
      <w:r>
        <w:rPr>
          <w:rFonts w:ascii="Arial" w:cs="Arial" w:eastAsia="Arial" w:hAnsi="Arial"/>
          <w:sz w:val="17"/>
          <w:szCs w:val="17"/>
          <w:color w:val="auto"/>
        </w:rPr>
        <w:t>This standard is effective for First Busey</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January 1, 2023, and may be early adopted. First Busey is currently evaluating the potential effect on the Company’s financial position and results of operations.</w:t>
      </w:r>
    </w:p>
    <w:p>
      <w:pPr>
        <w:spacing w:after="0" w:line="167"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 xml:space="preserve">ASU 2021-08 </w:t>
      </w:r>
      <w:r>
        <w:rPr>
          <w:rFonts w:ascii="Arial" w:cs="Arial" w:eastAsia="Arial" w:hAnsi="Arial"/>
          <w:sz w:val="18"/>
          <w:szCs w:val="18"/>
          <w:i w:val="1"/>
          <w:iCs w:val="1"/>
          <w:color w:val="auto"/>
        </w:rPr>
        <w:t>“Business Combinations (Topic 805): Accounting for Contract Assets and Contract Liabilities from</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requires measurement and recognition in accordance with ASC Topic 606</w:t>
      </w:r>
      <w:r>
        <w:rPr>
          <w:rFonts w:ascii="Arial" w:cs="Arial" w:eastAsia="Arial" w:hAnsi="Arial"/>
          <w:sz w:val="18"/>
          <w:szCs w:val="18"/>
          <w:i w:val="1"/>
          <w:iCs w:val="1"/>
          <w:color w:val="auto"/>
        </w:rPr>
        <w:t xml:space="preserve"> “Revenue from Contracts with Customers” </w:t>
      </w:r>
      <w:r>
        <w:rPr>
          <w:rFonts w:ascii="Arial" w:cs="Arial" w:eastAsia="Arial" w:hAnsi="Arial"/>
          <w:sz w:val="18"/>
          <w:szCs w:val="18"/>
          <w:color w:val="auto"/>
        </w:rPr>
        <w:t>for contract assets and contract liabilities acquired in a business combination. This update is</w:t>
      </w:r>
      <w:r>
        <w:rPr>
          <w:rFonts w:ascii="Arial" w:cs="Arial" w:eastAsia="Arial" w:hAnsi="Arial"/>
          <w:sz w:val="18"/>
          <w:szCs w:val="18"/>
          <w:i w:val="1"/>
          <w:iCs w:val="1"/>
          <w:color w:val="auto"/>
        </w:rPr>
        <w:t xml:space="preserve"> </w:t>
      </w:r>
      <w:r>
        <w:rPr>
          <w:rFonts w:ascii="Arial" w:cs="Arial" w:eastAsia="Arial" w:hAnsi="Arial"/>
          <w:sz w:val="18"/>
          <w:szCs w:val="18"/>
          <w:color w:val="auto"/>
        </w:rPr>
        <w:t>effective for First Busey beginning January 1, 2023, and may be adopted early. This standard applies prospectively to all business combinations that occur on or after the date it is adopted and, if applicable, retrospectively to all business combinations for which the acquisition date occurs on or after the beginning of the fiscal year that includes the interim period of early application. First Busey is currently evaluating the potential effect on the Company’s financial position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COVID-19</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Throughout the COVID-19 pandemic, First Busey operated as an essential community resource, providing approximately $1.1 billion in payroll assistance for small businesses and select nonprofits through low-interest, 100% government-guaranteed loans as part of the PPP. First Busey had $7.8 million in PPP loans outstanding, with an amortized cost of $7.6 million, as of June 30, 2022. In comparison, First Busey had $76.9 million in PPP loans outstanding, with an amortized cost of $75.0 million, as of December 31, 2021.</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198"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6"/>
          <w:szCs w:val="16"/>
          <w:color w:val="auto"/>
        </w:rPr>
        <w:t>The Company has evaluated subsequent events for potential recognition and/or disclosure through the date the unaudited consolidated financial statements included in this Quarterly Report were issued. There were no significant subsequent events for the quarter ended June 30, 2022, through the filing date of these unaudited consolidated financial statements.</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Acquisitions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Cummins-American Corp.</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Effective May 31, 2021, the Company completed its acquisition of CAC, the holding company for GSB. The partnership has enhanced the Company’s existing deposit, commercial banking, and wealth management presence in the Chicago-Naperville-Elgin, IL-IN-WI Metropolitan Statistical Area. GSB’s results of operations were included in the Company’s results of operations beginning June 1, 2021. First Busey operated GSB as a separate banking subsidiary until August 14, 2021, when it was merged with and into Busey Bank. At that time, all GSB banking centers became branches of Busey Bank.</w:t>
      </w:r>
    </w:p>
    <w:p>
      <w:pPr>
        <w:spacing w:after="0" w:line="1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Under the terms of the definitive agreement, each share of CAC common stock issued and outstanding as of the effective date was converted into the right to receive 444.4783 shares of First Busey common stock and $14,173.96 in cash, which reflects adjustments made to the cash consideration in accordance with the terms of the definitive agreement. The fair value of the common shares of First Busey issued as part of the consideration paid to the holders of CAC common stock was determined on the basis of the closing price of First Busey’s common stock on May 28, 2021, the last trading day immediately preceding the acquisition date of May 31, 2021. As additional consideration provided to CAC’s shareholders in the merger, CAC paid a special dividend to its shareholders in the amount of $60.0 million, or $12,087.58 per share of CAC common stock, on May 28, 2021.</w:t>
      </w:r>
    </w:p>
    <w:p>
      <w:pPr>
        <w:spacing w:after="0" w:line="167"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This transaction was accounted for using the acquisition method of accounting and, accordingly, assets acquired, liabilities assumed, and consideration exchanged was recorded at estimated fair values on the date of acquisition. Fair values were subject to refinement for up to one year after the closing date as additional information regarding the closing date fair values became available. There were no fair value adjustments recorded during the three or six months ended June 30, 2022, and fair values are now final.</w:t>
      </w:r>
    </w:p>
    <w:p>
      <w:pPr>
        <w:spacing w:after="0" w:line="176"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As the total consideration paid for CAC exceeded the estimated fair value of net assets acquired, goodwill of $6.3 million was recorded as a result of the acquisition. The amount of goodwill recognized as a result of this transaction is expected to be fully tax deductible for federal income tax purposes in accordance with the Company’s election pursuant to Section 338(h)(10) of the Internal Revenue Code. Goodwill recorded for this transaction reflects synergies expected from the acquisition and expansion within the Chicago-Naperville-Elgin, IL-IN-WI Metropolitan Statistical Area, and was assigned to the Banking operating segment.</w:t>
      </w:r>
    </w:p>
    <w:p>
      <w:pPr>
        <w:spacing w:after="0" w:line="176"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6"/>
          <w:szCs w:val="16"/>
          <w:color w:val="auto"/>
        </w:rPr>
        <w:t>During the three months ended June 30, 2022, First Busey did not incur any pre-tax acquisition expenses related to the acquisition of CAC. During the six months ended June 30, 2022, First Busey incurred $0.8 million in pre-tax acquisition expenses related to the acquisition of CAC, comprised primarily of compensation expense and data processing expense.</w:t>
      </w: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Estimated fair values of the assets acquired and liabilities assumed, as well as the fair value of consideration transferred,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2"/>
              <w:spacing w:after="0"/>
              <w:rPr>
                <w:sz w:val="20"/>
                <w:szCs w:val="20"/>
                <w:color w:val="auto"/>
              </w:rPr>
            </w:pPr>
            <w:r>
              <w:rPr>
                <w:rFonts w:ascii="Arial" w:cs="Arial" w:eastAsia="Arial" w:hAnsi="Arial"/>
                <w:sz w:val="14"/>
                <w:szCs w:val="14"/>
                <w:b w:val="1"/>
                <w:bCs w:val="1"/>
                <w:color w:val="auto"/>
              </w:rPr>
              <w:t>CAC</w:t>
            </w:r>
          </w:p>
        </w:tc>
      </w:tr>
      <w:tr>
        <w:trPr>
          <w:trHeight w:val="185"/>
        </w:trPr>
        <w:tc>
          <w:tcPr>
            <w:tcW w:w="78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5"/>
              </w:rPr>
              <w:t>May 31, 2021</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 acquired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Cash and cash equivalents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298,637</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702,367</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Portfolio loans, net of ACL</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430,470</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Premises and equipment</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17,034</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Other intangible assets</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17,340</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Mortgage servicing rights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629</w:t>
            </w:r>
          </w:p>
        </w:tc>
      </w:tr>
      <w:tr>
        <w:trPr>
          <w:trHeight w:val="203"/>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8,176</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 acquired</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1,474,653</w:t>
            </w:r>
          </w:p>
        </w:tc>
      </w:tr>
      <w:tr>
        <w:trPr>
          <w:trHeight w:val="196"/>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assumed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Deposits</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1,315,671</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borrowings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16,651</w:t>
            </w:r>
          </w:p>
        </w:tc>
      </w:tr>
      <w:tr>
        <w:trPr>
          <w:trHeight w:val="202"/>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19,205</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assumed</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1,351,527</w:t>
            </w:r>
          </w:p>
        </w:tc>
      </w:tr>
      <w:tr>
        <w:trPr>
          <w:trHeight w:val="196"/>
        </w:trPr>
        <w:tc>
          <w:tcPr>
            <w:tcW w:w="7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78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Net assets acquired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123,126</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83"/>
        </w:trPr>
        <w:tc>
          <w:tcPr>
            <w:tcW w:w="7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78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Consideration paid:</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Cash</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70,358</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Common stock</w:t>
            </w: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59,105</w:t>
            </w:r>
          </w:p>
        </w:tc>
      </w:tr>
      <w:tr>
        <w:trPr>
          <w:trHeight w:val="236"/>
        </w:trPr>
        <w:tc>
          <w:tcPr>
            <w:tcW w:w="78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consideration paid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129,463</w:t>
            </w:r>
          </w:p>
        </w:tc>
      </w:tr>
      <w:tr>
        <w:trPr>
          <w:trHeight w:val="183"/>
        </w:trPr>
        <w:tc>
          <w:tcPr>
            <w:tcW w:w="7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3"/>
        </w:trPr>
        <w:tc>
          <w:tcPr>
            <w:tcW w:w="7860" w:type="dxa"/>
            <w:vAlign w:val="bottom"/>
          </w:tcPr>
          <w:p>
            <w:pPr>
              <w:ind w:left="20"/>
              <w:spacing w:after="0" w:line="202" w:lineRule="exact"/>
              <w:rPr>
                <w:sz w:val="20"/>
                <w:szCs w:val="20"/>
                <w:color w:val="auto"/>
              </w:rPr>
            </w:pPr>
            <w:r>
              <w:rPr>
                <w:rFonts w:ascii="Arial" w:cs="Arial" w:eastAsia="Arial" w:hAnsi="Arial"/>
                <w:sz w:val="18"/>
                <w:szCs w:val="18"/>
                <w:color w:val="auto"/>
              </w:rPr>
              <w:t>Goodwill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6,337</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fair value of PCD financial assets was $60.5 million on the date of acquisition. Gross contractual amounts receivable relating to the PCD financial assets was $65.2 million. The Company estimated, on the date of acquisition, that $4.2 million of the contractual cash flows specific to the PCD financial assets will not be collected.</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Debt Securities</w:t>
      </w:r>
    </w:p>
    <w:p>
      <w:pPr>
        <w:spacing w:after="0" w:line="202"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 xml:space="preserve">The tables below provide the amortized cost, unrealized gains and losses, and fair values of debt securities summarized by major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7"/>
          </w:tcPr>
          <w:p>
            <w:pPr>
              <w:jc w:val="center"/>
              <w:ind w:right="180"/>
              <w:spacing w:after="0"/>
              <w:rPr>
                <w:sz w:val="20"/>
                <w:szCs w:val="20"/>
                <w:color w:val="auto"/>
              </w:rPr>
            </w:pPr>
            <w:r>
              <w:rPr>
                <w:rFonts w:ascii="Arial" w:cs="Arial" w:eastAsia="Arial" w:hAnsi="Arial"/>
                <w:sz w:val="14"/>
                <w:szCs w:val="14"/>
                <w:b w:val="1"/>
                <w:bCs w:val="1"/>
                <w:color w:val="auto"/>
                <w:w w:val="90"/>
              </w:rPr>
              <w:t>As of June 30, 2022</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40" w:type="dxa"/>
            <w:vAlign w:val="bottom"/>
            <w:tcBorders>
              <w:bottom w:val="single" w:sz="8" w:color="auto"/>
            </w:tcBorders>
            <w:gridSpan w:val="7"/>
          </w:tcPr>
          <w:p>
            <w:pPr>
              <w:jc w:val="center"/>
              <w:ind w:right="140"/>
              <w:spacing w:after="0" w:line="15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w w:val="96"/>
              </w:rPr>
              <w:t>Gross Gains</w:t>
            </w:r>
          </w:p>
        </w:tc>
        <w:tc>
          <w:tcPr>
            <w:tcW w:w="1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900" w:type="dxa"/>
            <w:vAlign w:val="bottom"/>
            <w:tcBorders>
              <w:bottom w:val="single" w:sz="8" w:color="auto"/>
            </w:tcBorders>
            <w:gridSpan w:val="3"/>
          </w:tcPr>
          <w:p>
            <w:pPr>
              <w:jc w:val="right"/>
              <w:ind w:right="60"/>
              <w:spacing w:after="0" w:line="155" w:lineRule="exact"/>
              <w:rPr>
                <w:sz w:val="20"/>
                <w:szCs w:val="20"/>
                <w:color w:val="auto"/>
              </w:rPr>
            </w:pPr>
            <w:r>
              <w:rPr>
                <w:rFonts w:ascii="Arial" w:cs="Arial" w:eastAsia="Arial" w:hAnsi="Arial"/>
                <w:sz w:val="14"/>
                <w:szCs w:val="14"/>
                <w:b w:val="1"/>
                <w:bCs w:val="1"/>
                <w:color w:val="auto"/>
                <w:w w:val="88"/>
              </w:rPr>
              <w:t>Gross Losses</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151,222</w:t>
            </w:r>
          </w:p>
        </w:tc>
        <w:tc>
          <w:tcPr>
            <w:tcW w:w="20" w:type="dxa"/>
            <w:vAlign w:val="bottom"/>
          </w:tcPr>
          <w:p>
            <w:pPr>
              <w:spacing w:after="0"/>
              <w:rPr>
                <w:sz w:val="17"/>
                <w:szCs w:val="17"/>
                <w:color w:val="auto"/>
              </w:rPr>
            </w:pP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20" w:type="dxa"/>
            <w:vAlign w:val="bottom"/>
          </w:tcPr>
          <w:p>
            <w:pPr>
              <w:spacing w:after="0"/>
              <w:rPr>
                <w:sz w:val="17"/>
                <w:szCs w:val="17"/>
                <w:color w:val="auto"/>
              </w:rPr>
            </w:pP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(4,083)</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147,140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29,867</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29,839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305,545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455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(18,388)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287,612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490,932</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(22,803)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468,129</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105,584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(7,222)</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98,362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1,599,774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3"/>
              </w:rPr>
              <w:t>(158,667)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1,441,157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293,667</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49</w:t>
            </w: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right"/>
              <w:ind w:right="20"/>
              <w:spacing w:after="0" w:line="202" w:lineRule="exact"/>
              <w:rPr>
                <w:sz w:val="20"/>
                <w:szCs w:val="20"/>
                <w:color w:val="auto"/>
              </w:rPr>
            </w:pPr>
            <w:r>
              <w:rPr>
                <w:rFonts w:ascii="Arial" w:cs="Arial" w:eastAsia="Arial" w:hAnsi="Arial"/>
                <w:sz w:val="18"/>
                <w:szCs w:val="18"/>
                <w:color w:val="auto"/>
              </w:rPr>
              <w:t>(21,309)</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272,407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2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debt securities available for sale</w:t>
            </w:r>
          </w:p>
        </w:tc>
        <w:tc>
          <w:tcPr>
            <w:tcW w:w="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2,976,591</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608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93"/>
              </w:rPr>
              <w:t>(232,553)</w:t>
            </w:r>
          </w:p>
        </w:tc>
        <w:tc>
          <w:tcPr>
            <w:tcW w:w="1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2,744,646</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Debt securities held to maturity</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492,924</w:t>
            </w:r>
          </w:p>
        </w:tc>
        <w:tc>
          <w:tcPr>
            <w:tcW w:w="20" w:type="dxa"/>
            <w:vAlign w:val="bottom"/>
          </w:tcPr>
          <w:p>
            <w:pPr>
              <w:spacing w:after="0"/>
              <w:rPr>
                <w:sz w:val="17"/>
                <w:szCs w:val="17"/>
                <w:color w:val="auto"/>
              </w:rPr>
            </w:pP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(38,687)</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454,237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460,088</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(37,587)</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422,501</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debt securities held to maturity</w:t>
            </w:r>
          </w:p>
        </w:tc>
        <w:tc>
          <w:tcPr>
            <w:tcW w:w="4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953,012</w:t>
            </w: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(76,274)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876,738</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7"/>
          </w:tcPr>
          <w:p>
            <w:pPr>
              <w:jc w:val="center"/>
              <w:ind w:right="220"/>
              <w:spacing w:after="0"/>
              <w:rPr>
                <w:sz w:val="20"/>
                <w:szCs w:val="20"/>
                <w:color w:val="auto"/>
              </w:rPr>
            </w:pPr>
            <w:r>
              <w:rPr>
                <w:rFonts w:ascii="Arial" w:cs="Arial" w:eastAsia="Arial" w:hAnsi="Arial"/>
                <w:sz w:val="14"/>
                <w:szCs w:val="14"/>
                <w:b w:val="1"/>
                <w:bCs w:val="1"/>
                <w:color w:val="auto"/>
                <w:w w:val="90"/>
              </w:rPr>
              <w:t>As of December 31, 2021</w:t>
            </w: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60"/>
              <w:spacing w:after="0" w:line="155" w:lineRule="exact"/>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40" w:type="dxa"/>
            <w:vAlign w:val="bottom"/>
            <w:gridSpan w:val="7"/>
          </w:tcPr>
          <w:p>
            <w:pPr>
              <w:jc w:val="center"/>
              <w:ind w:right="220"/>
              <w:spacing w:after="0" w:line="155"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center"/>
              <w:ind w:right="13"/>
              <w:spacing w:after="0" w:line="155"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40"/>
              <w:spacing w:after="0" w:line="155" w:lineRule="exact"/>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Gross Gains</w:t>
            </w:r>
          </w:p>
        </w:tc>
        <w:tc>
          <w:tcPr>
            <w:tcW w:w="12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w w:val="86"/>
              </w:rPr>
              <w:t>Gross Losses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gridSpan w:val="2"/>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U.S. Treasury securities</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166,768</w:t>
            </w:r>
          </w:p>
        </w:tc>
        <w:tc>
          <w:tcPr>
            <w:tcW w:w="20" w:type="dxa"/>
            <w:vAlign w:val="bottom"/>
          </w:tcPr>
          <w:p>
            <w:pPr>
              <w:spacing w:after="0"/>
              <w:rPr>
                <w:sz w:val="17"/>
                <w:szCs w:val="17"/>
                <w:color w:val="auto"/>
              </w:rPr>
            </w:pPr>
          </w:p>
        </w:tc>
        <w:tc>
          <w:tcPr>
            <w:tcW w:w="320" w:type="dxa"/>
            <w:vAlign w:val="bottom"/>
            <w:gridSpan w:val="3"/>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41</w:t>
            </w:r>
          </w:p>
        </w:tc>
        <w:tc>
          <w:tcPr>
            <w:tcW w:w="20" w:type="dxa"/>
            <w:vAlign w:val="bottom"/>
          </w:tcPr>
          <w:p>
            <w:pPr>
              <w:spacing w:after="0"/>
              <w:rPr>
                <w:sz w:val="17"/>
                <w:szCs w:val="17"/>
                <w:color w:val="auto"/>
              </w:rPr>
            </w:pPr>
          </w:p>
        </w:tc>
        <w:tc>
          <w:tcPr>
            <w:tcW w:w="320" w:type="dxa"/>
            <w:vAlign w:val="bottom"/>
            <w:gridSpan w:val="3"/>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(1,047)</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165,762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37,579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38,470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300,602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7,760</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(1,493)</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306,869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Asset-backed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492,055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Commercial mortgage-backed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625,339</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3,425</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(13,766)</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614,998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47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Residential mortgage-backed securities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2,095,104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8,889</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(34,680)</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2,069,313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20" w:type="dxa"/>
            <w:vAlign w:val="bottom"/>
          </w:tcPr>
          <w:p>
            <w:pPr>
              <w:ind w:left="200"/>
              <w:spacing w:after="0" w:line="202" w:lineRule="exact"/>
              <w:rPr>
                <w:sz w:val="20"/>
                <w:szCs w:val="20"/>
                <w:color w:val="auto"/>
              </w:rPr>
            </w:pPr>
            <w:r>
              <w:rPr>
                <w:rFonts w:ascii="Arial" w:cs="Arial" w:eastAsia="Arial" w:hAnsi="Arial"/>
                <w:sz w:val="18"/>
                <w:szCs w:val="18"/>
                <w:color w:val="auto"/>
              </w:rPr>
              <w:t>Corporate debt securities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296,076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1,081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(3,504)</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293,653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debt securities available for sale</w:t>
            </w:r>
          </w:p>
        </w:tc>
        <w:tc>
          <w:tcPr>
            <w:tcW w:w="1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4,013,523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22,382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27"/>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(54,654)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3,981,251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gridSpan w:val="2"/>
            <w:vMerge w:val="restart"/>
          </w:tcPr>
          <w:p>
            <w:pPr>
              <w:jc w:val="right"/>
              <w:ind w:right="90"/>
              <w:spacing w:after="0"/>
              <w:rPr>
                <w:sz w:val="20"/>
                <w:szCs w:val="20"/>
                <w:color w:val="auto"/>
              </w:rPr>
            </w:pPr>
            <w:r>
              <w:rPr>
                <w:rFonts w:ascii="Arial" w:cs="Arial" w:eastAsia="Arial" w:hAnsi="Arial"/>
                <w:sz w:val="18"/>
                <w:szCs w:val="18"/>
                <w:color w:val="auto"/>
              </w:rPr>
              <w:t>18</w:t>
            </w: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74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Maturities of debt securities</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 xml:space="preserve">Amortized cost and fair value of debt securities, by contractual maturity or pre-refunded date, are shown below. Mortgages underlying mortgage-backed securities and asset-backed securities may be called or prepaid; therefore, actual maturities could differ from the contractual maturities. All mortgage-backed securities were issued by U.S. government corporations and agencies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9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4"/>
          </w:tcPr>
          <w:p>
            <w:pPr>
              <w:jc w:val="right"/>
              <w:ind w:right="313"/>
              <w:spacing w:after="0"/>
              <w:rPr>
                <w:sz w:val="20"/>
                <w:szCs w:val="20"/>
                <w:color w:val="auto"/>
              </w:rPr>
            </w:pPr>
            <w:r>
              <w:rPr>
                <w:rFonts w:ascii="Arial" w:cs="Arial" w:eastAsia="Arial" w:hAnsi="Arial"/>
                <w:sz w:val="14"/>
                <w:szCs w:val="14"/>
                <w:b w:val="1"/>
                <w:bCs w:val="1"/>
                <w:color w:val="auto"/>
              </w:rPr>
              <w:t>As of June 30, 2022</w:t>
            </w:r>
          </w:p>
        </w:tc>
      </w:tr>
      <w:tr>
        <w:trPr>
          <w:trHeight w:val="133"/>
        </w:trPr>
        <w:tc>
          <w:tcPr>
            <w:tcW w:w="6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1"/>
                <w:szCs w:val="11"/>
                <w:color w:val="auto"/>
              </w:rPr>
            </w:pPr>
          </w:p>
        </w:tc>
        <w:tc>
          <w:tcPr>
            <w:tcW w:w="800" w:type="dxa"/>
            <w:vAlign w:val="bottom"/>
          </w:tcPr>
          <w:p>
            <w:pPr>
              <w:jc w:val="right"/>
              <w:ind w:right="233"/>
              <w:spacing w:after="0" w:line="133" w:lineRule="exact"/>
              <w:rPr>
                <w:sz w:val="20"/>
                <w:szCs w:val="20"/>
                <w:color w:val="auto"/>
              </w:rPr>
            </w:pPr>
            <w:r>
              <w:rPr>
                <w:rFonts w:ascii="Arial" w:cs="Arial" w:eastAsia="Arial" w:hAnsi="Arial"/>
                <w:sz w:val="14"/>
                <w:szCs w:val="14"/>
                <w:b w:val="1"/>
                <w:bCs w:val="1"/>
                <w:color w:val="auto"/>
              </w:rPr>
              <w:t>Fair</w:t>
            </w:r>
          </w:p>
        </w:tc>
      </w:tr>
      <w:tr>
        <w:trPr>
          <w:trHeight w:val="185"/>
        </w:trPr>
        <w:tc>
          <w:tcPr>
            <w:tcW w:w="6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6"/>
                <w:szCs w:val="16"/>
                <w:color w:val="auto"/>
              </w:rPr>
            </w:pPr>
          </w:p>
        </w:tc>
        <w:tc>
          <w:tcPr>
            <w:tcW w:w="800" w:type="dxa"/>
            <w:vAlign w:val="bottom"/>
          </w:tcPr>
          <w:p>
            <w:pPr>
              <w:jc w:val="right"/>
              <w:ind w:right="193"/>
              <w:spacing w:after="0"/>
              <w:rPr>
                <w:sz w:val="20"/>
                <w:szCs w:val="20"/>
                <w:color w:val="auto"/>
              </w:rPr>
            </w:pPr>
            <w:r>
              <w:rPr>
                <w:rFonts w:ascii="Arial" w:cs="Arial" w:eastAsia="Arial" w:hAnsi="Arial"/>
                <w:sz w:val="14"/>
                <w:szCs w:val="14"/>
                <w:b w:val="1"/>
                <w:bCs w:val="1"/>
                <w:color w:val="auto"/>
              </w:rPr>
              <w:t>Value</w:t>
            </w:r>
          </w:p>
        </w:tc>
      </w:tr>
      <w:tr>
        <w:trPr>
          <w:trHeight w:val="196"/>
        </w:trPr>
        <w:tc>
          <w:tcPr>
            <w:tcW w:w="6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Due in one year or less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191,190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189,295</w:t>
            </w:r>
          </w:p>
        </w:tc>
      </w:tr>
      <w:tr>
        <w:trPr>
          <w:trHeight w:val="203"/>
        </w:trPr>
        <w:tc>
          <w:tcPr>
            <w:tcW w:w="6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one year through five years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421,603</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399,194</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Due after five years through ten years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326,834</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307,336</w:t>
            </w:r>
          </w:p>
        </w:tc>
      </w:tr>
      <w:tr>
        <w:trPr>
          <w:trHeight w:val="203"/>
        </w:trPr>
        <w:tc>
          <w:tcPr>
            <w:tcW w:w="6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ten years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2,036,964</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1,848,821</w:t>
            </w:r>
          </w:p>
        </w:tc>
      </w:tr>
      <w:tr>
        <w:trPr>
          <w:trHeight w:val="236"/>
        </w:trPr>
        <w:tc>
          <w:tcPr>
            <w:tcW w:w="692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Debt securities available for sale</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2,976,591</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2,744,646</w:t>
            </w:r>
          </w:p>
        </w:tc>
      </w:tr>
      <w:tr>
        <w:trPr>
          <w:trHeight w:val="183"/>
        </w:trPr>
        <w:tc>
          <w:tcPr>
            <w:tcW w:w="6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3"/>
        </w:trPr>
        <w:tc>
          <w:tcPr>
            <w:tcW w:w="69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Debt securities held to maturity</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one year through five years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48,232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46,533</w:t>
            </w:r>
          </w:p>
        </w:tc>
      </w:tr>
      <w:tr>
        <w:trPr>
          <w:trHeight w:val="203"/>
        </w:trPr>
        <w:tc>
          <w:tcPr>
            <w:tcW w:w="6920" w:type="dxa"/>
            <w:vAlign w:val="bottom"/>
          </w:tcPr>
          <w:p>
            <w:pPr>
              <w:ind w:left="220"/>
              <w:spacing w:after="0" w:line="202" w:lineRule="exact"/>
              <w:rPr>
                <w:sz w:val="20"/>
                <w:szCs w:val="20"/>
                <w:color w:val="auto"/>
              </w:rPr>
            </w:pPr>
            <w:r>
              <w:rPr>
                <w:rFonts w:ascii="Arial" w:cs="Arial" w:eastAsia="Arial" w:hAnsi="Arial"/>
                <w:sz w:val="18"/>
                <w:szCs w:val="18"/>
                <w:color w:val="auto"/>
              </w:rPr>
              <w:t>Due after five years through ten years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66,107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61,995</w:t>
            </w:r>
          </w:p>
        </w:tc>
      </w:tr>
      <w:tr>
        <w:trPr>
          <w:trHeight w:val="203"/>
        </w:trPr>
        <w:tc>
          <w:tcPr>
            <w:tcW w:w="69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Due after ten years</w:t>
            </w: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838,673</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768,210</w:t>
            </w:r>
          </w:p>
        </w:tc>
      </w:tr>
      <w:tr>
        <w:trPr>
          <w:trHeight w:val="196"/>
        </w:trPr>
        <w:tc>
          <w:tcPr>
            <w:tcW w:w="6920" w:type="dxa"/>
            <w:vAlign w:val="bottom"/>
          </w:tcPr>
          <w:p>
            <w:pPr>
              <w:ind w:left="20"/>
              <w:spacing w:after="0" w:line="196" w:lineRule="exact"/>
              <w:rPr>
                <w:sz w:val="20"/>
                <w:szCs w:val="20"/>
                <w:color w:val="auto"/>
              </w:rPr>
            </w:pPr>
            <w:r>
              <w:rPr>
                <w:rFonts w:ascii="Arial" w:cs="Arial" w:eastAsia="Arial" w:hAnsi="Arial"/>
                <w:sz w:val="18"/>
                <w:szCs w:val="18"/>
                <w:color w:val="auto"/>
              </w:rPr>
              <w:t>Debt securities held to maturity</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953,012</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876,738</w:t>
            </w:r>
          </w:p>
        </w:tc>
      </w:tr>
      <w:tr>
        <w:trPr>
          <w:trHeight w:val="20"/>
        </w:trPr>
        <w:tc>
          <w:tcPr>
            <w:tcW w:w="6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debt securities</w:t>
      </w:r>
    </w:p>
    <w:p>
      <w:pPr>
        <w:spacing w:after="0" w:line="19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Realized gains and losses related to sales and calls of debt securities available for sale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160" w:type="dxa"/>
            <w:vAlign w:val="bottom"/>
            <w:gridSpan w:val="6"/>
          </w:tcPr>
          <w:p>
            <w:pPr>
              <w:jc w:val="right"/>
              <w:ind w:right="240"/>
              <w:spacing w:after="0"/>
              <w:rPr>
                <w:sz w:val="20"/>
                <w:szCs w:val="20"/>
                <w:color w:val="auto"/>
              </w:rPr>
            </w:pPr>
            <w:r>
              <w:rPr>
                <w:rFonts w:ascii="Arial" w:cs="Arial" w:eastAsia="Arial" w:hAnsi="Arial"/>
                <w:sz w:val="14"/>
                <w:szCs w:val="14"/>
                <w:b w:val="1"/>
                <w:bCs w:val="1"/>
                <w:color w:val="auto"/>
                <w:w w:val="95"/>
              </w:rPr>
              <w:t>Three Months Ended June 30,</w:t>
            </w:r>
          </w:p>
        </w:tc>
        <w:tc>
          <w:tcPr>
            <w:tcW w:w="120" w:type="dxa"/>
            <w:vAlign w:val="bottom"/>
          </w:tcPr>
          <w:p>
            <w:pPr>
              <w:spacing w:after="0"/>
              <w:rPr>
                <w:sz w:val="16"/>
                <w:szCs w:val="16"/>
                <w:color w:val="auto"/>
              </w:rPr>
            </w:pPr>
          </w:p>
        </w:tc>
        <w:tc>
          <w:tcPr>
            <w:tcW w:w="1880" w:type="dxa"/>
            <w:vAlign w:val="bottom"/>
            <w:gridSpan w:val="4"/>
          </w:tcPr>
          <w:p>
            <w:pPr>
              <w:jc w:val="right"/>
              <w:ind w:right="75"/>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55"/>
        </w:trPr>
        <w:tc>
          <w:tcPr>
            <w:tcW w:w="2240" w:type="dxa"/>
            <w:vAlign w:val="bottom"/>
            <w:tcBorders>
              <w:bottom w:val="single" w:sz="8" w:color="CCEEFF"/>
            </w:tcBorders>
          </w:tcPr>
          <w:p>
            <w:pPr>
              <w:spacing w:after="0"/>
              <w:rPr>
                <w:sz w:val="13"/>
                <w:szCs w:val="13"/>
                <w:color w:val="auto"/>
              </w:rPr>
            </w:pPr>
          </w:p>
        </w:tc>
        <w:tc>
          <w:tcPr>
            <w:tcW w:w="2500" w:type="dxa"/>
            <w:vAlign w:val="bottom"/>
            <w:tcBorders>
              <w:bottom w:val="single" w:sz="8" w:color="CCEEFF"/>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26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37"/>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74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Realized gains and losses on debt securities</w:t>
            </w: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03"/>
        </w:trPr>
        <w:tc>
          <w:tcPr>
            <w:tcW w:w="47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Gross gains on debt securities</w:t>
            </w:r>
          </w:p>
        </w:tc>
        <w:tc>
          <w:tcPr>
            <w:tcW w:w="680" w:type="dxa"/>
            <w:vAlign w:val="bottom"/>
          </w:tcPr>
          <w:p>
            <w:pPr>
              <w:jc w:val="right"/>
              <w:ind w:right="499"/>
              <w:spacing w:after="0" w:line="202" w:lineRule="exact"/>
              <w:rPr>
                <w:sz w:val="20"/>
                <w:szCs w:val="20"/>
                <w:color w:val="auto"/>
              </w:rPr>
            </w:pPr>
            <w:r>
              <w:rPr>
                <w:rFonts w:ascii="Arial" w:cs="Arial" w:eastAsia="Arial" w:hAnsi="Arial"/>
                <w:sz w:val="18"/>
                <w:szCs w:val="18"/>
                <w:color w:val="auto"/>
                <w:w w:val="79"/>
              </w:rPr>
              <w:t>$</w:t>
            </w:r>
          </w:p>
        </w:tc>
        <w:tc>
          <w:tcPr>
            <w:tcW w:w="2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499</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114</w:t>
            </w:r>
          </w:p>
        </w:tc>
        <w:tc>
          <w:tcPr>
            <w:tcW w:w="140" w:type="dxa"/>
            <w:vAlign w:val="bottom"/>
          </w:tcPr>
          <w:p>
            <w:pPr>
              <w:spacing w:after="0"/>
              <w:rPr>
                <w:sz w:val="17"/>
                <w:szCs w:val="17"/>
                <w:color w:val="auto"/>
              </w:rPr>
            </w:pP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524</w:t>
            </w:r>
          </w:p>
        </w:tc>
      </w:tr>
      <w:tr>
        <w:trPr>
          <w:trHeight w:val="203"/>
        </w:trPr>
        <w:tc>
          <w:tcPr>
            <w:tcW w:w="47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Gross (losses) on debt securities</w:t>
            </w:r>
          </w:p>
        </w:tc>
        <w:tc>
          <w:tcPr>
            <w:tcW w:w="680" w:type="dxa"/>
            <w:vAlign w:val="bottom"/>
            <w:shd w:val="clear" w:color="auto" w:fill="CCEEFF"/>
          </w:tcPr>
          <w:p>
            <w:pPr>
              <w:spacing w:after="0"/>
              <w:rPr>
                <w:sz w:val="17"/>
                <w:szCs w:val="17"/>
                <w:color w:val="auto"/>
              </w:rPr>
            </w:pPr>
          </w:p>
        </w:tc>
        <w:tc>
          <w:tcPr>
            <w:tcW w:w="40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(405)</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(12)</w:t>
            </w:r>
          </w:p>
        </w:tc>
        <w:tc>
          <w:tcPr>
            <w:tcW w:w="2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r>
      <w:tr>
        <w:trPr>
          <w:trHeight w:val="196"/>
        </w:trPr>
        <w:tc>
          <w:tcPr>
            <w:tcW w:w="4740" w:type="dxa"/>
            <w:vAlign w:val="bottom"/>
            <w:gridSpan w:val="2"/>
          </w:tcPr>
          <w:p>
            <w:pPr>
              <w:ind w:left="20"/>
              <w:spacing w:after="0" w:line="195" w:lineRule="exact"/>
              <w:rPr>
                <w:sz w:val="20"/>
                <w:szCs w:val="20"/>
                <w:color w:val="auto"/>
              </w:rPr>
            </w:pPr>
            <w:r>
              <w:rPr>
                <w:rFonts w:ascii="Arial" w:cs="Arial" w:eastAsia="Arial" w:hAnsi="Arial"/>
                <w:sz w:val="16"/>
                <w:szCs w:val="16"/>
                <w:color w:val="auto"/>
              </w:rPr>
              <w:t xml:space="preserve">Realized net gains (losses) on debt securities </w:t>
            </w:r>
            <w:r>
              <w:rPr>
                <w:rFonts w:ascii="Arial" w:cs="Arial" w:eastAsia="Arial" w:hAnsi="Arial"/>
                <w:sz w:val="22"/>
                <w:szCs w:val="22"/>
                <w:color w:val="auto"/>
                <w:vertAlign w:val="superscript"/>
              </w:rPr>
              <w:t>(1)</w:t>
            </w:r>
          </w:p>
        </w:tc>
        <w:tc>
          <w:tcPr>
            <w:tcW w:w="680" w:type="dxa"/>
            <w:vAlign w:val="bottom"/>
            <w:tcBorders>
              <w:top w:val="single" w:sz="8" w:color="auto"/>
              <w:bottom w:val="single" w:sz="8" w:color="auto"/>
            </w:tcBorders>
          </w:tcPr>
          <w:p>
            <w:pPr>
              <w:jc w:val="right"/>
              <w:ind w:right="499"/>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102</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119</w:t>
            </w:r>
          </w:p>
        </w:tc>
      </w:tr>
      <w:tr>
        <w:trPr>
          <w:trHeight w:val="20"/>
        </w:trPr>
        <w:tc>
          <w:tcPr>
            <w:tcW w:w="2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25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r>
    </w:tbl>
    <w:p>
      <w:pPr>
        <w:spacing w:after="0" w:line="76" w:lineRule="exact"/>
        <w:rPr>
          <w:sz w:val="20"/>
          <w:szCs w:val="20"/>
          <w:color w:val="auto"/>
        </w:rPr>
      </w:pPr>
    </w:p>
    <w:p>
      <w:pPr>
        <w:ind w:left="480" w:right="79" w:hanging="322"/>
        <w:spacing w:after="0" w:line="273" w:lineRule="auto"/>
        <w:tabs>
          <w:tab w:leader="none" w:pos="480" w:val="left"/>
        </w:tabs>
        <w:numPr>
          <w:ilvl w:val="0"/>
          <w:numId w:val="4"/>
        </w:numPr>
        <w:rPr>
          <w:rFonts w:ascii="Arial" w:cs="Arial" w:eastAsia="Arial" w:hAnsi="Arial"/>
          <w:sz w:val="11"/>
          <w:szCs w:val="11"/>
          <w:color w:val="auto"/>
        </w:rPr>
      </w:pPr>
      <w:r>
        <w:rPr>
          <w:rFonts w:ascii="Arial" w:cs="Arial" w:eastAsia="Arial" w:hAnsi="Arial"/>
          <w:sz w:val="14"/>
          <w:szCs w:val="14"/>
          <w:color w:val="auto"/>
        </w:rPr>
        <w:t>Net gains (losses) on sales of securities reported in the unaudited Consolidated Statements of Income include sales of equity securities, excluded in this table.</w:t>
      </w:r>
    </w:p>
    <w:p>
      <w:pPr>
        <w:spacing w:after="0" w:line="165"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6"/>
          <w:szCs w:val="16"/>
          <w:color w:val="auto"/>
        </w:rPr>
        <w:t>Debt securities with carrying amounts of $685.2 million on June 30, 2022, and $708.9 million on December 31, 2021, were pledged as collateral for public deposits, securities sold under agreements to repurchase, and for other purposes as required.</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securities in an unrealized loss position</w:t>
      </w:r>
    </w:p>
    <w:p>
      <w:pPr>
        <w:spacing w:after="0" w:line="198" w:lineRule="exact"/>
        <w:rPr>
          <w:sz w:val="20"/>
          <w:szCs w:val="20"/>
          <w:color w:val="auto"/>
        </w:rPr>
      </w:pPr>
    </w:p>
    <w:p>
      <w:pPr>
        <w:ind w:left="60" w:right="79"/>
        <w:spacing w:after="0" w:line="291" w:lineRule="auto"/>
        <w:rPr>
          <w:sz w:val="20"/>
          <w:szCs w:val="20"/>
          <w:color w:val="auto"/>
        </w:rPr>
      </w:pPr>
      <w:r>
        <w:rPr>
          <w:rFonts w:ascii="Arial" w:cs="Arial" w:eastAsia="Arial" w:hAnsi="Arial"/>
          <w:sz w:val="17"/>
          <w:szCs w:val="17"/>
          <w:color w:val="auto"/>
        </w:rPr>
        <w:t xml:space="preserve">The following information pertains to debt securities with gross unrealized losses, aggregated by investment category and the length of time that individual securities have been in a continuous loss position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7"/>
          </w:tcPr>
          <w:p>
            <w:pPr>
              <w:ind w:left="60"/>
              <w:spacing w:after="0"/>
              <w:rPr>
                <w:sz w:val="20"/>
                <w:szCs w:val="20"/>
                <w:color w:val="auto"/>
              </w:rPr>
            </w:pPr>
            <w:r>
              <w:rPr>
                <w:rFonts w:ascii="Arial" w:cs="Arial" w:eastAsia="Arial" w:hAnsi="Arial"/>
                <w:sz w:val="14"/>
                <w:szCs w:val="14"/>
                <w:b w:val="1"/>
                <w:bCs w:val="1"/>
                <w:color w:val="auto"/>
              </w:rPr>
              <w:t>As of June 30, 2022</w:t>
            </w: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8"/>
          </w:tcPr>
          <w:p>
            <w:pPr>
              <w:ind w:left="20"/>
              <w:spacing w:after="0" w:line="155" w:lineRule="exact"/>
              <w:rPr>
                <w:sz w:val="20"/>
                <w:szCs w:val="20"/>
                <w:color w:val="auto"/>
              </w:rPr>
            </w:pPr>
            <w:r>
              <w:rPr>
                <w:rFonts w:ascii="Arial" w:cs="Arial" w:eastAsia="Arial" w:hAnsi="Arial"/>
                <w:sz w:val="14"/>
                <w:szCs w:val="14"/>
                <w:b w:val="1"/>
                <w:bCs w:val="1"/>
                <w:color w:val="auto"/>
              </w:rPr>
              <w:t>Less than 12 months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gridSpan w:val="7"/>
          </w:tcPr>
          <w:p>
            <w:pPr>
              <w:ind w:left="60"/>
              <w:spacing w:after="0" w:line="155" w:lineRule="exact"/>
              <w:rPr>
                <w:sz w:val="20"/>
                <w:szCs w:val="20"/>
                <w:color w:val="auto"/>
              </w:rPr>
            </w:pPr>
            <w:r>
              <w:rPr>
                <w:rFonts w:ascii="Arial" w:cs="Arial" w:eastAsia="Arial" w:hAnsi="Arial"/>
                <w:sz w:val="14"/>
                <w:szCs w:val="14"/>
                <w:b w:val="1"/>
                <w:bCs w:val="1"/>
                <w:color w:val="auto"/>
              </w:rPr>
              <w:t>12 months or more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5"/>
          </w:tcPr>
          <w:p>
            <w:pPr>
              <w:jc w:val="right"/>
              <w:ind w:right="68"/>
              <w:spacing w:after="0" w:line="155" w:lineRule="exact"/>
              <w:rPr>
                <w:sz w:val="20"/>
                <w:szCs w:val="20"/>
                <w:color w:val="auto"/>
              </w:rPr>
            </w:pPr>
            <w:r>
              <w:rPr>
                <w:rFonts w:ascii="Arial" w:cs="Arial" w:eastAsia="Arial" w:hAnsi="Arial"/>
                <w:sz w:val="14"/>
                <w:szCs w:val="14"/>
                <w:b w:val="1"/>
                <w:bCs w:val="1"/>
                <w:color w:val="auto"/>
              </w:rPr>
              <w:t>Total</w:t>
            </w: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3"/>
          </w:tcPr>
          <w:p>
            <w:pPr>
              <w:jc w:val="right"/>
              <w:ind w:right="12"/>
              <w:spacing w:after="0" w:line="133"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ind w:left="60"/>
              <w:spacing w:after="0" w:line="133" w:lineRule="exact"/>
              <w:rPr>
                <w:sz w:val="20"/>
                <w:szCs w:val="20"/>
                <w:color w:val="auto"/>
              </w:rPr>
            </w:pPr>
            <w:r>
              <w:rPr>
                <w:rFonts w:ascii="Arial" w:cs="Arial" w:eastAsia="Arial" w:hAnsi="Arial"/>
                <w:sz w:val="14"/>
                <w:szCs w:val="14"/>
                <w:b w:val="1"/>
                <w:bCs w:val="1"/>
                <w:color w:val="auto"/>
              </w:rPr>
              <w:t>Fair</w:t>
            </w:r>
          </w:p>
        </w:tc>
        <w:tc>
          <w:tcPr>
            <w:tcW w:w="4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tcPr>
          <w:p>
            <w:pPr>
              <w:jc w:val="right"/>
              <w:spacing w:after="0" w:line="133"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2"/>
          </w:tcPr>
          <w:p>
            <w:pPr>
              <w:jc w:val="right"/>
              <w:ind w:right="12"/>
              <w:spacing w:after="0" w:line="133"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tcPr>
          <w:p>
            <w:pPr>
              <w:jc w:val="right"/>
              <w:ind w:right="216"/>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gridSpan w:val="3"/>
          </w:tcPr>
          <w:p>
            <w:pPr>
              <w:spacing w:after="0"/>
              <w:rPr>
                <w:sz w:val="20"/>
                <w:szCs w:val="20"/>
                <w:color w:val="auto"/>
              </w:rPr>
            </w:pPr>
            <w:r>
              <w:rPr>
                <w:rFonts w:ascii="Arial" w:cs="Arial" w:eastAsia="Arial" w:hAnsi="Arial"/>
                <w:sz w:val="14"/>
                <w:szCs w:val="14"/>
                <w:b w:val="1"/>
                <w:bCs w:val="1"/>
                <w:color w:val="auto"/>
              </w:rPr>
              <w:t>Losses</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86"/>
              </w:rPr>
              <w:t>Losses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Value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52"/>
              <w:spacing w:after="0"/>
              <w:rPr>
                <w:sz w:val="20"/>
                <w:szCs w:val="20"/>
                <w:color w:val="auto"/>
              </w:rPr>
            </w:pPr>
            <w:r>
              <w:rPr>
                <w:rFonts w:ascii="Arial" w:cs="Arial" w:eastAsia="Arial" w:hAnsi="Arial"/>
                <w:sz w:val="14"/>
                <w:szCs w:val="14"/>
                <w:b w:val="1"/>
                <w:bCs w:val="1"/>
                <w:color w:val="auto"/>
                <w:w w:val="86"/>
              </w:rPr>
              <w:t>Losses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12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79"/>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21,976</w:t>
            </w:r>
          </w:p>
        </w:tc>
        <w:tc>
          <w:tcPr>
            <w:tcW w:w="220" w:type="dxa"/>
            <w:vAlign w:val="bottom"/>
            <w:gridSpan w:val="3"/>
          </w:tcPr>
          <w:p>
            <w:pPr>
              <w:jc w:val="center"/>
              <w:ind w:left="50"/>
              <w:spacing w:after="0" w:line="202" w:lineRule="exact"/>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tcPr>
          <w:p>
            <w:pPr>
              <w:spacing w:after="0"/>
              <w:rPr>
                <w:sz w:val="17"/>
                <w:szCs w:val="17"/>
                <w:color w:val="auto"/>
              </w:rPr>
            </w:pPr>
          </w:p>
        </w:tc>
        <w:tc>
          <w:tcPr>
            <w:tcW w:w="80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89"/>
              </w:rPr>
              <w:t>$ 124,094</w:t>
            </w:r>
          </w:p>
        </w:tc>
        <w:tc>
          <w:tcPr>
            <w:tcW w:w="120" w:type="dxa"/>
            <w:vAlign w:val="bottom"/>
          </w:tcPr>
          <w:p>
            <w:pPr>
              <w:spacing w:after="0"/>
              <w:rPr>
                <w:sz w:val="17"/>
                <w:szCs w:val="17"/>
                <w:color w:val="auto"/>
              </w:rPr>
            </w:pPr>
          </w:p>
        </w:tc>
        <w:tc>
          <w:tcPr>
            <w:tcW w:w="16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7"/>
                <w:szCs w:val="17"/>
                <w:color w:val="auto"/>
              </w:rPr>
            </w:pP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w w:val="91"/>
              </w:rPr>
              <w:t>(3,929)</w:t>
            </w:r>
          </w:p>
        </w:tc>
        <w:tc>
          <w:tcPr>
            <w:tcW w:w="10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146,070</w:t>
            </w:r>
          </w:p>
        </w:tc>
        <w:tc>
          <w:tcPr>
            <w:tcW w:w="80" w:type="dxa"/>
            <w:vAlign w:val="bottom"/>
          </w:tcPr>
          <w:p>
            <w:pPr>
              <w:spacing w:after="0"/>
              <w:rPr>
                <w:sz w:val="17"/>
                <w:szCs w:val="17"/>
                <w:color w:val="auto"/>
              </w:rPr>
            </w:pPr>
          </w:p>
        </w:tc>
        <w:tc>
          <w:tcPr>
            <w:tcW w:w="260" w:type="dxa"/>
            <w:vAlign w:val="bottom"/>
            <w:gridSpan w:val="3"/>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(4,083)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Obligations of U.S. government</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corporations and agencies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17,078</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Obligations of states and political</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subdivisions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192,737</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(16,868)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0"/>
              </w:rPr>
              <w:t>11,056</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1"/>
              </w:rPr>
              <w:t>(1,520)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203,793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(18,388)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465,293</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(22,632)</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2,835</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468,128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(22,803)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Commercial mortgage-backed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91,564</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1"/>
              </w:rPr>
              <w:t>(6,560)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98,362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(7,222)</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Residential mortgage-backed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2"/>
              </w:rPr>
              <w:t>1,035,112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(96,222)</w:t>
            </w:r>
          </w:p>
        </w:tc>
        <w:tc>
          <w:tcPr>
            <w:tcW w:w="120" w:type="dxa"/>
            <w:vAlign w:val="bottom"/>
            <w:shd w:val="clear" w:color="auto" w:fill="CCEEFF"/>
          </w:tcPr>
          <w:p>
            <w:pPr>
              <w:spacing w:after="0"/>
              <w:rPr>
                <w:sz w:val="18"/>
                <w:szCs w:val="18"/>
                <w:color w:val="auto"/>
              </w:rPr>
            </w:pPr>
          </w:p>
        </w:tc>
        <w:tc>
          <w:tcPr>
            <w:tcW w:w="8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399,554</w:t>
            </w:r>
          </w:p>
        </w:tc>
        <w:tc>
          <w:tcPr>
            <w:tcW w:w="120" w:type="dxa"/>
            <w:vAlign w:val="bottom"/>
            <w:shd w:val="clear" w:color="auto" w:fill="CCEEFF"/>
          </w:tcPr>
          <w:p>
            <w:pPr>
              <w:spacing w:after="0"/>
              <w:rPr>
                <w:sz w:val="18"/>
                <w:szCs w:val="18"/>
                <w:color w:val="auto"/>
              </w:rPr>
            </w:pPr>
          </w:p>
        </w:tc>
        <w:tc>
          <w:tcPr>
            <w:tcW w:w="7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(62,445)</w:t>
            </w:r>
          </w:p>
        </w:tc>
        <w:tc>
          <w:tcPr>
            <w:tcW w:w="10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1,434,666</w:t>
            </w:r>
          </w:p>
        </w:tc>
        <w:tc>
          <w:tcPr>
            <w:tcW w:w="80" w:type="dxa"/>
            <w:vAlign w:val="bottom"/>
            <w:shd w:val="clear" w:color="auto" w:fill="CCEEFF"/>
          </w:tcPr>
          <w:p>
            <w:pPr>
              <w:spacing w:after="0"/>
              <w:rPr>
                <w:sz w:val="18"/>
                <w:szCs w:val="18"/>
                <w:color w:val="auto"/>
              </w:rPr>
            </w:pPr>
          </w:p>
        </w:tc>
        <w:tc>
          <w:tcPr>
            <w:tcW w:w="9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(158,667)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178,170</w:t>
            </w:r>
          </w:p>
        </w:tc>
        <w:tc>
          <w:tcPr>
            <w:tcW w:w="14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gridSpan w:val="3"/>
          </w:tcPr>
          <w:p>
            <w:pPr>
              <w:jc w:val="right"/>
              <w:spacing w:after="0" w:line="202" w:lineRule="exact"/>
              <w:rPr>
                <w:sz w:val="20"/>
                <w:szCs w:val="20"/>
                <w:color w:val="auto"/>
              </w:rPr>
            </w:pPr>
            <w:r>
              <w:rPr>
                <w:rFonts w:ascii="Arial" w:cs="Arial" w:eastAsia="Arial" w:hAnsi="Arial"/>
                <w:sz w:val="18"/>
                <w:szCs w:val="18"/>
                <w:color w:val="auto"/>
              </w:rPr>
              <w:t>(14,790)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0"/>
              </w:rPr>
              <w:t>83,656</w:t>
            </w: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1"/>
              </w:rPr>
              <w:t>(6,519)</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261,826</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8"/>
              </w:rPr>
              <w:t>(21,309)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shd w:val="clear" w:color="auto" w:fill="CCEEFF"/>
          </w:tcPr>
          <w:p>
            <w:pPr>
              <w:spacing w:after="0" w:line="168" w:lineRule="exact"/>
              <w:rPr>
                <w:sz w:val="20"/>
                <w:szCs w:val="20"/>
                <w:color w:val="auto"/>
              </w:rPr>
            </w:pPr>
            <w:r>
              <w:rPr>
                <w:rFonts w:ascii="Arial" w:cs="Arial" w:eastAsia="Arial" w:hAnsi="Arial"/>
                <w:sz w:val="18"/>
                <w:szCs w:val="18"/>
                <w:color w:val="auto"/>
              </w:rPr>
              <w:t>Debt securities available for sale with</w:t>
            </w:r>
          </w:p>
        </w:tc>
        <w:tc>
          <w:tcPr>
            <w:tcW w:w="940" w:type="dxa"/>
            <w:vAlign w:val="bottom"/>
            <w:gridSpan w:val="5"/>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$ 2,001,930</w:t>
            </w:r>
          </w:p>
        </w:tc>
        <w:tc>
          <w:tcPr>
            <w:tcW w:w="1000" w:type="dxa"/>
            <w:vAlign w:val="bottom"/>
            <w:gridSpan w:val="6"/>
            <w:vMerge w:val="restart"/>
            <w:shd w:val="clear" w:color="auto" w:fill="CCEEFF"/>
          </w:tcPr>
          <w:p>
            <w:pPr>
              <w:jc w:val="right"/>
              <w:spacing w:after="0"/>
              <w:rPr>
                <w:sz w:val="20"/>
                <w:szCs w:val="20"/>
                <w:color w:val="auto"/>
              </w:rPr>
            </w:pPr>
            <w:r>
              <w:rPr>
                <w:rFonts w:ascii="Arial" w:cs="Arial" w:eastAsia="Arial" w:hAnsi="Arial"/>
                <w:sz w:val="18"/>
                <w:szCs w:val="18"/>
                <w:color w:val="auto"/>
              </w:rPr>
              <w:t>$ (157,307)</w:t>
            </w:r>
          </w:p>
        </w:tc>
        <w:tc>
          <w:tcPr>
            <w:tcW w:w="120" w:type="dxa"/>
            <w:vAlign w:val="bottom"/>
            <w:shd w:val="clear" w:color="auto" w:fill="CCEEFF"/>
          </w:tcPr>
          <w:p>
            <w:pPr>
              <w:spacing w:after="0"/>
              <w:rPr>
                <w:sz w:val="14"/>
                <w:szCs w:val="14"/>
                <w:color w:val="auto"/>
              </w:rPr>
            </w:pPr>
          </w:p>
        </w:tc>
        <w:tc>
          <w:tcPr>
            <w:tcW w:w="80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$ 627,993</w:t>
            </w:r>
          </w:p>
        </w:tc>
        <w:tc>
          <w:tcPr>
            <w:tcW w:w="120" w:type="dxa"/>
            <w:vAlign w:val="bottom"/>
            <w:shd w:val="clear" w:color="auto" w:fill="CCEEFF"/>
          </w:tcPr>
          <w:p>
            <w:pPr>
              <w:spacing w:after="0"/>
              <w:rPr>
                <w:sz w:val="14"/>
                <w:szCs w:val="14"/>
                <w:color w:val="auto"/>
              </w:rPr>
            </w:pPr>
          </w:p>
        </w:tc>
        <w:tc>
          <w:tcPr>
            <w:tcW w:w="7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 (75,246)</w:t>
            </w:r>
          </w:p>
        </w:tc>
        <w:tc>
          <w:tcPr>
            <w:tcW w:w="100" w:type="dxa"/>
            <w:vAlign w:val="bottom"/>
            <w:shd w:val="clear" w:color="auto" w:fill="CCEEFF"/>
          </w:tcPr>
          <w:p>
            <w:pPr>
              <w:spacing w:after="0"/>
              <w:rPr>
                <w:sz w:val="14"/>
                <w:szCs w:val="14"/>
                <w:color w:val="auto"/>
              </w:rPr>
            </w:pPr>
          </w:p>
        </w:tc>
        <w:tc>
          <w:tcPr>
            <w:tcW w:w="98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4"/>
              </w:rPr>
              <w:t>$ 2,629,923</w:t>
            </w:r>
          </w:p>
        </w:tc>
        <w:tc>
          <w:tcPr>
            <w:tcW w:w="80" w:type="dxa"/>
            <w:vAlign w:val="bottom"/>
            <w:shd w:val="clear" w:color="auto" w:fill="CCEEFF"/>
          </w:tcPr>
          <w:p>
            <w:pPr>
              <w:spacing w:after="0"/>
              <w:rPr>
                <w:sz w:val="14"/>
                <w:szCs w:val="14"/>
                <w:color w:val="auto"/>
              </w:rPr>
            </w:pPr>
          </w:p>
        </w:tc>
        <w:tc>
          <w:tcPr>
            <w:tcW w:w="940" w:type="dxa"/>
            <w:vAlign w:val="bottom"/>
            <w:gridSpan w:val="4"/>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 (232,553)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gross unrealized losses</w:t>
            </w:r>
          </w:p>
        </w:tc>
        <w:tc>
          <w:tcPr>
            <w:tcW w:w="940" w:type="dxa"/>
            <w:vAlign w:val="bottom"/>
            <w:gridSpan w:val="5"/>
            <w:vMerge w:val="continue"/>
            <w:shd w:val="clear" w:color="auto" w:fill="CCEEFF"/>
          </w:tcPr>
          <w:p>
            <w:pPr>
              <w:spacing w:after="0"/>
              <w:rPr>
                <w:sz w:val="17"/>
                <w:szCs w:val="17"/>
                <w:color w:val="auto"/>
              </w:rPr>
            </w:pPr>
          </w:p>
        </w:tc>
        <w:tc>
          <w:tcPr>
            <w:tcW w:w="1000" w:type="dxa"/>
            <w:vAlign w:val="bottom"/>
            <w:gridSpan w:val="6"/>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gridSpan w:val="4"/>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gridSpan w:val="4"/>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4"/>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gridSpan w:val="4"/>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Debt securities held to maturity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tcPr>
          <w:p>
            <w:pPr>
              <w:ind w:left="220"/>
              <w:spacing w:after="0" w:line="189" w:lineRule="exact"/>
              <w:rPr>
                <w:sz w:val="20"/>
                <w:szCs w:val="20"/>
                <w:color w:val="auto"/>
              </w:rPr>
            </w:pPr>
            <w:r>
              <w:rPr>
                <w:rFonts w:ascii="Arial" w:cs="Arial" w:eastAsia="Arial" w:hAnsi="Arial"/>
                <w:sz w:val="18"/>
                <w:szCs w:val="18"/>
                <w:color w:val="auto"/>
              </w:rPr>
              <w:t>Commercial mortgage-backed</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12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3"/>
          </w:tcPr>
          <w:p>
            <w:pPr>
              <w:jc w:val="right"/>
              <w:spacing w:after="0"/>
              <w:rPr>
                <w:sz w:val="20"/>
                <w:szCs w:val="20"/>
                <w:color w:val="auto"/>
              </w:rPr>
            </w:pPr>
            <w:r>
              <w:rPr>
                <w:rFonts w:ascii="Arial" w:cs="Arial" w:eastAsia="Arial" w:hAnsi="Arial"/>
                <w:sz w:val="18"/>
                <w:szCs w:val="18"/>
                <w:color w:val="auto"/>
              </w:rPr>
              <w:t>241,060</w:t>
            </w:r>
          </w:p>
        </w:tc>
        <w:tc>
          <w:tcPr>
            <w:tcW w:w="220" w:type="dxa"/>
            <w:vAlign w:val="bottom"/>
            <w:gridSpan w:val="3"/>
          </w:tcPr>
          <w:p>
            <w:pPr>
              <w:jc w:val="center"/>
              <w:ind w:left="50"/>
              <w:spacing w:after="0"/>
              <w:rPr>
                <w:sz w:val="20"/>
                <w:szCs w:val="20"/>
                <w:color w:val="auto"/>
              </w:rPr>
            </w:pPr>
            <w:r>
              <w:rPr>
                <w:rFonts w:ascii="Arial" w:cs="Arial" w:eastAsia="Arial" w:hAnsi="Arial"/>
                <w:sz w:val="18"/>
                <w:szCs w:val="18"/>
                <w:color w:val="auto"/>
                <w:w w:val="79"/>
              </w:rPr>
              <w:t>$</w:t>
            </w: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(19,840)</w:t>
            </w:r>
          </w:p>
        </w:tc>
        <w:tc>
          <w:tcPr>
            <w:tcW w:w="120" w:type="dxa"/>
            <w:vAlign w:val="bottom"/>
          </w:tcPr>
          <w:p>
            <w:pPr>
              <w:spacing w:after="0"/>
              <w:rPr>
                <w:sz w:val="18"/>
                <w:szCs w:val="18"/>
                <w:color w:val="auto"/>
              </w:rPr>
            </w:pPr>
          </w:p>
        </w:tc>
        <w:tc>
          <w:tcPr>
            <w:tcW w:w="800" w:type="dxa"/>
            <w:vAlign w:val="bottom"/>
            <w:gridSpan w:val="4"/>
          </w:tcPr>
          <w:p>
            <w:pPr>
              <w:jc w:val="right"/>
              <w:spacing w:after="0"/>
              <w:rPr>
                <w:sz w:val="20"/>
                <w:szCs w:val="20"/>
                <w:color w:val="auto"/>
              </w:rPr>
            </w:pPr>
            <w:r>
              <w:rPr>
                <w:rFonts w:ascii="Arial" w:cs="Arial" w:eastAsia="Arial" w:hAnsi="Arial"/>
                <w:sz w:val="18"/>
                <w:szCs w:val="18"/>
                <w:color w:val="auto"/>
                <w:w w:val="89"/>
              </w:rPr>
              <w:t>$ 213,177</w:t>
            </w:r>
          </w:p>
        </w:tc>
        <w:tc>
          <w:tcPr>
            <w:tcW w:w="120" w:type="dxa"/>
            <w:vAlign w:val="bottom"/>
          </w:tcPr>
          <w:p>
            <w:pPr>
              <w:spacing w:after="0"/>
              <w:rPr>
                <w:sz w:val="18"/>
                <w:szCs w:val="18"/>
                <w:color w:val="auto"/>
              </w:rPr>
            </w:pPr>
          </w:p>
        </w:tc>
        <w:tc>
          <w:tcPr>
            <w:tcW w:w="780" w:type="dxa"/>
            <w:vAlign w:val="bottom"/>
            <w:gridSpan w:val="4"/>
          </w:tcPr>
          <w:p>
            <w:pPr>
              <w:jc w:val="right"/>
              <w:spacing w:after="0"/>
              <w:rPr>
                <w:sz w:val="20"/>
                <w:szCs w:val="20"/>
                <w:color w:val="auto"/>
              </w:rPr>
            </w:pPr>
            <w:r>
              <w:rPr>
                <w:rFonts w:ascii="Arial" w:cs="Arial" w:eastAsia="Arial" w:hAnsi="Arial"/>
                <w:sz w:val="18"/>
                <w:szCs w:val="18"/>
                <w:color w:val="auto"/>
                <w:w w:val="92"/>
              </w:rPr>
              <w:t>$ (18,847)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454,237</w:t>
            </w:r>
          </w:p>
        </w:tc>
        <w:tc>
          <w:tcPr>
            <w:tcW w:w="80" w:type="dxa"/>
            <w:vAlign w:val="bottom"/>
          </w:tcPr>
          <w:p>
            <w:pPr>
              <w:spacing w:after="0"/>
              <w:rPr>
                <w:sz w:val="18"/>
                <w:szCs w:val="18"/>
                <w:color w:val="auto"/>
              </w:rPr>
            </w:pPr>
          </w:p>
        </w:tc>
        <w:tc>
          <w:tcPr>
            <w:tcW w:w="260" w:type="dxa"/>
            <w:vAlign w:val="bottom"/>
            <w:gridSpan w:val="3"/>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(38,687)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Residential mortgage-backed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382,897</w:t>
            </w:r>
          </w:p>
        </w:tc>
        <w:tc>
          <w:tcPr>
            <w:tcW w:w="14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(33,909)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39,603</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(3,678)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422,500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(37,587)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line="168" w:lineRule="exact"/>
              <w:rPr>
                <w:sz w:val="20"/>
                <w:szCs w:val="20"/>
                <w:color w:val="auto"/>
              </w:rPr>
            </w:pPr>
            <w:r>
              <w:rPr>
                <w:rFonts w:ascii="Arial" w:cs="Arial" w:eastAsia="Arial" w:hAnsi="Arial"/>
                <w:sz w:val="18"/>
                <w:szCs w:val="18"/>
                <w:color w:val="auto"/>
              </w:rPr>
              <w:t>Debt securities held to maturity with</w:t>
            </w:r>
          </w:p>
        </w:tc>
        <w:tc>
          <w:tcPr>
            <w:tcW w:w="12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79"/>
              </w:rPr>
              <w:t>$</w:t>
            </w:r>
          </w:p>
        </w:tc>
        <w:tc>
          <w:tcPr>
            <w:tcW w:w="820" w:type="dxa"/>
            <w:vAlign w:val="bottom"/>
            <w:gridSpan w:val="3"/>
            <w:vMerge w:val="restart"/>
          </w:tcPr>
          <w:p>
            <w:pPr>
              <w:jc w:val="right"/>
              <w:spacing w:after="0"/>
              <w:rPr>
                <w:sz w:val="20"/>
                <w:szCs w:val="20"/>
                <w:color w:val="auto"/>
              </w:rPr>
            </w:pPr>
            <w:r>
              <w:rPr>
                <w:rFonts w:ascii="Arial" w:cs="Arial" w:eastAsia="Arial" w:hAnsi="Arial"/>
                <w:sz w:val="18"/>
                <w:szCs w:val="18"/>
                <w:color w:val="auto"/>
              </w:rPr>
              <w:t>623,957</w:t>
            </w:r>
          </w:p>
        </w:tc>
        <w:tc>
          <w:tcPr>
            <w:tcW w:w="220" w:type="dxa"/>
            <w:vAlign w:val="bottom"/>
            <w:gridSpan w:val="3"/>
            <w:vMerge w:val="restart"/>
          </w:tcPr>
          <w:p>
            <w:pPr>
              <w:jc w:val="center"/>
              <w:ind w:left="50"/>
              <w:spacing w:after="0"/>
              <w:rPr>
                <w:sz w:val="20"/>
                <w:szCs w:val="20"/>
                <w:color w:val="auto"/>
              </w:rPr>
            </w:pPr>
            <w:r>
              <w:rPr>
                <w:rFonts w:ascii="Arial" w:cs="Arial" w:eastAsia="Arial" w:hAnsi="Arial"/>
                <w:sz w:val="18"/>
                <w:szCs w:val="18"/>
                <w:color w:val="auto"/>
                <w:w w:val="79"/>
              </w:rPr>
              <w:t>$</w:t>
            </w:r>
          </w:p>
        </w:tc>
        <w:tc>
          <w:tcPr>
            <w:tcW w:w="780" w:type="dxa"/>
            <w:vAlign w:val="bottom"/>
            <w:gridSpan w:val="3"/>
            <w:vMerge w:val="restart"/>
          </w:tcPr>
          <w:p>
            <w:pPr>
              <w:jc w:val="right"/>
              <w:spacing w:after="0"/>
              <w:rPr>
                <w:sz w:val="20"/>
                <w:szCs w:val="20"/>
                <w:color w:val="auto"/>
              </w:rPr>
            </w:pPr>
            <w:r>
              <w:rPr>
                <w:rFonts w:ascii="Arial" w:cs="Arial" w:eastAsia="Arial" w:hAnsi="Arial"/>
                <w:sz w:val="18"/>
                <w:szCs w:val="18"/>
                <w:color w:val="auto"/>
              </w:rPr>
              <w:t>(53,749)</w:t>
            </w:r>
          </w:p>
        </w:tc>
        <w:tc>
          <w:tcPr>
            <w:tcW w:w="120" w:type="dxa"/>
            <w:vAlign w:val="bottom"/>
          </w:tcPr>
          <w:p>
            <w:pPr>
              <w:spacing w:after="0"/>
              <w:rPr>
                <w:sz w:val="14"/>
                <w:szCs w:val="14"/>
                <w:color w:val="auto"/>
              </w:rPr>
            </w:pPr>
          </w:p>
        </w:tc>
        <w:tc>
          <w:tcPr>
            <w:tcW w:w="800" w:type="dxa"/>
            <w:vAlign w:val="bottom"/>
            <w:gridSpan w:val="4"/>
            <w:vMerge w:val="restart"/>
          </w:tcPr>
          <w:p>
            <w:pPr>
              <w:jc w:val="right"/>
              <w:spacing w:after="0"/>
              <w:rPr>
                <w:sz w:val="20"/>
                <w:szCs w:val="20"/>
                <w:color w:val="auto"/>
              </w:rPr>
            </w:pPr>
            <w:r>
              <w:rPr>
                <w:rFonts w:ascii="Arial" w:cs="Arial" w:eastAsia="Arial" w:hAnsi="Arial"/>
                <w:sz w:val="18"/>
                <w:szCs w:val="18"/>
                <w:color w:val="auto"/>
                <w:w w:val="89"/>
              </w:rPr>
              <w:t>$ 252,780</w:t>
            </w:r>
          </w:p>
        </w:tc>
        <w:tc>
          <w:tcPr>
            <w:tcW w:w="120" w:type="dxa"/>
            <w:vAlign w:val="bottom"/>
          </w:tcPr>
          <w:p>
            <w:pPr>
              <w:spacing w:after="0"/>
              <w:rPr>
                <w:sz w:val="14"/>
                <w:szCs w:val="14"/>
                <w:color w:val="auto"/>
              </w:rPr>
            </w:pPr>
          </w:p>
        </w:tc>
        <w:tc>
          <w:tcPr>
            <w:tcW w:w="780" w:type="dxa"/>
            <w:vAlign w:val="bottom"/>
            <w:gridSpan w:val="4"/>
            <w:vMerge w:val="restart"/>
          </w:tcPr>
          <w:p>
            <w:pPr>
              <w:jc w:val="right"/>
              <w:spacing w:after="0"/>
              <w:rPr>
                <w:sz w:val="20"/>
                <w:szCs w:val="20"/>
                <w:color w:val="auto"/>
              </w:rPr>
            </w:pPr>
            <w:r>
              <w:rPr>
                <w:rFonts w:ascii="Arial" w:cs="Arial" w:eastAsia="Arial" w:hAnsi="Arial"/>
                <w:sz w:val="18"/>
                <w:szCs w:val="18"/>
                <w:color w:val="auto"/>
                <w:w w:val="92"/>
              </w:rPr>
              <w:t>$ (22,525)</w:t>
            </w:r>
          </w:p>
        </w:tc>
        <w:tc>
          <w:tcPr>
            <w:tcW w:w="100" w:type="dxa"/>
            <w:vAlign w:val="bottom"/>
          </w:tcPr>
          <w:p>
            <w:pPr>
              <w:spacing w:after="0"/>
              <w:rPr>
                <w:sz w:val="14"/>
                <w:szCs w:val="14"/>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w w:val="98"/>
              </w:rPr>
              <w:t>876,737</w:t>
            </w:r>
          </w:p>
        </w:tc>
        <w:tc>
          <w:tcPr>
            <w:tcW w:w="80" w:type="dxa"/>
            <w:vAlign w:val="bottom"/>
          </w:tcPr>
          <w:p>
            <w:pPr>
              <w:spacing w:after="0"/>
              <w:rPr>
                <w:sz w:val="14"/>
                <w:szCs w:val="14"/>
                <w:color w:val="auto"/>
              </w:rPr>
            </w:pPr>
          </w:p>
        </w:tc>
        <w:tc>
          <w:tcPr>
            <w:tcW w:w="260" w:type="dxa"/>
            <w:vAlign w:val="bottom"/>
            <w:gridSpan w:val="3"/>
            <w:vMerge w:val="restart"/>
          </w:tcPr>
          <w:p>
            <w:pPr>
              <w:jc w:val="right"/>
              <w:ind w:right="28"/>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w w:val="98"/>
              </w:rPr>
              <w:t>(76,274)</w:t>
            </w:r>
          </w:p>
        </w:tc>
        <w:tc>
          <w:tcPr>
            <w:tcW w:w="0" w:type="dxa"/>
            <w:vAlign w:val="bottom"/>
          </w:tcPr>
          <w:p>
            <w:pPr>
              <w:spacing w:after="0"/>
              <w:rPr>
                <w:sz w:val="1"/>
                <w:szCs w:val="1"/>
                <w:color w:val="auto"/>
              </w:rPr>
            </w:pPr>
          </w:p>
        </w:tc>
      </w:tr>
      <w:tr>
        <w:trPr>
          <w:trHeight w:val="203"/>
        </w:trPr>
        <w:tc>
          <w:tcPr>
            <w:tcW w:w="30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gross unrealized losses</w:t>
            </w:r>
          </w:p>
        </w:tc>
        <w:tc>
          <w:tcPr>
            <w:tcW w:w="12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20" w:type="dxa"/>
            <w:vAlign w:val="bottom"/>
            <w:gridSpan w:val="3"/>
            <w:vMerge w:val="continue"/>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4"/>
            <w:vMerge w:val="continue"/>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4"/>
            <w:vMerge w:val="continue"/>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gridSpan w:val="3"/>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7"/>
          </w:tcPr>
          <w:p>
            <w:pPr>
              <w:jc w:val="center"/>
              <w:ind w:right="60"/>
              <w:spacing w:after="0"/>
              <w:rPr>
                <w:sz w:val="20"/>
                <w:szCs w:val="20"/>
                <w:color w:val="auto"/>
              </w:rPr>
            </w:pPr>
            <w:r>
              <w:rPr>
                <w:rFonts w:ascii="Arial" w:cs="Arial" w:eastAsia="Arial" w:hAnsi="Arial"/>
                <w:sz w:val="14"/>
                <w:szCs w:val="14"/>
                <w:b w:val="1"/>
                <w:bCs w:val="1"/>
                <w:color w:val="auto"/>
                <w:w w:val="92"/>
              </w:rPr>
              <w:t>As of December 31, 2021</w:t>
            </w: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40" w:type="dxa"/>
            <w:vAlign w:val="bottom"/>
            <w:tcBorders>
              <w:bottom w:val="single" w:sz="8" w:color="auto"/>
            </w:tcBorders>
            <w:gridSpan w:val="8"/>
          </w:tcPr>
          <w:p>
            <w:pPr>
              <w:jc w:val="center"/>
              <w:ind w:right="120"/>
              <w:spacing w:after="0" w:line="155" w:lineRule="exact"/>
              <w:rPr>
                <w:sz w:val="20"/>
                <w:szCs w:val="20"/>
                <w:color w:val="auto"/>
              </w:rPr>
            </w:pPr>
            <w:r>
              <w:rPr>
                <w:rFonts w:ascii="Arial" w:cs="Arial" w:eastAsia="Arial" w:hAnsi="Arial"/>
                <w:sz w:val="14"/>
                <w:szCs w:val="14"/>
                <w:b w:val="1"/>
                <w:bCs w:val="1"/>
                <w:color w:val="auto"/>
                <w:w w:val="90"/>
              </w:rPr>
              <w:t>Less than 12 months</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580" w:type="dxa"/>
            <w:vAlign w:val="bottom"/>
            <w:tcBorders>
              <w:bottom w:val="single" w:sz="8" w:color="auto"/>
            </w:tcBorders>
            <w:gridSpan w:val="7"/>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12 months or more</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5"/>
          </w:tcPr>
          <w:p>
            <w:pPr>
              <w:jc w:val="right"/>
              <w:ind w:right="28"/>
              <w:spacing w:after="0" w:line="155" w:lineRule="exact"/>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jc w:val="right"/>
              <w:ind w:right="36"/>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gridSpan w:val="3"/>
          </w:tcPr>
          <w:p>
            <w:pPr>
              <w:jc w:val="right"/>
              <w:ind w:right="60"/>
              <w:spacing w:after="0" w:line="133" w:lineRule="exact"/>
              <w:rPr>
                <w:sz w:val="20"/>
                <w:szCs w:val="20"/>
                <w:color w:val="auto"/>
              </w:rPr>
            </w:pPr>
            <w:r>
              <w:rPr>
                <w:rFonts w:ascii="Arial" w:cs="Arial" w:eastAsia="Arial" w:hAnsi="Arial"/>
                <w:sz w:val="14"/>
                <w:szCs w:val="14"/>
                <w:b w:val="1"/>
                <w:bCs w:val="1"/>
                <w:color w:val="auto"/>
                <w:w w:val="95"/>
              </w:rPr>
              <w:t>Unrealized</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rPr>
              <w:t>Fair</w:t>
            </w: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3"/>
          </w:tcPr>
          <w:p>
            <w:pPr>
              <w:jc w:val="right"/>
              <w:ind w:right="40"/>
              <w:spacing w:after="0" w:line="133" w:lineRule="exact"/>
              <w:rPr>
                <w:sz w:val="20"/>
                <w:szCs w:val="20"/>
                <w:color w:val="auto"/>
              </w:rPr>
            </w:pPr>
            <w:r>
              <w:rPr>
                <w:rFonts w:ascii="Arial" w:cs="Arial" w:eastAsia="Arial" w:hAnsi="Arial"/>
                <w:sz w:val="14"/>
                <w:szCs w:val="14"/>
                <w:b w:val="1"/>
                <w:bCs w:val="1"/>
                <w:color w:val="auto"/>
                <w:w w:val="93"/>
              </w:rPr>
              <w:t>Unrealized</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jc w:val="right"/>
              <w:ind w:right="320"/>
              <w:spacing w:after="0" w:line="133" w:lineRule="exact"/>
              <w:rPr>
                <w:sz w:val="20"/>
                <w:szCs w:val="20"/>
                <w:color w:val="auto"/>
              </w:rPr>
            </w:pPr>
            <w:r>
              <w:rPr>
                <w:rFonts w:ascii="Arial" w:cs="Arial" w:eastAsia="Arial" w:hAnsi="Arial"/>
                <w:sz w:val="14"/>
                <w:szCs w:val="14"/>
                <w:b w:val="1"/>
                <w:bCs w:val="1"/>
                <w:color w:val="auto"/>
              </w:rPr>
              <w:t>Fair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8"/>
              </w:rPr>
              <w:t>Unrealized</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95"/>
              </w:rPr>
              <w:t>Losses</w:t>
            </w: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Value</w:t>
            </w:r>
          </w:p>
        </w:tc>
        <w:tc>
          <w:tcPr>
            <w:tcW w:w="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w w:val="91"/>
              </w:rPr>
              <w:t>Losses</w:t>
            </w:r>
          </w:p>
        </w:tc>
        <w:tc>
          <w:tcPr>
            <w:tcW w:w="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Value</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5"/>
              </w:rPr>
              <w:t>Losses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Debt securities available for sale</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163,653</w:t>
            </w:r>
          </w:p>
        </w:tc>
        <w:tc>
          <w:tcPr>
            <w:tcW w:w="20" w:type="dxa"/>
            <w:vAlign w:val="bottom"/>
          </w:tcPr>
          <w:p>
            <w:pPr>
              <w:spacing w:after="0"/>
              <w:rPr>
                <w:sz w:val="17"/>
                <w:szCs w:val="17"/>
                <w:color w:val="auto"/>
              </w:rPr>
            </w:pPr>
          </w:p>
        </w:tc>
        <w:tc>
          <w:tcPr>
            <w:tcW w:w="220" w:type="dxa"/>
            <w:vAlign w:val="bottom"/>
            <w:gridSpan w:val="2"/>
          </w:tcPr>
          <w:p>
            <w:pPr>
              <w:ind w:left="120"/>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(1,047)</w:t>
            </w:r>
          </w:p>
        </w:tc>
        <w:tc>
          <w:tcPr>
            <w:tcW w:w="2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163,653</w:t>
            </w:r>
          </w:p>
        </w:tc>
        <w:tc>
          <w:tcPr>
            <w:tcW w:w="2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(1,047)</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Obligations of states and political</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subdivisions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92,680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(1,493)</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92,680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rPr>
              <w:t>89,983</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(164)</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89,983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0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Commercial mortgage-backed</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389,078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5"/>
              </w:rPr>
              <w:t>(10,186)</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85,905</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474,983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tcPr>
          <w:p>
            <w:pPr>
              <w:ind w:left="220"/>
              <w:spacing w:after="0" w:line="202" w:lineRule="exact"/>
              <w:rPr>
                <w:sz w:val="20"/>
                <w:szCs w:val="20"/>
                <w:color w:val="auto"/>
              </w:rPr>
            </w:pPr>
            <w:r>
              <w:rPr>
                <w:rFonts w:ascii="Arial" w:cs="Arial" w:eastAsia="Arial" w:hAnsi="Arial"/>
                <w:sz w:val="18"/>
                <w:szCs w:val="18"/>
                <w:color w:val="auto"/>
                <w:w w:val="88"/>
              </w:rPr>
              <w:t>Residential mortgage-backed securities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60"/>
              <w:spacing w:after="0" w:line="202" w:lineRule="exact"/>
              <w:rPr>
                <w:sz w:val="20"/>
                <w:szCs w:val="20"/>
                <w:color w:val="auto"/>
              </w:rPr>
            </w:pPr>
            <w:r>
              <w:rPr>
                <w:rFonts w:ascii="Arial" w:cs="Arial" w:eastAsia="Arial" w:hAnsi="Arial"/>
                <w:sz w:val="18"/>
                <w:szCs w:val="18"/>
                <w:color w:val="auto"/>
                <w:w w:val="92"/>
              </w:rPr>
              <w:t>1,700,187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5"/>
              </w:rPr>
              <w:t>(33,453)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20,538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89"/>
              </w:rPr>
              <w:t>1,720,725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(34,680)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3"/>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241,153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(3,504)</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241,153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(3,504)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040" w:type="dxa"/>
            <w:vAlign w:val="bottom"/>
          </w:tcPr>
          <w:p>
            <w:pPr>
              <w:spacing w:after="0" w:line="168" w:lineRule="exact"/>
              <w:rPr>
                <w:sz w:val="20"/>
                <w:szCs w:val="20"/>
                <w:color w:val="auto"/>
              </w:rPr>
            </w:pPr>
            <w:r>
              <w:rPr>
                <w:rFonts w:ascii="Arial" w:cs="Arial" w:eastAsia="Arial" w:hAnsi="Arial"/>
                <w:sz w:val="18"/>
                <w:szCs w:val="18"/>
                <w:color w:val="auto"/>
              </w:rPr>
              <w:t>Debt securities available for sale with</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3"/>
            <w:vMerge w:val="restart"/>
          </w:tcPr>
          <w:p>
            <w:pPr>
              <w:jc w:val="right"/>
              <w:ind w:right="60"/>
              <w:spacing w:after="0"/>
              <w:rPr>
                <w:sz w:val="20"/>
                <w:szCs w:val="20"/>
                <w:color w:val="auto"/>
              </w:rPr>
            </w:pPr>
            <w:r>
              <w:rPr>
                <w:rFonts w:ascii="Arial" w:cs="Arial" w:eastAsia="Arial" w:hAnsi="Arial"/>
                <w:sz w:val="18"/>
                <w:szCs w:val="18"/>
                <w:color w:val="auto"/>
                <w:w w:val="92"/>
              </w:rPr>
              <w:t>2,676,734</w:t>
            </w:r>
          </w:p>
        </w:tc>
        <w:tc>
          <w:tcPr>
            <w:tcW w:w="20" w:type="dxa"/>
            <w:vAlign w:val="bottom"/>
          </w:tcPr>
          <w:p>
            <w:pPr>
              <w:spacing w:after="0"/>
              <w:rPr>
                <w:sz w:val="14"/>
                <w:szCs w:val="14"/>
                <w:color w:val="auto"/>
              </w:rPr>
            </w:pPr>
          </w:p>
        </w:tc>
        <w:tc>
          <w:tcPr>
            <w:tcW w:w="220" w:type="dxa"/>
            <w:vAlign w:val="bottom"/>
            <w:gridSpan w:val="2"/>
            <w:vMerge w:val="restart"/>
          </w:tcPr>
          <w:p>
            <w:pPr>
              <w:ind w:left="120"/>
              <w:spacing w:after="0"/>
              <w:rPr>
                <w:sz w:val="20"/>
                <w:szCs w:val="20"/>
                <w:color w:val="auto"/>
              </w:rPr>
            </w:pPr>
            <w:r>
              <w:rPr>
                <w:rFonts w:ascii="Arial" w:cs="Arial" w:eastAsia="Arial" w:hAnsi="Arial"/>
                <w:sz w:val="18"/>
                <w:szCs w:val="18"/>
                <w:color w:val="auto"/>
                <w:w w:val="79"/>
              </w:rPr>
              <w:t>$</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w w:val="95"/>
              </w:rPr>
              <w:t>(49,847)</w:t>
            </w:r>
          </w:p>
        </w:tc>
        <w:tc>
          <w:tcPr>
            <w:tcW w:w="92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$ 106,443</w:t>
            </w:r>
          </w:p>
        </w:tc>
        <w:tc>
          <w:tcPr>
            <w:tcW w:w="240" w:type="dxa"/>
            <w:vAlign w:val="bottom"/>
            <w:gridSpan w:val="3"/>
            <w:vMerge w:val="restart"/>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vMerge w:val="restart"/>
          </w:tcPr>
          <w:p>
            <w:pPr>
              <w:jc w:val="right"/>
              <w:spacing w:after="0"/>
              <w:rPr>
                <w:sz w:val="20"/>
                <w:szCs w:val="20"/>
                <w:color w:val="auto"/>
              </w:rPr>
            </w:pPr>
            <w:r>
              <w:rPr>
                <w:rFonts w:ascii="Arial" w:cs="Arial" w:eastAsia="Arial" w:hAnsi="Arial"/>
                <w:sz w:val="18"/>
                <w:szCs w:val="18"/>
                <w:color w:val="auto"/>
              </w:rPr>
              <w:t>(4,807)</w:t>
            </w:r>
          </w:p>
        </w:tc>
        <w:tc>
          <w:tcPr>
            <w:tcW w:w="1060" w:type="dxa"/>
            <w:vAlign w:val="bottom"/>
            <w:gridSpan w:val="5"/>
            <w:vMerge w:val="restart"/>
          </w:tcPr>
          <w:p>
            <w:pPr>
              <w:jc w:val="right"/>
              <w:ind w:right="60"/>
              <w:spacing w:after="0"/>
              <w:rPr>
                <w:sz w:val="20"/>
                <w:szCs w:val="20"/>
                <w:color w:val="auto"/>
              </w:rPr>
            </w:pPr>
            <w:r>
              <w:rPr>
                <w:rFonts w:ascii="Arial" w:cs="Arial" w:eastAsia="Arial" w:hAnsi="Arial"/>
                <w:sz w:val="18"/>
                <w:szCs w:val="18"/>
                <w:color w:val="auto"/>
              </w:rPr>
              <w:t>$ 2,783,177</w:t>
            </w:r>
          </w:p>
        </w:tc>
        <w:tc>
          <w:tcPr>
            <w:tcW w:w="940" w:type="dxa"/>
            <w:vAlign w:val="bottom"/>
            <w:gridSpan w:val="4"/>
            <w:vMerge w:val="restart"/>
          </w:tcPr>
          <w:p>
            <w:pPr>
              <w:jc w:val="right"/>
              <w:spacing w:after="0"/>
              <w:rPr>
                <w:sz w:val="20"/>
                <w:szCs w:val="20"/>
                <w:color w:val="auto"/>
              </w:rPr>
            </w:pPr>
            <w:r>
              <w:rPr>
                <w:rFonts w:ascii="Arial" w:cs="Arial" w:eastAsia="Arial" w:hAnsi="Arial"/>
                <w:sz w:val="18"/>
                <w:szCs w:val="18"/>
                <w:color w:val="auto"/>
              </w:rPr>
              <w:t>$ (54,654)</w:t>
            </w:r>
          </w:p>
        </w:tc>
        <w:tc>
          <w:tcPr>
            <w:tcW w:w="0" w:type="dxa"/>
            <w:vAlign w:val="bottom"/>
          </w:tcPr>
          <w:p>
            <w:pPr>
              <w:spacing w:after="0"/>
              <w:rPr>
                <w:sz w:val="1"/>
                <w:szCs w:val="1"/>
                <w:color w:val="auto"/>
              </w:rPr>
            </w:pPr>
          </w:p>
        </w:tc>
      </w:tr>
      <w:tr>
        <w:trPr>
          <w:trHeight w:val="203"/>
        </w:trPr>
        <w:tc>
          <w:tcPr>
            <w:tcW w:w="3060" w:type="dxa"/>
            <w:vAlign w:val="bottom"/>
            <w:gridSpan w:val="2"/>
          </w:tcPr>
          <w:p>
            <w:pPr>
              <w:ind w:left="20"/>
              <w:spacing w:after="0" w:line="203" w:lineRule="exact"/>
              <w:rPr>
                <w:sz w:val="20"/>
                <w:szCs w:val="20"/>
                <w:color w:val="auto"/>
              </w:rPr>
            </w:pPr>
            <w:r>
              <w:rPr>
                <w:rFonts w:ascii="Arial" w:cs="Arial" w:eastAsia="Arial" w:hAnsi="Arial"/>
                <w:sz w:val="18"/>
                <w:szCs w:val="18"/>
                <w:color w:val="auto"/>
              </w:rPr>
              <w:t>gross unrealized losses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gridSpan w:val="2"/>
            <w:vMerge w:val="continue"/>
          </w:tcPr>
          <w:p>
            <w:pPr>
              <w:spacing w:after="0"/>
              <w:rPr>
                <w:sz w:val="17"/>
                <w:szCs w:val="17"/>
                <w:color w:val="auto"/>
              </w:rPr>
            </w:pPr>
          </w:p>
        </w:tc>
        <w:tc>
          <w:tcPr>
            <w:tcW w:w="820" w:type="dxa"/>
            <w:vAlign w:val="bottom"/>
            <w:gridSpan w:val="3"/>
            <w:vMerge w:val="continue"/>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680" w:type="dxa"/>
            <w:vAlign w:val="bottom"/>
            <w:gridSpan w:val="2"/>
            <w:vMerge w:val="continue"/>
          </w:tcPr>
          <w:p>
            <w:pPr>
              <w:spacing w:after="0"/>
              <w:rPr>
                <w:sz w:val="17"/>
                <w:szCs w:val="17"/>
                <w:color w:val="auto"/>
              </w:rPr>
            </w:pPr>
          </w:p>
        </w:tc>
        <w:tc>
          <w:tcPr>
            <w:tcW w:w="920" w:type="dxa"/>
            <w:vAlign w:val="bottom"/>
            <w:gridSpan w:val="5"/>
            <w:vMerge w:val="continue"/>
          </w:tcPr>
          <w:p>
            <w:pPr>
              <w:spacing w:after="0"/>
              <w:rPr>
                <w:sz w:val="17"/>
                <w:szCs w:val="17"/>
                <w:color w:val="auto"/>
              </w:rPr>
            </w:pPr>
          </w:p>
        </w:tc>
        <w:tc>
          <w:tcPr>
            <w:tcW w:w="240" w:type="dxa"/>
            <w:vAlign w:val="bottom"/>
            <w:gridSpan w:val="3"/>
            <w:vMerge w:val="continue"/>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60" w:type="dxa"/>
            <w:vAlign w:val="bottom"/>
            <w:gridSpan w:val="5"/>
            <w:vMerge w:val="continue"/>
          </w:tcPr>
          <w:p>
            <w:pPr>
              <w:spacing w:after="0"/>
              <w:rPr>
                <w:sz w:val="17"/>
                <w:szCs w:val="17"/>
                <w:color w:val="auto"/>
              </w:rPr>
            </w:pPr>
          </w:p>
        </w:tc>
        <w:tc>
          <w:tcPr>
            <w:tcW w:w="940" w:type="dxa"/>
            <w:vAlign w:val="bottom"/>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3"/>
          </w:tcPr>
          <w:p>
            <w:pPr>
              <w:ind w:left="16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Additional information about debt securities in an unrealized loss position is presented in the tables below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8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 June 30, 2022</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56"/>
        </w:trPr>
        <w:tc>
          <w:tcPr>
            <w:tcW w:w="4820" w:type="dxa"/>
            <w:vAlign w:val="bottom"/>
          </w:tcPr>
          <w:p>
            <w:pPr>
              <w:spacing w:after="0"/>
              <w:rPr>
                <w:sz w:val="13"/>
                <w:szCs w:val="13"/>
                <w:color w:val="auto"/>
              </w:rPr>
            </w:pPr>
          </w:p>
        </w:tc>
        <w:tc>
          <w:tcPr>
            <w:tcW w:w="1340" w:type="dxa"/>
            <w:vAlign w:val="bottom"/>
            <w:gridSpan w:val="3"/>
          </w:tcPr>
          <w:p>
            <w:pPr>
              <w:jc w:val="right"/>
              <w:ind w:right="148"/>
              <w:spacing w:after="0" w:line="155" w:lineRule="exact"/>
              <w:rPr>
                <w:sz w:val="20"/>
                <w:szCs w:val="20"/>
                <w:color w:val="auto"/>
              </w:rPr>
            </w:pPr>
            <w:r>
              <w:rPr>
                <w:rFonts w:ascii="Arial" w:cs="Arial" w:eastAsia="Arial" w:hAnsi="Arial"/>
                <w:sz w:val="14"/>
                <w:szCs w:val="14"/>
                <w:b w:val="1"/>
                <w:bCs w:val="1"/>
                <w:color w:val="auto"/>
                <w:w w:val="94"/>
              </w:rPr>
              <w:t>Available for Sale</w:t>
            </w: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Held to Maturity</w:t>
            </w:r>
          </w:p>
        </w:tc>
        <w:tc>
          <w:tcPr>
            <w:tcW w:w="260" w:type="dxa"/>
            <w:vAlign w:val="bottom"/>
          </w:tcPr>
          <w:p>
            <w:pPr>
              <w:spacing w:after="0"/>
              <w:rPr>
                <w:sz w:val="13"/>
                <w:szCs w:val="13"/>
                <w:color w:val="auto"/>
              </w:rPr>
            </w:pPr>
          </w:p>
        </w:tc>
        <w:tc>
          <w:tcPr>
            <w:tcW w:w="9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Debt securities with gross unrealized losses, fair value</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2,629,923</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876,737</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3,506,660</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Gross unrealized losses on debt securities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232,553</w:t>
            </w:r>
          </w:p>
        </w:tc>
        <w:tc>
          <w:tcPr>
            <w:tcW w:w="180" w:type="dxa"/>
            <w:vAlign w:val="bottom"/>
          </w:tcPr>
          <w:p>
            <w:pPr>
              <w:spacing w:after="0"/>
              <w:rPr>
                <w:sz w:val="17"/>
                <w:szCs w:val="17"/>
                <w:color w:val="auto"/>
              </w:rPr>
            </w:pP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76,274</w:t>
            </w:r>
          </w:p>
        </w:tc>
        <w:tc>
          <w:tcPr>
            <w:tcW w:w="160" w:type="dxa"/>
            <w:vAlign w:val="bottom"/>
          </w:tcPr>
          <w:p>
            <w:pPr>
              <w:spacing w:after="0"/>
              <w:rPr>
                <w:sz w:val="17"/>
                <w:szCs w:val="17"/>
                <w:color w:val="auto"/>
              </w:rPr>
            </w:pP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308,827</w:t>
            </w:r>
          </w:p>
        </w:tc>
        <w:tc>
          <w:tcPr>
            <w:tcW w:w="180" w:type="dxa"/>
            <w:vAlign w:val="bottom"/>
          </w:tcPr>
          <w:p>
            <w:pPr>
              <w:spacing w:after="0"/>
              <w:rPr>
                <w:sz w:val="17"/>
                <w:szCs w:val="17"/>
                <w:color w:val="auto"/>
              </w:rPr>
            </w:pPr>
          </w:p>
        </w:tc>
      </w:tr>
      <w:tr>
        <w:trPr>
          <w:trHeight w:val="188"/>
        </w:trPr>
        <w:tc>
          <w:tcPr>
            <w:tcW w:w="4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Ratio of gross unrealized losses to</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with gross unrealized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8.7 %</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8.8 %</w:t>
            </w:r>
          </w:p>
        </w:tc>
      </w:tr>
      <w:tr>
        <w:trPr>
          <w:trHeight w:val="203"/>
        </w:trPr>
        <w:tc>
          <w:tcPr>
            <w:tcW w:w="4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Count of debt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1,177</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1,232</w:t>
            </w:r>
          </w:p>
        </w:tc>
        <w:tc>
          <w:tcPr>
            <w:tcW w:w="180" w:type="dxa"/>
            <w:vAlign w:val="bottom"/>
            <w:shd w:val="clear" w:color="auto" w:fill="CCEEFF"/>
          </w:tcPr>
          <w:p>
            <w:pPr>
              <w:spacing w:after="0"/>
              <w:rPr>
                <w:sz w:val="17"/>
                <w:szCs w:val="17"/>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loss position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881</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936</w:t>
            </w:r>
          </w:p>
        </w:tc>
        <w:tc>
          <w:tcPr>
            <w:tcW w:w="180" w:type="dxa"/>
            <w:vAlign w:val="bottom"/>
          </w:tcPr>
          <w:p>
            <w:pPr>
              <w:spacing w:after="0"/>
              <w:rPr>
                <w:sz w:val="20"/>
                <w:szCs w:val="20"/>
                <w:color w:val="auto"/>
              </w:rPr>
            </w:pPr>
          </w:p>
        </w:tc>
      </w:tr>
      <w:tr>
        <w:trPr>
          <w:trHeight w:val="350"/>
        </w:trPr>
        <w:tc>
          <w:tcPr>
            <w:tcW w:w="48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2"/>
              </w:rPr>
              <w:t>As of December 31, 2021</w:t>
            </w: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r>
      <w:tr>
        <w:trPr>
          <w:trHeight w:val="156"/>
        </w:trPr>
        <w:tc>
          <w:tcPr>
            <w:tcW w:w="4820" w:type="dxa"/>
            <w:vAlign w:val="bottom"/>
          </w:tcPr>
          <w:p>
            <w:pPr>
              <w:spacing w:after="0"/>
              <w:rPr>
                <w:sz w:val="13"/>
                <w:szCs w:val="13"/>
                <w:color w:val="auto"/>
              </w:rPr>
            </w:pPr>
          </w:p>
        </w:tc>
        <w:tc>
          <w:tcPr>
            <w:tcW w:w="1340" w:type="dxa"/>
            <w:vAlign w:val="bottom"/>
            <w:gridSpan w:val="3"/>
          </w:tcPr>
          <w:p>
            <w:pPr>
              <w:jc w:val="right"/>
              <w:ind w:right="148"/>
              <w:spacing w:after="0" w:line="155" w:lineRule="exact"/>
              <w:rPr>
                <w:sz w:val="20"/>
                <w:szCs w:val="20"/>
                <w:color w:val="auto"/>
              </w:rPr>
            </w:pPr>
            <w:r>
              <w:rPr>
                <w:rFonts w:ascii="Arial" w:cs="Arial" w:eastAsia="Arial" w:hAnsi="Arial"/>
                <w:sz w:val="14"/>
                <w:szCs w:val="14"/>
                <w:b w:val="1"/>
                <w:bCs w:val="1"/>
                <w:color w:val="auto"/>
                <w:w w:val="94"/>
              </w:rPr>
              <w:t>Available for Sale</w:t>
            </w:r>
          </w:p>
        </w:tc>
        <w:tc>
          <w:tcPr>
            <w:tcW w:w="1360" w:type="dxa"/>
            <w:vAlign w:val="bottom"/>
            <w:gridSpan w:val="3"/>
          </w:tcPr>
          <w:p>
            <w:pPr>
              <w:ind w:left="80"/>
              <w:spacing w:after="0" w:line="155" w:lineRule="exact"/>
              <w:rPr>
                <w:sz w:val="20"/>
                <w:szCs w:val="20"/>
                <w:color w:val="auto"/>
              </w:rPr>
            </w:pPr>
            <w:r>
              <w:rPr>
                <w:rFonts w:ascii="Arial" w:cs="Arial" w:eastAsia="Arial" w:hAnsi="Arial"/>
                <w:sz w:val="14"/>
                <w:szCs w:val="14"/>
                <w:b w:val="1"/>
                <w:bCs w:val="1"/>
                <w:color w:val="auto"/>
              </w:rPr>
              <w:t>Held to Maturity</w:t>
            </w:r>
          </w:p>
        </w:tc>
        <w:tc>
          <w:tcPr>
            <w:tcW w:w="260" w:type="dxa"/>
            <w:vAlign w:val="bottom"/>
          </w:tcPr>
          <w:p>
            <w:pPr>
              <w:spacing w:after="0"/>
              <w:rPr>
                <w:sz w:val="13"/>
                <w:szCs w:val="13"/>
                <w:color w:val="auto"/>
              </w:rPr>
            </w:pPr>
          </w:p>
        </w:tc>
        <w:tc>
          <w:tcPr>
            <w:tcW w:w="940" w:type="dxa"/>
            <w:vAlign w:val="bottom"/>
          </w:tcPr>
          <w:p>
            <w:pPr>
              <w:jc w:val="right"/>
              <w:ind w:right="353"/>
              <w:spacing w:after="0" w:line="155" w:lineRule="exact"/>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3"/>
                <w:szCs w:val="13"/>
                <w:color w:val="auto"/>
              </w:rPr>
            </w:pPr>
          </w:p>
        </w:tc>
      </w:tr>
      <w:tr>
        <w:trPr>
          <w:trHeight w:val="196"/>
        </w:trPr>
        <w:tc>
          <w:tcPr>
            <w:tcW w:w="48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Debt securities with gross unrealized losses, fair value</w:t>
            </w: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2,783,177</w:t>
            </w:r>
          </w:p>
        </w:tc>
        <w:tc>
          <w:tcPr>
            <w:tcW w:w="1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2,783,177</w:t>
            </w:r>
          </w:p>
        </w:tc>
        <w:tc>
          <w:tcPr>
            <w:tcW w:w="180" w:type="dxa"/>
            <w:vAlign w:val="bottom"/>
            <w:tcBorders>
              <w:top w:val="single" w:sz="8" w:color="CCEEFF"/>
            </w:tcBorders>
            <w:shd w:val="clear" w:color="auto" w:fill="CCEEFF"/>
          </w:tcPr>
          <w:p>
            <w:pPr>
              <w:spacing w:after="0"/>
              <w:rPr>
                <w:sz w:val="17"/>
                <w:szCs w:val="17"/>
                <w:color w:val="auto"/>
              </w:rPr>
            </w:pPr>
          </w:p>
        </w:tc>
      </w:tr>
      <w:tr>
        <w:trPr>
          <w:trHeight w:val="203"/>
        </w:trPr>
        <w:tc>
          <w:tcPr>
            <w:tcW w:w="4820" w:type="dxa"/>
            <w:vAlign w:val="bottom"/>
          </w:tcPr>
          <w:p>
            <w:pPr>
              <w:ind w:left="20"/>
              <w:spacing w:after="0" w:line="202" w:lineRule="exact"/>
              <w:rPr>
                <w:sz w:val="20"/>
                <w:szCs w:val="20"/>
                <w:color w:val="auto"/>
              </w:rPr>
            </w:pPr>
            <w:r>
              <w:rPr>
                <w:rFonts w:ascii="Arial" w:cs="Arial" w:eastAsia="Arial" w:hAnsi="Arial"/>
                <w:sz w:val="18"/>
                <w:szCs w:val="18"/>
                <w:color w:val="auto"/>
              </w:rPr>
              <w:t>Gross unrealized losses on debt securities</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54,654</w:t>
            </w:r>
          </w:p>
        </w:tc>
        <w:tc>
          <w:tcPr>
            <w:tcW w:w="180" w:type="dxa"/>
            <w:vAlign w:val="bottom"/>
          </w:tcPr>
          <w:p>
            <w:pPr>
              <w:spacing w:after="0"/>
              <w:rPr>
                <w:sz w:val="17"/>
                <w:szCs w:val="17"/>
                <w:color w:val="auto"/>
              </w:rPr>
            </w:pPr>
          </w:p>
        </w:tc>
        <w:tc>
          <w:tcPr>
            <w:tcW w:w="32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54,654</w:t>
            </w:r>
          </w:p>
        </w:tc>
        <w:tc>
          <w:tcPr>
            <w:tcW w:w="180" w:type="dxa"/>
            <w:vAlign w:val="bottom"/>
          </w:tcPr>
          <w:p>
            <w:pPr>
              <w:spacing w:after="0"/>
              <w:rPr>
                <w:sz w:val="17"/>
                <w:szCs w:val="17"/>
                <w:color w:val="auto"/>
              </w:rPr>
            </w:pPr>
          </w:p>
        </w:tc>
      </w:tr>
      <w:tr>
        <w:trPr>
          <w:trHeight w:val="188"/>
        </w:trPr>
        <w:tc>
          <w:tcPr>
            <w:tcW w:w="482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Ratio of gross unrealized losses to</w:t>
            </w: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 with gross unrealized losses</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2.0 %</w:t>
            </w:r>
          </w:p>
        </w:tc>
      </w:tr>
      <w:tr>
        <w:trPr>
          <w:trHeight w:val="229"/>
        </w:trPr>
        <w:tc>
          <w:tcPr>
            <w:tcW w:w="4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gridSpan w:val="2"/>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03"/>
        </w:trPr>
        <w:tc>
          <w:tcPr>
            <w:tcW w:w="48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Count of debt securities</w:t>
            </w: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180" w:type="dxa"/>
            <w:vAlign w:val="bottom"/>
            <w:shd w:val="clear" w:color="auto" w:fill="CCEEFF"/>
          </w:tcPr>
          <w:p>
            <w:pPr>
              <w:spacing w:after="0"/>
              <w:rPr>
                <w:sz w:val="17"/>
                <w:szCs w:val="17"/>
                <w:color w:val="auto"/>
              </w:rPr>
            </w:pPr>
          </w:p>
        </w:tc>
      </w:tr>
      <w:tr>
        <w:trPr>
          <w:trHeight w:val="230"/>
        </w:trPr>
        <w:tc>
          <w:tcPr>
            <w:tcW w:w="4820" w:type="dxa"/>
            <w:vAlign w:val="bottom"/>
          </w:tcPr>
          <w:p>
            <w:pPr>
              <w:ind w:left="20"/>
              <w:spacing w:after="0"/>
              <w:rPr>
                <w:sz w:val="20"/>
                <w:szCs w:val="20"/>
                <w:color w:val="auto"/>
              </w:rPr>
            </w:pPr>
            <w:r>
              <w:rPr>
                <w:rFonts w:ascii="Arial" w:cs="Arial" w:eastAsia="Arial" w:hAnsi="Arial"/>
                <w:sz w:val="18"/>
                <w:szCs w:val="18"/>
                <w:color w:val="auto"/>
              </w:rPr>
              <w:t>Count of debt securities in an unrealized loss position</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20"/>
                <w:szCs w:val="20"/>
                <w:color w:val="auto"/>
              </w:rPr>
            </w:pPr>
          </w:p>
        </w:tc>
      </w:tr>
    </w:tbl>
    <w:p>
      <w:pPr>
        <w:spacing w:after="0" w:line="160"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Unrealized losses were related to changes in market interest rates and market conditions that do not represent credit-related impairments. The Company does not intend to sell securities that are in an unrealized loss position, and it is more likely than not that the Company will recover the amortized cost prior to being required to sell the debt securities. Full collection of the amounts due according to the contractual terms of the debt securities is expected; therefore, no ACL was recorded in relation to debt securities, and the impairment related to noncredit factors is recognized in AOCI, net of applicable taxes. As of June 30, 2022, the Company did not hold general obligation bonds of any single issuer, the aggregate of which exceeded 10% of the Company’s stockholders’ equity.</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Portfolio Loans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 Categories</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The Company’s lending can be summarized into five primary categories: commercial loans, commercial real estate loans, real estate construction loans, retail real estate loans, and retail other loans. Distributions of the loan portfolio by loan category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79"/>
              </w:rPr>
              <w:t>As of</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34"/>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jc w:val="right"/>
              <w:ind w:right="34"/>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14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3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362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1,919,680</w:t>
            </w:r>
          </w:p>
        </w:tc>
        <w:tc>
          <w:tcPr>
            <w:tcW w:w="3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1,943,886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3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3,228,090</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3,119,807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466,185</w:t>
            </w: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385,996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3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1,590,913</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Retail other</w:t>
            </w:r>
          </w:p>
        </w:tc>
        <w:tc>
          <w:tcPr>
            <w:tcW w:w="3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292,910</w:t>
            </w:r>
          </w:p>
        </w:tc>
        <w:tc>
          <w:tcPr>
            <w:tcW w:w="40" w:type="dxa"/>
            <w:vAlign w:val="bottom"/>
            <w:tcBorders>
              <w:bottom w:val="single" w:sz="8" w:color="auto"/>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3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7,497,778</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7,188,998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1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ACL</w:t>
            </w:r>
          </w:p>
        </w:tc>
        <w:tc>
          <w:tcPr>
            <w:tcW w:w="34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2"/>
          </w:tcPr>
          <w:p>
            <w:pPr>
              <w:jc w:val="right"/>
              <w:spacing w:after="0" w:line="202" w:lineRule="exact"/>
              <w:rPr>
                <w:sz w:val="20"/>
                <w:szCs w:val="20"/>
                <w:color w:val="auto"/>
              </w:rPr>
            </w:pPr>
            <w:r>
              <w:rPr>
                <w:rFonts w:ascii="Arial" w:cs="Arial" w:eastAsia="Arial" w:hAnsi="Arial"/>
                <w:sz w:val="18"/>
                <w:szCs w:val="18"/>
                <w:color w:val="auto"/>
              </w:rPr>
              <w:t>(88,757)</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(87,887)</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14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Portfolio loans, net</w:t>
            </w:r>
          </w:p>
        </w:tc>
        <w:tc>
          <w:tcPr>
            <w:tcW w:w="34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7,409,021</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7,101,111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3440" w:type="dxa"/>
            <w:vAlign w:val="bottom"/>
            <w:vMerge w:val="restart"/>
          </w:tcPr>
          <w:p>
            <w:pPr>
              <w:jc w:val="right"/>
              <w:ind w:right="1950"/>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3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Net deferred loan origination costs included in the balances above were $12.9 million as of June 30, 2022, compared to $9.0 million as of December 31, 2021. Net accretable purchase accounting adjustments included in the balances above reduced loans by $7.2 million as of June 30, 2022, and $8.8 million as of December 31, 2021. Commercial balances include loans originated under the PPP with an amortized cost of $7.6 million as of June 30, 2022, and $75.0 million as of December 31, 2021.</w:t>
      </w:r>
    </w:p>
    <w:p>
      <w:pPr>
        <w:spacing w:after="0" w:line="176"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7"/>
          <w:szCs w:val="17"/>
          <w:color w:val="auto"/>
        </w:rPr>
        <w:t>There were no retail real estate loans purchased during the three or six months ended June 30, 2022. In comparison, the Company purchased $32.2 million of retail real estate loans during the three and six months ended June 30, 2021.</w:t>
      </w:r>
    </w:p>
    <w:p>
      <w:pPr>
        <w:spacing w:after="0" w:line="13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Risk Grading</w:t>
      </w:r>
    </w:p>
    <w:p>
      <w:pPr>
        <w:spacing w:after="0" w:line="19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The Company utilizes a loan grading scale to assign a risk grade to all of its loans. A description of the general characteristics of each grade is as follows:</w:t>
      </w:r>
    </w:p>
    <w:p>
      <w:pPr>
        <w:spacing w:after="0" w:line="157" w:lineRule="exact"/>
        <w:rPr>
          <w:sz w:val="20"/>
          <w:szCs w:val="20"/>
          <w:color w:val="auto"/>
        </w:rPr>
      </w:pPr>
    </w:p>
    <w:p>
      <w:pPr>
        <w:jc w:val="both"/>
        <w:ind w:left="720" w:right="79" w:hanging="319"/>
        <w:spacing w:after="0" w:line="24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Pass </w:t>
      </w:r>
      <w:r>
        <w:rPr>
          <w:rFonts w:ascii="Arial" w:cs="Arial" w:eastAsia="Arial" w:hAnsi="Arial"/>
          <w:sz w:val="18"/>
          <w:szCs w:val="18"/>
          <w:color w:val="auto"/>
        </w:rPr>
        <w:t>– This category includes loans that are all considered acceptable credits, ranging from investment or near</w:t>
      </w:r>
      <w:r>
        <w:rPr>
          <w:rFonts w:ascii="Arial" w:cs="Arial" w:eastAsia="Arial" w:hAnsi="Arial"/>
          <w:sz w:val="18"/>
          <w:szCs w:val="18"/>
          <w:i w:val="1"/>
          <w:iCs w:val="1"/>
          <w:color w:val="auto"/>
        </w:rPr>
        <w:t xml:space="preserve"> </w:t>
      </w:r>
      <w:r>
        <w:rPr>
          <w:rFonts w:ascii="Arial" w:cs="Arial" w:eastAsia="Arial" w:hAnsi="Arial"/>
          <w:sz w:val="18"/>
          <w:szCs w:val="18"/>
          <w:color w:val="auto"/>
        </w:rPr>
        <w:t>investment grade, to loans made to borrowers who exhibit credit fundamentals that meet or exceed industry standards.</w:t>
      </w:r>
    </w:p>
    <w:p>
      <w:pPr>
        <w:spacing w:after="0" w:line="168" w:lineRule="exact"/>
        <w:rPr>
          <w:rFonts w:ascii="Arial" w:cs="Arial" w:eastAsia="Arial" w:hAnsi="Arial"/>
          <w:sz w:val="18"/>
          <w:szCs w:val="18"/>
          <w:color w:val="auto"/>
        </w:rPr>
      </w:pPr>
    </w:p>
    <w:p>
      <w:pPr>
        <w:jc w:val="both"/>
        <w:ind w:left="720" w:right="79" w:hanging="319"/>
        <w:spacing w:after="0" w:line="24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Watch </w:t>
      </w:r>
      <w:r>
        <w:rPr>
          <w:rFonts w:ascii="Arial" w:cs="Arial" w:eastAsia="Arial" w:hAnsi="Arial"/>
          <w:sz w:val="18"/>
          <w:szCs w:val="18"/>
          <w:color w:val="auto"/>
        </w:rPr>
        <w:t>– This category includes loans that warrant a higher-than-average level of monitoring to ensure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weaknesses do not cause the inability of the credit to perform as expected. These loans are not necessarily a problem due to other inherent strengths of the credit, such as guarantor strength, but have above average concern and monitoring.</w:t>
      </w:r>
    </w:p>
    <w:p>
      <w:pPr>
        <w:spacing w:after="0" w:line="174" w:lineRule="exact"/>
        <w:rPr>
          <w:rFonts w:ascii="Arial" w:cs="Arial" w:eastAsia="Arial" w:hAnsi="Arial"/>
          <w:sz w:val="18"/>
          <w:szCs w:val="18"/>
          <w:color w:val="auto"/>
        </w:rPr>
      </w:pPr>
    </w:p>
    <w:p>
      <w:pPr>
        <w:jc w:val="both"/>
        <w:ind w:left="720" w:right="79" w:hanging="319"/>
        <w:spacing w:after="0" w:line="248"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 xml:space="preserve">Special mention </w:t>
      </w:r>
      <w:r>
        <w:rPr>
          <w:rFonts w:ascii="Arial" w:cs="Arial" w:eastAsia="Arial" w:hAnsi="Arial"/>
          <w:sz w:val="18"/>
          <w:szCs w:val="18"/>
          <w:color w:val="auto"/>
        </w:rPr>
        <w:t>– This category is for “Other Assets Specially Mentioned” loans that have potential weaknesses,</w:t>
      </w:r>
      <w:r>
        <w:rPr>
          <w:rFonts w:ascii="Arial" w:cs="Arial" w:eastAsia="Arial" w:hAnsi="Arial"/>
          <w:sz w:val="18"/>
          <w:szCs w:val="18"/>
          <w:i w:val="1"/>
          <w:iCs w:val="1"/>
          <w:color w:val="auto"/>
        </w:rPr>
        <w:t xml:space="preserve"> </w:t>
      </w:r>
      <w:r>
        <w:rPr>
          <w:rFonts w:ascii="Arial" w:cs="Arial" w:eastAsia="Arial" w:hAnsi="Arial"/>
          <w:sz w:val="18"/>
          <w:szCs w:val="18"/>
          <w:color w:val="auto"/>
        </w:rPr>
        <w:t>which may, if not checked or corrected, weaken the asset or inadequately protect the Company’s credit position at some future date.</w:t>
      </w:r>
    </w:p>
    <w:p>
      <w:pPr>
        <w:spacing w:after="0" w:line="168" w:lineRule="exact"/>
        <w:rPr>
          <w:rFonts w:ascii="Arial" w:cs="Arial" w:eastAsia="Arial" w:hAnsi="Arial"/>
          <w:sz w:val="18"/>
          <w:szCs w:val="18"/>
          <w:color w:val="auto"/>
        </w:rPr>
      </w:pPr>
    </w:p>
    <w:p>
      <w:pPr>
        <w:jc w:val="both"/>
        <w:ind w:left="720" w:right="79" w:hanging="319"/>
        <w:spacing w:after="0" w:line="262"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w:t>
      </w:r>
      <w:r>
        <w:rPr>
          <w:rFonts w:ascii="Arial" w:cs="Arial" w:eastAsia="Arial" w:hAnsi="Arial"/>
          <w:sz w:val="17"/>
          <w:szCs w:val="17"/>
          <w:color w:val="auto"/>
        </w:rPr>
        <w:t>– This category includes “Substandard” loans, determined in accordance with regulatory guidelines,</w:t>
      </w:r>
      <w:r>
        <w:rPr>
          <w:rFonts w:ascii="Arial" w:cs="Arial" w:eastAsia="Arial" w:hAnsi="Arial"/>
          <w:sz w:val="17"/>
          <w:szCs w:val="17"/>
          <w:i w:val="1"/>
          <w:iCs w:val="1"/>
          <w:color w:val="auto"/>
        </w:rPr>
        <w:t xml:space="preserve"> </w:t>
      </w:r>
      <w:r>
        <w:rPr>
          <w:rFonts w:ascii="Arial" w:cs="Arial" w:eastAsia="Arial" w:hAnsi="Arial"/>
          <w:sz w:val="17"/>
          <w:szCs w:val="17"/>
          <w:color w:val="auto"/>
        </w:rPr>
        <w:t>for which the accrual of interest has not been stopped. Assets so classified must have a well-defined weakness or weaknesses that jeopardize the liquidation of the debt. They are characterized by the distinct possibility that the Company will sustain some loss if the deficiencies are not corrected.</w:t>
      </w:r>
    </w:p>
    <w:p>
      <w:pPr>
        <w:spacing w:after="0" w:line="158" w:lineRule="exact"/>
        <w:rPr>
          <w:rFonts w:ascii="Arial" w:cs="Arial" w:eastAsia="Arial" w:hAnsi="Arial"/>
          <w:sz w:val="17"/>
          <w:szCs w:val="17"/>
          <w:color w:val="auto"/>
        </w:rPr>
      </w:pPr>
    </w:p>
    <w:p>
      <w:pPr>
        <w:jc w:val="both"/>
        <w:ind w:left="720" w:right="79" w:hanging="319"/>
        <w:spacing w:after="0" w:line="270" w:lineRule="auto"/>
        <w:tabs>
          <w:tab w:leader="none" w:pos="72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 xml:space="preserve">Substandard non-accrual </w:t>
      </w:r>
      <w:r>
        <w:rPr>
          <w:rFonts w:ascii="Arial" w:cs="Arial" w:eastAsia="Arial" w:hAnsi="Arial"/>
          <w:sz w:val="17"/>
          <w:szCs w:val="17"/>
          <w:color w:val="auto"/>
        </w:rPr>
        <w:t>– This category includes loans that have all the characteristics of a “Substandard” loan</w:t>
      </w:r>
      <w:r>
        <w:rPr>
          <w:rFonts w:ascii="Arial" w:cs="Arial" w:eastAsia="Arial" w:hAnsi="Arial"/>
          <w:sz w:val="17"/>
          <w:szCs w:val="17"/>
          <w:i w:val="1"/>
          <w:iCs w:val="1"/>
          <w:color w:val="auto"/>
        </w:rPr>
        <w:t xml:space="preserve"> </w:t>
      </w:r>
      <w:r>
        <w:rPr>
          <w:rFonts w:ascii="Arial" w:cs="Arial" w:eastAsia="Arial" w:hAnsi="Arial"/>
          <w:sz w:val="17"/>
          <w:szCs w:val="17"/>
          <w:color w:val="auto"/>
        </w:rPr>
        <w:t>with additional factors that make collection in full highly questionable and improbable. Such loans are placed on non-accrual status and may be dependent on collateral with a value that is difficult to determine.</w:t>
      </w:r>
    </w:p>
    <w:p>
      <w:pPr>
        <w:spacing w:after="0" w:line="15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All loans are graded at their inception. Commercial lending relationships that are $1.0 million or less are usually processed through an expedited underwriting process. Most commercial loans greater than $1.0 million are included in a portfolio review at least annually. Commercial loans greater than $0.35 million that have a grading of special mention or worse are typically reviewed on a quarterly basis. Interim reviews may take place if circumstances of the borrower warrant a more frequent review.</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 is a summary of risk grades segregated by category of portfolio loans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jc w:val="right"/>
              <w:ind w:right="41"/>
              <w:spacing w:after="0" w:line="133" w:lineRule="exact"/>
              <w:rPr>
                <w:sz w:val="20"/>
                <w:szCs w:val="20"/>
                <w:color w:val="auto"/>
              </w:rPr>
            </w:pPr>
            <w:r>
              <w:rPr>
                <w:rFonts w:ascii="Arial" w:cs="Arial" w:eastAsia="Arial" w:hAnsi="Arial"/>
                <w:sz w:val="14"/>
                <w:szCs w:val="14"/>
                <w:b w:val="1"/>
                <w:bCs w:val="1"/>
                <w:color w:val="auto"/>
              </w:rPr>
              <w:t>Special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1"/>
              </w:rPr>
              <w:t>Substandard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Pass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jc w:val="right"/>
              <w:ind w:right="113"/>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680" w:type="dxa"/>
            <w:vAlign w:val="bottom"/>
          </w:tcPr>
          <w:p>
            <w:pPr>
              <w:jc w:val="right"/>
              <w:ind w:right="1"/>
              <w:spacing w:after="0"/>
              <w:rPr>
                <w:sz w:val="20"/>
                <w:szCs w:val="20"/>
                <w:color w:val="auto"/>
              </w:rPr>
            </w:pPr>
            <w:r>
              <w:rPr>
                <w:rFonts w:ascii="Arial" w:cs="Arial" w:eastAsia="Arial" w:hAnsi="Arial"/>
                <w:sz w:val="14"/>
                <w:szCs w:val="14"/>
                <w:b w:val="1"/>
                <w:bCs w:val="1"/>
                <w:color w:val="auto"/>
              </w:rPr>
              <w:t>Mention</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Non-accrual</w:t>
            </w:r>
          </w:p>
        </w:tc>
        <w:tc>
          <w:tcPr>
            <w:tcW w:w="1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2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6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8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$ 1,743,101</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86,902</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$ 44,434</w:t>
            </w:r>
          </w:p>
        </w:tc>
        <w:tc>
          <w:tcPr>
            <w:tcW w:w="32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38,425</w:t>
            </w:r>
          </w:p>
        </w:tc>
        <w:tc>
          <w:tcPr>
            <w:tcW w:w="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6,818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$ 1,919,680</w:t>
            </w:r>
          </w:p>
        </w:tc>
      </w:tr>
      <w:tr>
        <w:trPr>
          <w:trHeight w:val="203"/>
        </w:trPr>
        <w:tc>
          <w:tcPr>
            <w:tcW w:w="20" w:type="dxa"/>
            <w:vAlign w:val="bottom"/>
          </w:tcPr>
          <w:p>
            <w:pPr>
              <w:spacing w:after="0"/>
              <w:rPr>
                <w:sz w:val="17"/>
                <w:szCs w:val="17"/>
                <w:color w:val="auto"/>
              </w:rPr>
            </w:pPr>
          </w:p>
        </w:tc>
        <w:tc>
          <w:tcPr>
            <w:tcW w:w="2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2,867,188</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265,920</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47,867</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40,879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6,236</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3,228,090</w:t>
            </w:r>
          </w:p>
        </w:tc>
      </w:tr>
      <w:tr>
        <w:trPr>
          <w:trHeight w:val="203"/>
        </w:trPr>
        <w:tc>
          <w:tcPr>
            <w:tcW w:w="20" w:type="dxa"/>
            <w:vAlign w:val="bottom"/>
          </w:tcPr>
          <w:p>
            <w:pPr>
              <w:spacing w:after="0"/>
              <w:rPr>
                <w:sz w:val="17"/>
                <w:szCs w:val="17"/>
                <w:color w:val="auto"/>
              </w:rPr>
            </w:pPr>
          </w:p>
        </w:tc>
        <w:tc>
          <w:tcPr>
            <w:tcW w:w="258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450,887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12,848</w:t>
            </w: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466,185</w:t>
            </w:r>
          </w:p>
        </w:tc>
      </w:tr>
      <w:tr>
        <w:trPr>
          <w:trHeight w:val="202"/>
        </w:trPr>
        <w:tc>
          <w:tcPr>
            <w:tcW w:w="20" w:type="dxa"/>
            <w:vAlign w:val="bottom"/>
          </w:tcPr>
          <w:p>
            <w:pPr>
              <w:spacing w:after="0"/>
              <w:rPr>
                <w:sz w:val="17"/>
                <w:szCs w:val="17"/>
                <w:color w:val="auto"/>
              </w:rPr>
            </w:pPr>
          </w:p>
        </w:tc>
        <w:tc>
          <w:tcPr>
            <w:tcW w:w="2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5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1,574,634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7,847</w:t>
            </w: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3,759</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2,651</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1,590,913</w:t>
            </w:r>
          </w:p>
        </w:tc>
      </w:tr>
      <w:tr>
        <w:trPr>
          <w:trHeight w:val="203"/>
        </w:trPr>
        <w:tc>
          <w:tcPr>
            <w:tcW w:w="20" w:type="dxa"/>
            <w:vAlign w:val="bottom"/>
          </w:tcPr>
          <w:p>
            <w:pPr>
              <w:spacing w:after="0"/>
              <w:rPr>
                <w:sz w:val="17"/>
                <w:szCs w:val="17"/>
                <w:color w:val="auto"/>
              </w:rPr>
            </w:pPr>
          </w:p>
        </w:tc>
        <w:tc>
          <w:tcPr>
            <w:tcW w:w="258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15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292,822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88</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292,910</w:t>
            </w:r>
          </w:p>
        </w:tc>
      </w:tr>
      <w:tr>
        <w:trPr>
          <w:trHeight w:val="196"/>
        </w:trPr>
        <w:tc>
          <w:tcPr>
            <w:tcW w:w="20" w:type="dxa"/>
            <w:vAlign w:val="bottom"/>
          </w:tcPr>
          <w:p>
            <w:pPr>
              <w:spacing w:after="0"/>
              <w:rPr>
                <w:sz w:val="17"/>
                <w:szCs w:val="17"/>
                <w:color w:val="auto"/>
              </w:rPr>
            </w:pPr>
          </w:p>
        </w:tc>
        <w:tc>
          <w:tcPr>
            <w:tcW w:w="25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6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$ 6,928,632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373,517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5"/>
              </w:rPr>
              <w:t>$ 94,326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85,463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$ 7,497,778</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40" w:type="dxa"/>
            <w:vAlign w:val="bottom"/>
            <w:gridSpan w:val="3"/>
          </w:tcPr>
          <w:p>
            <w:pPr>
              <w:jc w:val="right"/>
              <w:ind w:right="473"/>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4"/>
                <w:szCs w:val="14"/>
                <w:b w:val="1"/>
                <w:bCs w:val="1"/>
                <w:color w:val="auto"/>
                <w:w w:val="92"/>
              </w:rPr>
              <w:t>As of December 31, 2021</w:t>
            </w: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33"/>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6"/>
              <w:spacing w:after="0" w:line="133" w:lineRule="exact"/>
              <w:rPr>
                <w:sz w:val="20"/>
                <w:szCs w:val="20"/>
                <w:color w:val="auto"/>
              </w:rPr>
            </w:pPr>
            <w:r>
              <w:rPr>
                <w:rFonts w:ascii="Arial" w:cs="Arial" w:eastAsia="Arial" w:hAnsi="Arial"/>
                <w:sz w:val="14"/>
                <w:szCs w:val="14"/>
                <w:b w:val="1"/>
                <w:bCs w:val="1"/>
                <w:color w:val="auto"/>
              </w:rPr>
              <w:t>Special</w:t>
            </w: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4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1"/>
              </w:rPr>
              <w:t>Substandard</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r>
      <w:tr>
        <w:trPr>
          <w:trHeight w:val="185"/>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920" w:type="dxa"/>
            <w:vAlign w:val="bottom"/>
          </w:tcPr>
          <w:p>
            <w:pPr>
              <w:jc w:val="right"/>
              <w:ind w:right="239"/>
              <w:spacing w:after="0"/>
              <w:rPr>
                <w:sz w:val="20"/>
                <w:szCs w:val="20"/>
                <w:color w:val="auto"/>
              </w:rPr>
            </w:pPr>
            <w:r>
              <w:rPr>
                <w:rFonts w:ascii="Arial" w:cs="Arial" w:eastAsia="Arial" w:hAnsi="Arial"/>
                <w:sz w:val="14"/>
                <w:szCs w:val="14"/>
                <w:b w:val="1"/>
                <w:bCs w:val="1"/>
                <w:color w:val="auto"/>
              </w:rPr>
              <w:t>Pass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12"/>
              <w:spacing w:after="0"/>
              <w:rPr>
                <w:sz w:val="20"/>
                <w:szCs w:val="20"/>
                <w:color w:val="auto"/>
              </w:rPr>
            </w:pPr>
            <w:r>
              <w:rPr>
                <w:rFonts w:ascii="Arial" w:cs="Arial" w:eastAsia="Arial" w:hAnsi="Arial"/>
                <w:sz w:val="14"/>
                <w:szCs w:val="14"/>
                <w:b w:val="1"/>
                <w:bCs w:val="1"/>
                <w:color w:val="auto"/>
              </w:rPr>
              <w:t>Watch</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36"/>
              <w:spacing w:after="0"/>
              <w:rPr>
                <w:sz w:val="20"/>
                <w:szCs w:val="20"/>
                <w:color w:val="auto"/>
              </w:rPr>
            </w:pPr>
            <w:r>
              <w:rPr>
                <w:rFonts w:ascii="Arial" w:cs="Arial" w:eastAsia="Arial" w:hAnsi="Arial"/>
                <w:sz w:val="14"/>
                <w:szCs w:val="14"/>
                <w:b w:val="1"/>
                <w:bCs w:val="1"/>
                <w:color w:val="auto"/>
              </w:rPr>
              <w:t>Mention</w:t>
            </w:r>
          </w:p>
        </w:tc>
        <w:tc>
          <w:tcPr>
            <w:tcW w:w="960" w:type="dxa"/>
            <w:vAlign w:val="bottom"/>
            <w:gridSpan w:val="3"/>
          </w:tcPr>
          <w:p>
            <w:pPr>
              <w:jc w:val="right"/>
              <w:spacing w:after="0"/>
              <w:rPr>
                <w:sz w:val="20"/>
                <w:szCs w:val="20"/>
                <w:color w:val="auto"/>
              </w:rPr>
            </w:pPr>
            <w:r>
              <w:rPr>
                <w:rFonts w:ascii="Arial" w:cs="Arial" w:eastAsia="Arial" w:hAnsi="Arial"/>
                <w:sz w:val="14"/>
                <w:szCs w:val="14"/>
                <w:b w:val="1"/>
                <w:bCs w:val="1"/>
                <w:color w:val="auto"/>
              </w:rPr>
              <w:t>Substandard</w:t>
            </w:r>
          </w:p>
        </w:tc>
        <w:tc>
          <w:tcPr>
            <w:tcW w:w="140" w:type="dxa"/>
            <w:vAlign w:val="bottom"/>
          </w:tcPr>
          <w:p>
            <w:pPr>
              <w:spacing w:after="0"/>
              <w:rPr>
                <w:sz w:val="16"/>
                <w:szCs w:val="16"/>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Non-accrual</w:t>
            </w:r>
          </w:p>
        </w:tc>
        <w:tc>
          <w:tcPr>
            <w:tcW w:w="140" w:type="dxa"/>
            <w:vAlign w:val="bottom"/>
          </w:tcPr>
          <w:p>
            <w:pPr>
              <w:spacing w:after="0"/>
              <w:rPr>
                <w:sz w:val="16"/>
                <w:szCs w:val="16"/>
                <w:color w:val="auto"/>
              </w:rPr>
            </w:pPr>
          </w:p>
        </w:tc>
        <w:tc>
          <w:tcPr>
            <w:tcW w:w="940" w:type="dxa"/>
            <w:vAlign w:val="bottom"/>
          </w:tcPr>
          <w:p>
            <w:pPr>
              <w:jc w:val="right"/>
              <w:ind w:right="239"/>
              <w:spacing w:after="0"/>
              <w:rPr>
                <w:sz w:val="20"/>
                <w:szCs w:val="20"/>
                <w:color w:val="auto"/>
              </w:rPr>
            </w:pPr>
            <w:r>
              <w:rPr>
                <w:rFonts w:ascii="Arial" w:cs="Arial" w:eastAsia="Arial" w:hAnsi="Arial"/>
                <w:sz w:val="14"/>
                <w:szCs w:val="14"/>
                <w:b w:val="1"/>
                <w:bCs w:val="1"/>
                <w:color w:val="auto"/>
              </w:rPr>
              <w:t>Total</w:t>
            </w:r>
          </w:p>
        </w:tc>
      </w:tr>
      <w:tr>
        <w:trPr>
          <w:trHeight w:val="196"/>
        </w:trPr>
        <w:tc>
          <w:tcPr>
            <w:tcW w:w="20" w:type="dxa"/>
            <w:vAlign w:val="bottom"/>
          </w:tcPr>
          <w:p>
            <w:pPr>
              <w:spacing w:after="0"/>
              <w:rPr>
                <w:sz w:val="17"/>
                <w:szCs w:val="17"/>
                <w:color w:val="auto"/>
              </w:rPr>
            </w:pPr>
          </w:p>
        </w:tc>
        <w:tc>
          <w:tcPr>
            <w:tcW w:w="25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6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$ 1,747,756</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93,582</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69,427</w:t>
            </w:r>
          </w:p>
        </w:tc>
        <w:tc>
          <w:tcPr>
            <w:tcW w:w="32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26,117</w:t>
            </w:r>
          </w:p>
        </w:tc>
        <w:tc>
          <w:tcPr>
            <w:tcW w:w="300" w:type="dxa"/>
            <w:vAlign w:val="bottom"/>
            <w:gridSpan w:val="2"/>
          </w:tcPr>
          <w:p>
            <w:pPr>
              <w:ind w:left="140"/>
              <w:spacing w:after="0" w:line="202" w:lineRule="exact"/>
              <w:rPr>
                <w:sz w:val="20"/>
                <w:szCs w:val="20"/>
                <w:color w:val="auto"/>
              </w:rPr>
            </w:pPr>
            <w:r>
              <w:rPr>
                <w:rFonts w:ascii="Arial" w:cs="Arial" w:eastAsia="Arial" w:hAnsi="Arial"/>
                <w:sz w:val="18"/>
                <w:szCs w:val="18"/>
                <w:color w:val="auto"/>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7,004</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$ 1,943,886</w:t>
            </w: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2,682,441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343,304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49,695</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38,394</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5,973</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3,119,807</w:t>
            </w:r>
          </w:p>
        </w:tc>
      </w:tr>
      <w:tr>
        <w:trPr>
          <w:trHeight w:val="203"/>
        </w:trPr>
        <w:tc>
          <w:tcPr>
            <w:tcW w:w="20" w:type="dxa"/>
            <w:vAlign w:val="bottom"/>
          </w:tcPr>
          <w:p>
            <w:pPr>
              <w:spacing w:after="0"/>
              <w:rPr>
                <w:sz w:val="17"/>
                <w:szCs w:val="17"/>
                <w:color w:val="auto"/>
              </w:rPr>
            </w:pPr>
          </w:p>
        </w:tc>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369,797</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13,793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2,400</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385,996</w:t>
            </w:r>
          </w:p>
        </w:tc>
      </w:tr>
      <w:tr>
        <w:trPr>
          <w:trHeight w:val="203"/>
        </w:trPr>
        <w:tc>
          <w:tcPr>
            <w:tcW w:w="20" w:type="dxa"/>
            <w:vAlign w:val="bottom"/>
          </w:tcPr>
          <w:p>
            <w:pPr>
              <w:spacing w:after="0"/>
              <w:rPr>
                <w:sz w:val="17"/>
                <w:szCs w:val="17"/>
                <w:color w:val="auto"/>
              </w:rPr>
            </w:pPr>
          </w:p>
        </w:tc>
        <w:tc>
          <w:tcPr>
            <w:tcW w:w="2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5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1,491,845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1,992</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1,512,976</w:t>
            </w:r>
          </w:p>
        </w:tc>
      </w:tr>
      <w:tr>
        <w:trPr>
          <w:trHeight w:val="203"/>
        </w:trPr>
        <w:tc>
          <w:tcPr>
            <w:tcW w:w="20" w:type="dxa"/>
            <w:vAlign w:val="bottom"/>
          </w:tcPr>
          <w:p>
            <w:pPr>
              <w:spacing w:after="0"/>
              <w:rPr>
                <w:sz w:val="17"/>
                <w:szCs w:val="17"/>
                <w:color w:val="auto"/>
              </w:rPr>
            </w:pPr>
          </w:p>
        </w:tc>
        <w:tc>
          <w:tcPr>
            <w:tcW w:w="25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15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226,262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226,333</w:t>
            </w:r>
          </w:p>
        </w:tc>
      </w:tr>
      <w:tr>
        <w:trPr>
          <w:trHeight w:val="196"/>
        </w:trPr>
        <w:tc>
          <w:tcPr>
            <w:tcW w:w="20" w:type="dxa"/>
            <w:vAlign w:val="bottom"/>
          </w:tcPr>
          <w:p>
            <w:pPr>
              <w:spacing w:after="0"/>
              <w:rPr>
                <w:sz w:val="17"/>
                <w:szCs w:val="17"/>
                <w:color w:val="auto"/>
              </w:rPr>
            </w:pPr>
          </w:p>
        </w:tc>
        <w:tc>
          <w:tcPr>
            <w:tcW w:w="25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60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$ 6,518,101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463,053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121,120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70,778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15,946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$ 7,188,998</w:t>
            </w: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jc w:val="right"/>
              <w:ind w:right="372"/>
              <w:spacing w:after="0"/>
              <w:rPr>
                <w:sz w:val="20"/>
                <w:szCs w:val="20"/>
                <w:color w:val="auto"/>
              </w:rPr>
            </w:pPr>
            <w:r>
              <w:rPr>
                <w:rFonts w:ascii="Arial" w:cs="Arial" w:eastAsia="Arial" w:hAnsi="Arial"/>
                <w:sz w:val="18"/>
                <w:szCs w:val="18"/>
                <w:color w:val="auto"/>
                <w:w w:val="99"/>
              </w:rPr>
              <w:t>23</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Risk grades of portfolio loans, further sorted by origination year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As of June 30, 2022</w:t>
            </w:r>
          </w:p>
        </w:tc>
        <w:tc>
          <w:tcPr>
            <w:tcW w:w="7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56"/>
        </w:trPr>
        <w:tc>
          <w:tcPr>
            <w:tcW w:w="1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3560" w:type="dxa"/>
            <w:vAlign w:val="bottom"/>
            <w:tcBorders>
              <w:bottom w:val="single" w:sz="8" w:color="auto"/>
            </w:tcBorders>
            <w:gridSpan w:val="12"/>
          </w:tcPr>
          <w:p>
            <w:pPr>
              <w:spacing w:after="0" w:line="155"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78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3"/>
                <w:szCs w:val="13"/>
                <w:color w:val="auto"/>
              </w:rPr>
            </w:pPr>
          </w:p>
        </w:tc>
      </w:tr>
      <w:tr>
        <w:trPr>
          <w:trHeight w:val="155"/>
        </w:trPr>
        <w:tc>
          <w:tcPr>
            <w:tcW w:w="16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Risk Grade Ratings</w:t>
            </w:r>
          </w:p>
        </w:tc>
        <w:tc>
          <w:tcPr>
            <w:tcW w:w="140" w:type="dxa"/>
            <w:vAlign w:val="bottom"/>
          </w:tcPr>
          <w:p>
            <w:pPr>
              <w:spacing w:after="0"/>
              <w:rPr>
                <w:sz w:val="13"/>
                <w:szCs w:val="13"/>
                <w:color w:val="auto"/>
              </w:rPr>
            </w:pPr>
          </w:p>
        </w:tc>
        <w:tc>
          <w:tcPr>
            <w:tcW w:w="78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3"/>
                <w:szCs w:val="13"/>
                <w:color w:val="auto"/>
              </w:rPr>
            </w:pPr>
          </w:p>
        </w:tc>
        <w:tc>
          <w:tcPr>
            <w:tcW w:w="78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Prior</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center"/>
              <w:ind w:right="80"/>
              <w:spacing w:after="0" w:line="155" w:lineRule="exact"/>
              <w:rPr>
                <w:sz w:val="20"/>
                <w:szCs w:val="20"/>
                <w:color w:val="auto"/>
              </w:rPr>
            </w:pPr>
            <w:r>
              <w:rPr>
                <w:rFonts w:ascii="Arial" w:cs="Arial" w:eastAsia="Arial" w:hAnsi="Arial"/>
                <w:sz w:val="14"/>
                <w:szCs w:val="14"/>
                <w:b w:val="1"/>
                <w:bCs w:val="1"/>
                <w:color w:val="auto"/>
                <w:w w:val="92"/>
              </w:rPr>
              <w:t>Loans</w:t>
            </w:r>
          </w:p>
        </w:tc>
        <w:tc>
          <w:tcPr>
            <w:tcW w:w="92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Total</w:t>
            </w:r>
          </w:p>
        </w:tc>
      </w:tr>
      <w:tr>
        <w:trPr>
          <w:trHeight w:val="196"/>
        </w:trPr>
        <w:tc>
          <w:tcPr>
            <w:tcW w:w="160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Commercial</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318,589</w:t>
            </w:r>
          </w:p>
        </w:tc>
        <w:tc>
          <w:tcPr>
            <w:tcW w:w="4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351,192</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154,862</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65,399</w:t>
            </w:r>
          </w:p>
        </w:tc>
        <w:tc>
          <w:tcPr>
            <w:tcW w:w="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57,255</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7"/>
              </w:rPr>
              <w:t>$ 159,597</w:t>
            </w:r>
          </w:p>
        </w:tc>
        <w:tc>
          <w:tcPr>
            <w:tcW w:w="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636,207</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$ 1,743,101</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16,715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21,174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8,795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1,416</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31,722</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86,902</w:t>
            </w: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737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1,458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1,011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3,301</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17,611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18,562</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44,434</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3,332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2,754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7,212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5,486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17,636</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38,425</w:t>
            </w: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9"/>
              </w:rPr>
              <w:t>Substandard non-</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accrual</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326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2,068</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6,818</w:t>
            </w:r>
          </w:p>
        </w:tc>
      </w:tr>
      <w:tr>
        <w:trPr>
          <w:trHeight w:val="196"/>
        </w:trPr>
        <w:tc>
          <w:tcPr>
            <w:tcW w:w="16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340,390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378,277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163,374</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82,556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62,569</w:t>
            </w: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186,319</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706,195</w:t>
            </w: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1,919,680</w:t>
            </w:r>
          </w:p>
        </w:tc>
      </w:tr>
      <w:tr>
        <w:trPr>
          <w:trHeight w:val="196"/>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800" w:type="dxa"/>
            <w:vAlign w:val="bottom"/>
            <w:gridSpan w:val="3"/>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89"/>
              </w:rPr>
              <w:t>Commercial real estate</w:t>
            </w: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594,333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921,519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529,485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341,259</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186,369</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273,412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20,811</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2,867,188</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44,855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26,003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50,638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95,099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20,877</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22,983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5,465</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265,920</w:t>
            </w: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5,777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5,412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13,455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6,630</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15,482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269</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47,867</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11,864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12,820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10,419</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40,879</w:t>
            </w: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9"/>
              </w:rPr>
              <w:t>Substandard non-</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accrual</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4,210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1,851</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6,236</w:t>
            </w:r>
          </w:p>
        </w:tc>
      </w:tr>
      <w:tr>
        <w:trPr>
          <w:trHeight w:val="168"/>
        </w:trPr>
        <w:tc>
          <w:tcPr>
            <w:tcW w:w="166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w w:val="94"/>
              </w:rPr>
              <w:t>Total commercial real</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656,829</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969,964</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596,749</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439,014</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226,146</w:t>
            </w: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312,843</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26,545</w:t>
            </w:r>
          </w:p>
        </w:tc>
        <w:tc>
          <w:tcPr>
            <w:tcW w:w="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3,228,090</w:t>
            </w:r>
          </w:p>
        </w:tc>
      </w:tr>
      <w:tr>
        <w:trPr>
          <w:trHeight w:val="196"/>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262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131,894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187,283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86,891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23,572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2,495</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2,256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16,496</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450,887</w:t>
            </w:r>
          </w:p>
        </w:tc>
      </w:tr>
      <w:tr>
        <w:trPr>
          <w:trHeight w:val="202"/>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4,592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3,419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12,848</w:t>
            </w: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9"/>
              </w:rPr>
              <w:t>Substandard non-</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accrual</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68"/>
        </w:trPr>
        <w:tc>
          <w:tcPr>
            <w:tcW w:w="166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real estate</w:t>
            </w:r>
          </w:p>
        </w:tc>
        <w:tc>
          <w:tcPr>
            <w:tcW w:w="14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r>
      <w:tr>
        <w:trPr>
          <w:trHeight w:val="217"/>
        </w:trPr>
        <w:tc>
          <w:tcPr>
            <w:tcW w:w="1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construction</w:t>
            </w: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135,193</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191,875</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92,757</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23,626</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2,495</w:t>
            </w:r>
          </w:p>
        </w:tc>
        <w:tc>
          <w:tcPr>
            <w:tcW w:w="4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3,743</w:t>
            </w:r>
          </w:p>
        </w:tc>
        <w:tc>
          <w:tcPr>
            <w:tcW w:w="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16,496</w:t>
            </w:r>
          </w:p>
        </w:tc>
        <w:tc>
          <w:tcPr>
            <w:tcW w:w="4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466,185</w:t>
            </w:r>
          </w:p>
        </w:tc>
      </w:tr>
      <w:tr>
        <w:trPr>
          <w:trHeight w:val="196"/>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real estate</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253,800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472,480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187,596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82,372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64,928</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302,911</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210,547</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1,574,634</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1,168</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590</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7,847</w:t>
            </w: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1,878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2,022</w:t>
            </w:r>
          </w:p>
        </w:tc>
      </w:tr>
      <w:tr>
        <w:trPr>
          <w:trHeight w:val="203"/>
        </w:trPr>
        <w:tc>
          <w:tcPr>
            <w:tcW w:w="166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w:t>
            </w: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2,175</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w:t>
            </w: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3,759</w:t>
            </w:r>
          </w:p>
        </w:tc>
      </w:tr>
      <w:tr>
        <w:trPr>
          <w:trHeight w:val="188"/>
        </w:trPr>
        <w:tc>
          <w:tcPr>
            <w:tcW w:w="1660" w:type="dxa"/>
            <w:vAlign w:val="bottom"/>
            <w:gridSpan w:val="2"/>
          </w:tcPr>
          <w:p>
            <w:pPr>
              <w:ind w:left="220"/>
              <w:spacing w:after="0" w:line="189" w:lineRule="exact"/>
              <w:rPr>
                <w:sz w:val="20"/>
                <w:szCs w:val="20"/>
                <w:color w:val="auto"/>
              </w:rPr>
            </w:pPr>
            <w:r>
              <w:rPr>
                <w:rFonts w:ascii="Arial" w:cs="Arial" w:eastAsia="Arial" w:hAnsi="Arial"/>
                <w:sz w:val="18"/>
                <w:szCs w:val="18"/>
                <w:color w:val="auto"/>
                <w:w w:val="99"/>
              </w:rPr>
              <w:t>Substandard non-</w:t>
            </w: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7"/>
        </w:trPr>
        <w:tc>
          <w:tcPr>
            <w:tcW w:w="1660" w:type="dxa"/>
            <w:vAlign w:val="bottom"/>
            <w:gridSpan w:val="2"/>
          </w:tcPr>
          <w:p>
            <w:pPr>
              <w:ind w:left="220"/>
              <w:spacing w:after="0"/>
              <w:rPr>
                <w:sz w:val="20"/>
                <w:szCs w:val="20"/>
                <w:color w:val="auto"/>
              </w:rPr>
            </w:pPr>
            <w:r>
              <w:rPr>
                <w:rFonts w:ascii="Arial" w:cs="Arial" w:eastAsia="Arial" w:hAnsi="Arial"/>
                <w:sz w:val="18"/>
                <w:szCs w:val="18"/>
                <w:color w:val="auto"/>
              </w:rPr>
              <w:t>accrual</w:t>
            </w:r>
          </w:p>
        </w:tc>
        <w:tc>
          <w:tcPr>
            <w:tcW w:w="14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436</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1,653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404</w:t>
            </w:r>
          </w:p>
        </w:tc>
        <w:tc>
          <w:tcPr>
            <w:tcW w:w="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2,651</w:t>
            </w:r>
          </w:p>
        </w:tc>
      </w:tr>
      <w:tr>
        <w:trPr>
          <w:trHeight w:val="196"/>
        </w:trPr>
        <w:tc>
          <w:tcPr>
            <w:tcW w:w="166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3"/>
              </w:rPr>
              <w:t>Total retail real estate</w:t>
            </w: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255,140</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477,163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189,916</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84,043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66,154</w:t>
            </w:r>
          </w:p>
        </w:tc>
        <w:tc>
          <w:tcPr>
            <w:tcW w:w="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306,873</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211,624</w:t>
            </w:r>
          </w:p>
        </w:tc>
        <w:tc>
          <w:tcPr>
            <w:tcW w:w="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1,590,913</w:t>
            </w:r>
          </w:p>
        </w:tc>
      </w:tr>
      <w:tr>
        <w:trPr>
          <w:trHeight w:val="196"/>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66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other</w:t>
            </w: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r>
      <w:tr>
        <w:trPr>
          <w:trHeight w:val="203"/>
        </w:trPr>
        <w:tc>
          <w:tcPr>
            <w:tcW w:w="16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103,386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51,497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17,208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19,075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10,189</w:t>
            </w:r>
          </w:p>
        </w:tc>
        <w:tc>
          <w:tcPr>
            <w:tcW w:w="4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3,438</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88,029</w:t>
            </w:r>
          </w:p>
        </w:tc>
        <w:tc>
          <w:tcPr>
            <w:tcW w:w="4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292,822</w:t>
            </w:r>
          </w:p>
        </w:tc>
      </w:tr>
      <w:tr>
        <w:trPr>
          <w:trHeight w:val="188"/>
        </w:trPr>
        <w:tc>
          <w:tcPr>
            <w:tcW w:w="16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w w:val="99"/>
              </w:rPr>
              <w:t>Substandard non-</w:t>
            </w:r>
          </w:p>
        </w:tc>
        <w:tc>
          <w:tcPr>
            <w:tcW w:w="1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217"/>
        </w:trPr>
        <w:tc>
          <w:tcPr>
            <w:tcW w:w="16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accrual</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196"/>
        </w:trPr>
        <w:tc>
          <w:tcPr>
            <w:tcW w:w="16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retail other</w:t>
            </w:r>
          </w:p>
        </w:tc>
        <w:tc>
          <w:tcPr>
            <w:tcW w:w="1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103,386</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51,585</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17,208</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19,075</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10,189</w:t>
            </w:r>
          </w:p>
        </w:tc>
        <w:tc>
          <w:tcPr>
            <w:tcW w:w="4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3,438</w:t>
            </w: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88,029</w:t>
            </w:r>
          </w:p>
        </w:tc>
        <w:tc>
          <w:tcPr>
            <w:tcW w:w="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292,910</w:t>
            </w:r>
          </w:p>
        </w:tc>
      </w:tr>
      <w:tr>
        <w:trPr>
          <w:trHeight w:val="196"/>
        </w:trPr>
        <w:tc>
          <w:tcPr>
            <w:tcW w:w="1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03"/>
        </w:trPr>
        <w:tc>
          <w:tcPr>
            <w:tcW w:w="1660" w:type="dxa"/>
            <w:vAlign w:val="bottom"/>
            <w:tcBorders>
              <w:bottom w:val="single" w:sz="8" w:color="CCEEFF"/>
            </w:tcBorders>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93"/>
                <w:shd w:val="clear" w:color="auto" w:fill="CCEEFF"/>
              </w:rPr>
              <w:t>Total portfolio loans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shd w:val="clear" w:color="auto" w:fill="CCEEFF"/>
              </w:rPr>
              <w:t>1,490,938</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w w:val="99"/>
                <w:shd w:val="clear" w:color="auto" w:fill="CCEEFF"/>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shd w:val="clear" w:color="auto" w:fill="CCEEFF"/>
              </w:rPr>
              <w:t>2,068,864</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8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shd w:val="clear" w:color="auto" w:fill="CCEEFF"/>
              </w:rPr>
              <w:t>1,060,004</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shd w:val="clear" w:color="auto" w:fill="CCEEFF"/>
              </w:rPr>
              <w:t>648,314</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9"/>
                <w:shd w:val="clear" w:color="auto" w:fill="CCEEFF"/>
              </w:rPr>
              <w:t>367,553</w:t>
            </w: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87"/>
                <w:shd w:val="clear" w:color="auto" w:fill="CCEEFF"/>
              </w:rPr>
              <w:t>$ 813,216</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79"/>
                <w:shd w:val="clear" w:color="auto" w:fill="CCEEFF"/>
              </w:rPr>
              <w:t>$</w:t>
            </w: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2"/>
                <w:shd w:val="clear" w:color="auto" w:fill="CCEEFF"/>
              </w:rPr>
              <w:t>1,048,889</w:t>
            </w:r>
          </w:p>
        </w:tc>
        <w:tc>
          <w:tcPr>
            <w:tcW w:w="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0"/>
                <w:shd w:val="clear" w:color="auto" w:fill="CCEEFF"/>
              </w:rPr>
              <w:t>$ 7,497,778</w:t>
            </w:r>
          </w:p>
        </w:tc>
      </w:tr>
      <w:tr>
        <w:trPr>
          <w:trHeight w:val="20"/>
        </w:trPr>
        <w:tc>
          <w:tcPr>
            <w:tcW w:w="1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99"/>
              </w:rPr>
              <w:t>As of December 31, 2021</w:t>
            </w:r>
          </w:p>
        </w:tc>
        <w:tc>
          <w:tcPr>
            <w:tcW w:w="7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580" w:type="dxa"/>
            <w:vAlign w:val="bottom"/>
            <w:tcBorders>
              <w:bottom w:val="single" w:sz="8" w:color="auto"/>
            </w:tcBorders>
            <w:gridSpan w:val="11"/>
          </w:tcPr>
          <w:p>
            <w:pPr>
              <w:spacing w:after="0" w:line="155" w:lineRule="exact"/>
              <w:rPr>
                <w:sz w:val="20"/>
                <w:szCs w:val="20"/>
                <w:color w:val="auto"/>
              </w:rPr>
            </w:pPr>
            <w:r>
              <w:rPr>
                <w:rFonts w:ascii="Arial" w:cs="Arial" w:eastAsia="Arial" w:hAnsi="Arial"/>
                <w:sz w:val="14"/>
                <w:szCs w:val="14"/>
                <w:b w:val="1"/>
                <w:bCs w:val="1"/>
                <w:color w:val="auto"/>
                <w:w w:val="98"/>
              </w:rPr>
              <w:t>Term Loans Amortized Cost Basis by Origination Year</w:t>
            </w:r>
          </w:p>
        </w:tc>
        <w:tc>
          <w:tcPr>
            <w:tcW w:w="7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Revolving</w:t>
            </w: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15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Risk Grade Ratings</w:t>
            </w: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231"/>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3"/>
                <w:szCs w:val="13"/>
                <w:color w:val="auto"/>
              </w:rPr>
            </w:pPr>
          </w:p>
        </w:tc>
        <w:tc>
          <w:tcPr>
            <w:tcW w:w="780" w:type="dxa"/>
            <w:vAlign w:val="bottom"/>
          </w:tcPr>
          <w:p>
            <w:pPr>
              <w:jc w:val="right"/>
              <w:ind w:right="17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151"/>
              <w:spacing w:after="0" w:line="155"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3"/>
                <w:szCs w:val="13"/>
                <w:color w:val="auto"/>
              </w:rPr>
            </w:pPr>
          </w:p>
        </w:tc>
        <w:tc>
          <w:tcPr>
            <w:tcW w:w="780" w:type="dxa"/>
            <w:vAlign w:val="bottom"/>
          </w:tcPr>
          <w:p>
            <w:pPr>
              <w:jc w:val="right"/>
              <w:ind w:right="91"/>
              <w:spacing w:after="0" w:line="155" w:lineRule="exact"/>
              <w:rPr>
                <w:sz w:val="20"/>
                <w:szCs w:val="20"/>
                <w:color w:val="auto"/>
              </w:rPr>
            </w:pPr>
            <w:r>
              <w:rPr>
                <w:rFonts w:ascii="Arial" w:cs="Arial" w:eastAsia="Arial" w:hAnsi="Arial"/>
                <w:sz w:val="14"/>
                <w:szCs w:val="14"/>
                <w:b w:val="1"/>
                <w:bCs w:val="1"/>
                <w:color w:val="auto"/>
              </w:rPr>
              <w:t>Prior</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jc w:val="center"/>
              <w:ind w:right="100"/>
              <w:spacing w:after="0" w:line="155" w:lineRule="exact"/>
              <w:rPr>
                <w:sz w:val="20"/>
                <w:szCs w:val="20"/>
                <w:color w:val="auto"/>
              </w:rPr>
            </w:pPr>
            <w:r>
              <w:rPr>
                <w:rFonts w:ascii="Arial" w:cs="Arial" w:eastAsia="Arial" w:hAnsi="Arial"/>
                <w:sz w:val="14"/>
                <w:szCs w:val="14"/>
                <w:b w:val="1"/>
                <w:bCs w:val="1"/>
                <w:color w:val="auto"/>
                <w:w w:val="92"/>
              </w:rPr>
              <w:t>Loans</w:t>
            </w:r>
          </w:p>
        </w:tc>
        <w:tc>
          <w:tcPr>
            <w:tcW w:w="940" w:type="dxa"/>
            <w:vAlign w:val="bottom"/>
            <w:gridSpan w:val="2"/>
          </w:tcPr>
          <w:p>
            <w:pPr>
              <w:ind w:left="360"/>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146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Commercial</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512,729</w:t>
            </w:r>
          </w:p>
        </w:tc>
        <w:tc>
          <w:tcPr>
            <w:tcW w:w="80" w:type="dxa"/>
            <w:vAlign w:val="bottom"/>
          </w:tcPr>
          <w:p>
            <w:pPr>
              <w:spacing w:after="0"/>
              <w:rPr>
                <w:sz w:val="17"/>
                <w:szCs w:val="17"/>
                <w:color w:val="auto"/>
              </w:rPr>
            </w:pPr>
          </w:p>
        </w:tc>
        <w:tc>
          <w:tcPr>
            <w:tcW w:w="120" w:type="dxa"/>
            <w:vAlign w:val="bottom"/>
          </w:tcPr>
          <w:p>
            <w:pPr>
              <w:spacing w:after="0" w:line="202" w:lineRule="exact"/>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228,811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7"/>
              </w:rPr>
              <w:t>$ 107,877</w:t>
            </w:r>
          </w:p>
        </w:tc>
        <w:tc>
          <w:tcPr>
            <w:tcW w:w="2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84,873</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74,351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w w:val="89"/>
              </w:rPr>
              <w:t>$ 122,418</w:t>
            </w:r>
          </w:p>
        </w:tc>
        <w:tc>
          <w:tcPr>
            <w:tcW w:w="8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616,697</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$ 1,747,756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13,847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5,913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14,274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50,261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93,582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7,062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898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5,961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4,025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6,790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11,845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32,846</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69,427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3,595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3,362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3,136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1,855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5,459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7,585</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26,117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4,126</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364</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320</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2,000</w:t>
            </w: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541,359</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239,348</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131,390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95,813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83,947</w:t>
            </w:r>
          </w:p>
        </w:tc>
        <w:tc>
          <w:tcPr>
            <w:tcW w:w="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142,640</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709,389</w:t>
            </w:r>
          </w:p>
        </w:tc>
        <w:tc>
          <w:tcPr>
            <w:tcW w:w="8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1,943,886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Commercial real estate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969,548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637,550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425,850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89"/>
              </w:rPr>
              <w:t>235,928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w w:val="92"/>
              </w:rPr>
              <w:t>200,373</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198,002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15,190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2,682,441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51,560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38,820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123,324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46,761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32,608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2,143</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343,304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9,542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7,060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6,585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10,098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6,357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9,870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183</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49,695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21,002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3,781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11,451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521</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38,394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359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1,893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3,407</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5,973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tcBorders>
              <w:top w:val="single" w:sz="8" w:color="CCEEFF"/>
            </w:tcBorders>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commercial</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1,051,764</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687,392</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557,336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307,458</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257,419</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240,922</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17,516</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3,119,807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540" w:type="dxa"/>
            <w:vAlign w:val="bottom"/>
            <w:gridSpan w:val="5"/>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Real estate construction</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202,082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123,491</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31,927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3,155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738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1,223</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7,181</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369,797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7,886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4,159</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1,574</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13,793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1540" w:type="dxa"/>
            <w:vAlign w:val="bottom"/>
            <w:gridSpan w:val="2"/>
          </w:tcPr>
          <w:p>
            <w:pPr>
              <w:ind w:left="20"/>
              <w:spacing w:after="0" w:line="168" w:lineRule="exact"/>
              <w:rPr>
                <w:sz w:val="20"/>
                <w:szCs w:val="20"/>
                <w:color w:val="auto"/>
              </w:rPr>
            </w:pPr>
            <w:r>
              <w:rPr>
                <w:rFonts w:ascii="Arial" w:cs="Arial" w:eastAsia="Arial" w:hAnsi="Arial"/>
                <w:sz w:val="18"/>
                <w:szCs w:val="18"/>
                <w:color w:val="auto"/>
              </w:rPr>
              <w:t>Total real estate</w:t>
            </w: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tcPr>
          <w:p>
            <w:pPr>
              <w:ind w:left="20"/>
              <w:spacing w:after="0"/>
              <w:rPr>
                <w:sz w:val="20"/>
                <w:szCs w:val="20"/>
                <w:color w:val="auto"/>
              </w:rPr>
            </w:pPr>
            <w:r>
              <w:rPr>
                <w:rFonts w:ascii="Arial" w:cs="Arial" w:eastAsia="Arial" w:hAnsi="Arial"/>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209,968</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130,050</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31,987</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3,155</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2,312</w:t>
            </w:r>
          </w:p>
        </w:tc>
        <w:tc>
          <w:tcPr>
            <w:tcW w:w="8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7,181</w:t>
            </w: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385,996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real estate</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523,541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215,068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96,617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79,158</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82,478</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281,737</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213,246</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1,491,845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Watch</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2,460</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1,780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343</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2,229</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12,374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Special Mention</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1,965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74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1,992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232</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165</w:t>
            </w: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1,687</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w:t>
            </w: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1540" w:type="dxa"/>
            <w:vAlign w:val="bottom"/>
            <w:gridSpan w:val="2"/>
            <w:shd w:val="clear" w:color="auto" w:fill="CCEEFF"/>
          </w:tcPr>
          <w:p>
            <w:pPr>
              <w:ind w:left="20"/>
              <w:spacing w:after="0" w:line="168" w:lineRule="exact"/>
              <w:rPr>
                <w:sz w:val="20"/>
                <w:szCs w:val="20"/>
                <w:color w:val="auto"/>
              </w:rPr>
            </w:pPr>
            <w:r>
              <w:rPr>
                <w:rFonts w:ascii="Arial" w:cs="Arial" w:eastAsia="Arial" w:hAnsi="Arial"/>
                <w:sz w:val="18"/>
                <w:szCs w:val="18"/>
                <w:color w:val="auto"/>
              </w:rPr>
              <w:t>Total retail real</w:t>
            </w: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estate</w:t>
            </w: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531,210</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217,850</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98,409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80,557</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83,213</w:t>
            </w:r>
          </w:p>
        </w:tc>
        <w:tc>
          <w:tcPr>
            <w:tcW w:w="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285,279</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216,458</w:t>
            </w:r>
          </w:p>
        </w:tc>
        <w:tc>
          <w:tcPr>
            <w:tcW w:w="80" w:type="dxa"/>
            <w:vAlign w:val="bottom"/>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1,512,976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Retail 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154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Pass</w:t>
            </w: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59,366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22,305</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26,126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16,189</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7,180</w:t>
            </w:r>
          </w:p>
        </w:tc>
        <w:tc>
          <w:tcPr>
            <w:tcW w:w="8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1,326</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93,770</w:t>
            </w: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226,262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154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Substandard</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5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non-accrual</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5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retail other</w:t>
            </w: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59,400</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22,315</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26,126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16,203</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7,193</w:t>
            </w:r>
          </w:p>
        </w:tc>
        <w:tc>
          <w:tcPr>
            <w:tcW w:w="80" w:type="dxa"/>
            <w:vAlign w:val="bottom"/>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1,326</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93,770</w:t>
            </w:r>
          </w:p>
        </w:tc>
        <w:tc>
          <w:tcPr>
            <w:tcW w:w="8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226,333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540" w:type="dxa"/>
            <w:vAlign w:val="bottom"/>
            <w:gridSpan w:val="2"/>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Total portfolio</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2,393,701</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1,296,955</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7"/>
              </w:rPr>
              <w:t>$ 845,248</w:t>
            </w:r>
          </w:p>
        </w:tc>
        <w:tc>
          <w:tcPr>
            <w:tcW w:w="20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503,186</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434,084</w:t>
            </w:r>
          </w:p>
        </w:tc>
        <w:tc>
          <w:tcPr>
            <w:tcW w:w="8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$ 671,510</w:t>
            </w:r>
          </w:p>
        </w:tc>
        <w:tc>
          <w:tcPr>
            <w:tcW w:w="80" w:type="dxa"/>
            <w:vAlign w:val="bottom"/>
            <w:shd w:val="clear" w:color="auto" w:fill="CCEEFF"/>
          </w:tcPr>
          <w:p>
            <w:pPr>
              <w:spacing w:after="0"/>
              <w:rPr>
                <w:sz w:val="16"/>
                <w:szCs w:val="16"/>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1,044,314</w:t>
            </w:r>
          </w:p>
        </w:tc>
        <w:tc>
          <w:tcPr>
            <w:tcW w:w="80" w:type="dxa"/>
            <w:vAlign w:val="bottom"/>
            <w:shd w:val="clear" w:color="auto" w:fill="CCEEFF"/>
          </w:tcPr>
          <w:p>
            <w:pPr>
              <w:spacing w:after="0"/>
              <w:rPr>
                <w:sz w:val="16"/>
                <w:szCs w:val="16"/>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$ 7,188,998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5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loans</w:t>
            </w: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200" w:type="dxa"/>
            <w:vAlign w:val="bottom"/>
            <w:gridSpan w:val="2"/>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1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gridSpan w:val="3"/>
          </w:tcPr>
          <w:p>
            <w:pPr>
              <w:jc w:val="center"/>
              <w:ind w:right="471"/>
              <w:spacing w:after="0"/>
              <w:rPr>
                <w:sz w:val="20"/>
                <w:szCs w:val="20"/>
                <w:color w:val="auto"/>
              </w:rPr>
            </w:pPr>
            <w:r>
              <w:rPr>
                <w:rFonts w:ascii="Arial" w:cs="Arial" w:eastAsia="Arial" w:hAnsi="Arial"/>
                <w:sz w:val="18"/>
                <w:szCs w:val="18"/>
                <w:color w:val="auto"/>
                <w:w w:val="89"/>
              </w:rPr>
              <w:t>25</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1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Past Due and Non-accrual Loans</w:t>
      </w:r>
    </w:p>
    <w:p>
      <w:pPr>
        <w:spacing w:after="0" w:line="19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An analysis of the amortized cost basis of portfolio loans that are past due and still accruing, or on a non-accrual status, is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As of June 30, 2022</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156"/>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r>
      <w:tr>
        <w:trPr>
          <w:trHeight w:val="155"/>
        </w:trPr>
        <w:tc>
          <w:tcPr>
            <w:tcW w:w="514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2"/>
              </w:rPr>
              <w:t>Loans</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209</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24</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6,818</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6,236</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7"/>
                <w:szCs w:val="17"/>
                <w:color w:val="auto"/>
              </w:rPr>
            </w:pPr>
          </w:p>
        </w:tc>
        <w:tc>
          <w:tcPr>
            <w:tcW w:w="7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47</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1,990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1,019</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2,651</w:t>
            </w:r>
          </w:p>
        </w:tc>
      </w:tr>
      <w:tr>
        <w:trPr>
          <w:trHeight w:val="203"/>
        </w:trPr>
        <w:tc>
          <w:tcPr>
            <w:tcW w:w="51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Retail other</w:t>
            </w: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143</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88</w:t>
            </w:r>
          </w:p>
        </w:tc>
      </w:tr>
      <w:tr>
        <w:trPr>
          <w:trHeight w:val="196"/>
        </w:trPr>
        <w:tc>
          <w:tcPr>
            <w:tcW w:w="51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past due and non-accrual loans</w:t>
            </w:r>
          </w:p>
        </w:tc>
        <w:tc>
          <w:tcPr>
            <w:tcW w:w="220" w:type="dxa"/>
            <w:vAlign w:val="bottom"/>
            <w:tcBorders>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2,021</w:t>
            </w:r>
          </w:p>
        </w:tc>
        <w:tc>
          <w:tcPr>
            <w:tcW w:w="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1,654</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15,840</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r>
        <w:trPr>
          <w:trHeight w:val="359"/>
        </w:trPr>
        <w:tc>
          <w:tcPr>
            <w:tcW w:w="51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As of December 31, 2021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r>
      <w:tr>
        <w:trPr>
          <w:trHeight w:val="155"/>
        </w:trPr>
        <w:tc>
          <w:tcPr>
            <w:tcW w:w="5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700" w:type="dxa"/>
            <w:vAlign w:val="bottom"/>
            <w:gridSpan w:val="8"/>
          </w:tcPr>
          <w:p>
            <w:pPr>
              <w:jc w:val="center"/>
              <w:ind w:right="360"/>
              <w:spacing w:after="0" w:line="155" w:lineRule="exact"/>
              <w:rPr>
                <w:sz w:val="20"/>
                <w:szCs w:val="20"/>
                <w:color w:val="auto"/>
              </w:rPr>
            </w:pPr>
            <w:r>
              <w:rPr>
                <w:rFonts w:ascii="Arial" w:cs="Arial" w:eastAsia="Arial" w:hAnsi="Arial"/>
                <w:sz w:val="14"/>
                <w:szCs w:val="14"/>
                <w:b w:val="1"/>
                <w:bCs w:val="1"/>
                <w:color w:val="auto"/>
                <w:w w:val="90"/>
              </w:rPr>
              <w:t>Loans past due, still accruing</w:t>
            </w:r>
          </w:p>
        </w:tc>
        <w:tc>
          <w:tcPr>
            <w:tcW w:w="84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3"/>
              </w:rPr>
              <w:t>Non-accrual</w:t>
            </w:r>
          </w:p>
        </w:tc>
      </w:tr>
      <w:tr>
        <w:trPr>
          <w:trHeight w:val="156"/>
        </w:trPr>
        <w:tc>
          <w:tcPr>
            <w:tcW w:w="5140" w:type="dxa"/>
            <w:vAlign w:val="bottom"/>
          </w:tcPr>
          <w:p>
            <w:pPr>
              <w:spacing w:after="0"/>
              <w:rPr>
                <w:sz w:val="13"/>
                <w:szCs w:val="13"/>
                <w:color w:val="auto"/>
              </w:rPr>
            </w:pPr>
          </w:p>
        </w:tc>
        <w:tc>
          <w:tcPr>
            <w:tcW w:w="98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4"/>
                <w:szCs w:val="14"/>
                <w:b w:val="1"/>
                <w:bCs w:val="1"/>
                <w:color w:val="auto"/>
              </w:rPr>
              <w:t>30-59 Days</w:t>
            </w:r>
          </w:p>
        </w:tc>
        <w:tc>
          <w:tcPr>
            <w:tcW w:w="960" w:type="dxa"/>
            <w:vAlign w:val="bottom"/>
            <w:tcBorders>
              <w:top w:val="single" w:sz="8" w:color="auto"/>
            </w:tcBorders>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2"/>
              </w:rPr>
              <w:t>60-89 Days</w:t>
            </w: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73"/>
              <w:spacing w:after="0" w:line="155" w:lineRule="exact"/>
              <w:rPr>
                <w:sz w:val="20"/>
                <w:szCs w:val="20"/>
                <w:color w:val="auto"/>
              </w:rPr>
            </w:pPr>
            <w:r>
              <w:rPr>
                <w:rFonts w:ascii="Arial" w:cs="Arial" w:eastAsia="Arial" w:hAnsi="Arial"/>
                <w:sz w:val="14"/>
                <w:szCs w:val="14"/>
                <w:b w:val="1"/>
                <w:bCs w:val="1"/>
                <w:color w:val="auto"/>
                <w:w w:val="94"/>
              </w:rPr>
              <w:t>90+Days</w:t>
            </w: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jc w:val="center"/>
              <w:ind w:right="33"/>
              <w:spacing w:after="0" w:line="155" w:lineRule="exact"/>
              <w:rPr>
                <w:sz w:val="20"/>
                <w:szCs w:val="20"/>
                <w:color w:val="auto"/>
              </w:rPr>
            </w:pPr>
            <w:r>
              <w:rPr>
                <w:rFonts w:ascii="Arial" w:cs="Arial" w:eastAsia="Arial" w:hAnsi="Arial"/>
                <w:sz w:val="14"/>
                <w:szCs w:val="14"/>
                <w:b w:val="1"/>
                <w:bCs w:val="1"/>
                <w:color w:val="auto"/>
                <w:w w:val="92"/>
              </w:rPr>
              <w:t>Loans</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Past due and non-accrual loans</w:t>
            </w:r>
          </w:p>
        </w:tc>
        <w:tc>
          <w:tcPr>
            <w:tcW w:w="2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220" w:type="dxa"/>
            <w:vAlign w:val="bottom"/>
          </w:tcPr>
          <w:p>
            <w:pPr>
              <w:jc w:val="right"/>
              <w:ind w:right="36"/>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213</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7,004</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5,973</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r>
      <w:tr>
        <w:trPr>
          <w:trHeight w:val="203"/>
        </w:trPr>
        <w:tc>
          <w:tcPr>
            <w:tcW w:w="51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2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2,898</w:t>
            </w:r>
          </w:p>
        </w:tc>
      </w:tr>
      <w:tr>
        <w:trPr>
          <w:trHeight w:val="203"/>
        </w:trPr>
        <w:tc>
          <w:tcPr>
            <w:tcW w:w="514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2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71</w:t>
            </w:r>
          </w:p>
        </w:tc>
      </w:tr>
      <w:tr>
        <w:trPr>
          <w:trHeight w:val="196"/>
        </w:trPr>
        <w:tc>
          <w:tcPr>
            <w:tcW w:w="51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past due and non-accrual loans</w:t>
            </w:r>
          </w:p>
        </w:tc>
        <w:tc>
          <w:tcPr>
            <w:tcW w:w="220" w:type="dxa"/>
            <w:vAlign w:val="bottom"/>
            <w:tcBorders>
              <w:top w:val="single" w:sz="8" w:color="auto"/>
              <w:bottom w:val="single" w:sz="8" w:color="auto"/>
            </w:tcBorders>
            <w:shd w:val="clear" w:color="auto" w:fill="CCEEFF"/>
          </w:tcPr>
          <w:p>
            <w:pPr>
              <w:jc w:val="right"/>
              <w:ind w:right="36"/>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3,964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2,297</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15,946</w:t>
            </w:r>
          </w:p>
        </w:tc>
      </w:tr>
      <w:tr>
        <w:trPr>
          <w:trHeight w:val="20"/>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Gross interest income recorded on 90+ days past due loans, and that would have been recorded on non-accrual loans if they had been accruing interest in accordance with their original terms, was $0.3 million and $0.5 million for the three and six months ended June 30, 2022, respectively. Gross interest income recorded on 90+ days past due loans, and that would have been recorded on non-accrual loans if they had been accruing interest in accordance with their original terms, was $0.4 million and $0.9 million for the three and six months ended June 30, 2021, respectively. The amount of interest collected on those loans and recognized on a cash basis that was included in interest income was insignificant for the three months ended June 30, 2022, and was $0.4 million for the six months ended June 30, 2022. The amount of interest collected on those loans and recognized on a cash basis that was included in interest income was insignificant for the three and six months ended June 30, 2021.</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Troubled Debt Restructurings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TDR loan balances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356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36"/>
              <w:spacing w:after="0" w:line="13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36"/>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56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TDRs</w:t>
            </w:r>
          </w:p>
        </w:tc>
        <w:tc>
          <w:tcPr>
            <w:tcW w:w="3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In compliance with modified terms</w:t>
            </w:r>
          </w:p>
        </w:tc>
        <w:tc>
          <w:tcPr>
            <w:tcW w:w="3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2,017</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1,801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30 – 89 days past due</w:t>
            </w:r>
          </w:p>
        </w:tc>
        <w:tc>
          <w:tcPr>
            <w:tcW w:w="30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Non-performing TDRs</w:t>
            </w:r>
          </w:p>
        </w:tc>
        <w:tc>
          <w:tcPr>
            <w:tcW w:w="30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508</w:t>
            </w:r>
          </w:p>
        </w:tc>
        <w:tc>
          <w:tcPr>
            <w:tcW w:w="60" w:type="dxa"/>
            <w:vAlign w:val="bottom"/>
            <w:tcBorders>
              <w:bottom w:val="single" w:sz="8" w:color="auto"/>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TDRs</w:t>
            </w:r>
          </w:p>
        </w:tc>
        <w:tc>
          <w:tcPr>
            <w:tcW w:w="3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2,537</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020" w:type="dxa"/>
            <w:vAlign w:val="bottom"/>
            <w:vMerge w:val="restart"/>
          </w:tcPr>
          <w:p>
            <w:pPr>
              <w:jc w:val="right"/>
              <w:ind w:right="1930"/>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560" w:type="dxa"/>
            <w:vAlign w:val="bottom"/>
          </w:tcPr>
          <w:p>
            <w:pPr>
              <w:spacing w:after="0"/>
              <w:rPr>
                <w:sz w:val="24"/>
                <w:szCs w:val="24"/>
                <w:color w:val="auto"/>
              </w:rPr>
            </w:pPr>
          </w:p>
        </w:tc>
        <w:tc>
          <w:tcPr>
            <w:tcW w:w="30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56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Loans that were newly designated as TDRs during the periods presented, are summarized as follows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940" w:type="dxa"/>
            <w:vAlign w:val="bottom"/>
            <w:gridSpan w:val="13"/>
          </w:tcPr>
          <w:p>
            <w:pPr>
              <w:ind w:left="300"/>
              <w:spacing w:after="0"/>
              <w:rPr>
                <w:sz w:val="20"/>
                <w:szCs w:val="20"/>
                <w:color w:val="auto"/>
              </w:rPr>
            </w:pPr>
            <w:r>
              <w:rPr>
                <w:rFonts w:ascii="Arial" w:cs="Arial" w:eastAsia="Arial" w:hAnsi="Arial"/>
                <w:sz w:val="14"/>
                <w:szCs w:val="14"/>
                <w:b w:val="1"/>
                <w:bCs w:val="1"/>
                <w:color w:val="auto"/>
              </w:rPr>
              <w:t>Three Months Ended June 30, 2022</w:t>
            </w:r>
          </w:p>
        </w:tc>
        <w:tc>
          <w:tcPr>
            <w:tcW w:w="20" w:type="dxa"/>
            <w:vAlign w:val="bottom"/>
          </w:tcPr>
          <w:p>
            <w:pPr>
              <w:spacing w:after="0"/>
              <w:rPr>
                <w:sz w:val="16"/>
                <w:szCs w:val="16"/>
                <w:color w:val="auto"/>
              </w:rPr>
            </w:pPr>
          </w:p>
        </w:tc>
        <w:tc>
          <w:tcPr>
            <w:tcW w:w="2500" w:type="dxa"/>
            <w:vAlign w:val="bottom"/>
            <w:gridSpan w:val="10"/>
          </w:tcPr>
          <w:p>
            <w:pPr>
              <w:ind w:left="420"/>
              <w:spacing w:after="0"/>
              <w:rPr>
                <w:sz w:val="20"/>
                <w:szCs w:val="20"/>
                <w:color w:val="auto"/>
              </w:rPr>
            </w:pPr>
            <w:r>
              <w:rPr>
                <w:rFonts w:ascii="Arial" w:cs="Arial" w:eastAsia="Arial" w:hAnsi="Arial"/>
                <w:sz w:val="14"/>
                <w:szCs w:val="14"/>
                <w:b w:val="1"/>
                <w:bCs w:val="1"/>
                <w:color w:val="auto"/>
                <w:w w:val="95"/>
              </w:rPr>
              <w:t>Six Months Ended June 30, 2022</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Borders>
              <w:top w:val="single" w:sz="8" w:color="auto"/>
              <w:bottom w:val="single" w:sz="8" w:color="auto"/>
            </w:tcBorders>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800" w:type="dxa"/>
            <w:vAlign w:val="bottom"/>
            <w:tcBorders>
              <w:top w:val="single" w:sz="8" w:color="auto"/>
              <w:bottom w:val="single" w:sz="8" w:color="auto"/>
            </w:tcBorders>
            <w:gridSpan w:val="6"/>
          </w:tcPr>
          <w:p>
            <w:pPr>
              <w:ind w:left="140"/>
              <w:spacing w:after="0" w:line="155" w:lineRule="exact"/>
              <w:rPr>
                <w:sz w:val="20"/>
                <w:szCs w:val="20"/>
                <w:color w:val="auto"/>
              </w:rPr>
            </w:pPr>
            <w:r>
              <w:rPr>
                <w:rFonts w:ascii="Arial" w:cs="Arial" w:eastAsia="Arial" w:hAnsi="Arial"/>
                <w:sz w:val="14"/>
                <w:szCs w:val="14"/>
                <w:b w:val="1"/>
                <w:bCs w:val="1"/>
                <w:color w:val="auto"/>
              </w:rPr>
              <w:t>Recorded Investment</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Borders>
              <w:top w:val="single" w:sz="8" w:color="auto"/>
              <w:bottom w:val="single" w:sz="8" w:color="auto"/>
            </w:tcBorders>
            <w:gridSpan w:val="4"/>
            <w:vMerge w:val="restart"/>
          </w:tcPr>
          <w:p>
            <w:pPr>
              <w:jc w:val="center"/>
              <w:ind w:right="140"/>
              <w:spacing w:after="0"/>
              <w:rPr>
                <w:sz w:val="20"/>
                <w:szCs w:val="20"/>
                <w:color w:val="auto"/>
              </w:rPr>
            </w:pPr>
            <w:r>
              <w:rPr>
                <w:rFonts w:ascii="Arial" w:cs="Arial" w:eastAsia="Arial" w:hAnsi="Arial"/>
                <w:sz w:val="14"/>
                <w:szCs w:val="14"/>
                <w:b w:val="1"/>
                <w:bCs w:val="1"/>
                <w:color w:val="auto"/>
                <w:w w:val="97"/>
              </w:rPr>
              <w:t>Number of</w:t>
            </w:r>
          </w:p>
        </w:tc>
        <w:tc>
          <w:tcPr>
            <w:tcW w:w="2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gridSpan w:val="5"/>
          </w:tcPr>
          <w:p>
            <w:pPr>
              <w:ind w:left="140"/>
              <w:spacing w:after="0" w:line="155" w:lineRule="exact"/>
              <w:rPr>
                <w:sz w:val="20"/>
                <w:szCs w:val="20"/>
                <w:color w:val="auto"/>
              </w:rPr>
            </w:pPr>
            <w:r>
              <w:rPr>
                <w:rFonts w:ascii="Arial" w:cs="Arial" w:eastAsia="Arial" w:hAnsi="Arial"/>
                <w:sz w:val="14"/>
                <w:szCs w:val="14"/>
                <w:b w:val="1"/>
                <w:bCs w:val="1"/>
                <w:color w:val="auto"/>
                <w:w w:val="92"/>
              </w:rPr>
              <w:t>Recorded Investment</w:t>
            </w:r>
          </w:p>
        </w:tc>
        <w:tc>
          <w:tcPr>
            <w:tcW w:w="3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4"/>
                <w:szCs w:val="14"/>
                <w:b w:val="1"/>
                <w:bCs w:val="1"/>
                <w:color w:val="auto"/>
              </w:rPr>
              <w:t>Payment</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4"/>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Contracts</w:t>
            </w:r>
          </w:p>
        </w:tc>
        <w:tc>
          <w:tcPr>
            <w:tcW w:w="1060" w:type="dxa"/>
            <w:vAlign w:val="bottom"/>
            <w:gridSpan w:val="5"/>
          </w:tcPr>
          <w:p>
            <w:pPr>
              <w:spacing w:after="0" w:line="185"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1100" w:type="dxa"/>
            <w:vAlign w:val="bottom"/>
            <w:gridSpan w:val="5"/>
          </w:tcPr>
          <w:p>
            <w:pPr>
              <w:ind w:left="20"/>
              <w:spacing w:after="0" w:line="185"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2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Contracts</w:t>
            </w:r>
          </w:p>
        </w:tc>
        <w:tc>
          <w:tcPr>
            <w:tcW w:w="1060" w:type="dxa"/>
            <w:vAlign w:val="bottom"/>
            <w:gridSpan w:val="5"/>
          </w:tcPr>
          <w:p>
            <w:pPr>
              <w:spacing w:after="0" w:line="185"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20" w:type="dxa"/>
            <w:vAlign w:val="bottom"/>
          </w:tcPr>
          <w:p>
            <w:pPr>
              <w:spacing w:after="0"/>
              <w:rPr>
                <w:sz w:val="16"/>
                <w:szCs w:val="16"/>
                <w:color w:val="auto"/>
              </w:rPr>
            </w:pPr>
          </w:p>
        </w:tc>
        <w:tc>
          <w:tcPr>
            <w:tcW w:w="960" w:type="dxa"/>
            <w:vAlign w:val="bottom"/>
            <w:gridSpan w:val="2"/>
          </w:tcPr>
          <w:p>
            <w:pPr>
              <w:spacing w:after="0" w:line="185" w:lineRule="exact"/>
              <w:rPr>
                <w:sz w:val="20"/>
                <w:szCs w:val="20"/>
                <w:color w:val="auto"/>
              </w:rPr>
            </w:pPr>
            <w:r>
              <w:rPr>
                <w:rFonts w:ascii="Arial" w:cs="Arial" w:eastAsia="Arial" w:hAnsi="Arial"/>
                <w:sz w:val="14"/>
                <w:szCs w:val="14"/>
                <w:b w:val="1"/>
                <w:bCs w:val="1"/>
                <w:color w:val="auto"/>
                <w:w w:val="90"/>
              </w:rPr>
              <w:t xml:space="preserve">Modification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09"/>
        </w:trPr>
        <w:tc>
          <w:tcPr>
            <w:tcW w:w="30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446</w:t>
            </w:r>
          </w:p>
        </w:tc>
        <w:tc>
          <w:tcPr>
            <w:tcW w:w="0" w:type="dxa"/>
            <w:vAlign w:val="bottom"/>
          </w:tcPr>
          <w:p>
            <w:pPr>
              <w:spacing w:after="0"/>
              <w:rPr>
                <w:sz w:val="1"/>
                <w:szCs w:val="1"/>
                <w:color w:val="auto"/>
              </w:rPr>
            </w:pPr>
          </w:p>
        </w:tc>
      </w:tr>
      <w:tr>
        <w:trPr>
          <w:trHeight w:val="378"/>
        </w:trPr>
        <w:tc>
          <w:tcPr>
            <w:tcW w:w="2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940" w:type="dxa"/>
            <w:vAlign w:val="bottom"/>
            <w:gridSpan w:val="13"/>
          </w:tcPr>
          <w:p>
            <w:pPr>
              <w:ind w:left="300"/>
              <w:spacing w:after="0"/>
              <w:rPr>
                <w:sz w:val="20"/>
                <w:szCs w:val="20"/>
                <w:color w:val="auto"/>
              </w:rPr>
            </w:pPr>
            <w:r>
              <w:rPr>
                <w:rFonts w:ascii="Arial" w:cs="Arial" w:eastAsia="Arial" w:hAnsi="Arial"/>
                <w:sz w:val="14"/>
                <w:szCs w:val="14"/>
                <w:b w:val="1"/>
                <w:bCs w:val="1"/>
                <w:color w:val="auto"/>
              </w:rPr>
              <w:t>Three Months Ended June 30, 2021</w:t>
            </w:r>
          </w:p>
        </w:tc>
        <w:tc>
          <w:tcPr>
            <w:tcW w:w="20" w:type="dxa"/>
            <w:vAlign w:val="bottom"/>
          </w:tcPr>
          <w:p>
            <w:pPr>
              <w:spacing w:after="0"/>
              <w:rPr>
                <w:sz w:val="24"/>
                <w:szCs w:val="24"/>
                <w:color w:val="auto"/>
              </w:rPr>
            </w:pPr>
          </w:p>
        </w:tc>
        <w:tc>
          <w:tcPr>
            <w:tcW w:w="2500" w:type="dxa"/>
            <w:vAlign w:val="bottom"/>
            <w:gridSpan w:val="10"/>
          </w:tcPr>
          <w:p>
            <w:pPr>
              <w:ind w:left="420"/>
              <w:spacing w:after="0"/>
              <w:rPr>
                <w:sz w:val="20"/>
                <w:szCs w:val="20"/>
                <w:color w:val="auto"/>
              </w:rPr>
            </w:pPr>
            <w:r>
              <w:rPr>
                <w:rFonts w:ascii="Arial" w:cs="Arial" w:eastAsia="Arial" w:hAnsi="Arial"/>
                <w:sz w:val="14"/>
                <w:szCs w:val="14"/>
                <w:b w:val="1"/>
                <w:bCs w:val="1"/>
                <w:color w:val="auto"/>
                <w:w w:val="95"/>
              </w:rPr>
              <w:t>Six Months Ended June 30, 2021</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auto"/>
              <w:bottom w:val="single" w:sz="8" w:color="auto"/>
            </w:tcBorders>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820" w:type="dxa"/>
            <w:vAlign w:val="bottom"/>
            <w:tcBorders>
              <w:top w:val="single" w:sz="8" w:color="auto"/>
              <w:bottom w:val="single" w:sz="8" w:color="auto"/>
            </w:tcBorders>
            <w:gridSpan w:val="7"/>
          </w:tcPr>
          <w:p>
            <w:pPr>
              <w:ind w:left="140"/>
              <w:spacing w:after="0" w:line="155" w:lineRule="exact"/>
              <w:rPr>
                <w:sz w:val="20"/>
                <w:szCs w:val="20"/>
                <w:color w:val="auto"/>
              </w:rPr>
            </w:pPr>
            <w:r>
              <w:rPr>
                <w:rFonts w:ascii="Arial" w:cs="Arial" w:eastAsia="Arial" w:hAnsi="Arial"/>
                <w:sz w:val="14"/>
                <w:szCs w:val="14"/>
                <w:b w:val="1"/>
                <w:bCs w:val="1"/>
                <w:color w:val="auto"/>
              </w:rPr>
              <w:t>Recorded Investment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Borders>
              <w:top w:val="single" w:sz="8" w:color="auto"/>
              <w:bottom w:val="single" w:sz="8" w:color="auto"/>
            </w:tcBorders>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1480" w:type="dxa"/>
            <w:vAlign w:val="bottom"/>
            <w:tcBorders>
              <w:top w:val="single" w:sz="8" w:color="auto"/>
              <w:bottom w:val="single" w:sz="8" w:color="auto"/>
            </w:tcBorders>
            <w:gridSpan w:val="5"/>
          </w:tcPr>
          <w:p>
            <w:pPr>
              <w:ind w:left="160"/>
              <w:spacing w:after="0" w:line="155" w:lineRule="exact"/>
              <w:rPr>
                <w:sz w:val="20"/>
                <w:szCs w:val="20"/>
                <w:color w:val="auto"/>
              </w:rPr>
            </w:pPr>
            <w:r>
              <w:rPr>
                <w:rFonts w:ascii="Arial" w:cs="Arial" w:eastAsia="Arial" w:hAnsi="Arial"/>
                <w:sz w:val="14"/>
                <w:szCs w:val="14"/>
                <w:b w:val="1"/>
                <w:bCs w:val="1"/>
                <w:color w:val="auto"/>
                <w:w w:val="91"/>
              </w:rPr>
              <w:t>Recorded Investment</w:t>
            </w:r>
          </w:p>
        </w:tc>
        <w:tc>
          <w:tcPr>
            <w:tcW w:w="340" w:type="dxa"/>
            <w:vAlign w:val="bottom"/>
            <w:tcBorders>
              <w:top w:val="single" w:sz="8" w:color="auto"/>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Payment</w:t>
            </w: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gridSpan w:val="3"/>
          </w:tcPr>
          <w:p>
            <w:pPr>
              <w:ind w:left="120"/>
              <w:spacing w:after="0" w:line="133" w:lineRule="exact"/>
              <w:rPr>
                <w:sz w:val="20"/>
                <w:szCs w:val="20"/>
                <w:color w:val="auto"/>
              </w:rPr>
            </w:pPr>
            <w:r>
              <w:rPr>
                <w:rFonts w:ascii="Arial" w:cs="Arial" w:eastAsia="Arial" w:hAnsi="Arial"/>
                <w:sz w:val="14"/>
                <w:szCs w:val="14"/>
                <w:b w:val="1"/>
                <w:bCs w:val="1"/>
                <w:color w:val="auto"/>
              </w:rPr>
              <w:t>Rate</w:t>
            </w:r>
          </w:p>
        </w:tc>
        <w:tc>
          <w:tcPr>
            <w:tcW w:w="20" w:type="dxa"/>
            <w:vAlign w:val="bottom"/>
          </w:tcPr>
          <w:p>
            <w:pPr>
              <w:spacing w:after="0"/>
              <w:rPr>
                <w:sz w:val="11"/>
                <w:szCs w:val="11"/>
                <w:color w:val="auto"/>
              </w:rPr>
            </w:pPr>
          </w:p>
        </w:tc>
        <w:tc>
          <w:tcPr>
            <w:tcW w:w="960" w:type="dxa"/>
            <w:vAlign w:val="bottom"/>
            <w:gridSpan w:val="2"/>
          </w:tcPr>
          <w:p>
            <w:pPr>
              <w:ind w:left="200"/>
              <w:spacing w:after="0" w:line="133" w:lineRule="exact"/>
              <w:rPr>
                <w:sz w:val="20"/>
                <w:szCs w:val="20"/>
                <w:color w:val="auto"/>
              </w:rPr>
            </w:pPr>
            <w:r>
              <w:rPr>
                <w:rFonts w:ascii="Arial" w:cs="Arial" w:eastAsia="Arial" w:hAnsi="Arial"/>
                <w:sz w:val="14"/>
                <w:szCs w:val="14"/>
                <w:b w:val="1"/>
                <w:bCs w:val="1"/>
                <w:color w:val="auto"/>
              </w:rPr>
              <w:t>Payment</w:t>
            </w:r>
          </w:p>
        </w:tc>
        <w:tc>
          <w:tcPr>
            <w:tcW w:w="0" w:type="dxa"/>
            <w:vAlign w:val="bottom"/>
          </w:tcPr>
          <w:p>
            <w:pPr>
              <w:spacing w:after="0"/>
              <w:rPr>
                <w:sz w:val="1"/>
                <w:szCs w:val="1"/>
                <w:color w:val="auto"/>
              </w:rPr>
            </w:pPr>
          </w:p>
        </w:tc>
      </w:tr>
      <w:tr>
        <w:trPr>
          <w:trHeight w:val="185"/>
        </w:trPr>
        <w:tc>
          <w:tcPr>
            <w:tcW w:w="2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Contracts</w:t>
            </w:r>
          </w:p>
        </w:tc>
        <w:tc>
          <w:tcPr>
            <w:tcW w:w="20" w:type="dxa"/>
            <w:vAlign w:val="bottom"/>
          </w:tcPr>
          <w:p>
            <w:pPr>
              <w:spacing w:after="0"/>
              <w:rPr>
                <w:sz w:val="16"/>
                <w:szCs w:val="16"/>
                <w:color w:val="auto"/>
              </w:rPr>
            </w:pPr>
          </w:p>
        </w:tc>
        <w:tc>
          <w:tcPr>
            <w:tcW w:w="1040" w:type="dxa"/>
            <w:vAlign w:val="bottom"/>
            <w:gridSpan w:val="4"/>
          </w:tcPr>
          <w:p>
            <w:pPr>
              <w:spacing w:after="0" w:line="185" w:lineRule="exact"/>
              <w:rPr>
                <w:sz w:val="20"/>
                <w:szCs w:val="20"/>
                <w:color w:val="auto"/>
              </w:rPr>
            </w:pPr>
            <w:r>
              <w:rPr>
                <w:rFonts w:ascii="Arial" w:cs="Arial" w:eastAsia="Arial" w:hAnsi="Arial"/>
                <w:sz w:val="14"/>
                <w:szCs w:val="14"/>
                <w:b w:val="1"/>
                <w:bCs w:val="1"/>
                <w:color w:val="auto"/>
                <w:w w:val="98"/>
              </w:rPr>
              <w:t xml:space="preserve">Modification </w:t>
            </w:r>
            <w:r>
              <w:rPr>
                <w:rFonts w:ascii="Arial" w:cs="Arial" w:eastAsia="Arial" w:hAnsi="Arial"/>
                <w:sz w:val="21"/>
                <w:szCs w:val="21"/>
                <w:b w:val="1"/>
                <w:bCs w:val="1"/>
                <w:color w:val="auto"/>
                <w:w w:val="98"/>
                <w:vertAlign w:val="superscript"/>
              </w:rPr>
              <w:t>(1)</w:t>
            </w:r>
          </w:p>
        </w:tc>
        <w:tc>
          <w:tcPr>
            <w:tcW w:w="20" w:type="dxa"/>
            <w:vAlign w:val="bottom"/>
          </w:tcPr>
          <w:p>
            <w:pPr>
              <w:spacing w:after="0"/>
              <w:rPr>
                <w:sz w:val="16"/>
                <w:szCs w:val="16"/>
                <w:color w:val="auto"/>
              </w:rPr>
            </w:pPr>
          </w:p>
        </w:tc>
        <w:tc>
          <w:tcPr>
            <w:tcW w:w="1080" w:type="dxa"/>
            <w:vAlign w:val="bottom"/>
            <w:gridSpan w:val="4"/>
          </w:tcPr>
          <w:p>
            <w:pPr>
              <w:spacing w:after="0" w:line="185" w:lineRule="exact"/>
              <w:rPr>
                <w:sz w:val="20"/>
                <w:szCs w:val="20"/>
                <w:color w:val="auto"/>
              </w:rPr>
            </w:pPr>
            <w:r>
              <w:rPr>
                <w:rFonts w:ascii="Arial" w:cs="Arial" w:eastAsia="Arial" w:hAnsi="Arial"/>
                <w:sz w:val="14"/>
                <w:szCs w:val="14"/>
                <w:b w:val="1"/>
                <w:bCs w:val="1"/>
                <w:color w:val="auto"/>
              </w:rPr>
              <w:t xml:space="preserve">Modification </w:t>
            </w:r>
            <w:r>
              <w:rPr>
                <w:rFonts w:ascii="Arial" w:cs="Arial" w:eastAsia="Arial" w:hAnsi="Arial"/>
                <w:sz w:val="21"/>
                <w:szCs w:val="21"/>
                <w:b w:val="1"/>
                <w:bCs w:val="1"/>
                <w:color w:val="auto"/>
                <w:vertAlign w:val="superscript"/>
              </w:rPr>
              <w:t>(1)</w:t>
            </w:r>
          </w:p>
        </w:tc>
        <w:tc>
          <w:tcPr>
            <w:tcW w:w="20" w:type="dxa"/>
            <w:vAlign w:val="bottom"/>
          </w:tcPr>
          <w:p>
            <w:pPr>
              <w:spacing w:after="0"/>
              <w:rPr>
                <w:sz w:val="16"/>
                <w:szCs w:val="16"/>
                <w:color w:val="auto"/>
              </w:rPr>
            </w:pPr>
          </w:p>
        </w:tc>
        <w:tc>
          <w:tcPr>
            <w:tcW w:w="8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4"/>
              </w:rPr>
              <w:t>Contracts</w:t>
            </w:r>
          </w:p>
        </w:tc>
        <w:tc>
          <w:tcPr>
            <w:tcW w:w="20" w:type="dxa"/>
            <w:vAlign w:val="bottom"/>
          </w:tcPr>
          <w:p>
            <w:pPr>
              <w:spacing w:after="0"/>
              <w:rPr>
                <w:sz w:val="16"/>
                <w:szCs w:val="16"/>
                <w:color w:val="auto"/>
              </w:rPr>
            </w:pPr>
          </w:p>
        </w:tc>
        <w:tc>
          <w:tcPr>
            <w:tcW w:w="1040" w:type="dxa"/>
            <w:vAlign w:val="bottom"/>
            <w:gridSpan w:val="4"/>
          </w:tcPr>
          <w:p>
            <w:pPr>
              <w:spacing w:after="0" w:line="185" w:lineRule="exact"/>
              <w:rPr>
                <w:sz w:val="20"/>
                <w:szCs w:val="20"/>
                <w:color w:val="auto"/>
              </w:rPr>
            </w:pPr>
            <w:r>
              <w:rPr>
                <w:rFonts w:ascii="Arial" w:cs="Arial" w:eastAsia="Arial" w:hAnsi="Arial"/>
                <w:sz w:val="14"/>
                <w:szCs w:val="14"/>
                <w:b w:val="1"/>
                <w:bCs w:val="1"/>
                <w:color w:val="auto"/>
                <w:w w:val="98"/>
              </w:rPr>
              <w:t xml:space="preserve">Modification </w:t>
            </w:r>
            <w:r>
              <w:rPr>
                <w:rFonts w:ascii="Arial" w:cs="Arial" w:eastAsia="Arial" w:hAnsi="Arial"/>
                <w:sz w:val="21"/>
                <w:szCs w:val="21"/>
                <w:b w:val="1"/>
                <w:bCs w:val="1"/>
                <w:color w:val="auto"/>
                <w:w w:val="98"/>
                <w:vertAlign w:val="superscript"/>
              </w:rPr>
              <w:t>(1)</w:t>
            </w:r>
          </w:p>
        </w:tc>
        <w:tc>
          <w:tcPr>
            <w:tcW w:w="20" w:type="dxa"/>
            <w:vAlign w:val="bottom"/>
          </w:tcPr>
          <w:p>
            <w:pPr>
              <w:spacing w:after="0"/>
              <w:rPr>
                <w:sz w:val="16"/>
                <w:szCs w:val="16"/>
                <w:color w:val="auto"/>
              </w:rPr>
            </w:pPr>
          </w:p>
        </w:tc>
        <w:tc>
          <w:tcPr>
            <w:tcW w:w="960" w:type="dxa"/>
            <w:vAlign w:val="bottom"/>
            <w:gridSpan w:val="2"/>
          </w:tcPr>
          <w:p>
            <w:pPr>
              <w:spacing w:after="0" w:line="185" w:lineRule="exact"/>
              <w:rPr>
                <w:sz w:val="20"/>
                <w:szCs w:val="20"/>
                <w:color w:val="auto"/>
              </w:rPr>
            </w:pPr>
            <w:r>
              <w:rPr>
                <w:rFonts w:ascii="Arial" w:cs="Arial" w:eastAsia="Arial" w:hAnsi="Arial"/>
                <w:sz w:val="14"/>
                <w:szCs w:val="14"/>
                <w:b w:val="1"/>
                <w:bCs w:val="1"/>
                <w:color w:val="auto"/>
                <w:w w:val="90"/>
              </w:rPr>
              <w:t xml:space="preserve">Modification </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210"/>
        </w:trPr>
        <w:tc>
          <w:tcPr>
            <w:tcW w:w="3080" w:type="dxa"/>
            <w:vAlign w:val="bottom"/>
            <w:tcBorders>
              <w:top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3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80" w:right="79" w:hanging="322"/>
        <w:spacing w:after="0" w:line="273" w:lineRule="auto"/>
        <w:tabs>
          <w:tab w:leader="none" w:pos="480" w:val="left"/>
        </w:tabs>
        <w:numPr>
          <w:ilvl w:val="0"/>
          <w:numId w:val="6"/>
        </w:numPr>
        <w:rPr>
          <w:rFonts w:ascii="Arial" w:cs="Arial" w:eastAsia="Arial" w:hAnsi="Arial"/>
          <w:sz w:val="11"/>
          <w:szCs w:val="11"/>
          <w:color w:val="auto"/>
        </w:rPr>
      </w:pPr>
      <w:r>
        <w:rPr>
          <w:rFonts w:ascii="Arial" w:cs="Arial" w:eastAsia="Arial" w:hAnsi="Arial"/>
          <w:sz w:val="14"/>
          <w:szCs w:val="14"/>
          <w:color w:val="auto"/>
        </w:rPr>
        <w:t>TDRs may include multiple concessions; those that include an interest rate concession and payment concession are shown in the rate modification column.</w:t>
      </w:r>
    </w:p>
    <w:p>
      <w:pPr>
        <w:spacing w:after="0" w:line="165"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There were no TDRs entered into during the 12 months ended June 30, 2022, or 2021, that had subsequent defaults during the three or six months ended June 30, 2022, or 2021. A default occurs when a loan is 90 days or more past due or transferred to non-accrual.</w:t>
      </w:r>
    </w:p>
    <w:p>
      <w:pPr>
        <w:spacing w:after="0" w:line="168"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7"/>
          <w:szCs w:val="17"/>
          <w:color w:val="auto"/>
        </w:rPr>
        <w:t>Gross interest income that would have been recorded in the three and six months ended June 30, 2022, and 2021, if TDRs had performed in accordance with their original terms compared with their modified terms, was insignificant.</w:t>
      </w:r>
    </w:p>
    <w:p>
      <w:pPr>
        <w:spacing w:after="0" w:line="133"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As of June 30, 2022, the Company had $0.8 million of residential real estate in the process of foreclosure. The Company follows Federal Housing Finance Agency guidelines on single-family foreclosures and real estate owned evictions on portfolio loans.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Modified Under the CARES Act or Interagency Statement</w:t>
      </w:r>
    </w:p>
    <w:p>
      <w:pPr>
        <w:spacing w:after="0" w:line="19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The CARES Act provided financial institutions the option to temporarily suspend certain requirements under GAAP related to TDRs for a limited period of time to account for the effects of COVID-19. Federal regulatory agencies, in consultation with FASB, also issued an Interagency Statement to encourage financial institutions to work with borrowers affected by COVID-19, and to update guidance which allowed banks to modify loans of customers stressed by COVID-19 without having to classify the loan as a TDR. The Company’s TDR loan totals do not include the following modified loans with payment deferrals that fall under the CARES Act or Interagency Statement, which suspended GAAP requirements related to TDR classification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4"/>
          </w:tcPr>
          <w:p>
            <w:pPr>
              <w:jc w:val="right"/>
              <w:ind w:right="215"/>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ind w:left="60"/>
              <w:spacing w:after="0"/>
              <w:rPr>
                <w:sz w:val="20"/>
                <w:szCs w:val="20"/>
                <w:color w:val="auto"/>
              </w:rPr>
            </w:pPr>
            <w:r>
              <w:rPr>
                <w:rFonts w:ascii="Arial" w:cs="Arial" w:eastAsia="Arial" w:hAnsi="Arial"/>
                <w:sz w:val="14"/>
                <w:szCs w:val="14"/>
                <w:b w:val="1"/>
                <w:bCs w:val="1"/>
                <w:color w:val="auto"/>
              </w:rPr>
              <w:t>As of December 31, 2021</w:t>
            </w:r>
          </w:p>
        </w:tc>
        <w:tc>
          <w:tcPr>
            <w:tcW w:w="0" w:type="dxa"/>
            <w:vAlign w:val="bottom"/>
          </w:tcPr>
          <w:p>
            <w:pPr>
              <w:spacing w:after="0"/>
              <w:rPr>
                <w:sz w:val="1"/>
                <w:szCs w:val="1"/>
                <w:color w:val="auto"/>
              </w:rPr>
            </w:pPr>
          </w:p>
        </w:tc>
      </w:tr>
      <w:tr>
        <w:trPr>
          <w:trHeight w:val="133"/>
        </w:trPr>
        <w:tc>
          <w:tcPr>
            <w:tcW w:w="376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4"/>
              </w:rPr>
              <w:t>Number of</w:t>
            </w:r>
          </w:p>
        </w:tc>
        <w:tc>
          <w:tcPr>
            <w:tcW w:w="10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89"/>
              </w:rPr>
              <w:t>Recorded</w:t>
            </w:r>
          </w:p>
        </w:tc>
        <w:tc>
          <w:tcPr>
            <w:tcW w:w="140" w:type="dxa"/>
            <w:vAlign w:val="bottom"/>
          </w:tcPr>
          <w:p>
            <w:pPr>
              <w:spacing w:after="0"/>
              <w:rPr>
                <w:sz w:val="11"/>
                <w:szCs w:val="11"/>
                <w:color w:val="auto"/>
              </w:rPr>
            </w:pPr>
          </w:p>
        </w:tc>
        <w:tc>
          <w:tcPr>
            <w:tcW w:w="980" w:type="dxa"/>
            <w:vAlign w:val="bottom"/>
            <w:tcBorders>
              <w:top w:val="single" w:sz="8" w:color="auto"/>
            </w:tcBorders>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7"/>
              </w:rPr>
              <w:t>Number of</w:t>
            </w:r>
          </w:p>
        </w:tc>
        <w:tc>
          <w:tcPr>
            <w:tcW w:w="12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89"/>
              </w:rPr>
              <w:t>Recorded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37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Contracts</w:t>
            </w:r>
          </w:p>
        </w:tc>
        <w:tc>
          <w:tcPr>
            <w:tcW w:w="82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Investment</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Contracts</w:t>
            </w:r>
          </w:p>
        </w:tc>
        <w:tc>
          <w:tcPr>
            <w:tcW w:w="860" w:type="dxa"/>
            <w:vAlign w:val="bottom"/>
            <w:gridSpan w:val="3"/>
          </w:tcPr>
          <w:p>
            <w:pPr>
              <w:ind w:left="80"/>
              <w:spacing w:after="0"/>
              <w:rPr>
                <w:sz w:val="20"/>
                <w:szCs w:val="20"/>
                <w:color w:val="auto"/>
              </w:rPr>
            </w:pPr>
            <w:r>
              <w:rPr>
                <w:rFonts w:ascii="Arial" w:cs="Arial" w:eastAsia="Arial" w:hAnsi="Arial"/>
                <w:sz w:val="14"/>
                <w:szCs w:val="14"/>
                <w:b w:val="1"/>
                <w:bCs w:val="1"/>
                <w:color w:val="auto"/>
              </w:rPr>
              <w:t>Investment</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COVID-19 loan modifications</w:t>
            </w:r>
          </w:p>
        </w:tc>
        <w:tc>
          <w:tcPr>
            <w:tcW w:w="13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60" w:type="dxa"/>
            <w:vAlign w:val="bottom"/>
          </w:tcPr>
          <w:p>
            <w:pPr>
              <w:ind w:left="220"/>
              <w:spacing w:after="0"/>
              <w:rPr>
                <w:sz w:val="20"/>
                <w:szCs w:val="20"/>
                <w:color w:val="auto"/>
              </w:rPr>
            </w:pPr>
            <w:r>
              <w:rPr>
                <w:rFonts w:ascii="Arial" w:cs="Arial" w:eastAsia="Arial" w:hAnsi="Arial"/>
                <w:sz w:val="18"/>
                <w:szCs w:val="18"/>
                <w:color w:val="auto"/>
              </w:rPr>
              <w:t>Commercial loans: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Interest-only deferrals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31,925</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60" w:type="dxa"/>
            <w:vAlign w:val="bottom"/>
          </w:tcPr>
          <w:p>
            <w:pPr>
              <w:ind w:left="220"/>
              <w:spacing w:after="0"/>
              <w:rPr>
                <w:sz w:val="20"/>
                <w:szCs w:val="20"/>
                <w:color w:val="auto"/>
              </w:rPr>
            </w:pPr>
            <w:r>
              <w:rPr>
                <w:rFonts w:ascii="Arial" w:cs="Arial" w:eastAsia="Arial" w:hAnsi="Arial"/>
                <w:sz w:val="18"/>
                <w:szCs w:val="18"/>
                <w:color w:val="auto"/>
              </w:rPr>
              <w:t>Retail loans:</w:t>
            </w: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Mortgage and personal loan deferrals</w:t>
            </w:r>
          </w:p>
        </w:tc>
        <w:tc>
          <w:tcPr>
            <w:tcW w:w="2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9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line="196" w:lineRule="exact"/>
              <w:rPr>
                <w:sz w:val="20"/>
                <w:szCs w:val="20"/>
                <w:color w:val="auto"/>
              </w:rPr>
            </w:pPr>
            <w:r>
              <w:rPr>
                <w:rFonts w:ascii="Arial" w:cs="Arial" w:eastAsia="Arial" w:hAnsi="Arial"/>
                <w:sz w:val="18"/>
                <w:szCs w:val="18"/>
                <w:color w:val="auto"/>
              </w:rPr>
              <w:t>Total COVID-19 loans modifications</w:t>
            </w: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w:t>
            </w:r>
          </w:p>
        </w:tc>
        <w:tc>
          <w:tcPr>
            <w:tcW w:w="16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32,024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34</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128,867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380" w:type="dxa"/>
            <w:vAlign w:val="bottom"/>
            <w:vMerge w:val="restart"/>
          </w:tcPr>
          <w:p>
            <w:pPr>
              <w:jc w:val="right"/>
              <w:ind w:right="49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7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76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Loans Evaluated Individually</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 xml:space="preserve">The Company evaluates loans with disparate risk characteristics on an individual basis. The following tables provide details of loans evaluated individually, segregated by category. The unpaid principal balance represents customer outstanding contractual principal balances excluding any partial charge-offs. Recorded investment represents the amortized cost of customer balances net of any partial charge-offs recognized on the loan. Average recorded investment is calculated using the most recent four quarters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June 30, 2022</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r>
      <w:tr>
        <w:trPr>
          <w:trHeight w:val="156"/>
        </w:trPr>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ind w:left="100"/>
              <w:spacing w:after="0" w:line="155" w:lineRule="exact"/>
              <w:rPr>
                <w:sz w:val="20"/>
                <w:szCs w:val="20"/>
                <w:color w:val="auto"/>
              </w:rPr>
            </w:pPr>
            <w:r>
              <w:rPr>
                <w:rFonts w:ascii="Arial" w:cs="Arial" w:eastAsia="Arial" w:hAnsi="Arial"/>
                <w:sz w:val="14"/>
                <w:szCs w:val="14"/>
                <w:b w:val="1"/>
                <w:bCs w:val="1"/>
                <w:color w:val="auto"/>
              </w:rPr>
              <w:t>Unpaid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10"/>
          </w:tcPr>
          <w:p>
            <w:pPr>
              <w:jc w:val="center"/>
              <w:ind w:right="320"/>
              <w:spacing w:after="0" w:line="155" w:lineRule="exact"/>
              <w:rPr>
                <w:sz w:val="20"/>
                <w:szCs w:val="20"/>
                <w:color w:val="auto"/>
              </w:rPr>
            </w:pPr>
            <w:r>
              <w:rPr>
                <w:rFonts w:ascii="Arial" w:cs="Arial" w:eastAsia="Arial" w:hAnsi="Arial"/>
                <w:sz w:val="14"/>
                <w:szCs w:val="14"/>
                <w:b w:val="1"/>
                <w:bCs w:val="1"/>
                <w:color w:val="auto"/>
                <w:w w:val="92"/>
              </w:rPr>
              <w:t>Recorded Investment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w w:val="90"/>
              </w:rPr>
              <w:t>Average</w:t>
            </w:r>
          </w:p>
        </w:tc>
      </w:tr>
      <w:tr>
        <w:trPr>
          <w:trHeight w:val="133"/>
        </w:trPr>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ind w:left="40"/>
              <w:spacing w:after="0" w:line="133" w:lineRule="exact"/>
              <w:rPr>
                <w:sz w:val="20"/>
                <w:szCs w:val="20"/>
                <w:color w:val="auto"/>
              </w:rPr>
            </w:pPr>
            <w:r>
              <w:rPr>
                <w:rFonts w:ascii="Arial" w:cs="Arial" w:eastAsia="Arial" w:hAnsi="Arial"/>
                <w:sz w:val="14"/>
                <w:szCs w:val="14"/>
                <w:b w:val="1"/>
                <w:bCs w:val="1"/>
                <w:color w:val="auto"/>
              </w:rPr>
              <w:t>Principal</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gridSpan w:val="4"/>
          </w:tcPr>
          <w:p>
            <w:pPr>
              <w:ind w:left="40"/>
              <w:spacing w:after="0" w:line="133" w:lineRule="exact"/>
              <w:rPr>
                <w:sz w:val="20"/>
                <w:szCs w:val="20"/>
                <w:color w:val="auto"/>
              </w:rPr>
            </w:pPr>
            <w:r>
              <w:rPr>
                <w:rFonts w:ascii="Arial" w:cs="Arial" w:eastAsia="Arial" w:hAnsi="Arial"/>
                <w:sz w:val="14"/>
                <w:szCs w:val="14"/>
                <w:b w:val="1"/>
                <w:bCs w:val="1"/>
                <w:color w:val="auto"/>
              </w:rPr>
              <w:t>With No</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300"/>
              <w:spacing w:after="0" w:line="133" w:lineRule="exact"/>
              <w:rPr>
                <w:sz w:val="20"/>
                <w:szCs w:val="20"/>
                <w:color w:val="auto"/>
              </w:rPr>
            </w:pPr>
            <w:r>
              <w:rPr>
                <w:rFonts w:ascii="Arial" w:cs="Arial" w:eastAsia="Arial" w:hAnsi="Arial"/>
                <w:sz w:val="14"/>
                <w:szCs w:val="14"/>
                <w:b w:val="1"/>
                <w:bCs w:val="1"/>
                <w:color w:val="auto"/>
                <w:w w:val="98"/>
              </w:rPr>
              <w:t>With</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Related</w:t>
            </w:r>
          </w:p>
        </w:tc>
        <w:tc>
          <w:tcPr>
            <w:tcW w:w="7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Recorded</w:t>
            </w:r>
          </w:p>
        </w:tc>
      </w:tr>
      <w:tr>
        <w:trPr>
          <w:trHeight w:val="185"/>
        </w:trPr>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ind w:left="80"/>
              <w:spacing w:after="0"/>
              <w:rPr>
                <w:sz w:val="20"/>
                <w:szCs w:val="20"/>
                <w:color w:val="auto"/>
              </w:rPr>
            </w:pPr>
            <w:r>
              <w:rPr>
                <w:rFonts w:ascii="Arial" w:cs="Arial" w:eastAsia="Arial" w:hAnsi="Arial"/>
                <w:sz w:val="14"/>
                <w:szCs w:val="14"/>
                <w:b w:val="1"/>
                <w:bCs w:val="1"/>
                <w:color w:val="auto"/>
              </w:rPr>
              <w:t>Balance</w:t>
            </w:r>
          </w:p>
        </w:tc>
        <w:tc>
          <w:tcPr>
            <w:tcW w:w="800" w:type="dxa"/>
            <w:vAlign w:val="bottom"/>
            <w:gridSpan w:val="5"/>
          </w:tcPr>
          <w:p>
            <w:pPr>
              <w:spacing w:after="0"/>
              <w:rPr>
                <w:sz w:val="20"/>
                <w:szCs w:val="20"/>
                <w:color w:val="auto"/>
              </w:rPr>
            </w:pPr>
            <w:r>
              <w:rPr>
                <w:rFonts w:ascii="Arial" w:cs="Arial" w:eastAsia="Arial" w:hAnsi="Arial"/>
                <w:sz w:val="14"/>
                <w:szCs w:val="14"/>
                <w:b w:val="1"/>
                <w:bCs w:val="1"/>
                <w:color w:val="auto"/>
              </w:rPr>
              <w:t>Allowance</w:t>
            </w:r>
          </w:p>
        </w:tc>
        <w:tc>
          <w:tcPr>
            <w:tcW w:w="840" w:type="dxa"/>
            <w:vAlign w:val="bottom"/>
            <w:gridSpan w:val="4"/>
          </w:tcPr>
          <w:p>
            <w:pPr>
              <w:jc w:val="center"/>
              <w:ind w:right="12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r>
      <w:tr>
        <w:trPr>
          <w:trHeight w:val="196"/>
        </w:trPr>
        <w:tc>
          <w:tcPr>
            <w:tcW w:w="4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 evaluated individually</w:t>
            </w:r>
          </w:p>
        </w:tc>
        <w:tc>
          <w:tcPr>
            <w:tcW w:w="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$ 10,282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932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6,092</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7,024</w:t>
            </w:r>
          </w:p>
        </w:tc>
        <w:tc>
          <w:tcPr>
            <w:tcW w:w="1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2,826</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8,317</w:t>
            </w: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8,099</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1,923</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5,748</w:t>
            </w: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680" w:type="dxa"/>
            <w:vAlign w:val="bottom"/>
            <w:tcBorders>
              <w:bottom w:val="single" w:sz="8" w:color="auto"/>
            </w:tcBorders>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2,290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3"/>
              </w:rPr>
              <w:t>2,121</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2,146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2,890</w:t>
            </w: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Total loans evaluated individually</w:t>
            </w:r>
          </w:p>
        </w:tc>
        <w:tc>
          <w:tcPr>
            <w:tcW w:w="68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88"/>
              </w:rPr>
              <w:t>$ 20,933</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3"/>
              </w:rPr>
              <w:t>5,238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Borders>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88"/>
              </w:rPr>
              <w:t>$ 10,217</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15,455</w:t>
            </w:r>
          </w:p>
        </w:tc>
        <w:tc>
          <w:tcPr>
            <w:tcW w:w="140" w:type="dxa"/>
            <w:vAlign w:val="bottom"/>
          </w:tcPr>
          <w:p>
            <w:pPr>
              <w:spacing w:after="0"/>
              <w:rPr>
                <w:sz w:val="17"/>
                <w:szCs w:val="17"/>
                <w:color w:val="auto"/>
              </w:rPr>
            </w:pP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4,851</w:t>
            </w:r>
          </w:p>
        </w:tc>
        <w:tc>
          <w:tcPr>
            <w:tcW w:w="140" w:type="dxa"/>
            <w:vAlign w:val="bottom"/>
          </w:tcPr>
          <w:p>
            <w:pPr>
              <w:spacing w:after="0"/>
              <w:rPr>
                <w:sz w:val="17"/>
                <w:szCs w:val="17"/>
                <w:color w:val="auto"/>
              </w:rPr>
            </w:pPr>
          </w:p>
        </w:tc>
        <w:tc>
          <w:tcPr>
            <w:tcW w:w="72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4"/>
              </w:rPr>
              <w:t>$ 17,227</w:t>
            </w:r>
          </w:p>
        </w:tc>
      </w:tr>
      <w:tr>
        <w:trPr>
          <w:trHeight w:val="20"/>
        </w:trPr>
        <w:tc>
          <w:tcPr>
            <w:tcW w:w="40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r>
        <w:trPr>
          <w:trHeight w:val="358"/>
        </w:trPr>
        <w:tc>
          <w:tcPr>
            <w:tcW w:w="4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8"/>
              </w:rPr>
              <w:t>As of December 31, 2021</w:t>
            </w: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r>
      <w:tr>
        <w:trPr>
          <w:trHeight w:val="156"/>
        </w:trPr>
        <w:tc>
          <w:tcPr>
            <w:tcW w:w="40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gridSpan w:val="3"/>
          </w:tcPr>
          <w:p>
            <w:pPr>
              <w:jc w:val="center"/>
              <w:ind w:right="120"/>
              <w:spacing w:after="0" w:line="155" w:lineRule="exact"/>
              <w:rPr>
                <w:sz w:val="20"/>
                <w:szCs w:val="20"/>
                <w:color w:val="auto"/>
              </w:rPr>
            </w:pPr>
            <w:r>
              <w:rPr>
                <w:rFonts w:ascii="Arial" w:cs="Arial" w:eastAsia="Arial" w:hAnsi="Arial"/>
                <w:sz w:val="14"/>
                <w:szCs w:val="14"/>
                <w:b w:val="1"/>
                <w:bCs w:val="1"/>
                <w:color w:val="auto"/>
                <w:w w:val="96"/>
              </w:rPr>
              <w:t>Unpaid</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320" w:type="dxa"/>
            <w:vAlign w:val="bottom"/>
            <w:gridSpan w:val="10"/>
          </w:tcPr>
          <w:p>
            <w:pPr>
              <w:jc w:val="center"/>
              <w:ind w:right="280"/>
              <w:spacing w:after="0" w:line="155" w:lineRule="exact"/>
              <w:rPr>
                <w:sz w:val="20"/>
                <w:szCs w:val="20"/>
                <w:color w:val="auto"/>
              </w:rPr>
            </w:pPr>
            <w:r>
              <w:rPr>
                <w:rFonts w:ascii="Arial" w:cs="Arial" w:eastAsia="Arial" w:hAnsi="Arial"/>
                <w:sz w:val="14"/>
                <w:szCs w:val="14"/>
                <w:b w:val="1"/>
                <w:bCs w:val="1"/>
                <w:color w:val="auto"/>
                <w:w w:val="92"/>
              </w:rPr>
              <w:t>Recorded Investment</w:t>
            </w: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jc w:val="center"/>
              <w:ind w:right="14"/>
              <w:spacing w:after="0" w:line="155" w:lineRule="exact"/>
              <w:rPr>
                <w:sz w:val="20"/>
                <w:szCs w:val="20"/>
                <w:color w:val="auto"/>
              </w:rPr>
            </w:pPr>
            <w:r>
              <w:rPr>
                <w:rFonts w:ascii="Arial" w:cs="Arial" w:eastAsia="Arial" w:hAnsi="Arial"/>
                <w:sz w:val="14"/>
                <w:szCs w:val="14"/>
                <w:b w:val="1"/>
                <w:bCs w:val="1"/>
                <w:color w:val="auto"/>
                <w:w w:val="90"/>
              </w:rPr>
              <w:t>Average</w:t>
            </w:r>
          </w:p>
        </w:tc>
      </w:tr>
      <w:tr>
        <w:trPr>
          <w:trHeight w:val="133"/>
        </w:trPr>
        <w:tc>
          <w:tcPr>
            <w:tcW w:w="40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gridSpan w:val="3"/>
          </w:tcPr>
          <w:p>
            <w:pPr>
              <w:jc w:val="center"/>
              <w:ind w:right="120"/>
              <w:spacing w:after="0" w:line="133" w:lineRule="exact"/>
              <w:rPr>
                <w:sz w:val="20"/>
                <w:szCs w:val="20"/>
                <w:color w:val="auto"/>
              </w:rPr>
            </w:pPr>
            <w:r>
              <w:rPr>
                <w:rFonts w:ascii="Arial" w:cs="Arial" w:eastAsia="Arial" w:hAnsi="Arial"/>
                <w:sz w:val="14"/>
                <w:szCs w:val="14"/>
                <w:b w:val="1"/>
                <w:bCs w:val="1"/>
                <w:color w:val="auto"/>
                <w:w w:val="97"/>
              </w:rPr>
              <w:t>Principal</w:t>
            </w:r>
          </w:p>
        </w:tc>
        <w:tc>
          <w:tcPr>
            <w:tcW w:w="20" w:type="dxa"/>
            <w:vAlign w:val="bottom"/>
          </w:tcPr>
          <w:p>
            <w:pPr>
              <w:spacing w:after="0"/>
              <w:rPr>
                <w:sz w:val="11"/>
                <w:szCs w:val="11"/>
                <w:color w:val="auto"/>
              </w:rPr>
            </w:pPr>
          </w:p>
        </w:tc>
        <w:tc>
          <w:tcPr>
            <w:tcW w:w="780" w:type="dxa"/>
            <w:vAlign w:val="bottom"/>
            <w:tcBorders>
              <w:top w:val="single" w:sz="8" w:color="auto"/>
            </w:tcBorders>
            <w:gridSpan w:val="4"/>
          </w:tcPr>
          <w:p>
            <w:pPr>
              <w:jc w:val="center"/>
              <w:ind w:right="100"/>
              <w:spacing w:after="0" w:line="133" w:lineRule="exact"/>
              <w:rPr>
                <w:sz w:val="20"/>
                <w:szCs w:val="20"/>
                <w:color w:val="auto"/>
              </w:rPr>
            </w:pPr>
            <w:r>
              <w:rPr>
                <w:rFonts w:ascii="Arial" w:cs="Arial" w:eastAsia="Arial" w:hAnsi="Arial"/>
                <w:sz w:val="14"/>
                <w:szCs w:val="14"/>
                <w:b w:val="1"/>
                <w:bCs w:val="1"/>
                <w:color w:val="auto"/>
                <w:w w:val="98"/>
              </w:rPr>
              <w:t>With No</w:t>
            </w:r>
          </w:p>
        </w:tc>
        <w:tc>
          <w:tcPr>
            <w:tcW w:w="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ind w:right="260"/>
              <w:spacing w:after="0" w:line="133" w:lineRule="exact"/>
              <w:rPr>
                <w:sz w:val="20"/>
                <w:szCs w:val="20"/>
                <w:color w:val="auto"/>
              </w:rPr>
            </w:pPr>
            <w:r>
              <w:rPr>
                <w:rFonts w:ascii="Arial" w:cs="Arial" w:eastAsia="Arial" w:hAnsi="Arial"/>
                <w:sz w:val="14"/>
                <w:szCs w:val="14"/>
                <w:b w:val="1"/>
                <w:bCs w:val="1"/>
                <w:color w:val="auto"/>
                <w:w w:val="98"/>
              </w:rPr>
              <w:t>With</w:t>
            </w:r>
          </w:p>
        </w:tc>
        <w:tc>
          <w:tcPr>
            <w:tcW w:w="1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4"/>
                <w:szCs w:val="14"/>
                <w:b w:val="1"/>
                <w:bCs w:val="1"/>
                <w:color w:val="auto"/>
              </w:rPr>
              <w:t>Related</w:t>
            </w:r>
          </w:p>
        </w:tc>
        <w:tc>
          <w:tcPr>
            <w:tcW w:w="720" w:type="dxa"/>
            <w:vAlign w:val="bottom"/>
            <w:gridSpan w:val="2"/>
          </w:tcPr>
          <w:p>
            <w:pPr>
              <w:jc w:val="center"/>
              <w:spacing w:after="0" w:line="133" w:lineRule="exact"/>
              <w:rPr>
                <w:sz w:val="20"/>
                <w:szCs w:val="20"/>
                <w:color w:val="auto"/>
              </w:rPr>
            </w:pPr>
            <w:r>
              <w:rPr>
                <w:rFonts w:ascii="Arial" w:cs="Arial" w:eastAsia="Arial" w:hAnsi="Arial"/>
                <w:sz w:val="14"/>
                <w:szCs w:val="14"/>
                <w:b w:val="1"/>
                <w:bCs w:val="1"/>
                <w:color w:val="auto"/>
                <w:w w:val="89"/>
              </w:rPr>
              <w:t>Recorded</w:t>
            </w:r>
          </w:p>
        </w:tc>
      </w:tr>
      <w:tr>
        <w:trPr>
          <w:trHeight w:val="185"/>
        </w:trPr>
        <w:tc>
          <w:tcPr>
            <w:tcW w:w="4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3"/>
          </w:tcPr>
          <w:p>
            <w:pPr>
              <w:ind w:left="100"/>
              <w:spacing w:after="0"/>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6"/>
                <w:szCs w:val="16"/>
                <w:color w:val="auto"/>
              </w:rPr>
            </w:pPr>
          </w:p>
        </w:tc>
        <w:tc>
          <w:tcPr>
            <w:tcW w:w="7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2"/>
              </w:rPr>
              <w:t>Allowance</w:t>
            </w:r>
          </w:p>
        </w:tc>
        <w:tc>
          <w:tcPr>
            <w:tcW w:w="40" w:type="dxa"/>
            <w:vAlign w:val="bottom"/>
          </w:tcPr>
          <w:p>
            <w:pPr>
              <w:spacing w:after="0"/>
              <w:rPr>
                <w:sz w:val="16"/>
                <w:szCs w:val="16"/>
                <w:color w:val="auto"/>
              </w:rPr>
            </w:pPr>
          </w:p>
        </w:tc>
        <w:tc>
          <w:tcPr>
            <w:tcW w:w="8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Allowance</w:t>
            </w:r>
          </w:p>
        </w:tc>
        <w:tc>
          <w:tcPr>
            <w:tcW w:w="120" w:type="dxa"/>
            <w:vAlign w:val="bottom"/>
          </w:tcPr>
          <w:p>
            <w:pPr>
              <w:spacing w:after="0"/>
              <w:rPr>
                <w:sz w:val="16"/>
                <w:szCs w:val="16"/>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Investment</w:t>
            </w:r>
          </w:p>
        </w:tc>
      </w:tr>
      <w:tr>
        <w:trPr>
          <w:trHeight w:val="196"/>
        </w:trPr>
        <w:tc>
          <w:tcPr>
            <w:tcW w:w="40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Loans evaluated individually</w:t>
            </w:r>
          </w:p>
        </w:tc>
        <w:tc>
          <w:tcPr>
            <w:tcW w:w="2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r>
      <w:tr>
        <w:trPr>
          <w:trHeight w:val="203"/>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1"/>
              </w:rPr>
              <w:t>$ 10,247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w:t>
            </w: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498</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gridSpan w:val="2"/>
          </w:tcPr>
          <w:p>
            <w:pPr>
              <w:ind w:left="40"/>
              <w:spacing w:after="0" w:line="202" w:lineRule="exact"/>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6,490</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6,988</w:t>
            </w:r>
          </w:p>
        </w:tc>
        <w:tc>
          <w:tcPr>
            <w:tcW w:w="140" w:type="dxa"/>
            <w:vAlign w:val="bottom"/>
          </w:tcPr>
          <w:p>
            <w:pPr>
              <w:spacing w:after="0"/>
              <w:rPr>
                <w:sz w:val="17"/>
                <w:szCs w:val="17"/>
                <w:color w:val="auto"/>
              </w:rPr>
            </w:pP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3,564</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8,791</w:t>
            </w: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6,456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5,750</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6,390</w:t>
            </w:r>
          </w:p>
        </w:tc>
      </w:tr>
      <w:tr>
        <w:trPr>
          <w:trHeight w:val="202"/>
        </w:trPr>
        <w:tc>
          <w:tcPr>
            <w:tcW w:w="40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282</w:t>
            </w:r>
          </w:p>
        </w:tc>
      </w:tr>
      <w:tr>
        <w:trPr>
          <w:trHeight w:val="203"/>
        </w:trPr>
        <w:tc>
          <w:tcPr>
            <w:tcW w:w="40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2,514</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2,345</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4,093</w:t>
            </w:r>
          </w:p>
        </w:tc>
      </w:tr>
      <w:tr>
        <w:trPr>
          <w:trHeight w:val="196"/>
        </w:trPr>
        <w:tc>
          <w:tcPr>
            <w:tcW w:w="4060" w:type="dxa"/>
            <w:vAlign w:val="bottom"/>
          </w:tcPr>
          <w:p>
            <w:pPr>
              <w:ind w:left="20"/>
              <w:spacing w:after="0" w:line="196" w:lineRule="exact"/>
              <w:rPr>
                <w:sz w:val="20"/>
                <w:szCs w:val="20"/>
                <w:color w:val="auto"/>
              </w:rPr>
            </w:pPr>
            <w:r>
              <w:rPr>
                <w:rFonts w:ascii="Arial" w:cs="Arial" w:eastAsia="Arial" w:hAnsi="Arial"/>
                <w:sz w:val="18"/>
                <w:szCs w:val="18"/>
                <w:color w:val="auto"/>
              </w:rPr>
              <w:t>Total loans evaluated individually</w:t>
            </w:r>
          </w:p>
        </w:tc>
        <w:tc>
          <w:tcPr>
            <w:tcW w:w="20" w:type="dxa"/>
            <w:vAlign w:val="bottom"/>
          </w:tcPr>
          <w:p>
            <w:pPr>
              <w:spacing w:after="0"/>
              <w:rPr>
                <w:sz w:val="17"/>
                <w:szCs w:val="17"/>
                <w:color w:val="auto"/>
              </w:rPr>
            </w:pP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8"/>
              </w:rPr>
              <w:t>$ 19,489</w:t>
            </w:r>
          </w:p>
        </w:tc>
        <w:tc>
          <w:tcPr>
            <w:tcW w:w="4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8,865</w:t>
            </w:r>
          </w:p>
        </w:tc>
        <w:tc>
          <w:tcPr>
            <w:tcW w:w="20" w:type="dxa"/>
            <w:vAlign w:val="bottom"/>
            <w:tcBorders>
              <w:top w:val="single" w:sz="8" w:color="auto"/>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6,515</w:t>
            </w:r>
          </w:p>
        </w:tc>
        <w:tc>
          <w:tcPr>
            <w:tcW w:w="14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15,380</w:t>
            </w:r>
          </w:p>
        </w:tc>
        <w:tc>
          <w:tcPr>
            <w:tcW w:w="14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3,589</w:t>
            </w:r>
          </w:p>
        </w:tc>
        <w:tc>
          <w:tcPr>
            <w:tcW w:w="140" w:type="dxa"/>
            <w:vAlign w:val="bottom"/>
          </w:tcPr>
          <w:p>
            <w:pPr>
              <w:spacing w:after="0"/>
              <w:rPr>
                <w:sz w:val="17"/>
                <w:szCs w:val="17"/>
                <w:color w:val="auto"/>
              </w:rPr>
            </w:pPr>
          </w:p>
        </w:tc>
        <w:tc>
          <w:tcPr>
            <w:tcW w:w="72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94"/>
              </w:rPr>
              <w:t>$ 19,556</w:t>
            </w:r>
          </w:p>
        </w:tc>
      </w:tr>
      <w:tr>
        <w:trPr>
          <w:trHeight w:val="20"/>
        </w:trPr>
        <w:tc>
          <w:tcPr>
            <w:tcW w:w="4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Management's evaluation as to the ultimate collectability of loans includes estimates regarding future cash flows from operations and the value of property, real and personal, pledged as collateral. These estimates are affected by changing economic conditions and the economic prospects of borrowers. Collateral dependent loans are loans in which repayment is expected to be provided solely by the underlying collateral and there are no other available and reliable sources of repayment. Loans are written down to the lower of cost or fair value of underlying collateral, less estimated costs to sell. The Company had $4.1 million and $7.9 million of collateral dependent loans secured by real estate or business assets as of June 30, 2022, and December 31, 2021,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Management estimates the ACL balance using relevant available information from internal and external sources relating to past events, current conditions, and reasonable and supportable forecasts. Historical credit loss experience provides the basis for the estimation of expected credit losses. The cumulative loss rate used as the basis for the estimate of credit losses is comprised of the Company’s historical loss experience beginning in 2010. As of June 30, 2022, the Company expects continued economic uncertainty in the markets in which it operates, and around levels of delinquencies, over the next 12 months. Management adjusted the historical loss experience for these expectations with an immediate reversion to historical loss rate beyond this forecast period. PPP loans were excluded from the ACL calculation as they are 100% government guaranteed.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 xml:space="preserve">The following tables summarize activity in the ACL. Allocation of a portion of the ACL to one category does not preclude its availability to absorb losses in other categories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24"/>
          </w:tcPr>
          <w:p>
            <w:pPr>
              <w:ind w:left="520"/>
              <w:spacing w:after="0"/>
              <w:rPr>
                <w:sz w:val="20"/>
                <w:szCs w:val="20"/>
                <w:color w:val="auto"/>
              </w:rPr>
            </w:pPr>
            <w:r>
              <w:rPr>
                <w:rFonts w:ascii="Arial" w:cs="Arial" w:eastAsia="Arial" w:hAnsi="Arial"/>
                <w:sz w:val="14"/>
                <w:szCs w:val="14"/>
                <w:b w:val="1"/>
                <w:bCs w:val="1"/>
                <w:color w:val="auto"/>
                <w:w w:val="95"/>
              </w:rPr>
              <w:t>Three Months Ended June 30, 2022</w:t>
            </w:r>
          </w:p>
        </w:tc>
        <w:tc>
          <w:tcPr>
            <w:tcW w:w="5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r>
      <w:tr>
        <w:trPr>
          <w:trHeight w:val="184"/>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7"/>
          </w:tcPr>
          <w:p>
            <w:pPr>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6"/>
          </w:tcPr>
          <w:p>
            <w:pPr>
              <w:ind w:left="4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Retail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6"/>
          </w:tcPr>
          <w:p>
            <w:pPr>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6"/>
          </w:tcPr>
          <w:p>
            <w:pPr>
              <w:ind w:left="2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7"/>
          </w:tcPr>
          <w:p>
            <w:pPr>
              <w:spacing w:after="0"/>
              <w:rPr>
                <w:sz w:val="20"/>
                <w:szCs w:val="20"/>
                <w:color w:val="auto"/>
              </w:rPr>
            </w:pPr>
            <w:r>
              <w:rPr>
                <w:rFonts w:ascii="Arial" w:cs="Arial" w:eastAsia="Arial" w:hAnsi="Arial"/>
                <w:sz w:val="14"/>
                <w:szCs w:val="14"/>
                <w:b w:val="1"/>
                <w:bCs w:val="1"/>
                <w:color w:val="auto"/>
                <w:w w:val="98"/>
              </w:rPr>
              <w:t>Construction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gridSpan w:val="5"/>
          </w:tcPr>
          <w:p>
            <w:pPr>
              <w:jc w:val="center"/>
              <w:ind w:right="60"/>
              <w:spacing w:after="0"/>
              <w:rPr>
                <w:sz w:val="20"/>
                <w:szCs w:val="20"/>
                <w:color w:val="auto"/>
              </w:rPr>
            </w:pPr>
            <w:r>
              <w:rPr>
                <w:rFonts w:ascii="Arial" w:cs="Arial" w:eastAsia="Arial" w:hAnsi="Arial"/>
                <w:sz w:val="14"/>
                <w:szCs w:val="14"/>
                <w:b w:val="1"/>
                <w:bCs w:val="1"/>
                <w:color w:val="auto"/>
                <w:w w:val="92"/>
              </w:rPr>
              <w:t>Real Estate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balance, March 31, 2022</w:t>
            </w: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24,173</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37,339</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5,705</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1"/>
              </w:rPr>
              <w:t>$ 17,555</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3,441</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88,213</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(743)</w:t>
            </w: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1,028</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(63)</w:t>
            </w:r>
          </w:p>
        </w:tc>
        <w:tc>
          <w:tcPr>
            <w:tcW w:w="40" w:type="dxa"/>
            <w:vAlign w:val="bottom"/>
          </w:tcPr>
          <w:p>
            <w:pPr>
              <w:spacing w:after="0"/>
              <w:rPr>
                <w:sz w:val="17"/>
                <w:szCs w:val="17"/>
                <w:color w:val="auto"/>
              </w:rPr>
            </w:pPr>
          </w:p>
        </w:tc>
        <w:tc>
          <w:tcPr>
            <w:tcW w:w="7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312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1,119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1,653</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Charged-off</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(208)</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(1,372)</w:t>
            </w: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7"/>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(1,679)</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137</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27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134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85</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570</w:t>
            </w:r>
          </w:p>
        </w:tc>
      </w:tr>
      <w:tr>
        <w:trPr>
          <w:trHeight w:val="196"/>
        </w:trPr>
        <w:tc>
          <w:tcPr>
            <w:tcW w:w="35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balance, June 30, 2022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23,359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37,182</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5,669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gridSpan w:val="3"/>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91"/>
              </w:rPr>
              <w:t>$ 17,984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4,563</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88,757</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86"/>
        </w:trPr>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3"/>
          </w:tcPr>
          <w:p>
            <w:pPr>
              <w:jc w:val="right"/>
              <w:ind w:right="76"/>
              <w:spacing w:after="0"/>
              <w:rPr>
                <w:sz w:val="20"/>
                <w:szCs w:val="20"/>
                <w:color w:val="auto"/>
              </w:rPr>
            </w:pPr>
            <w:r>
              <w:rPr>
                <w:rFonts w:ascii="Arial" w:cs="Arial" w:eastAsia="Arial" w:hAnsi="Arial"/>
                <w:sz w:val="14"/>
                <w:szCs w:val="14"/>
                <w:b w:val="1"/>
                <w:bCs w:val="1"/>
                <w:color w:val="auto"/>
                <w:w w:val="94"/>
              </w:rPr>
              <w:t>Six Months Ended June 30, 2022</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4"/>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60" w:type="dxa"/>
            <w:vAlign w:val="bottom"/>
            <w:gridSpan w:val="8"/>
          </w:tcPr>
          <w:p>
            <w:pPr>
              <w:ind w:left="20"/>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6"/>
          </w:tcPr>
          <w:p>
            <w:pPr>
              <w:ind w:left="2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4"/>
              </w:rPr>
              <w:t>Retail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60" w:type="dxa"/>
            <w:vAlign w:val="bottom"/>
            <w:gridSpan w:val="7"/>
          </w:tcPr>
          <w:p>
            <w:pPr>
              <w:ind w:left="20"/>
              <w:spacing w:after="0"/>
              <w:rPr>
                <w:sz w:val="20"/>
                <w:szCs w:val="20"/>
                <w:color w:val="auto"/>
              </w:rPr>
            </w:pPr>
            <w:r>
              <w:rPr>
                <w:rFonts w:ascii="Arial" w:cs="Arial" w:eastAsia="Arial" w:hAnsi="Arial"/>
                <w:sz w:val="14"/>
                <w:szCs w:val="14"/>
                <w:b w:val="1"/>
                <w:bCs w:val="1"/>
                <w:color w:val="auto"/>
              </w:rPr>
              <w:t>Commercial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7"/>
          </w:tcPr>
          <w:p>
            <w:pPr>
              <w:ind w:left="2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7"/>
                <w:szCs w:val="17"/>
                <w:color w:val="auto"/>
              </w:rPr>
            </w:pPr>
          </w:p>
        </w:tc>
        <w:tc>
          <w:tcPr>
            <w:tcW w:w="900" w:type="dxa"/>
            <w:vAlign w:val="bottom"/>
            <w:gridSpan w:val="8"/>
          </w:tcPr>
          <w:p>
            <w:pPr>
              <w:spacing w:after="0"/>
              <w:rPr>
                <w:sz w:val="20"/>
                <w:szCs w:val="20"/>
                <w:color w:val="auto"/>
              </w:rPr>
            </w:pPr>
            <w:r>
              <w:rPr>
                <w:rFonts w:ascii="Arial" w:cs="Arial" w:eastAsia="Arial" w:hAnsi="Arial"/>
                <w:sz w:val="14"/>
                <w:szCs w:val="14"/>
                <w:b w:val="1"/>
                <w:bCs w:val="1"/>
                <w:color w:val="auto"/>
              </w:rPr>
              <w:t>Construction</w:t>
            </w:r>
          </w:p>
        </w:tc>
        <w:tc>
          <w:tcPr>
            <w:tcW w:w="60" w:type="dxa"/>
            <w:vAlign w:val="bottom"/>
          </w:tcPr>
          <w:p>
            <w:pPr>
              <w:spacing w:after="0"/>
              <w:rPr>
                <w:sz w:val="17"/>
                <w:szCs w:val="17"/>
                <w:color w:val="auto"/>
              </w:rPr>
            </w:pPr>
          </w:p>
        </w:tc>
        <w:tc>
          <w:tcPr>
            <w:tcW w:w="78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Real Estate</w:t>
            </w:r>
          </w:p>
        </w:tc>
        <w:tc>
          <w:tcPr>
            <w:tcW w:w="80" w:type="dxa"/>
            <w:vAlign w:val="bottom"/>
          </w:tcPr>
          <w:p>
            <w:pPr>
              <w:spacing w:after="0"/>
              <w:rPr>
                <w:sz w:val="17"/>
                <w:szCs w:val="17"/>
                <w:color w:val="auto"/>
              </w:rPr>
            </w:pPr>
          </w:p>
        </w:tc>
        <w:tc>
          <w:tcPr>
            <w:tcW w:w="860" w:type="dxa"/>
            <w:vAlign w:val="bottom"/>
            <w:gridSpan w:val="6"/>
          </w:tcPr>
          <w:p>
            <w:pPr>
              <w:ind w:left="20"/>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balance, December 31, 2021</w:t>
            </w: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23,855</w:t>
            </w: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38,249</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5,102</w:t>
            </w: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1"/>
              </w:rPr>
              <w:t>$ 17,589</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3,092</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87,887</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(190)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447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142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1,493</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1,400</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Charged-off</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(1,372)</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5"/>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800" w:type="dxa"/>
            <w:vAlign w:val="bottom"/>
            <w:gridSpan w:val="6"/>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(191)</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(1,804)</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Recoveries</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204</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495</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120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5"/>
          </w:tcPr>
          <w:p>
            <w:pPr>
              <w:jc w:val="right"/>
              <w:ind w:right="60"/>
              <w:spacing w:after="0" w:line="202" w:lineRule="exact"/>
              <w:rPr>
                <w:sz w:val="20"/>
                <w:szCs w:val="20"/>
                <w:color w:val="auto"/>
              </w:rPr>
            </w:pPr>
            <w:r>
              <w:rPr>
                <w:rFonts w:ascii="Arial" w:cs="Arial" w:eastAsia="Arial" w:hAnsi="Arial"/>
                <w:sz w:val="18"/>
                <w:szCs w:val="18"/>
                <w:color w:val="auto"/>
              </w:rPr>
              <w:t>286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169</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1,274</w:t>
            </w:r>
          </w:p>
        </w:tc>
      </w:tr>
      <w:tr>
        <w:trPr>
          <w:trHeight w:val="196"/>
        </w:trPr>
        <w:tc>
          <w:tcPr>
            <w:tcW w:w="352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balance, June 30, 2022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23,359</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37,182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5,669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20" w:type="dxa"/>
            <w:vAlign w:val="bottom"/>
            <w:tcBorders>
              <w:top w:val="single" w:sz="8" w:color="auto"/>
              <w:bottom w:val="single" w:sz="8" w:color="auto"/>
            </w:tcBorders>
            <w:gridSpan w:val="4"/>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w w:val="91"/>
              </w:rPr>
              <w:t>$ 17,984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4,563</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88,757</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Borders>
              <w:bottom w:val="single" w:sz="8" w:color="auto"/>
            </w:tcBorders>
            <w:gridSpan w:val="2"/>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80" w:type="dxa"/>
            <w:vAlign w:val="bottom"/>
            <w:tcBorders>
              <w:bottom w:val="single" w:sz="8" w:color="auto"/>
            </w:tcBorders>
            <w:gridSpan w:val="2"/>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58"/>
        </w:trPr>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24"/>
          </w:tcPr>
          <w:p>
            <w:pPr>
              <w:ind w:left="540"/>
              <w:spacing w:after="0"/>
              <w:rPr>
                <w:sz w:val="20"/>
                <w:szCs w:val="20"/>
                <w:color w:val="auto"/>
              </w:rPr>
            </w:pPr>
            <w:r>
              <w:rPr>
                <w:rFonts w:ascii="Arial" w:cs="Arial" w:eastAsia="Arial" w:hAnsi="Arial"/>
                <w:sz w:val="14"/>
                <w:szCs w:val="14"/>
                <w:b w:val="1"/>
                <w:bCs w:val="1"/>
                <w:color w:val="auto"/>
                <w:w w:val="95"/>
              </w:rPr>
              <w:t>Three Months Ended June 30, 2021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4"/>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6"/>
          </w:tcPr>
          <w:p>
            <w:pPr>
              <w:ind w:left="6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Retail Real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5"/>
          </w:tcPr>
          <w:p>
            <w:pPr>
              <w:ind w:left="20"/>
              <w:spacing w:after="0"/>
              <w:rPr>
                <w:sz w:val="20"/>
                <w:szCs w:val="20"/>
                <w:color w:val="auto"/>
              </w:rPr>
            </w:pPr>
            <w:r>
              <w:rPr>
                <w:rFonts w:ascii="Arial" w:cs="Arial" w:eastAsia="Arial" w:hAnsi="Arial"/>
                <w:sz w:val="14"/>
                <w:szCs w:val="14"/>
                <w:b w:val="1"/>
                <w:bCs w:val="1"/>
                <w:color w:val="auto"/>
                <w:w w:val="97"/>
              </w:rPr>
              <w:t>Commercial</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gridSpan w:val="6"/>
          </w:tcPr>
          <w:p>
            <w:pPr>
              <w:ind w:left="4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6"/>
          </w:tcPr>
          <w:p>
            <w:pPr>
              <w:spacing w:after="0"/>
              <w:rPr>
                <w:sz w:val="20"/>
                <w:szCs w:val="20"/>
                <w:color w:val="auto"/>
              </w:rPr>
            </w:pPr>
            <w:r>
              <w:rPr>
                <w:rFonts w:ascii="Arial" w:cs="Arial" w:eastAsia="Arial" w:hAnsi="Arial"/>
                <w:sz w:val="14"/>
                <w:szCs w:val="14"/>
                <w:b w:val="1"/>
                <w:bCs w:val="1"/>
                <w:color w:val="auto"/>
                <w:w w:val="96"/>
              </w:rPr>
              <w:t>Construction</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0"/>
              </w:rPr>
              <w:t>Estate</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rPr>
              <w:t>Retail Other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Total</w:t>
            </w:r>
          </w:p>
        </w:tc>
      </w:tr>
      <w:tr>
        <w:trPr>
          <w:trHeight w:val="196"/>
        </w:trPr>
        <w:tc>
          <w:tcPr>
            <w:tcW w:w="35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balance, March 31, 2021</w:t>
            </w:r>
          </w:p>
        </w:tc>
        <w:tc>
          <w:tcPr>
            <w:tcW w:w="100" w:type="dxa"/>
            <w:vAlign w:val="bottom"/>
            <w:tcBorders>
              <w:top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23,025</w:t>
            </w:r>
          </w:p>
        </w:tc>
        <w:tc>
          <w:tcPr>
            <w:tcW w:w="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43,306</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6,879</w:t>
            </w:r>
          </w:p>
        </w:tc>
        <w:tc>
          <w:tcPr>
            <w:tcW w:w="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3"/>
            <w:shd w:val="clear" w:color="auto" w:fill="CCEEFF"/>
          </w:tcPr>
          <w:p>
            <w:pPr>
              <w:spacing w:after="0"/>
              <w:rPr>
                <w:sz w:val="17"/>
                <w:szCs w:val="17"/>
                <w:color w:val="auto"/>
              </w:rPr>
            </w:pPr>
          </w:p>
        </w:tc>
        <w:tc>
          <w:tcPr>
            <w:tcW w:w="68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w w:val="88"/>
              </w:rPr>
              <w:t>$ 19,978</w:t>
            </w:r>
          </w:p>
        </w:tc>
        <w:tc>
          <w:tcPr>
            <w:tcW w:w="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755</w:t>
            </w:r>
          </w:p>
        </w:tc>
        <w:tc>
          <w:tcPr>
            <w:tcW w:w="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93,943</w:t>
            </w:r>
          </w:p>
        </w:tc>
      </w:tr>
      <w:tr>
        <w:trPr>
          <w:trHeight w:val="216"/>
        </w:trPr>
        <w:tc>
          <w:tcPr>
            <w:tcW w:w="352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Day 1 PCD </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3,546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336</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5"/>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5"/>
          </w:tcPr>
          <w:p>
            <w:pPr>
              <w:jc w:val="right"/>
              <w:ind w:right="40"/>
              <w:spacing w:after="0"/>
              <w:rPr>
                <w:sz w:val="20"/>
                <w:szCs w:val="20"/>
                <w:color w:val="auto"/>
              </w:rPr>
            </w:pPr>
            <w:r>
              <w:rPr>
                <w:rFonts w:ascii="Arial" w:cs="Arial" w:eastAsia="Arial" w:hAnsi="Arial"/>
                <w:sz w:val="18"/>
                <w:szCs w:val="18"/>
                <w:color w:val="auto"/>
              </w:rPr>
              <w:t>129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167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4,178</w:t>
            </w:r>
          </w:p>
        </w:tc>
      </w:tr>
      <w:tr>
        <w:trPr>
          <w:trHeight w:val="202"/>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4"/>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(1,420)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(3,390)</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671</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404</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2,035</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(1,700)</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Charged-off</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4"/>
          </w:tcPr>
          <w:p>
            <w:pPr>
              <w:jc w:val="right"/>
              <w:ind w:right="40"/>
              <w:spacing w:after="0" w:line="202" w:lineRule="exact"/>
              <w:rPr>
                <w:sz w:val="20"/>
                <w:szCs w:val="20"/>
                <w:color w:val="auto"/>
              </w:rPr>
            </w:pPr>
            <w:r>
              <w:rPr>
                <w:rFonts w:ascii="Arial" w:cs="Arial" w:eastAsia="Arial" w:hAnsi="Arial"/>
                <w:sz w:val="18"/>
                <w:szCs w:val="18"/>
                <w:color w:val="auto"/>
              </w:rPr>
              <w:t>(1,000)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gridSpan w:val="5"/>
          </w:tcPr>
          <w:p>
            <w:pPr>
              <w:jc w:val="right"/>
              <w:ind w:right="40"/>
              <w:spacing w:after="0" w:line="202" w:lineRule="exact"/>
              <w:rPr>
                <w:sz w:val="20"/>
                <w:szCs w:val="20"/>
                <w:color w:val="auto"/>
              </w:rPr>
            </w:pPr>
            <w:r>
              <w:rPr>
                <w:rFonts w:ascii="Arial" w:cs="Arial" w:eastAsia="Arial" w:hAnsi="Arial"/>
                <w:sz w:val="18"/>
                <w:szCs w:val="18"/>
                <w:color w:val="auto"/>
              </w:rPr>
              <w:t>(317)</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5"/>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840" w:type="dxa"/>
            <w:vAlign w:val="bottom"/>
            <w:gridSpan w:val="7"/>
          </w:tcPr>
          <w:p>
            <w:pPr>
              <w:jc w:val="right"/>
              <w:ind w:right="40"/>
              <w:spacing w:after="0" w:line="202" w:lineRule="exact"/>
              <w:rPr>
                <w:sz w:val="20"/>
                <w:szCs w:val="20"/>
                <w:color w:val="auto"/>
              </w:rPr>
            </w:pPr>
            <w:r>
              <w:rPr>
                <w:rFonts w:ascii="Arial" w:cs="Arial" w:eastAsia="Arial" w:hAnsi="Arial"/>
                <w:sz w:val="18"/>
                <w:szCs w:val="18"/>
                <w:color w:val="auto"/>
              </w:rPr>
              <w:t>(157)</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(64)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(1,538)</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205</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151</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83</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r>
      <w:tr>
        <w:trPr>
          <w:trHeight w:val="196"/>
        </w:trPr>
        <w:tc>
          <w:tcPr>
            <w:tcW w:w="35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ACL balance, June 30, 2021</w:t>
            </w:r>
          </w:p>
        </w:tc>
        <w:tc>
          <w:tcPr>
            <w:tcW w:w="100" w:type="dxa"/>
            <w:vAlign w:val="bottom"/>
            <w:gridSpan w:val="3"/>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24,356</w:t>
            </w:r>
          </w:p>
        </w:tc>
        <w:tc>
          <w:tcPr>
            <w:tcW w:w="4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39,974</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20"/>
              <w:spacing w:after="0" w:line="196" w:lineRule="exact"/>
              <w:rPr>
                <w:sz w:val="20"/>
                <w:szCs w:val="20"/>
                <w:color w:val="auto"/>
              </w:rPr>
            </w:pPr>
            <w:r>
              <w:rPr>
                <w:rFonts w:ascii="Arial" w:cs="Arial" w:eastAsia="Arial" w:hAnsi="Arial"/>
                <w:sz w:val="18"/>
                <w:szCs w:val="18"/>
                <w:color w:val="auto"/>
              </w:rPr>
              <w:t>7,599</w:t>
            </w:r>
          </w:p>
        </w:tc>
        <w:tc>
          <w:tcPr>
            <w:tcW w:w="20" w:type="dxa"/>
            <w:vAlign w:val="bottom"/>
            <w:tcBorders>
              <w:top w:val="single" w:sz="8" w:color="auto"/>
              <w:bottom w:val="single" w:sz="8" w:color="auto"/>
            </w:tcBorders>
          </w:tcPr>
          <w:p>
            <w:pPr>
              <w:spacing w:after="0"/>
              <w:rPr>
                <w:sz w:val="17"/>
                <w:szCs w:val="17"/>
                <w:color w:val="auto"/>
              </w:rPr>
            </w:pP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3"/>
          </w:tcPr>
          <w:p>
            <w:pPr>
              <w:spacing w:after="0"/>
              <w:rPr>
                <w:sz w:val="17"/>
                <w:szCs w:val="17"/>
                <w:color w:val="auto"/>
              </w:rPr>
            </w:pPr>
          </w:p>
        </w:tc>
        <w:tc>
          <w:tcPr>
            <w:tcW w:w="68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w w:val="88"/>
              </w:rPr>
              <w:t>$ 20,505</w:t>
            </w:r>
          </w:p>
        </w:tc>
        <w:tc>
          <w:tcPr>
            <w:tcW w:w="20" w:type="dxa"/>
            <w:vAlign w:val="bottom"/>
            <w:tcBorders>
              <w:top w:val="single" w:sz="8" w:color="auto"/>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6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2,976</w:t>
            </w:r>
          </w:p>
        </w:tc>
        <w:tc>
          <w:tcPr>
            <w:tcW w:w="20" w:type="dxa"/>
            <w:vAlign w:val="bottom"/>
            <w:tcBorders>
              <w:top w:val="single" w:sz="8" w:color="auto"/>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gridSpan w:val="2"/>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95,410</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00" w:type="dxa"/>
            <w:vAlign w:val="bottom"/>
            <w:tcBorders>
              <w:bottom w:val="single" w:sz="8" w:color="auto"/>
            </w:tcBorders>
            <w:gridSpan w:val="2"/>
          </w:tcPr>
          <w:p>
            <w:pPr>
              <w:spacing w:after="0" w:line="20" w:lineRule="exact"/>
              <w:rPr>
                <w:sz w:val="1"/>
                <w:szCs w:val="1"/>
                <w:color w:val="auto"/>
              </w:rPr>
            </w:pPr>
          </w:p>
        </w:tc>
        <w:tc>
          <w:tcPr>
            <w:tcW w:w="120" w:type="dxa"/>
            <w:vAlign w:val="bottom"/>
            <w:tcBorders>
              <w:bottom w:val="single" w:sz="8" w:color="auto"/>
            </w:tcBorders>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399"/>
        </w:trPr>
        <w:tc>
          <w:tcPr>
            <w:tcW w:w="2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3"/>
          </w:tcPr>
          <w:p>
            <w:pPr>
              <w:ind w:left="20"/>
              <w:spacing w:after="0"/>
              <w:rPr>
                <w:sz w:val="20"/>
                <w:szCs w:val="20"/>
                <w:color w:val="auto"/>
              </w:rPr>
            </w:pPr>
            <w:r>
              <w:rPr>
                <w:rFonts w:ascii="Arial" w:cs="Arial" w:eastAsia="Arial" w:hAnsi="Arial"/>
                <w:sz w:val="14"/>
                <w:szCs w:val="14"/>
                <w:b w:val="1"/>
                <w:bCs w:val="1"/>
                <w:color w:val="auto"/>
              </w:rPr>
              <w:t>Six Months Ended June 30, 2021</w:t>
            </w: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r>
        <w:trPr>
          <w:trHeight w:val="184"/>
        </w:trPr>
        <w:tc>
          <w:tcPr>
            <w:tcW w:w="22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20" w:type="dxa"/>
            <w:vAlign w:val="bottom"/>
            <w:gridSpan w:val="9"/>
          </w:tcPr>
          <w:p>
            <w:pPr>
              <w:spacing w:after="0"/>
              <w:rPr>
                <w:sz w:val="20"/>
                <w:szCs w:val="20"/>
                <w:color w:val="auto"/>
              </w:rPr>
            </w:pPr>
            <w:r>
              <w:rPr>
                <w:rFonts w:ascii="Arial" w:cs="Arial" w:eastAsia="Arial" w:hAnsi="Arial"/>
                <w:sz w:val="14"/>
                <w:szCs w:val="14"/>
                <w:b w:val="1"/>
                <w:bCs w:val="1"/>
                <w:color w:val="auto"/>
              </w:rPr>
              <w:t>Commercial</w:t>
            </w:r>
          </w:p>
        </w:tc>
        <w:tc>
          <w:tcPr>
            <w:tcW w:w="960" w:type="dxa"/>
            <w:vAlign w:val="bottom"/>
            <w:gridSpan w:val="9"/>
          </w:tcPr>
          <w:p>
            <w:pPr>
              <w:ind w:left="60"/>
              <w:spacing w:after="0"/>
              <w:rPr>
                <w:sz w:val="20"/>
                <w:szCs w:val="20"/>
                <w:color w:val="auto"/>
              </w:rPr>
            </w:pPr>
            <w:r>
              <w:rPr>
                <w:rFonts w:ascii="Arial" w:cs="Arial" w:eastAsia="Arial" w:hAnsi="Arial"/>
                <w:sz w:val="14"/>
                <w:szCs w:val="14"/>
                <w:b w:val="1"/>
                <w:bCs w:val="1"/>
                <w:color w:val="auto"/>
              </w:rPr>
              <w:t>Real Estate</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4"/>
              </w:rPr>
              <w:t>Retail</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920" w:type="dxa"/>
            <w:vAlign w:val="bottom"/>
            <w:gridSpan w:val="8"/>
          </w:tcPr>
          <w:p>
            <w:pPr>
              <w:spacing w:after="0"/>
              <w:rPr>
                <w:sz w:val="20"/>
                <w:szCs w:val="20"/>
                <w:color w:val="auto"/>
              </w:rPr>
            </w:pPr>
            <w:r>
              <w:rPr>
                <w:rFonts w:ascii="Arial" w:cs="Arial" w:eastAsia="Arial" w:hAnsi="Arial"/>
                <w:sz w:val="14"/>
                <w:szCs w:val="14"/>
                <w:b w:val="1"/>
                <w:bCs w:val="1"/>
                <w:color w:val="auto"/>
              </w:rPr>
              <w:t>Commercial</w:t>
            </w:r>
          </w:p>
        </w:tc>
        <w:tc>
          <w:tcPr>
            <w:tcW w:w="920" w:type="dxa"/>
            <w:vAlign w:val="bottom"/>
            <w:gridSpan w:val="9"/>
          </w:tcPr>
          <w:p>
            <w:pPr>
              <w:ind w:left="40"/>
              <w:spacing w:after="0"/>
              <w:rPr>
                <w:sz w:val="20"/>
                <w:szCs w:val="20"/>
                <w:color w:val="auto"/>
              </w:rPr>
            </w:pPr>
            <w:r>
              <w:rPr>
                <w:rFonts w:ascii="Arial" w:cs="Arial" w:eastAsia="Arial" w:hAnsi="Arial"/>
                <w:sz w:val="14"/>
                <w:szCs w:val="14"/>
                <w:b w:val="1"/>
                <w:bCs w:val="1"/>
                <w:color w:val="auto"/>
              </w:rPr>
              <w:t>Real Estate</w:t>
            </w:r>
          </w:p>
        </w:tc>
        <w:tc>
          <w:tcPr>
            <w:tcW w:w="960" w:type="dxa"/>
            <w:vAlign w:val="bottom"/>
            <w:gridSpan w:val="9"/>
          </w:tcPr>
          <w:p>
            <w:pPr>
              <w:spacing w:after="0"/>
              <w:rPr>
                <w:sz w:val="20"/>
                <w:szCs w:val="20"/>
                <w:color w:val="auto"/>
              </w:rPr>
            </w:pPr>
            <w:r>
              <w:rPr>
                <w:rFonts w:ascii="Arial" w:cs="Arial" w:eastAsia="Arial" w:hAnsi="Arial"/>
                <w:sz w:val="14"/>
                <w:szCs w:val="14"/>
                <w:b w:val="1"/>
                <w:bCs w:val="1"/>
                <w:color w:val="auto"/>
              </w:rPr>
              <w:t>Construction</w:t>
            </w:r>
          </w:p>
        </w:tc>
        <w:tc>
          <w:tcPr>
            <w:tcW w:w="840" w:type="dxa"/>
            <w:vAlign w:val="bottom"/>
            <w:gridSpan w:val="7"/>
          </w:tcPr>
          <w:p>
            <w:pPr>
              <w:jc w:val="center"/>
              <w:ind w:right="140"/>
              <w:spacing w:after="0"/>
              <w:rPr>
                <w:sz w:val="20"/>
                <w:szCs w:val="20"/>
                <w:color w:val="auto"/>
              </w:rPr>
            </w:pPr>
            <w:r>
              <w:rPr>
                <w:rFonts w:ascii="Arial" w:cs="Arial" w:eastAsia="Arial" w:hAnsi="Arial"/>
                <w:sz w:val="14"/>
                <w:szCs w:val="14"/>
                <w:b w:val="1"/>
                <w:bCs w:val="1"/>
                <w:color w:val="auto"/>
                <w:w w:val="92"/>
              </w:rPr>
              <w:t>Real Estate</w:t>
            </w:r>
          </w:p>
        </w:tc>
        <w:tc>
          <w:tcPr>
            <w:tcW w:w="9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5"/>
              </w:rPr>
              <w:t>Retail Other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ind w:right="153"/>
              <w:spacing w:after="0"/>
              <w:rPr>
                <w:sz w:val="20"/>
                <w:szCs w:val="20"/>
                <w:color w:val="auto"/>
              </w:rPr>
            </w:pPr>
            <w:r>
              <w:rPr>
                <w:rFonts w:ascii="Arial" w:cs="Arial" w:eastAsia="Arial" w:hAnsi="Arial"/>
                <w:sz w:val="14"/>
                <w:szCs w:val="14"/>
                <w:b w:val="1"/>
                <w:bCs w:val="1"/>
                <w:color w:val="auto"/>
                <w:w w:val="95"/>
              </w:rPr>
              <w:t>Total</w:t>
            </w:r>
          </w:p>
        </w:tc>
      </w:tr>
      <w:tr>
        <w:trPr>
          <w:trHeight w:val="196"/>
        </w:trPr>
        <w:tc>
          <w:tcPr>
            <w:tcW w:w="35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ACL balance, December 31, 2020</w:t>
            </w:r>
          </w:p>
        </w:tc>
        <w:tc>
          <w:tcPr>
            <w:tcW w:w="10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23,866</w:t>
            </w:r>
          </w:p>
        </w:tc>
        <w:tc>
          <w:tcPr>
            <w:tcW w:w="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46,230</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3"/>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8,193</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$ 21,992</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767</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$ 101,048</w:t>
            </w:r>
          </w:p>
        </w:tc>
      </w:tr>
      <w:tr>
        <w:trPr>
          <w:trHeight w:val="216"/>
        </w:trPr>
        <w:tc>
          <w:tcPr>
            <w:tcW w:w="3520" w:type="dxa"/>
            <w:vAlign w:val="bottom"/>
            <w:gridSpan w:val="2"/>
          </w:tcPr>
          <w:p>
            <w:pPr>
              <w:ind w:left="220"/>
              <w:spacing w:after="0" w:line="216" w:lineRule="exact"/>
              <w:rPr>
                <w:sz w:val="20"/>
                <w:szCs w:val="20"/>
                <w:color w:val="auto"/>
              </w:rPr>
            </w:pPr>
            <w:r>
              <w:rPr>
                <w:rFonts w:ascii="Arial" w:cs="Arial" w:eastAsia="Arial" w:hAnsi="Arial"/>
                <w:sz w:val="17"/>
                <w:szCs w:val="17"/>
                <w:color w:val="auto"/>
              </w:rPr>
              <w:t xml:space="preserve">Day 1 PCD </w:t>
            </w:r>
            <w:r>
              <w:rPr>
                <w:rFonts w:ascii="Arial" w:cs="Arial" w:eastAsia="Arial" w:hAnsi="Arial"/>
                <w:sz w:val="25"/>
                <w:szCs w:val="25"/>
                <w:color w:val="auto"/>
                <w:vertAlign w:val="superscript"/>
              </w:rPr>
              <w:t>(1)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3,546</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336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5"/>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4,178</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credit losses</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w w:val="98"/>
              </w:rPr>
              <w:t>(2,084)</w:t>
            </w: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8"/>
              <w:spacing w:after="0" w:line="202" w:lineRule="exact"/>
              <w:rPr>
                <w:sz w:val="20"/>
                <w:szCs w:val="20"/>
                <w:color w:val="auto"/>
              </w:rPr>
            </w:pPr>
            <w:r>
              <w:rPr>
                <w:rFonts w:ascii="Arial" w:cs="Arial" w:eastAsia="Arial" w:hAnsi="Arial"/>
                <w:sz w:val="18"/>
                <w:szCs w:val="18"/>
                <w:color w:val="auto"/>
                <w:w w:val="94"/>
              </w:rPr>
              <w:t>(6,085)</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(579)</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80" w:type="dxa"/>
            <w:vAlign w:val="bottom"/>
            <w:gridSpan w:val="5"/>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(1,873)</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2,125</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(8,496)</w:t>
            </w:r>
          </w:p>
        </w:tc>
      </w:tr>
      <w:tr>
        <w:trPr>
          <w:trHeight w:val="203"/>
        </w:trPr>
        <w:tc>
          <w:tcPr>
            <w:tcW w:w="35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Charged-off</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w w:val="98"/>
              </w:rPr>
              <w:t>(1,262)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tcPr>
          <w:p>
            <w:pPr>
              <w:jc w:val="right"/>
              <w:ind w:right="8"/>
              <w:spacing w:after="0" w:line="202" w:lineRule="exact"/>
              <w:rPr>
                <w:sz w:val="20"/>
                <w:szCs w:val="20"/>
                <w:color w:val="auto"/>
              </w:rPr>
            </w:pPr>
            <w:r>
              <w:rPr>
                <w:rFonts w:ascii="Arial" w:cs="Arial" w:eastAsia="Arial" w:hAnsi="Arial"/>
                <w:sz w:val="18"/>
                <w:szCs w:val="18"/>
                <w:color w:val="auto"/>
              </w:rPr>
              <w:t>(620)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gridSpan w:val="5"/>
          </w:tcPr>
          <w:p>
            <w:pPr>
              <w:jc w:val="right"/>
              <w:ind w:right="80"/>
              <w:spacing w:after="0" w:line="202" w:lineRule="exact"/>
              <w:rPr>
                <w:sz w:val="20"/>
                <w:szCs w:val="20"/>
                <w:color w:val="auto"/>
              </w:rPr>
            </w:pPr>
            <w:r>
              <w:rPr>
                <w:rFonts w:ascii="Arial" w:cs="Arial" w:eastAsia="Arial" w:hAnsi="Arial"/>
                <w:sz w:val="18"/>
                <w:szCs w:val="18"/>
                <w:color w:val="auto"/>
              </w:rPr>
              <w:t>(160)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(251)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8"/>
              </w:rPr>
              <w:t>(2,502)</w:t>
            </w:r>
          </w:p>
        </w:tc>
      </w:tr>
      <w:tr>
        <w:trPr>
          <w:trHeight w:val="203"/>
        </w:trPr>
        <w:tc>
          <w:tcPr>
            <w:tcW w:w="35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Recoveries</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290</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417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1,182</w:t>
            </w:r>
          </w:p>
        </w:tc>
      </w:tr>
      <w:tr>
        <w:trPr>
          <w:trHeight w:val="196"/>
        </w:trPr>
        <w:tc>
          <w:tcPr>
            <w:tcW w:w="35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ACL balance, June 30, 2021</w:t>
            </w:r>
          </w:p>
        </w:tc>
        <w:tc>
          <w:tcPr>
            <w:tcW w:w="1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24,356</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39,974</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gridSpan w:val="3"/>
          </w:tcPr>
          <w:p>
            <w:pPr>
              <w:spacing w:after="0" w:line="196" w:lineRule="exact"/>
              <w:rPr>
                <w:sz w:val="20"/>
                <w:szCs w:val="20"/>
                <w:color w:val="auto"/>
              </w:rPr>
            </w:pPr>
            <w:r>
              <w:rPr>
                <w:rFonts w:ascii="Arial" w:cs="Arial" w:eastAsia="Arial" w:hAnsi="Arial"/>
                <w:sz w:val="18"/>
                <w:szCs w:val="18"/>
                <w:color w:val="auto"/>
                <w:w w:val="79"/>
              </w:rPr>
              <w:t>$</w:t>
            </w:r>
          </w:p>
        </w:tc>
        <w:tc>
          <w:tcPr>
            <w:tcW w:w="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7,599</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8"/>
              </w:rPr>
              <w:t>$ 20,505</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4"/>
              </w:rPr>
              <w:t>95,410</w:t>
            </w:r>
          </w:p>
        </w:tc>
      </w:tr>
      <w:tr>
        <w:trPr>
          <w:trHeight w:val="20"/>
        </w:trPr>
        <w:tc>
          <w:tcPr>
            <w:tcW w:w="22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128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r>
    </w:tbl>
    <w:p>
      <w:pPr>
        <w:spacing w:after="0" w:line="76" w:lineRule="exact"/>
        <w:rPr>
          <w:sz w:val="20"/>
          <w:szCs w:val="20"/>
          <w:color w:val="auto"/>
        </w:rPr>
      </w:pPr>
    </w:p>
    <w:p>
      <w:pPr>
        <w:ind w:left="480" w:hanging="322"/>
        <w:spacing w:after="0"/>
        <w:tabs>
          <w:tab w:leader="none" w:pos="480" w:val="left"/>
        </w:tabs>
        <w:numPr>
          <w:ilvl w:val="0"/>
          <w:numId w:val="7"/>
        </w:numPr>
        <w:rPr>
          <w:rFonts w:ascii="Arial" w:cs="Arial" w:eastAsia="Arial" w:hAnsi="Arial"/>
          <w:sz w:val="11"/>
          <w:szCs w:val="11"/>
          <w:color w:val="auto"/>
        </w:rPr>
      </w:pPr>
      <w:r>
        <w:rPr>
          <w:rFonts w:ascii="Arial" w:cs="Arial" w:eastAsia="Arial" w:hAnsi="Arial"/>
          <w:sz w:val="14"/>
          <w:szCs w:val="14"/>
          <w:color w:val="auto"/>
        </w:rPr>
        <w:t>The Day 1 PCD is attributable to the CAC acquisition in the second quarter of 2021.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The following tables present the ACL and amortized cost of portfolio loans by category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rPr>
              <w:t>As of June 30, 2022</w:t>
            </w:r>
          </w:p>
        </w:tc>
        <w:tc>
          <w:tcPr>
            <w:tcW w:w="2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6"/>
          </w:tcPr>
          <w:p>
            <w:pPr>
              <w:jc w:val="center"/>
              <w:spacing w:after="0" w:line="155" w:lineRule="exact"/>
              <w:rPr>
                <w:sz w:val="20"/>
                <w:szCs w:val="20"/>
                <w:color w:val="auto"/>
              </w:rPr>
            </w:pPr>
            <w:r>
              <w:rPr>
                <w:rFonts w:ascii="Arial" w:cs="Arial" w:eastAsia="Arial" w:hAnsi="Arial"/>
                <w:sz w:val="14"/>
                <w:szCs w:val="14"/>
                <w:b w:val="1"/>
                <w:bCs w:val="1"/>
                <w:color w:val="auto"/>
                <w:w w:val="93"/>
              </w:rPr>
              <w:t>Portfolio Loans</w:t>
            </w: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18"/>
          </w:tcPr>
          <w:p>
            <w:pPr>
              <w:jc w:val="right"/>
              <w:ind w:right="192"/>
              <w:spacing w:after="0" w:line="155" w:lineRule="exact"/>
              <w:rPr>
                <w:sz w:val="20"/>
                <w:szCs w:val="20"/>
                <w:color w:val="auto"/>
              </w:rPr>
            </w:pPr>
            <w:r>
              <w:rPr>
                <w:rFonts w:ascii="Arial" w:cs="Arial" w:eastAsia="Arial" w:hAnsi="Arial"/>
                <w:sz w:val="14"/>
                <w:szCs w:val="14"/>
                <w:b w:val="1"/>
                <w:bCs w:val="1"/>
                <w:color w:val="auto"/>
              </w:rPr>
              <w:t>ACL Attributed to Portfolio Loans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4"/>
          </w:tcPr>
          <w:p>
            <w:pPr>
              <w:jc w:val="center"/>
              <w:ind w:right="140"/>
              <w:spacing w:after="0" w:line="133" w:lineRule="exact"/>
              <w:rPr>
                <w:sz w:val="20"/>
                <w:szCs w:val="20"/>
                <w:color w:val="auto"/>
              </w:rPr>
            </w:pPr>
            <w:r>
              <w:rPr>
                <w:rFonts w:ascii="Arial" w:cs="Arial" w:eastAsia="Arial" w:hAnsi="Arial"/>
                <w:sz w:val="14"/>
                <w:szCs w:val="14"/>
                <w:b w:val="1"/>
                <w:bCs w:val="1"/>
                <w:color w:val="auto"/>
                <w:w w:val="98"/>
              </w:rPr>
              <w:t>Individually</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8"/>
          </w:tcPr>
          <w:p>
            <w:pPr>
              <w:jc w:val="center"/>
              <w:spacing w:after="0" w:line="133" w:lineRule="exact"/>
              <w:rPr>
                <w:sz w:val="20"/>
                <w:szCs w:val="20"/>
                <w:color w:val="auto"/>
              </w:rPr>
            </w:pPr>
            <w:r>
              <w:rPr>
                <w:rFonts w:ascii="Arial" w:cs="Arial" w:eastAsia="Arial" w:hAnsi="Arial"/>
                <w:sz w:val="14"/>
                <w:szCs w:val="14"/>
                <w:b w:val="1"/>
                <w:bCs w:val="1"/>
                <w:color w:val="auto"/>
                <w:w w:val="96"/>
              </w:rPr>
              <w:t>Individually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Evaluated for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4"/>
              </w:rPr>
              <w:t>Evaluated for</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5"/>
          </w:tcPr>
          <w:p>
            <w:pPr>
              <w:spacing w:after="0"/>
              <w:rPr>
                <w:sz w:val="20"/>
                <w:szCs w:val="20"/>
                <w:color w:val="auto"/>
              </w:rPr>
            </w:pPr>
            <w:r>
              <w:rPr>
                <w:rFonts w:ascii="Arial" w:cs="Arial" w:eastAsia="Arial" w:hAnsi="Arial"/>
                <w:sz w:val="14"/>
                <w:szCs w:val="14"/>
                <w:b w:val="1"/>
                <w:bCs w:val="1"/>
                <w:color w:val="auto"/>
                <w:w w:val="92"/>
              </w:rPr>
              <w:t>Evaluated for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6"/>
              </w:rPr>
              <w:t>Evaluated for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Impairment</w:t>
            </w:r>
          </w:p>
        </w:tc>
        <w:tc>
          <w:tcPr>
            <w:tcW w:w="20" w:type="dxa"/>
            <w:vAlign w:val="bottom"/>
          </w:tcPr>
          <w:p>
            <w:pPr>
              <w:spacing w:after="0"/>
              <w:rPr>
                <w:sz w:val="16"/>
                <w:szCs w:val="16"/>
                <w:color w:val="auto"/>
              </w:rPr>
            </w:pPr>
          </w:p>
        </w:tc>
        <w:tc>
          <w:tcPr>
            <w:tcW w:w="900" w:type="dxa"/>
            <w:vAlign w:val="bottom"/>
          </w:tcPr>
          <w:p>
            <w:pPr>
              <w:jc w:val="right"/>
              <w:ind w:right="22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8"/>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Portfolio loan category</w:t>
            </w: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Commercial</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$ 1,912,656</w:t>
            </w:r>
          </w:p>
        </w:tc>
        <w:tc>
          <w:tcPr>
            <w:tcW w:w="320" w:type="dxa"/>
            <w:vAlign w:val="bottom"/>
            <w:gridSpan w:val="3"/>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7,024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$ 1,919,680</w:t>
            </w:r>
          </w:p>
        </w:tc>
        <w:tc>
          <w:tcPr>
            <w:tcW w:w="340" w:type="dxa"/>
            <w:vAlign w:val="bottom"/>
            <w:gridSpan w:val="3"/>
          </w:tcPr>
          <w:p>
            <w:pPr>
              <w:ind w:left="16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20,533</w:t>
            </w:r>
          </w:p>
        </w:tc>
        <w:tc>
          <w:tcPr>
            <w:tcW w:w="440" w:type="dxa"/>
            <w:vAlign w:val="bottom"/>
            <w:gridSpan w:val="3"/>
          </w:tcPr>
          <w:p>
            <w:pPr>
              <w:jc w:val="right"/>
              <w:ind w:right="128"/>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2,826</w:t>
            </w:r>
          </w:p>
        </w:tc>
        <w:tc>
          <w:tcPr>
            <w:tcW w:w="20" w:type="dxa"/>
            <w:vAlign w:val="bottom"/>
          </w:tcPr>
          <w:p>
            <w:pPr>
              <w:spacing w:after="0"/>
              <w:rPr>
                <w:sz w:val="17"/>
                <w:szCs w:val="17"/>
                <w:color w:val="auto"/>
              </w:rPr>
            </w:pPr>
          </w:p>
        </w:tc>
        <w:tc>
          <w:tcPr>
            <w:tcW w:w="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4"/>
              </w:rPr>
              <w:t>23,359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3,222,067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6,023</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3,228,090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35,182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560" w:type="dxa"/>
            <w:vAlign w:val="bottom"/>
            <w:gridSpan w:val="6"/>
            <w:shd w:val="clear" w:color="auto" w:fill="CCEEFF"/>
          </w:tcPr>
          <w:p>
            <w:pPr>
              <w:jc w:val="right"/>
              <w:spacing w:after="0" w:line="202" w:lineRule="exact"/>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37,182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Real estate construction</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465,923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262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466,185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5,669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5,669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Retail real estate</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1,588,767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2,146</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1,590,913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17,959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17,984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Retail other</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292,910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18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292,910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4,563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4,563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Portfolio loans and related ACL</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$ 7,482,323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15,455</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$ 7,497,778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83,906</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4,851</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88,757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w w:val="95"/>
              </w:rPr>
              <w:t>As of December 31, 2021</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6"/>
          </w:tcPr>
          <w:p>
            <w:pPr>
              <w:jc w:val="center"/>
              <w:ind w:right="20"/>
              <w:spacing w:after="0" w:line="155" w:lineRule="exact"/>
              <w:rPr>
                <w:sz w:val="20"/>
                <w:szCs w:val="20"/>
                <w:color w:val="auto"/>
              </w:rPr>
            </w:pPr>
            <w:r>
              <w:rPr>
                <w:rFonts w:ascii="Arial" w:cs="Arial" w:eastAsia="Arial" w:hAnsi="Arial"/>
                <w:sz w:val="14"/>
                <w:szCs w:val="14"/>
                <w:b w:val="1"/>
                <w:bCs w:val="1"/>
                <w:color w:val="auto"/>
                <w:w w:val="93"/>
              </w:rPr>
              <w:t>Portfolio Loans</w:t>
            </w:r>
          </w:p>
        </w:tc>
        <w:tc>
          <w:tcPr>
            <w:tcW w:w="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540" w:type="dxa"/>
            <w:vAlign w:val="bottom"/>
            <w:tcBorders>
              <w:bottom w:val="single" w:sz="8" w:color="auto"/>
            </w:tcBorders>
            <w:gridSpan w:val="18"/>
          </w:tcPr>
          <w:p>
            <w:pPr>
              <w:jc w:val="right"/>
              <w:ind w:right="212"/>
              <w:spacing w:after="0" w:line="155" w:lineRule="exact"/>
              <w:rPr>
                <w:sz w:val="20"/>
                <w:szCs w:val="20"/>
                <w:color w:val="auto"/>
              </w:rPr>
            </w:pPr>
            <w:r>
              <w:rPr>
                <w:rFonts w:ascii="Arial" w:cs="Arial" w:eastAsia="Arial" w:hAnsi="Arial"/>
                <w:sz w:val="14"/>
                <w:szCs w:val="14"/>
                <w:b w:val="1"/>
                <w:bCs w:val="1"/>
                <w:color w:val="auto"/>
                <w:w w:val="99"/>
              </w:rPr>
              <w:t>ACL Attributed to Portfolio Loans</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gridSpan w:val="4"/>
          </w:tcPr>
          <w:p>
            <w:pPr>
              <w:jc w:val="center"/>
              <w:ind w:right="160"/>
              <w:spacing w:after="0" w:line="133" w:lineRule="exact"/>
              <w:rPr>
                <w:sz w:val="20"/>
                <w:szCs w:val="20"/>
                <w:color w:val="auto"/>
              </w:rPr>
            </w:pPr>
            <w:r>
              <w:rPr>
                <w:rFonts w:ascii="Arial" w:cs="Arial" w:eastAsia="Arial" w:hAnsi="Arial"/>
                <w:sz w:val="14"/>
                <w:szCs w:val="14"/>
                <w:b w:val="1"/>
                <w:bCs w:val="1"/>
                <w:color w:val="auto"/>
                <w:w w:val="96"/>
              </w:rPr>
              <w:t>Individually</w:t>
            </w: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gridSpan w:val="5"/>
          </w:tcPr>
          <w:p>
            <w:pPr>
              <w:jc w:val="center"/>
              <w:spacing w:after="0" w:line="133" w:lineRule="exact"/>
              <w:rPr>
                <w:sz w:val="20"/>
                <w:szCs w:val="20"/>
                <w:color w:val="auto"/>
              </w:rPr>
            </w:pPr>
            <w:r>
              <w:rPr>
                <w:rFonts w:ascii="Arial" w:cs="Arial" w:eastAsia="Arial" w:hAnsi="Arial"/>
                <w:sz w:val="14"/>
                <w:szCs w:val="14"/>
                <w:b w:val="1"/>
                <w:bCs w:val="1"/>
                <w:color w:val="auto"/>
                <w:w w:val="92"/>
              </w:rPr>
              <w:t>Collectively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8"/>
          </w:tcPr>
          <w:p>
            <w:pPr>
              <w:jc w:val="center"/>
              <w:ind w:right="20"/>
              <w:spacing w:after="0" w:line="133" w:lineRule="exact"/>
              <w:rPr>
                <w:sz w:val="20"/>
                <w:szCs w:val="20"/>
                <w:color w:val="auto"/>
              </w:rPr>
            </w:pPr>
            <w:r>
              <w:rPr>
                <w:rFonts w:ascii="Arial" w:cs="Arial" w:eastAsia="Arial" w:hAnsi="Arial"/>
                <w:sz w:val="14"/>
                <w:szCs w:val="14"/>
                <w:b w:val="1"/>
                <w:bCs w:val="1"/>
                <w:color w:val="auto"/>
                <w:w w:val="98"/>
              </w:rPr>
              <w:t>Individually</w:t>
            </w: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4"/>
              </w:rPr>
              <w:t>Evaluated for</w:t>
            </w:r>
          </w:p>
        </w:tc>
        <w:tc>
          <w:tcPr>
            <w:tcW w:w="140" w:type="dxa"/>
            <w:vAlign w:val="bottom"/>
          </w:tcPr>
          <w:p>
            <w:pPr>
              <w:spacing w:after="0"/>
              <w:rPr>
                <w:sz w:val="14"/>
                <w:szCs w:val="14"/>
                <w:color w:val="auto"/>
              </w:rPr>
            </w:pPr>
          </w:p>
        </w:tc>
        <w:tc>
          <w:tcPr>
            <w:tcW w:w="100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4"/>
              </w:rPr>
              <w:t>Evaluated for</w:t>
            </w: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gridSpan w:val="6"/>
          </w:tcPr>
          <w:p>
            <w:pPr>
              <w:ind w:left="20"/>
              <w:spacing w:after="0"/>
              <w:rPr>
                <w:sz w:val="20"/>
                <w:szCs w:val="20"/>
                <w:color w:val="auto"/>
              </w:rPr>
            </w:pPr>
            <w:r>
              <w:rPr>
                <w:rFonts w:ascii="Arial" w:cs="Arial" w:eastAsia="Arial" w:hAnsi="Arial"/>
                <w:sz w:val="14"/>
                <w:szCs w:val="14"/>
                <w:b w:val="1"/>
                <w:bCs w:val="1"/>
                <w:color w:val="auto"/>
                <w:w w:val="92"/>
              </w:rPr>
              <w:t>Evaluated for</w:t>
            </w:r>
          </w:p>
        </w:tc>
        <w:tc>
          <w:tcPr>
            <w:tcW w:w="140" w:type="dxa"/>
            <w:vAlign w:val="bottom"/>
          </w:tcPr>
          <w:p>
            <w:pPr>
              <w:spacing w:after="0"/>
              <w:rPr>
                <w:sz w:val="14"/>
                <w:szCs w:val="14"/>
                <w:color w:val="auto"/>
              </w:rPr>
            </w:pPr>
          </w:p>
        </w:tc>
        <w:tc>
          <w:tcPr>
            <w:tcW w:w="880" w:type="dxa"/>
            <w:vAlign w:val="bottom"/>
            <w:gridSpan w:val="9"/>
          </w:tcPr>
          <w:p>
            <w:pPr>
              <w:jc w:val="center"/>
              <w:spacing w:after="0"/>
              <w:rPr>
                <w:sz w:val="20"/>
                <w:szCs w:val="20"/>
                <w:color w:val="auto"/>
              </w:rPr>
            </w:pPr>
            <w:r>
              <w:rPr>
                <w:rFonts w:ascii="Arial" w:cs="Arial" w:eastAsia="Arial" w:hAnsi="Arial"/>
                <w:sz w:val="14"/>
                <w:szCs w:val="14"/>
                <w:b w:val="1"/>
                <w:bCs w:val="1"/>
                <w:color w:val="auto"/>
                <w:w w:val="94"/>
              </w:rPr>
              <w:t>Evaluated for</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8"/>
              </w:rPr>
              <w:t>Impairment</w:t>
            </w:r>
          </w:p>
        </w:tc>
        <w:tc>
          <w:tcPr>
            <w:tcW w:w="20" w:type="dxa"/>
            <w:vAlign w:val="bottom"/>
          </w:tcPr>
          <w:p>
            <w:pPr>
              <w:spacing w:after="0"/>
              <w:rPr>
                <w:sz w:val="16"/>
                <w:szCs w:val="16"/>
                <w:color w:val="auto"/>
              </w:rPr>
            </w:pPr>
          </w:p>
        </w:tc>
        <w:tc>
          <w:tcPr>
            <w:tcW w:w="900" w:type="dxa"/>
            <w:vAlign w:val="bottom"/>
          </w:tcPr>
          <w:p>
            <w:pPr>
              <w:jc w:val="right"/>
              <w:ind w:right="224"/>
              <w:spacing w:after="0"/>
              <w:rPr>
                <w:sz w:val="20"/>
                <w:szCs w:val="20"/>
                <w:color w:val="auto"/>
              </w:rPr>
            </w:pPr>
            <w:r>
              <w:rPr>
                <w:rFonts w:ascii="Arial" w:cs="Arial" w:eastAsia="Arial" w:hAnsi="Arial"/>
                <w:sz w:val="14"/>
                <w:szCs w:val="14"/>
                <w:b w:val="1"/>
                <w:bCs w:val="1"/>
                <w:color w:val="auto"/>
              </w:rPr>
              <w:t>Total</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5"/>
          </w:tcPr>
          <w:p>
            <w:pPr>
              <w:jc w:val="center"/>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8"/>
              </w:rPr>
              <w:t>Impairment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Portfolio loan category</w:t>
            </w: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Commercial</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$ 1,936,898</w:t>
            </w:r>
          </w:p>
        </w:tc>
        <w:tc>
          <w:tcPr>
            <w:tcW w:w="320" w:type="dxa"/>
            <w:vAlign w:val="bottom"/>
            <w:gridSpan w:val="3"/>
          </w:tcPr>
          <w:p>
            <w:pPr>
              <w:jc w:val="right"/>
              <w:ind w:right="8"/>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6,988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88"/>
              </w:rPr>
              <w:t>$ 1,943,886</w:t>
            </w:r>
          </w:p>
        </w:tc>
        <w:tc>
          <w:tcPr>
            <w:tcW w:w="340" w:type="dxa"/>
            <w:vAlign w:val="bottom"/>
            <w:gridSpan w:val="3"/>
          </w:tcPr>
          <w:p>
            <w:pPr>
              <w:ind w:left="140"/>
              <w:spacing w:after="0" w:line="202" w:lineRule="exact"/>
              <w:rPr>
                <w:sz w:val="20"/>
                <w:szCs w:val="20"/>
                <w:color w:val="auto"/>
              </w:rPr>
            </w:pPr>
            <w:r>
              <w:rPr>
                <w:rFonts w:ascii="Arial" w:cs="Arial" w:eastAsia="Arial" w:hAnsi="Arial"/>
                <w:sz w:val="18"/>
                <w:szCs w:val="18"/>
                <w:color w:val="auto"/>
              </w:rPr>
              <w:t>$</w:t>
            </w:r>
          </w:p>
        </w:tc>
        <w:tc>
          <w:tcPr>
            <w:tcW w:w="6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20,291</w:t>
            </w:r>
          </w:p>
        </w:tc>
        <w:tc>
          <w:tcPr>
            <w:tcW w:w="440" w:type="dxa"/>
            <w:vAlign w:val="bottom"/>
            <w:gridSpan w:val="3"/>
          </w:tcPr>
          <w:p>
            <w:pPr>
              <w:jc w:val="right"/>
              <w:ind w:right="128"/>
              <w:spacing w:after="0" w:line="202" w:lineRule="exact"/>
              <w:rPr>
                <w:sz w:val="20"/>
                <w:szCs w:val="20"/>
                <w:color w:val="auto"/>
              </w:rPr>
            </w:pPr>
            <w:r>
              <w:rPr>
                <w:rFonts w:ascii="Arial" w:cs="Arial" w:eastAsia="Arial" w:hAnsi="Arial"/>
                <w:sz w:val="18"/>
                <w:szCs w:val="18"/>
                <w:color w:val="auto"/>
              </w:rPr>
              <w:t>$</w:t>
            </w:r>
          </w:p>
        </w:tc>
        <w:tc>
          <w:tcPr>
            <w:tcW w:w="560" w:type="dxa"/>
            <w:vAlign w:val="bottom"/>
            <w:gridSpan w:val="6"/>
          </w:tcPr>
          <w:p>
            <w:pPr>
              <w:jc w:val="right"/>
              <w:spacing w:after="0" w:line="202" w:lineRule="exact"/>
              <w:rPr>
                <w:sz w:val="20"/>
                <w:szCs w:val="20"/>
                <w:color w:val="auto"/>
              </w:rPr>
            </w:pPr>
            <w:r>
              <w:rPr>
                <w:rFonts w:ascii="Arial" w:cs="Arial" w:eastAsia="Arial" w:hAnsi="Arial"/>
                <w:sz w:val="18"/>
                <w:szCs w:val="18"/>
                <w:color w:val="auto"/>
              </w:rPr>
              <w:t>3,564</w:t>
            </w:r>
          </w:p>
        </w:tc>
        <w:tc>
          <w:tcPr>
            <w:tcW w:w="20" w:type="dxa"/>
            <w:vAlign w:val="bottom"/>
          </w:tcPr>
          <w:p>
            <w:pPr>
              <w:spacing w:after="0"/>
              <w:rPr>
                <w:sz w:val="17"/>
                <w:szCs w:val="17"/>
                <w:color w:val="auto"/>
              </w:rPr>
            </w:pPr>
          </w:p>
        </w:tc>
        <w:tc>
          <w:tcPr>
            <w:tcW w:w="2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w w:val="94"/>
              </w:rPr>
              <w:t>23,855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Commercial real estate</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3,114,057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5,750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3,119,807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38,249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4"/>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38,249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Real estate construction</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385,724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272</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385,996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5,102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5,102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302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Retail real estate</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1,510,606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2,370</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1,512,976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17,564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25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4"/>
              </w:rPr>
              <w:t>17,589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00"/>
              <w:spacing w:after="0" w:line="202" w:lineRule="exact"/>
              <w:rPr>
                <w:sz w:val="20"/>
                <w:szCs w:val="20"/>
                <w:color w:val="auto"/>
              </w:rPr>
            </w:pPr>
            <w:r>
              <w:rPr>
                <w:rFonts w:ascii="Arial" w:cs="Arial" w:eastAsia="Arial" w:hAnsi="Arial"/>
                <w:sz w:val="18"/>
                <w:szCs w:val="18"/>
                <w:color w:val="auto"/>
              </w:rPr>
              <w:t>Retail other</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226,333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3"/>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226,333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3,092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gridSpan w:val="4"/>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3,092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tcBorders>
              <w:top w:val="single" w:sz="8" w:color="CCEEFF"/>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Portfolio loans and related ACL</w:t>
            </w: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$ 7,173,618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gridSpan w:val="2"/>
            <w:shd w:val="clear" w:color="auto" w:fill="CCEEFF"/>
          </w:tcPr>
          <w:p>
            <w:pPr>
              <w:jc w:val="right"/>
              <w:ind w:right="8"/>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15,380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$ 7,188,998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84,298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gridSpan w:val="2"/>
            <w:shd w:val="clear" w:color="auto" w:fill="CCEEFF"/>
          </w:tcPr>
          <w:p>
            <w:pPr>
              <w:jc w:val="right"/>
              <w:ind w:right="128"/>
              <w:spacing w:after="0" w:line="196" w:lineRule="exact"/>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6"/>
            <w:shd w:val="clear" w:color="auto" w:fill="CCEEFF"/>
          </w:tcPr>
          <w:p>
            <w:pPr>
              <w:jc w:val="right"/>
              <w:spacing w:after="0" w:line="196" w:lineRule="exact"/>
              <w:rPr>
                <w:sz w:val="20"/>
                <w:szCs w:val="20"/>
                <w:color w:val="auto"/>
              </w:rPr>
            </w:pPr>
            <w:r>
              <w:rPr>
                <w:rFonts w:ascii="Arial" w:cs="Arial" w:eastAsia="Arial" w:hAnsi="Arial"/>
                <w:sz w:val="18"/>
                <w:szCs w:val="18"/>
                <w:color w:val="auto"/>
              </w:rPr>
              <w:t>3,589</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87,887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Note 5: Deposits</w:t>
            </w: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04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100" w:type="dxa"/>
            <w:vAlign w:val="bottom"/>
            <w:gridSpan w:val="10"/>
          </w:tcPr>
          <w:p>
            <w:pPr>
              <w:ind w:left="20"/>
              <w:spacing w:after="0"/>
              <w:rPr>
                <w:sz w:val="20"/>
                <w:szCs w:val="20"/>
                <w:color w:val="auto"/>
              </w:rPr>
            </w:pPr>
            <w:r>
              <w:rPr>
                <w:rFonts w:ascii="Arial" w:cs="Arial" w:eastAsia="Arial" w:hAnsi="Arial"/>
                <w:sz w:val="18"/>
                <w:szCs w:val="18"/>
                <w:color w:val="auto"/>
                <w:w w:val="99"/>
              </w:rPr>
              <w:t xml:space="preserve">The composition of deposits is as follows </w:t>
            </w:r>
            <w:r>
              <w:rPr>
                <w:rFonts w:ascii="Arial" w:cs="Arial" w:eastAsia="Arial" w:hAnsi="Arial"/>
                <w:sz w:val="18"/>
                <w:szCs w:val="18"/>
                <w:i w:val="1"/>
                <w:iCs w:val="1"/>
                <w:color w:val="auto"/>
                <w:w w:val="99"/>
              </w:rPr>
              <w:t>(dollars in thousands)</w:t>
            </w:r>
            <w:r>
              <w:rPr>
                <w:rFonts w:ascii="Arial" w:cs="Arial" w:eastAsia="Arial" w:hAnsi="Arial"/>
                <w:sz w:val="18"/>
                <w:szCs w:val="18"/>
                <w:color w:val="auto"/>
                <w:w w:val="99"/>
              </w:rPr>
              <w:t>:</w:t>
            </w: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4"/>
          </w:tcPr>
          <w:p>
            <w:pPr>
              <w:jc w:val="right"/>
              <w:ind w:right="28"/>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7"/>
          </w:tcPr>
          <w:p>
            <w:pPr>
              <w:jc w:val="center"/>
              <w:ind w:right="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02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Deposits</w:t>
            </w: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w w:val="91"/>
              </w:rPr>
              <w:t>Demand deposits, noninterest-bearing</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9"/>
              </w:rPr>
              <w:t>3,505,299</w:t>
            </w:r>
          </w:p>
        </w:tc>
        <w:tc>
          <w:tcPr>
            <w:tcW w:w="440" w:type="dxa"/>
            <w:vAlign w:val="bottom"/>
            <w:gridSpan w:val="5"/>
          </w:tcPr>
          <w:p>
            <w:pPr>
              <w:jc w:val="right"/>
              <w:ind w:right="28"/>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99"/>
              </w:rPr>
              <w:t>3,670,267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5"/>
              </w:rPr>
              <w:t>Interest-bearing transaction deposits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2,751,722</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2,720,417</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Saving deposits and money market deposits</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5"/>
          </w:tcPr>
          <w:p>
            <w:pPr>
              <w:jc w:val="right"/>
              <w:spacing w:after="0" w:line="202" w:lineRule="exact"/>
              <w:rPr>
                <w:sz w:val="20"/>
                <w:szCs w:val="20"/>
                <w:color w:val="auto"/>
              </w:rPr>
            </w:pPr>
            <w:r>
              <w:rPr>
                <w:rFonts w:ascii="Arial" w:cs="Arial" w:eastAsia="Arial" w:hAnsi="Arial"/>
                <w:sz w:val="18"/>
                <w:szCs w:val="18"/>
                <w:color w:val="auto"/>
                <w:w w:val="99"/>
              </w:rPr>
              <w:t>3,322,386</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gridSpan w:val="4"/>
          </w:tcPr>
          <w:p>
            <w:pPr>
              <w:jc w:val="right"/>
              <w:spacing w:after="0" w:line="202" w:lineRule="exact"/>
              <w:rPr>
                <w:sz w:val="20"/>
                <w:szCs w:val="20"/>
                <w:color w:val="auto"/>
              </w:rPr>
            </w:pPr>
            <w:r>
              <w:rPr>
                <w:rFonts w:ascii="Arial" w:cs="Arial" w:eastAsia="Arial" w:hAnsi="Arial"/>
                <w:sz w:val="18"/>
                <w:szCs w:val="18"/>
                <w:color w:val="auto"/>
                <w:w w:val="99"/>
              </w:rPr>
              <w:t>3,442,244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Time deposits</w:t>
            </w: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817,821</w:t>
            </w:r>
          </w:p>
        </w:tc>
        <w:tc>
          <w:tcPr>
            <w:tcW w:w="6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935,649</w:t>
            </w:r>
          </w:p>
        </w:tc>
        <w:tc>
          <w:tcPr>
            <w:tcW w:w="2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deposits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gridSpan w:val="5"/>
          </w:tcPr>
          <w:p>
            <w:pPr>
              <w:jc w:val="right"/>
              <w:spacing w:after="0" w:line="196" w:lineRule="exact"/>
              <w:rPr>
                <w:sz w:val="20"/>
                <w:szCs w:val="20"/>
                <w:color w:val="auto"/>
              </w:rPr>
            </w:pPr>
            <w:r>
              <w:rPr>
                <w:rFonts w:ascii="Arial" w:cs="Arial" w:eastAsia="Arial" w:hAnsi="Arial"/>
                <w:sz w:val="18"/>
                <w:szCs w:val="18"/>
                <w:color w:val="auto"/>
                <w:w w:val="88"/>
              </w:rPr>
              <w:t>10,397,228</w:t>
            </w: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gridSpan w:val="4"/>
          </w:tcPr>
          <w:p>
            <w:pPr>
              <w:jc w:val="right"/>
              <w:spacing w:after="0" w:line="196" w:lineRule="exact"/>
              <w:rPr>
                <w:sz w:val="20"/>
                <w:szCs w:val="20"/>
                <w:color w:val="auto"/>
              </w:rPr>
            </w:pPr>
            <w:r>
              <w:rPr>
                <w:rFonts w:ascii="Arial" w:cs="Arial" w:eastAsia="Arial" w:hAnsi="Arial"/>
                <w:sz w:val="18"/>
                <w:szCs w:val="18"/>
                <w:color w:val="auto"/>
                <w:w w:val="88"/>
              </w:rPr>
              <w:t>10,768,577</w:t>
            </w: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020" w:type="dxa"/>
            <w:vAlign w:val="bottom"/>
            <w:gridSpan w:val="12"/>
            <w:vMerge w:val="restart"/>
          </w:tcPr>
          <w:p>
            <w:pPr>
              <w:ind w:left="20"/>
              <w:spacing w:after="0"/>
              <w:rPr>
                <w:sz w:val="20"/>
                <w:szCs w:val="20"/>
                <w:color w:val="auto"/>
              </w:rPr>
            </w:pPr>
            <w:r>
              <w:rPr>
                <w:rFonts w:ascii="Arial" w:cs="Arial" w:eastAsia="Arial" w:hAnsi="Arial"/>
                <w:sz w:val="18"/>
                <w:szCs w:val="18"/>
                <w:color w:val="auto"/>
                <w:w w:val="97"/>
              </w:rPr>
              <w:t xml:space="preserve">Additional information about our deposits is as follows </w:t>
            </w:r>
            <w:r>
              <w:rPr>
                <w:rFonts w:ascii="Arial" w:cs="Arial" w:eastAsia="Arial" w:hAnsi="Arial"/>
                <w:sz w:val="18"/>
                <w:szCs w:val="18"/>
                <w:i w:val="1"/>
                <w:iCs w:val="1"/>
                <w:color w:val="auto"/>
                <w:w w:val="97"/>
              </w:rPr>
              <w:t>(dollars in thousands)</w:t>
            </w:r>
            <w:r>
              <w:rPr>
                <w:rFonts w:ascii="Arial" w:cs="Arial" w:eastAsia="Arial" w:hAnsi="Arial"/>
                <w:sz w:val="18"/>
                <w:szCs w:val="18"/>
                <w:color w:val="auto"/>
                <w:w w:val="97"/>
              </w:rPr>
              <w:t>:</w:t>
            </w: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6020" w:type="dxa"/>
            <w:vAlign w:val="bottom"/>
            <w:gridSpan w:val="12"/>
            <w:vMerge w:val="continue"/>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As of</w:t>
            </w: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gridSpan w:val="4"/>
          </w:tcPr>
          <w:p>
            <w:pPr>
              <w:jc w:val="right"/>
              <w:ind w:right="48"/>
              <w:spacing w:after="0" w:line="133" w:lineRule="exact"/>
              <w:rPr>
                <w:sz w:val="20"/>
                <w:szCs w:val="20"/>
                <w:color w:val="auto"/>
              </w:rPr>
            </w:pPr>
            <w:r>
              <w:rPr>
                <w:rFonts w:ascii="Arial" w:cs="Arial" w:eastAsia="Arial" w:hAnsi="Arial"/>
                <w:sz w:val="14"/>
                <w:szCs w:val="14"/>
                <w:b w:val="1"/>
                <w:bCs w:val="1"/>
                <w:color w:val="auto"/>
                <w:w w:val="99"/>
              </w:rPr>
              <w:t>June 30,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60" w:type="dxa"/>
            <w:vAlign w:val="bottom"/>
            <w:gridSpan w:val="6"/>
          </w:tcPr>
          <w:p>
            <w:pPr>
              <w:jc w:val="center"/>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Borders>
              <w:bottom w:val="single" w:sz="8" w:color="CCEEFF"/>
            </w:tcBorders>
          </w:tcPr>
          <w:p>
            <w:pPr>
              <w:spacing w:after="0"/>
              <w:rPr>
                <w:sz w:val="16"/>
                <w:szCs w:val="16"/>
                <w:color w:val="auto"/>
              </w:rPr>
            </w:pPr>
          </w:p>
        </w:tc>
        <w:tc>
          <w:tcPr>
            <w:tcW w:w="30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gridSpan w:val="4"/>
          </w:tcPr>
          <w:p>
            <w:pPr>
              <w:jc w:val="right"/>
              <w:ind w:right="128"/>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center"/>
              <w:ind w:right="11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gridSpan w:val="4"/>
            <w:shd w:val="clear" w:color="auto" w:fill="CCEEFF"/>
          </w:tcPr>
          <w:p>
            <w:pPr>
              <w:ind w:left="20"/>
              <w:spacing w:after="0" w:line="196" w:lineRule="exact"/>
              <w:rPr>
                <w:sz w:val="20"/>
                <w:szCs w:val="20"/>
                <w:color w:val="auto"/>
              </w:rPr>
            </w:pPr>
            <w:r>
              <w:rPr>
                <w:rFonts w:ascii="Arial" w:cs="Arial" w:eastAsia="Arial" w:hAnsi="Arial"/>
                <w:sz w:val="18"/>
                <w:szCs w:val="18"/>
                <w:color w:val="auto"/>
                <w:w w:val="89"/>
              </w:rPr>
              <w:t>Brokered savings deposits and money market deposits</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gridSpan w:val="2"/>
            <w:shd w:val="clear" w:color="auto" w:fill="CCEEFF"/>
          </w:tcPr>
          <w:p>
            <w:pPr>
              <w:jc w:val="right"/>
              <w:ind w:right="7"/>
              <w:spacing w:after="0" w:line="196" w:lineRule="exact"/>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spacing w:after="0"/>
              <w:rPr>
                <w:sz w:val="17"/>
                <w:szCs w:val="17"/>
                <w:color w:val="auto"/>
              </w:rPr>
            </w:pPr>
          </w:p>
        </w:tc>
        <w:tc>
          <w:tcPr>
            <w:tcW w:w="560" w:type="dxa"/>
            <w:vAlign w:val="bottom"/>
            <w:gridSpan w:val="4"/>
            <w:shd w:val="clear" w:color="auto" w:fill="CCEEFF"/>
          </w:tcPr>
          <w:p>
            <w:pPr>
              <w:jc w:val="right"/>
              <w:spacing w:after="0" w:line="196" w:lineRule="exact"/>
              <w:rPr>
                <w:sz w:val="20"/>
                <w:szCs w:val="20"/>
                <w:color w:val="auto"/>
              </w:rPr>
            </w:pPr>
            <w:r>
              <w:rPr>
                <w:rFonts w:ascii="Arial" w:cs="Arial" w:eastAsia="Arial" w:hAnsi="Arial"/>
                <w:sz w:val="18"/>
                <w:szCs w:val="18"/>
                <w:color w:val="auto"/>
              </w:rPr>
              <w:t>2,002</w:t>
            </w:r>
          </w:p>
        </w:tc>
        <w:tc>
          <w:tcPr>
            <w:tcW w:w="60" w:type="dxa"/>
            <w:vAlign w:val="bottom"/>
            <w:shd w:val="clear" w:color="auto" w:fill="CCEEFF"/>
          </w:tcPr>
          <w:p>
            <w:pPr>
              <w:spacing w:after="0"/>
              <w:rPr>
                <w:sz w:val="17"/>
                <w:szCs w:val="17"/>
                <w:color w:val="auto"/>
              </w:rPr>
            </w:pPr>
          </w:p>
        </w:tc>
        <w:tc>
          <w:tcPr>
            <w:tcW w:w="180" w:type="dxa"/>
            <w:vAlign w:val="bottom"/>
            <w:gridSpan w:val="2"/>
            <w:shd w:val="clear" w:color="auto" w:fill="CCEEFF"/>
          </w:tcPr>
          <w:p>
            <w:pPr>
              <w:spacing w:after="0"/>
              <w:rPr>
                <w:sz w:val="17"/>
                <w:szCs w:val="17"/>
                <w:color w:val="auto"/>
              </w:rPr>
            </w:pPr>
          </w:p>
        </w:tc>
        <w:tc>
          <w:tcPr>
            <w:tcW w:w="200" w:type="dxa"/>
            <w:vAlign w:val="bottom"/>
            <w:gridSpan w:val="2"/>
            <w:shd w:val="clear" w:color="auto" w:fill="CCEEFF"/>
          </w:tcPr>
          <w:p>
            <w:pPr>
              <w:jc w:val="right"/>
              <w:ind w:right="28"/>
              <w:spacing w:after="0" w:line="196" w:lineRule="exact"/>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2,248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Brokered time deposits</w:t>
            </w: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6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271</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266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020" w:type="dxa"/>
            <w:vAlign w:val="bottom"/>
            <w:gridSpan w:val="12"/>
            <w:shd w:val="clear" w:color="auto" w:fill="CCEEFF"/>
          </w:tcPr>
          <w:p>
            <w:pPr>
              <w:ind w:left="20"/>
              <w:spacing w:after="0" w:line="202" w:lineRule="exact"/>
              <w:rPr>
                <w:sz w:val="20"/>
                <w:szCs w:val="20"/>
                <w:color w:val="auto"/>
              </w:rPr>
            </w:pPr>
            <w:r>
              <w:rPr>
                <w:rFonts w:ascii="Arial" w:cs="Arial" w:eastAsia="Arial" w:hAnsi="Arial"/>
                <w:sz w:val="18"/>
                <w:szCs w:val="18"/>
                <w:color w:val="auto"/>
                <w:w w:val="96"/>
              </w:rPr>
              <w:t>Aggregate amount of time deposits with a minimum denomination of $100,000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5"/>
            <w:shd w:val="clear" w:color="auto" w:fill="CCEEFF"/>
          </w:tcPr>
          <w:p>
            <w:pPr>
              <w:jc w:val="right"/>
              <w:spacing w:after="0" w:line="202" w:lineRule="exact"/>
              <w:rPr>
                <w:sz w:val="20"/>
                <w:szCs w:val="20"/>
                <w:color w:val="auto"/>
              </w:rPr>
            </w:pPr>
            <w:r>
              <w:rPr>
                <w:rFonts w:ascii="Arial" w:cs="Arial" w:eastAsia="Arial" w:hAnsi="Arial"/>
                <w:sz w:val="18"/>
                <w:szCs w:val="18"/>
                <w:color w:val="auto"/>
              </w:rPr>
              <w:t>390,287</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60" w:type="dxa"/>
            <w:vAlign w:val="bottom"/>
            <w:gridSpan w:val="4"/>
            <w:shd w:val="clear" w:color="auto" w:fill="CCEEFF"/>
          </w:tcPr>
          <w:p>
            <w:pPr>
              <w:jc w:val="right"/>
              <w:spacing w:after="0" w:line="202" w:lineRule="exact"/>
              <w:rPr>
                <w:sz w:val="20"/>
                <w:szCs w:val="20"/>
                <w:color w:val="auto"/>
              </w:rPr>
            </w:pPr>
            <w:r>
              <w:rPr>
                <w:rFonts w:ascii="Arial" w:cs="Arial" w:eastAsia="Arial" w:hAnsi="Arial"/>
                <w:sz w:val="18"/>
                <w:szCs w:val="18"/>
                <w:color w:val="auto"/>
              </w:rPr>
              <w:t>454,649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6020" w:type="dxa"/>
            <w:vAlign w:val="bottom"/>
            <w:gridSpan w:val="12"/>
          </w:tcPr>
          <w:p>
            <w:pPr>
              <w:ind w:left="20"/>
              <w:spacing w:after="0" w:line="189" w:lineRule="exact"/>
              <w:rPr>
                <w:sz w:val="20"/>
                <w:szCs w:val="20"/>
                <w:color w:val="auto"/>
              </w:rPr>
            </w:pPr>
            <w:r>
              <w:rPr>
                <w:rFonts w:ascii="Arial" w:cs="Arial" w:eastAsia="Arial" w:hAnsi="Arial"/>
                <w:sz w:val="18"/>
                <w:szCs w:val="18"/>
                <w:color w:val="auto"/>
                <w:w w:val="94"/>
              </w:rPr>
              <w:t>Aggregate amount of time deposits with a minimum denomination that meets or</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960" w:type="dxa"/>
            <w:vAlign w:val="bottom"/>
            <w:gridSpan w:val="4"/>
          </w:tcPr>
          <w:p>
            <w:pPr>
              <w:ind w:left="20"/>
              <w:spacing w:after="0"/>
              <w:rPr>
                <w:sz w:val="20"/>
                <w:szCs w:val="20"/>
                <w:color w:val="auto"/>
              </w:rPr>
            </w:pPr>
            <w:r>
              <w:rPr>
                <w:rFonts w:ascii="Arial" w:cs="Arial" w:eastAsia="Arial" w:hAnsi="Arial"/>
                <w:sz w:val="18"/>
                <w:szCs w:val="18"/>
                <w:color w:val="auto"/>
              </w:rPr>
              <w:t>exceeds the FDIC insurance limit of $250,000</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5"/>
          </w:tcPr>
          <w:p>
            <w:pPr>
              <w:jc w:val="right"/>
              <w:spacing w:after="0"/>
              <w:rPr>
                <w:sz w:val="20"/>
                <w:szCs w:val="20"/>
                <w:color w:val="auto"/>
              </w:rPr>
            </w:pPr>
            <w:r>
              <w:rPr>
                <w:rFonts w:ascii="Arial" w:cs="Arial" w:eastAsia="Arial" w:hAnsi="Arial"/>
                <w:sz w:val="18"/>
                <w:szCs w:val="18"/>
                <w:color w:val="auto"/>
              </w:rPr>
              <w:t>117,958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Arial" w:cs="Arial" w:eastAsia="Arial" w:hAnsi="Arial"/>
                <w:sz w:val="18"/>
                <w:szCs w:val="18"/>
                <w:color w:val="auto"/>
              </w:rPr>
              <w:t>137,449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jc w:val="right"/>
              <w:ind w:right="290"/>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bl>
      <w:tblPr>
        <w:tblLayout w:type="fixed"/>
        <w:tblInd w:w="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1260" w:type="dxa"/>
            <w:vAlign w:val="bottom"/>
            <w:tcBorders>
              <w:top w:val="single" w:sz="8" w:color="0000EE"/>
            </w:tcBorders>
          </w:tcPr>
          <w:p>
            <w:pPr>
              <w:spacing w:after="0"/>
              <w:rPr>
                <w:sz w:val="16"/>
                <w:szCs w:val="16"/>
                <w:color w:val="auto"/>
              </w:rPr>
            </w:pPr>
          </w:p>
        </w:tc>
        <w:tc>
          <w:tcPr>
            <w:tcW w:w="658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FIRST BUSEY CORPORATION</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58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NOTES TO CONSOLIDATED FINANCIAL STATEMENTS (Unaudited)</w:t>
            </w: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05"/>
        </w:trPr>
        <w:tc>
          <w:tcPr>
            <w:tcW w:w="7860" w:type="dxa"/>
            <w:vAlign w:val="bottom"/>
            <w:gridSpan w:val="3"/>
          </w:tcPr>
          <w:p>
            <w:pPr>
              <w:ind w:left="20"/>
              <w:spacing w:after="0"/>
              <w:rPr>
                <w:sz w:val="20"/>
                <w:szCs w:val="20"/>
                <w:color w:val="auto"/>
              </w:rPr>
            </w:pPr>
            <w:r>
              <w:rPr>
                <w:rFonts w:ascii="Arial" w:cs="Arial" w:eastAsia="Arial" w:hAnsi="Arial"/>
                <w:sz w:val="18"/>
                <w:szCs w:val="18"/>
                <w:color w:val="auto"/>
              </w:rPr>
              <w:t xml:space="preserve">Scheduled maturities of time deposits are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34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274"/>
              <w:spacing w:after="0"/>
              <w:rPr>
                <w:sz w:val="20"/>
                <w:szCs w:val="20"/>
                <w:color w:val="auto"/>
              </w:rPr>
            </w:pPr>
            <w:r>
              <w:rPr>
                <w:rFonts w:ascii="Arial" w:cs="Arial" w:eastAsia="Arial" w:hAnsi="Arial"/>
                <w:sz w:val="14"/>
                <w:szCs w:val="14"/>
                <w:b w:val="1"/>
                <w:bCs w:val="1"/>
                <w:color w:val="auto"/>
              </w:rPr>
              <w:t>As of</w:t>
            </w:r>
          </w:p>
        </w:tc>
      </w:tr>
      <w:tr>
        <w:trPr>
          <w:trHeight w:val="185"/>
        </w:trPr>
        <w:tc>
          <w:tcPr>
            <w:tcW w:w="2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65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June 30, 2022</w:t>
            </w:r>
          </w:p>
        </w:tc>
      </w:tr>
      <w:tr>
        <w:trPr>
          <w:trHeight w:val="196"/>
        </w:trPr>
        <w:tc>
          <w:tcPr>
            <w:tcW w:w="7860" w:type="dxa"/>
            <w:vAlign w:val="bottom"/>
            <w:gridSpan w:val="3"/>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Time deposits by schedule of maturities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20" w:type="dxa"/>
            <w:vAlign w:val="bottom"/>
          </w:tcPr>
          <w:p>
            <w:pPr>
              <w:spacing w:after="0"/>
              <w:rPr>
                <w:sz w:val="17"/>
                <w:szCs w:val="17"/>
                <w:color w:val="auto"/>
              </w:rPr>
            </w:pPr>
          </w:p>
        </w:tc>
        <w:tc>
          <w:tcPr>
            <w:tcW w:w="78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Remainder of 2022</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362,919</w:t>
            </w:r>
          </w:p>
        </w:tc>
      </w:tr>
      <w:tr>
        <w:trPr>
          <w:trHeight w:val="203"/>
        </w:trPr>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2023</w:t>
            </w:r>
          </w:p>
        </w:tc>
        <w:tc>
          <w:tcPr>
            <w:tcW w:w="6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315,505</w:t>
            </w:r>
          </w:p>
        </w:tc>
      </w:tr>
      <w:tr>
        <w:trPr>
          <w:trHeight w:val="203"/>
        </w:trPr>
        <w:tc>
          <w:tcPr>
            <w:tcW w:w="1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2024</w:t>
            </w: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89,743</w:t>
            </w:r>
          </w:p>
        </w:tc>
      </w:tr>
      <w:tr>
        <w:trPr>
          <w:trHeight w:val="203"/>
        </w:trPr>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2025</w:t>
            </w:r>
          </w:p>
        </w:tc>
        <w:tc>
          <w:tcPr>
            <w:tcW w:w="6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21,570</w:t>
            </w:r>
          </w:p>
        </w:tc>
      </w:tr>
      <w:tr>
        <w:trPr>
          <w:trHeight w:val="203"/>
        </w:trPr>
        <w:tc>
          <w:tcPr>
            <w:tcW w:w="12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2026</w:t>
            </w:r>
          </w:p>
        </w:tc>
        <w:tc>
          <w:tcPr>
            <w:tcW w:w="6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18,018</w:t>
            </w:r>
          </w:p>
        </w:tc>
      </w:tr>
      <w:tr>
        <w:trPr>
          <w:trHeight w:val="203"/>
        </w:trPr>
        <w:tc>
          <w:tcPr>
            <w:tcW w:w="128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2027</w:t>
            </w:r>
          </w:p>
        </w:tc>
        <w:tc>
          <w:tcPr>
            <w:tcW w:w="6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9,413</w:t>
            </w:r>
          </w:p>
        </w:tc>
      </w:tr>
      <w:tr>
        <w:trPr>
          <w:trHeight w:val="203"/>
        </w:trPr>
        <w:tc>
          <w:tcPr>
            <w:tcW w:w="20" w:type="dxa"/>
            <w:vAlign w:val="bottom"/>
            <w:tcBorders>
              <w:bottom w:val="single" w:sz="8" w:color="CCEEFF"/>
            </w:tcBorders>
          </w:tcPr>
          <w:p>
            <w:pPr>
              <w:spacing w:after="0"/>
              <w:rPr>
                <w:sz w:val="17"/>
                <w:szCs w:val="17"/>
                <w:color w:val="auto"/>
              </w:rPr>
            </w:pPr>
          </w:p>
        </w:tc>
        <w:tc>
          <w:tcPr>
            <w:tcW w:w="7840" w:type="dxa"/>
            <w:vAlign w:val="bottom"/>
            <w:tcBorders>
              <w:bottom w:val="single" w:sz="8" w:color="CCEEFF"/>
            </w:tcBorders>
            <w:gridSpan w:val="2"/>
          </w:tcPr>
          <w:p>
            <w:pPr>
              <w:ind w:left="200"/>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653</w:t>
            </w:r>
          </w:p>
        </w:tc>
      </w:tr>
      <w:tr>
        <w:trPr>
          <w:trHeight w:val="196"/>
        </w:trPr>
        <w:tc>
          <w:tcPr>
            <w:tcW w:w="7860" w:type="dxa"/>
            <w:vAlign w:val="bottom"/>
            <w:tcBorders>
              <w:bottom w:val="single" w:sz="8" w:color="CCEEFF"/>
            </w:tcBorders>
            <w:gridSpan w:val="3"/>
            <w:shd w:val="clear" w:color="auto" w:fill="CCEEFF"/>
          </w:tcPr>
          <w:p>
            <w:pPr>
              <w:ind w:left="20"/>
              <w:spacing w:after="0" w:line="196" w:lineRule="exact"/>
              <w:rPr>
                <w:sz w:val="20"/>
                <w:szCs w:val="20"/>
                <w:color w:val="auto"/>
              </w:rPr>
            </w:pPr>
            <w:r>
              <w:rPr>
                <w:rFonts w:ascii="Arial" w:cs="Arial" w:eastAsia="Arial" w:hAnsi="Arial"/>
                <w:sz w:val="18"/>
                <w:szCs w:val="18"/>
                <w:color w:val="auto"/>
              </w:rPr>
              <w:t>Time deposits</w:t>
            </w: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817,821</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Borrowings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Securities Sold Under Agreements to Repurchase</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 xml:space="preserve">Securities sold under agreements to repurchase, which are classified as secured borrowings, generally mature daily. Securities sold under agreements to repurchase are reflected at the amount of cash received in connection with the transaction. The underlying securities are held by the Company’s safekeeping agent. The Company may be required to provide additional collateral based on fluctuations in the fair value of the underlying securities. Securities sold under agreements to repurchase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4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80" w:type="dxa"/>
            <w:vAlign w:val="bottom"/>
          </w:tcPr>
          <w:p>
            <w:pPr>
              <w:spacing w:after="0"/>
              <w:rPr>
                <w:sz w:val="11"/>
                <w:szCs w:val="11"/>
                <w:color w:val="auto"/>
              </w:rPr>
            </w:pPr>
          </w:p>
        </w:tc>
      </w:tr>
      <w:tr>
        <w:trPr>
          <w:trHeight w:val="185"/>
        </w:trPr>
        <w:tc>
          <w:tcPr>
            <w:tcW w:w="6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6"/>
                <w:szCs w:val="16"/>
                <w:color w:val="auto"/>
              </w:rPr>
            </w:pPr>
          </w:p>
        </w:tc>
      </w:tr>
      <w:tr>
        <w:trPr>
          <w:trHeight w:val="196"/>
        </w:trPr>
        <w:tc>
          <w:tcPr>
            <w:tcW w:w="6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Securities sold under agreements to repurchase</w:t>
            </w: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228,383</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270,139</w:t>
            </w:r>
          </w:p>
        </w:tc>
        <w:tc>
          <w:tcPr>
            <w:tcW w:w="180" w:type="dxa"/>
            <w:vAlign w:val="bottom"/>
            <w:shd w:val="clear" w:color="auto" w:fill="CCEEFF"/>
          </w:tcPr>
          <w:p>
            <w:pPr>
              <w:spacing w:after="0"/>
              <w:rPr>
                <w:sz w:val="17"/>
                <w:szCs w:val="17"/>
                <w:color w:val="auto"/>
              </w:rPr>
            </w:pP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Weighted average rate for securities sold under agreements to repurchase</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0.55 %</w:t>
            </w:r>
          </w:p>
        </w:tc>
        <w:tc>
          <w:tcPr>
            <w:tcW w:w="10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0.08 %</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Term Loan</w:t>
      </w:r>
    </w:p>
    <w:p>
      <w:pPr>
        <w:spacing w:after="0" w:line="198"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May 28, 2021, the Company entered into a Second Amended and Restated Credit Agreement, pursuant to which the Company has access to (i) a $40.0 million revolving line of credit with a termination date of April 30, 2022, and (ii) a $60.0 million term loan with a maturity date of May 31, 2026. The loans had an annual interest rate of 1.75% plus the one-month LIBOR rate. On April 30, 2022, the agreement was amended, effecting an extension of the termination date for the revolving line of credit to April 30, 2023, and providing for the transition from a LIBOR-indexed interest rate to a SOFR-indexed interest rate. Under the terms of the amendment, the loans now have an annual interest rate of 1.80% plus the one-month forward-looking term rate based on SOFR.</w:t>
      </w:r>
    </w:p>
    <w:p>
      <w:pPr>
        <w:spacing w:after="0" w:line="17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Proceeds of the term loan were used to fund a part of the cash portion of the merger consideration related to the acquisition of CAC in the second quarter of 2021, and for general corporate purposes. As of June 30, 2022, there was no balance outstanding on the revolving credit facility and a total of $48.0 million outstanding on the term loan, of which $12.0 million was short-term and $36.0 million was long-term. The revolving credit facility incurs a non-usage fee based on any undrawn amounts. Quarterly payments on the term loan reduce the outstanding principal balance by $3.0 million each quarter.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00" w:right="1440" w:bottom="1440" w:gutter="0" w:footer="0" w:header="0"/>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Short-term Borrowings</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First Busey’s short-term borrowings include loans maturing within one year of the loan origination date, as well as the current portion of long-term debt that is due within 12 months. Short-term borrowings are summarized as follows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6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2021</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Short-term borrowings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188"/>
        </w:trPr>
        <w:tc>
          <w:tcPr>
            <w:tcW w:w="6580" w:type="dxa"/>
            <w:vAlign w:val="bottom"/>
          </w:tcPr>
          <w:p>
            <w:pPr>
              <w:ind w:left="220"/>
              <w:spacing w:after="0" w:line="189" w:lineRule="exact"/>
              <w:rPr>
                <w:sz w:val="20"/>
                <w:szCs w:val="20"/>
                <w:color w:val="auto"/>
              </w:rPr>
            </w:pPr>
            <w:r>
              <w:rPr>
                <w:rFonts w:ascii="Arial" w:cs="Arial" w:eastAsia="Arial" w:hAnsi="Arial"/>
                <w:sz w:val="18"/>
                <w:szCs w:val="18"/>
                <w:color w:val="auto"/>
              </w:rPr>
              <w:t>FHLB advances maturing in less than one year from date of origination, and the</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17"/>
        </w:trPr>
        <w:tc>
          <w:tcPr>
            <w:tcW w:w="6580" w:type="dxa"/>
            <w:vAlign w:val="bottom"/>
          </w:tcPr>
          <w:p>
            <w:pPr>
              <w:ind w:left="220"/>
              <w:spacing w:after="0"/>
              <w:rPr>
                <w:sz w:val="20"/>
                <w:szCs w:val="20"/>
                <w:color w:val="auto"/>
              </w:rPr>
            </w:pPr>
            <w:r>
              <w:rPr>
                <w:rFonts w:ascii="Arial" w:cs="Arial" w:eastAsia="Arial" w:hAnsi="Arial"/>
                <w:sz w:val="18"/>
                <w:szCs w:val="18"/>
                <w:color w:val="auto"/>
              </w:rPr>
              <w:t>current portion of long-term FHLB advances due within 12 months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4,396</w:t>
            </w:r>
          </w:p>
        </w:tc>
        <w:tc>
          <w:tcPr>
            <w:tcW w:w="36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5,678</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 Loan, current portion due within 12 months</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12,000</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Total short-term debt</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16,396</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17,678</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Federal funds purchased are short-term borrowings that generally mature between one and 90 days. The Company had no federal funds purchased as of June 30, 2022, or December 31, 2021.</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Long-term Debt</w:t>
      </w:r>
    </w:p>
    <w:p>
      <w:pPr>
        <w:spacing w:after="0" w:line="198" w:lineRule="exact"/>
        <w:rPr>
          <w:sz w:val="20"/>
          <w:szCs w:val="20"/>
          <w:color w:val="auto"/>
        </w:rPr>
      </w:pPr>
    </w:p>
    <w:p>
      <w:pPr>
        <w:jc w:val="both"/>
        <w:ind w:left="60" w:right="79"/>
        <w:spacing w:after="0" w:line="291" w:lineRule="auto"/>
        <w:rPr>
          <w:sz w:val="20"/>
          <w:szCs w:val="20"/>
          <w:color w:val="auto"/>
        </w:rPr>
      </w:pPr>
      <w:r>
        <w:rPr>
          <w:rFonts w:ascii="Arial" w:cs="Arial" w:eastAsia="Arial" w:hAnsi="Arial"/>
          <w:sz w:val="17"/>
          <w:szCs w:val="17"/>
          <w:color w:val="auto"/>
        </w:rPr>
        <w:t xml:space="preserve">First Busey’s long-term debt consists of loans maturing more than one year from the loan origination date, excluding the current portion that is due within 12 months. Long-term debt is summarized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4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79"/>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64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44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r>
      <w:tr>
        <w:trPr>
          <w:trHeight w:val="196"/>
        </w:trPr>
        <w:tc>
          <w:tcPr>
            <w:tcW w:w="64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Long-term debt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188"/>
        </w:trPr>
        <w:tc>
          <w:tcPr>
            <w:tcW w:w="6440" w:type="dxa"/>
            <w:vAlign w:val="bottom"/>
          </w:tcPr>
          <w:p>
            <w:pPr>
              <w:ind w:left="220"/>
              <w:spacing w:after="0" w:line="189" w:lineRule="exact"/>
              <w:rPr>
                <w:sz w:val="20"/>
                <w:szCs w:val="20"/>
                <w:color w:val="auto"/>
              </w:rPr>
            </w:pPr>
            <w:r>
              <w:rPr>
                <w:rFonts w:ascii="Arial" w:cs="Arial" w:eastAsia="Arial" w:hAnsi="Arial"/>
                <w:sz w:val="18"/>
                <w:szCs w:val="18"/>
                <w:color w:val="auto"/>
                <w:w w:val="94"/>
              </w:rPr>
              <w:t>Notes payable, FHLB, original maturity of 5 years, collateralized by FHLB deposits,</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17"/>
        </w:trPr>
        <w:tc>
          <w:tcPr>
            <w:tcW w:w="6440" w:type="dxa"/>
            <w:vAlign w:val="bottom"/>
          </w:tcPr>
          <w:p>
            <w:pPr>
              <w:ind w:left="220"/>
              <w:spacing w:after="0"/>
              <w:rPr>
                <w:sz w:val="20"/>
                <w:szCs w:val="20"/>
                <w:color w:val="auto"/>
              </w:rPr>
            </w:pPr>
            <w:r>
              <w:rPr>
                <w:rFonts w:ascii="Arial" w:cs="Arial" w:eastAsia="Arial" w:hAnsi="Arial"/>
                <w:sz w:val="18"/>
                <w:szCs w:val="18"/>
                <w:color w:val="auto"/>
              </w:rPr>
              <w:t>residential and commercial real estate loans and FHLB stock</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4,056</w:t>
            </w:r>
          </w:p>
        </w:tc>
      </w:tr>
      <w:tr>
        <w:trPr>
          <w:trHeight w:val="203"/>
        </w:trPr>
        <w:tc>
          <w:tcPr>
            <w:tcW w:w="6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36,000</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42,000</w:t>
            </w:r>
          </w:p>
        </w:tc>
      </w:tr>
      <w:tr>
        <w:trPr>
          <w:trHeight w:val="196"/>
        </w:trPr>
        <w:tc>
          <w:tcPr>
            <w:tcW w:w="6440" w:type="dxa"/>
            <w:vAlign w:val="bottom"/>
          </w:tcPr>
          <w:p>
            <w:pPr>
              <w:spacing w:after="0" w:line="196" w:lineRule="exact"/>
              <w:rPr>
                <w:sz w:val="20"/>
                <w:szCs w:val="20"/>
                <w:color w:val="auto"/>
              </w:rPr>
            </w:pPr>
            <w:r>
              <w:rPr>
                <w:rFonts w:ascii="Arial" w:cs="Arial" w:eastAsia="Arial" w:hAnsi="Arial"/>
                <w:sz w:val="18"/>
                <w:szCs w:val="18"/>
                <w:color w:val="auto"/>
              </w:rPr>
              <w:t>Total long-term debt</w:t>
            </w:r>
          </w:p>
        </w:tc>
        <w:tc>
          <w:tcPr>
            <w:tcW w:w="14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36,000</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46,056</w:t>
            </w:r>
          </w:p>
        </w:tc>
      </w:tr>
      <w:tr>
        <w:trPr>
          <w:trHeight w:val="20"/>
        </w:trPr>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As of December 31, 2021, funds borrowed from the FHLB, listed above, consisted of one variable-rate note maturing May 2023, with an interest rate of 3.04%. This note became due within 12 months during the second quarter of 2022, and the balance is now fully reflected in short-term borrowings.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Senior and Subordinated Notes</w:t>
      </w:r>
    </w:p>
    <w:p>
      <w:pPr>
        <w:spacing w:after="0" w:line="19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On May 25, 2017, the Company issued $40.0 million of 3.75% senior notes that matured and were redeemed on May 25, 2022. Additionally, on May 25, 2017, the Company issued $60.0 million of fixed-to-floating rate subordinated notes that mature on May 25, 2027. The subordinated notes bore interest at an annual rate of 4.75% for the first five years after issuance and thereafter bear interest at a floating rate equal to the three-month LIBOR plus a spread of 2.919%, as calculated on each applicable determination date. The subordinated notes were payable semi-annually on each May 25 and November 25, commencing on November 25, 2017, during the five-year fixed-term, and thereafter are payable on February 25, May 25, August 25, and November 25 of each year, commencing on August 25, 2022. The subordinated notes have an optional redemption in whole or in part on any interest payment date on or after May 25, 2022, and the Company anticipates redeeming $60.0 million during the third quarter of 2022. The full balance of the subordinated notes qualified as Tier 2 Capital for First Busey for the first five years, with a phase out beginning in the second quarter of 2022. The senior notes were, and the subordinated notes are, unsecured obligations of the Company.</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June 1, 2020, the Company issued $125.0 million of fixed-to-floating rate subordinated notes that mature on June 1, 2030. The subordinated notes, which qualify as Tier 2 capital for First Busey, bear interest at an annual rate of 5.25% for the first five years after issuance and thereafter bear interest at a floating rate equal to a three-month benchmark rate plus a spread of 5.11%, as calculated on each applicable determination date. The subordinated notes are payable semi-annually on each June 1 and December 1 during the five-year fixed-term, and thereafter on March 1, June 1, September 1, and December 1 of each year, commencing on September 1, 2025. The subordinated notes have an optional redemption in whole or in part on any interest payment date on or after June 1, 2025. The subordinated notes are unsecured obligations of the Company.</w:t>
      </w:r>
    </w:p>
    <w:p>
      <w:pPr>
        <w:spacing w:after="0" w:line="180"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On June 2, 2022, the Company issued $100.0 million aggregate principal amount of 5.000% fixed-to-floating rate subordinated notes due 2032, which qualify as Tier 2 Capital for regulatory purposes. The price to the public for the subordinated notes was 100% of the principal amount of the subordinated notes. Interest on the subordinated notes will accrue at a rate equal to (i) 5.000% per annum from the original issue date to, but excluding, June 15, 2027, payable semiannually in arrears, and (ii) a floating rate per annum equal to a benchmark rate, which is expected to be Three-Month Term SOFR (as defined in the subordinated notes), plus a spread of 252 basis points from and including, June 15, 2027, payable quarterly in arrears. The subordinated notes have an optional redemption in whole or in part on any interest payment date on or after June 15, 2027.</w:t>
      </w:r>
    </w:p>
    <w:p>
      <w:pPr>
        <w:spacing w:after="0" w:line="180"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Unamortized debt issuance costs related to senior notes and subordinated notes are presented in the following table </w:t>
      </w:r>
      <w:r>
        <w:rPr>
          <w:rFonts w:ascii="Arial" w:cs="Arial" w:eastAsia="Arial" w:hAnsi="Arial"/>
          <w:sz w:val="18"/>
          <w:szCs w:val="18"/>
          <w:i w:val="1"/>
          <w:iCs w:val="1"/>
          <w:color w:val="auto"/>
        </w:rPr>
        <w:t>(dollars</w:t>
      </w:r>
      <w:r>
        <w:rPr>
          <w:rFonts w:ascii="Arial" w:cs="Arial" w:eastAsia="Arial" w:hAnsi="Arial"/>
          <w:sz w:val="18"/>
          <w:szCs w:val="18"/>
          <w:color w:val="auto"/>
        </w:rPr>
        <w:t xml:space="preserv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60" w:type="dxa"/>
            <w:vAlign w:val="bottom"/>
            <w:tcBorders>
              <w:bottom w:val="single" w:sz="8" w:color="auto"/>
            </w:tcBorders>
          </w:tcPr>
          <w:p>
            <w:pPr>
              <w:spacing w:after="0"/>
              <w:rPr>
                <w:sz w:val="16"/>
                <w:szCs w:val="16"/>
                <w:color w:val="auto"/>
              </w:rPr>
            </w:pPr>
          </w:p>
        </w:tc>
      </w:tr>
      <w:tr>
        <w:trPr>
          <w:trHeight w:val="133"/>
        </w:trPr>
        <w:tc>
          <w:tcPr>
            <w:tcW w:w="6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35"/>
              <w:spacing w:after="0" w:line="13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58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r>
      <w:tr>
        <w:trPr>
          <w:trHeight w:val="196"/>
        </w:trPr>
        <w:tc>
          <w:tcPr>
            <w:tcW w:w="658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Unamortized debt issuance costs</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Senior notes issued in 2017</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56</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Subordinated notes issued in 2017</w:t>
            </w: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338</w:t>
            </w: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549</w:t>
            </w:r>
          </w:p>
        </w:tc>
      </w:tr>
      <w:tr>
        <w:trPr>
          <w:trHeight w:val="203"/>
        </w:trPr>
        <w:tc>
          <w:tcPr>
            <w:tcW w:w="6580" w:type="dxa"/>
            <w:vAlign w:val="bottom"/>
          </w:tcPr>
          <w:p>
            <w:pPr>
              <w:ind w:left="220"/>
              <w:spacing w:after="0" w:line="202" w:lineRule="exact"/>
              <w:rPr>
                <w:sz w:val="20"/>
                <w:szCs w:val="20"/>
                <w:color w:val="auto"/>
              </w:rPr>
            </w:pPr>
            <w:r>
              <w:rPr>
                <w:rFonts w:ascii="Arial" w:cs="Arial" w:eastAsia="Arial" w:hAnsi="Arial"/>
                <w:sz w:val="18"/>
                <w:szCs w:val="18"/>
                <w:color w:val="auto"/>
              </w:rPr>
              <w:t>Subordinated notes issued in 2020</w:t>
            </w:r>
          </w:p>
        </w:tc>
        <w:tc>
          <w:tcPr>
            <w:tcW w:w="18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1,452</w:t>
            </w: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1,678</w:t>
            </w:r>
          </w:p>
        </w:tc>
      </w:tr>
      <w:tr>
        <w:trPr>
          <w:trHeight w:val="203"/>
        </w:trPr>
        <w:tc>
          <w:tcPr>
            <w:tcW w:w="65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Subordinated notes issued in 2022</w:t>
            </w: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1,906</w:t>
            </w:r>
          </w:p>
        </w:tc>
        <w:tc>
          <w:tcPr>
            <w:tcW w:w="60" w:type="dxa"/>
            <w:vAlign w:val="bottom"/>
            <w:tcBorders>
              <w:bottom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196"/>
        </w:trPr>
        <w:tc>
          <w:tcPr>
            <w:tcW w:w="6580" w:type="dxa"/>
            <w:vAlign w:val="bottom"/>
          </w:tcPr>
          <w:p>
            <w:pPr>
              <w:ind w:left="20"/>
              <w:spacing w:after="0" w:line="196" w:lineRule="exact"/>
              <w:rPr>
                <w:sz w:val="20"/>
                <w:szCs w:val="20"/>
                <w:color w:val="auto"/>
              </w:rPr>
            </w:pPr>
            <w:r>
              <w:rPr>
                <w:rFonts w:ascii="Arial" w:cs="Arial" w:eastAsia="Arial" w:hAnsi="Arial"/>
                <w:sz w:val="18"/>
                <w:szCs w:val="18"/>
                <w:color w:val="auto"/>
              </w:rPr>
              <w:t>Total unamortized debt issuance costs</w:t>
            </w: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3,696</w:t>
            </w:r>
          </w:p>
        </w:tc>
        <w:tc>
          <w:tcPr>
            <w:tcW w:w="6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2,283</w:t>
            </w:r>
          </w:p>
        </w:tc>
      </w:tr>
      <w:tr>
        <w:trPr>
          <w:trHeight w:val="20"/>
        </w:trPr>
        <w:tc>
          <w:tcPr>
            <w:tcW w:w="6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Regulatory Capital</w:t>
      </w:r>
    </w:p>
    <w:p>
      <w:pPr>
        <w:spacing w:after="0" w:line="202"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Company and its subsidiary bank are subject to various regulatory capital requirements administered by federal banking agencies. Failure to meet minimum capital requirements can initiate certain mandatory—and possibly additional discretionary—actions by regulators that, if undertaken, could have a direct material effect on the Company's consolidated financial statements. Capital amounts and classification also are subject to qualitative judgments by regulators about components, risk weightings, and other factors.</w:t>
      </w:r>
    </w:p>
    <w:p>
      <w:pPr>
        <w:spacing w:after="0" w:line="17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Banking regulations identify five capital categories for insured depository institutions: well capitalized, adequately capitalized, undercapitalized, significantly undercapitalized, and critically undercapitalized. As of June 30, 2022, and December 31, 2021, all capital ratios of the Company and its subsidiary bank exceeded well capitalized levels under the applicable regulatory capital adequacy guidelines. Management believes that no events or changes have occurred subsequent to June 30, 2022, that would change this designation.</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Current Expected Credit Loss Model</w:t>
      </w:r>
    </w:p>
    <w:p>
      <w:pPr>
        <w:spacing w:after="0" w:line="19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6"/>
          <w:szCs w:val="16"/>
          <w:color w:val="auto"/>
        </w:rPr>
        <w:t>On March 27, 2020, the FDIC and other federal banking agencies published an interim final rule that provides those banking organizations adopting CECL during 2020 with the option to delay for two years the estimated impact of CECL on regulatory capital and to phase in the aggregate impact of the deferral on regulatory capital over a subsequent three-year period. On August 26, 2020, the CECL final rule was finalized and was substantially similar to the interim final rule. Under this final rule, because the Company has elected to use the deferral option, the regulatory capital impact of our transition adjustments recorded on January 1, 2020, from the adoption of CECL was deferred for two years, until January 1, 2022. In addition, 25 percent of the ongoing impact of CECL on our ACL, retained earnings, and average total consolidated assets from January 1, 2020, through the end of the two-year deferral period, each as reported for regulatory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capital purposes, has been added to the deferred transition amounts (“adjusted transition amounts”) and deferred for the two-year period. At the conclusion of the two-year period the adjusted transition amounts began to be phased-in for regulatory capital purposes at a rate of 25 percent per year, with the phased-in amounts included in regulatory capital at the beginning of each year.</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Changes in Capital Relating to Subordinated Debt</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On May 25, 2017, the Company issued $60.0 million of fixed-to-floating rate subordinated notes that mature on May 25, 2027. The full balance of the subordinated note qualified as Tier 2 Capital for First Busey for the first five years, with a phase out beginning in the second quarter of 2022. The subordinated notes have an optional redemption in whole or in part on any interest payment date on or after May 25, 2022, and the Company anticipates redeeming them in full during the third quarter of 2022.</w:t>
      </w:r>
    </w:p>
    <w:p>
      <w:pPr>
        <w:spacing w:after="0" w:line="176"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On June 2, 2022, the Company issued $100.0 million aggregate principal amount of 5.000% fixed-to-floating rate subordinated notes due 2032, which qualify as Tier 2 Capital for regulatory purposes.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Amounts and Ratios</w:t>
      </w:r>
    </w:p>
    <w:p>
      <w:pPr>
        <w:spacing w:after="0" w:line="19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The following tables summarize regulatory capital requirements applicable to the Company and its subsidiary bank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center"/>
              <w:ind w:right="360"/>
              <w:spacing w:after="0"/>
              <w:rPr>
                <w:sz w:val="20"/>
                <w:szCs w:val="20"/>
                <w:color w:val="auto"/>
              </w:rPr>
            </w:pPr>
            <w:r>
              <w:rPr>
                <w:rFonts w:ascii="Arial" w:cs="Arial" w:eastAsia="Arial" w:hAnsi="Arial"/>
                <w:sz w:val="14"/>
                <w:szCs w:val="14"/>
                <w:b w:val="1"/>
                <w:bCs w:val="1"/>
                <w:color w:val="auto"/>
                <w:w w:val="90"/>
              </w:rPr>
              <w:t>As of June 30, 2022</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35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ind w:left="216"/>
              <w:spacing w:after="0" w:line="133" w:lineRule="exact"/>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2"/>
        </w:trPr>
        <w:tc>
          <w:tcPr>
            <w:tcW w:w="35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jc w:val="center"/>
              <w:ind w:left="256"/>
              <w:spacing w:after="0"/>
              <w:rPr>
                <w:sz w:val="20"/>
                <w:szCs w:val="20"/>
                <w:color w:val="auto"/>
              </w:rPr>
            </w:pPr>
            <w:r>
              <w:rPr>
                <w:rFonts w:ascii="Arial" w:cs="Arial" w:eastAsia="Arial" w:hAnsi="Arial"/>
                <w:sz w:val="14"/>
                <w:szCs w:val="14"/>
                <w:b w:val="1"/>
                <w:bCs w:val="1"/>
                <w:color w:val="auto"/>
                <w:w w:val="97"/>
              </w:rPr>
              <w:t>Minimum</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2"/>
              </w:rPr>
              <w:t>To Be Well</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5"/>
        </w:trPr>
        <w:tc>
          <w:tcPr>
            <w:tcW w:w="3500" w:type="dxa"/>
            <w:vAlign w:val="bottom"/>
          </w:tcPr>
          <w:p>
            <w:pPr>
              <w:spacing w:after="0"/>
              <w:rPr>
                <w:sz w:val="16"/>
                <w:szCs w:val="16"/>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93"/>
              </w:rPr>
              <w:t>Capital Requirement</w:t>
            </w:r>
          </w:p>
        </w:tc>
        <w:tc>
          <w:tcPr>
            <w:tcW w:w="160" w:type="dxa"/>
            <w:vAlign w:val="bottom"/>
          </w:tcPr>
          <w:p>
            <w:pPr>
              <w:spacing w:after="0"/>
              <w:rPr>
                <w:sz w:val="16"/>
                <w:szCs w:val="16"/>
                <w:color w:val="auto"/>
              </w:rPr>
            </w:pPr>
          </w:p>
        </w:tc>
        <w:tc>
          <w:tcPr>
            <w:tcW w:w="160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Capitalized</w:t>
            </w:r>
          </w:p>
        </w:tc>
      </w:tr>
      <w:tr>
        <w:trPr>
          <w:trHeight w:val="156"/>
        </w:trPr>
        <w:tc>
          <w:tcPr>
            <w:tcW w:w="3500" w:type="dxa"/>
            <w:vAlign w:val="bottom"/>
          </w:tcPr>
          <w:p>
            <w:pPr>
              <w:spacing w:after="0"/>
              <w:rPr>
                <w:sz w:val="13"/>
                <w:szCs w:val="13"/>
                <w:color w:val="auto"/>
              </w:rPr>
            </w:pPr>
          </w:p>
        </w:tc>
        <w:tc>
          <w:tcPr>
            <w:tcW w:w="1080" w:type="dxa"/>
            <w:vAlign w:val="bottom"/>
            <w:tcBorders>
              <w:top w:val="single" w:sz="8" w:color="auto"/>
            </w:tcBorders>
            <w:gridSpan w:val="2"/>
          </w:tcPr>
          <w:p>
            <w:pPr>
              <w:jc w:val="right"/>
              <w:ind w:right="36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ind w:left="20"/>
              <w:spacing w:after="0" w:line="155" w:lineRule="exact"/>
              <w:rPr>
                <w:sz w:val="20"/>
                <w:szCs w:val="20"/>
                <w:color w:val="auto"/>
              </w:rPr>
            </w:pPr>
            <w:r>
              <w:rPr>
                <w:rFonts w:ascii="Arial" w:cs="Arial" w:eastAsia="Arial" w:hAnsi="Arial"/>
                <w:sz w:val="14"/>
                <w:szCs w:val="14"/>
                <w:b w:val="1"/>
                <w:bCs w:val="1"/>
                <w:color w:val="auto"/>
              </w:rPr>
              <w:t>Ratio</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7"/>
              </w:rPr>
              <w:t>Ratio</w:t>
            </w:r>
          </w:p>
        </w:tc>
        <w:tc>
          <w:tcPr>
            <w:tcW w:w="180" w:type="dxa"/>
            <w:vAlign w:val="bottom"/>
            <w:gridSpan w:val="2"/>
          </w:tcPr>
          <w:p>
            <w:pPr>
              <w:spacing w:after="0"/>
              <w:rPr>
                <w:sz w:val="13"/>
                <w:szCs w:val="13"/>
                <w:color w:val="auto"/>
              </w:rPr>
            </w:pPr>
          </w:p>
        </w:tc>
      </w:tr>
      <w:tr>
        <w:trPr>
          <w:trHeight w:val="164"/>
        </w:trPr>
        <w:tc>
          <w:tcPr>
            <w:tcW w:w="35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Common Equity Tier 1 Capital to</w:t>
            </w:r>
          </w:p>
        </w:tc>
        <w:tc>
          <w:tcPr>
            <w:tcW w:w="9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22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Risk Weighted Assets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$ 1,031,356</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3"/>
              </w:rPr>
              <w:t>11.77 %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394,196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569,394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c>
          <w:tcPr>
            <w:tcW w:w="20" w:type="dxa"/>
            <w:vAlign w:val="bottom"/>
          </w:tcPr>
          <w:p>
            <w:pPr>
              <w:spacing w:after="0"/>
              <w:rPr>
                <w:sz w:val="17"/>
                <w:szCs w:val="17"/>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$ 1,265,418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14.50 %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392,637</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567,142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c>
          <w:tcPr>
            <w:tcW w:w="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Risk Weighted Assets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$ 1,105,356</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3"/>
              </w:rPr>
              <w:t>12.62 %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525,594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700,792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c>
          <w:tcPr>
            <w:tcW w:w="20" w:type="dxa"/>
            <w:vAlign w:val="bottom"/>
          </w:tcPr>
          <w:p>
            <w:pPr>
              <w:spacing w:after="0"/>
              <w:rPr>
                <w:sz w:val="17"/>
                <w:szCs w:val="17"/>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$ 1,265,418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14.50 %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523,516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698,021</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c>
          <w:tcPr>
            <w:tcW w:w="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Total Capital to Risk Weighted Assets</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$ 1,452,813</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3"/>
              </w:rPr>
              <w:t>16.58 %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700,792</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875,990</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7"/>
                <w:szCs w:val="17"/>
                <w:color w:val="auto"/>
              </w:rPr>
            </w:pPr>
          </w:p>
        </w:tc>
      </w:tr>
      <w:tr>
        <w:trPr>
          <w:trHeight w:val="202"/>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$ 1,339,875</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15.36 %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698,021</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872,526</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c>
          <w:tcPr>
            <w:tcW w:w="20" w:type="dxa"/>
            <w:vAlign w:val="bottom"/>
          </w:tcPr>
          <w:p>
            <w:pPr>
              <w:spacing w:after="0"/>
              <w:rPr>
                <w:sz w:val="17"/>
                <w:szCs w:val="17"/>
                <w:color w:val="auto"/>
              </w:rPr>
            </w:pPr>
          </w:p>
        </w:tc>
      </w:tr>
      <w:tr>
        <w:trPr>
          <w:trHeight w:val="203"/>
        </w:trPr>
        <w:tc>
          <w:tcPr>
            <w:tcW w:w="35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84"/>
        </w:trPr>
        <w:tc>
          <w:tcPr>
            <w:tcW w:w="350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Leverage Ratio of Tier 1 Capital to</w:t>
            </w: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2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Assets</w:t>
            </w:r>
          </w:p>
        </w:tc>
        <w:tc>
          <w:tcPr>
            <w:tcW w:w="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0"/>
              </w:rPr>
              <w:t>$ 1,105,356</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9.03 %</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489,513</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tcPr>
          <w:p>
            <w:pPr>
              <w:spacing w:after="0"/>
              <w:rPr>
                <w:sz w:val="17"/>
                <w:szCs w:val="17"/>
                <w:color w:val="auto"/>
              </w:rPr>
            </w:pPr>
          </w:p>
        </w:tc>
        <w:tc>
          <w:tcPr>
            <w:tcW w:w="9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N/A</w:t>
            </w:r>
          </w:p>
        </w:tc>
        <w:tc>
          <w:tcPr>
            <w:tcW w:w="20" w:type="dxa"/>
            <w:vAlign w:val="bottom"/>
          </w:tcPr>
          <w:p>
            <w:pPr>
              <w:spacing w:after="0"/>
              <w:rPr>
                <w:sz w:val="17"/>
                <w:szCs w:val="17"/>
                <w:color w:val="auto"/>
              </w:rPr>
            </w:pP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$ 1,265,418</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10.37 %</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488,139</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610,174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5.00 %</w:t>
            </w:r>
          </w:p>
        </w:tc>
        <w:tc>
          <w:tcPr>
            <w:tcW w:w="20" w:type="dxa"/>
            <w:vAlign w:val="bottom"/>
          </w:tcPr>
          <w:p>
            <w:pPr>
              <w:spacing w:after="0"/>
              <w:rPr>
                <w:sz w:val="17"/>
                <w:szCs w:val="17"/>
                <w:color w:val="auto"/>
              </w:rPr>
            </w:pPr>
          </w:p>
        </w:tc>
      </w:tr>
      <w:tr>
        <w:trPr>
          <w:trHeight w:val="851"/>
        </w:trPr>
        <w:tc>
          <w:tcPr>
            <w:tcW w:w="350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3"/>
        </w:trPr>
        <w:tc>
          <w:tcPr>
            <w:tcW w:w="35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3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gridSpan w:val="3"/>
          </w:tcPr>
          <w:p>
            <w:pPr>
              <w:jc w:val="center"/>
              <w:ind w:left="216"/>
              <w:spacing w:after="0" w:line="133" w:lineRule="exact"/>
              <w:rPr>
                <w:sz w:val="20"/>
                <w:szCs w:val="20"/>
                <w:color w:val="auto"/>
              </w:rPr>
            </w:pPr>
            <w:r>
              <w:rPr>
                <w:rFonts w:ascii="Arial" w:cs="Arial" w:eastAsia="Arial" w:hAnsi="Arial"/>
                <w:sz w:val="14"/>
                <w:szCs w:val="14"/>
                <w:b w:val="1"/>
                <w:bCs w:val="1"/>
                <w:color w:val="auto"/>
              </w:rPr>
              <w:t>Minimum</w:t>
            </w:r>
          </w:p>
        </w:tc>
        <w:tc>
          <w:tcPr>
            <w:tcW w:w="46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62"/>
        </w:trPr>
        <w:tc>
          <w:tcPr>
            <w:tcW w:w="3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3"/>
          </w:tcPr>
          <w:p>
            <w:pPr>
              <w:ind w:left="360"/>
              <w:spacing w:after="0"/>
              <w:rPr>
                <w:sz w:val="20"/>
                <w:szCs w:val="20"/>
                <w:color w:val="auto"/>
              </w:rPr>
            </w:pPr>
            <w:r>
              <w:rPr>
                <w:rFonts w:ascii="Arial" w:cs="Arial" w:eastAsia="Arial" w:hAnsi="Arial"/>
                <w:sz w:val="14"/>
                <w:szCs w:val="14"/>
                <w:b w:val="1"/>
                <w:bCs w:val="1"/>
                <w:color w:val="auto"/>
                <w:w w:val="97"/>
              </w:rPr>
              <w:t>Minimum</w:t>
            </w: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gridSpan w:val="3"/>
          </w:tcPr>
          <w:p>
            <w:pPr>
              <w:jc w:val="center"/>
              <w:ind w:left="216"/>
              <w:spacing w:after="0"/>
              <w:rPr>
                <w:sz w:val="20"/>
                <w:szCs w:val="20"/>
                <w:color w:val="auto"/>
              </w:rPr>
            </w:pPr>
            <w:r>
              <w:rPr>
                <w:rFonts w:ascii="Arial" w:cs="Arial" w:eastAsia="Arial" w:hAnsi="Arial"/>
                <w:sz w:val="14"/>
                <w:szCs w:val="14"/>
                <w:b w:val="1"/>
                <w:bCs w:val="1"/>
                <w:color w:val="auto"/>
                <w:w w:val="92"/>
              </w:rPr>
              <w:t>To Be Well</w:t>
            </w: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85"/>
        </w:trPr>
        <w:tc>
          <w:tcPr>
            <w:tcW w:w="3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ind w:left="460"/>
              <w:spacing w:after="0"/>
              <w:rPr>
                <w:sz w:val="20"/>
                <w:szCs w:val="20"/>
                <w:color w:val="auto"/>
              </w:rPr>
            </w:pPr>
            <w:r>
              <w:rPr>
                <w:rFonts w:ascii="Arial" w:cs="Arial" w:eastAsia="Arial" w:hAnsi="Arial"/>
                <w:sz w:val="14"/>
                <w:szCs w:val="14"/>
                <w:b w:val="1"/>
                <w:bCs w:val="1"/>
                <w:color w:val="auto"/>
              </w:rPr>
              <w:t>Actual</w:t>
            </w: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3"/>
              </w:rPr>
              <w:t>Capital Requirement</w:t>
            </w:r>
          </w:p>
        </w:tc>
        <w:tc>
          <w:tcPr>
            <w:tcW w:w="160" w:type="dxa"/>
            <w:vAlign w:val="bottom"/>
          </w:tcPr>
          <w:p>
            <w:pPr>
              <w:spacing w:after="0"/>
              <w:rPr>
                <w:sz w:val="16"/>
                <w:szCs w:val="16"/>
                <w:color w:val="auto"/>
              </w:rPr>
            </w:pPr>
          </w:p>
        </w:tc>
        <w:tc>
          <w:tcPr>
            <w:tcW w:w="158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4"/>
              </w:rPr>
              <w:t>Capitalized</w:t>
            </w:r>
          </w:p>
        </w:tc>
      </w:tr>
      <w:tr>
        <w:trPr>
          <w:trHeight w:val="155"/>
        </w:trPr>
        <w:tc>
          <w:tcPr>
            <w:tcW w:w="35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500" w:type="dxa"/>
            <w:vAlign w:val="bottom"/>
            <w:tcBorders>
              <w:top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Ratio</w:t>
            </w:r>
          </w:p>
        </w:tc>
        <w:tc>
          <w:tcPr>
            <w:tcW w:w="2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rPr>
              <w:t>Amount</w:t>
            </w:r>
          </w:p>
        </w:tc>
        <w:tc>
          <w:tcPr>
            <w:tcW w:w="4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7"/>
              </w:rPr>
              <w:t>Ratio</w:t>
            </w:r>
          </w:p>
        </w:tc>
        <w:tc>
          <w:tcPr>
            <w:tcW w:w="3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460" w:type="dxa"/>
            <w:vAlign w:val="bottom"/>
            <w:tcBorders>
              <w:top w:val="single" w:sz="8" w:color="auto"/>
            </w:tcBorders>
          </w:tcPr>
          <w:p>
            <w:pPr>
              <w:jc w:val="right"/>
              <w:ind w:right="12"/>
              <w:spacing w:after="0" w:line="155" w:lineRule="exact"/>
              <w:rPr>
                <w:sz w:val="20"/>
                <w:szCs w:val="20"/>
                <w:color w:val="auto"/>
              </w:rPr>
            </w:pPr>
            <w:r>
              <w:rPr>
                <w:rFonts w:ascii="Arial" w:cs="Arial" w:eastAsia="Arial" w:hAnsi="Arial"/>
                <w:sz w:val="14"/>
                <w:szCs w:val="14"/>
                <w:b w:val="1"/>
                <w:bCs w:val="1"/>
                <w:color w:val="auto"/>
                <w:w w:val="97"/>
              </w:rPr>
              <w:t>Ratio</w:t>
            </w:r>
          </w:p>
        </w:tc>
        <w:tc>
          <w:tcPr>
            <w:tcW w:w="160" w:type="dxa"/>
            <w:vAlign w:val="bottom"/>
          </w:tcPr>
          <w:p>
            <w:pPr>
              <w:spacing w:after="0"/>
              <w:rPr>
                <w:sz w:val="13"/>
                <w:szCs w:val="13"/>
                <w:color w:val="auto"/>
              </w:rPr>
            </w:pPr>
          </w:p>
        </w:tc>
      </w:tr>
      <w:tr>
        <w:trPr>
          <w:trHeight w:val="164"/>
        </w:trPr>
        <w:tc>
          <w:tcPr>
            <w:tcW w:w="3500" w:type="dxa"/>
            <w:vAlign w:val="bottom"/>
            <w:tcBorders>
              <w:top w:val="single" w:sz="8" w:color="CCEEFF"/>
            </w:tcBorders>
            <w:shd w:val="clear" w:color="auto" w:fill="CCEEFF"/>
          </w:tcPr>
          <w:p>
            <w:pPr>
              <w:ind w:left="20"/>
              <w:spacing w:after="0" w:line="164" w:lineRule="exact"/>
              <w:rPr>
                <w:sz w:val="20"/>
                <w:szCs w:val="20"/>
                <w:color w:val="auto"/>
              </w:rPr>
            </w:pPr>
            <w:r>
              <w:rPr>
                <w:rFonts w:ascii="Arial" w:cs="Arial" w:eastAsia="Arial" w:hAnsi="Arial"/>
                <w:sz w:val="18"/>
                <w:szCs w:val="18"/>
                <w:b w:val="1"/>
                <w:bCs w:val="1"/>
                <w:color w:val="auto"/>
              </w:rPr>
              <w:t>Common Equity Tier 1 Capital to</w:t>
            </w:r>
          </w:p>
        </w:tc>
        <w:tc>
          <w:tcPr>
            <w:tcW w:w="1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r>
      <w:tr>
        <w:trPr>
          <w:trHeight w:val="22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Risk Weighted Assets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995,874</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3"/>
              </w:rPr>
              <w:t>11.85 %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378,334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546,482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1,241,303</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14.81 %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377,096</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4.50 %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544,695</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6.50 %</w:t>
            </w: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Tier 1 Capital to Risk Weighted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1,069,874</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3"/>
              </w:rPr>
              <w:t>12.73 %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504,445</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672,594</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1,241,303</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14.81 %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502,795</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6.00 %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670,394</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8.00 %</w:t>
            </w: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35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Total Capital to Risk Weighted Assets</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1,320,187</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3"/>
              </w:rPr>
              <w:t>15.70 %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672,594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840,742</w:t>
            </w: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1,306,616</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3"/>
              </w:rPr>
              <w:t>15.59 %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670,394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8.00 %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837,992</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10.00 %</w:t>
            </w:r>
          </w:p>
        </w:tc>
      </w:tr>
      <w:tr>
        <w:trPr>
          <w:trHeight w:val="203"/>
        </w:trPr>
        <w:tc>
          <w:tcPr>
            <w:tcW w:w="3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84"/>
        </w:trPr>
        <w:tc>
          <w:tcPr>
            <w:tcW w:w="3500" w:type="dxa"/>
            <w:vAlign w:val="bottom"/>
            <w:shd w:val="clear" w:color="auto" w:fill="CCEEFF"/>
          </w:tcPr>
          <w:p>
            <w:pPr>
              <w:ind w:left="20"/>
              <w:spacing w:after="0" w:line="184" w:lineRule="exact"/>
              <w:rPr>
                <w:sz w:val="20"/>
                <w:szCs w:val="20"/>
                <w:color w:val="auto"/>
              </w:rPr>
            </w:pPr>
            <w:r>
              <w:rPr>
                <w:rFonts w:ascii="Arial" w:cs="Arial" w:eastAsia="Arial" w:hAnsi="Arial"/>
                <w:sz w:val="18"/>
                <w:szCs w:val="18"/>
                <w:b w:val="1"/>
                <w:bCs w:val="1"/>
                <w:color w:val="auto"/>
              </w:rPr>
              <w:t>Leverage Ratio of Tier 1 Capital to</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21"/>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Assets</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3"/>
        </w:trPr>
        <w:tc>
          <w:tcPr>
            <w:tcW w:w="3500" w:type="dxa"/>
            <w:vAlign w:val="bottom"/>
          </w:tcPr>
          <w:p>
            <w:pPr>
              <w:ind w:left="220"/>
              <w:spacing w:after="0" w:line="202" w:lineRule="exact"/>
              <w:rPr>
                <w:sz w:val="20"/>
                <w:szCs w:val="20"/>
                <w:color w:val="auto"/>
              </w:rPr>
            </w:pPr>
            <w:r>
              <w:rPr>
                <w:rFonts w:ascii="Arial" w:cs="Arial" w:eastAsia="Arial" w:hAnsi="Arial"/>
                <w:sz w:val="18"/>
                <w:szCs w:val="18"/>
                <w:color w:val="auto"/>
              </w:rPr>
              <w:t>Consolidated</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w w:val="92"/>
              </w:rPr>
              <w:t>1,069,874</w:t>
            </w:r>
          </w:p>
        </w:tc>
        <w:tc>
          <w:tcPr>
            <w:tcW w:w="160" w:type="dxa"/>
            <w:vAlign w:val="bottom"/>
          </w:tcPr>
          <w:p>
            <w:pPr>
              <w:spacing w:after="0"/>
              <w:rPr>
                <w:sz w:val="17"/>
                <w:szCs w:val="17"/>
                <w:color w:val="auto"/>
              </w:rPr>
            </w:pPr>
          </w:p>
        </w:tc>
        <w:tc>
          <w:tcPr>
            <w:tcW w:w="78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8.52 %</w:t>
            </w:r>
          </w:p>
        </w:tc>
        <w:tc>
          <w:tcPr>
            <w:tcW w:w="100" w:type="dxa"/>
            <w:vAlign w:val="bottom"/>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502,336</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tcPr>
          <w:p>
            <w:pPr>
              <w:spacing w:after="0"/>
              <w:rPr>
                <w:sz w:val="17"/>
                <w:szCs w:val="17"/>
                <w:color w:val="auto"/>
              </w:rPr>
            </w:pPr>
          </w:p>
        </w:tc>
        <w:tc>
          <w:tcPr>
            <w:tcW w:w="960" w:type="dxa"/>
            <w:vAlign w:val="bottom"/>
            <w:gridSpan w:val="3"/>
          </w:tcPr>
          <w:p>
            <w:pPr>
              <w:jc w:val="right"/>
              <w:ind w:right="260"/>
              <w:spacing w:after="0" w:line="202" w:lineRule="exact"/>
              <w:rPr>
                <w:sz w:val="20"/>
                <w:szCs w:val="20"/>
                <w:color w:val="auto"/>
              </w:rPr>
            </w:pPr>
            <w:r>
              <w:rPr>
                <w:rFonts w:ascii="Arial" w:cs="Arial" w:eastAsia="Arial" w:hAnsi="Arial"/>
                <w:sz w:val="18"/>
                <w:szCs w:val="18"/>
                <w:color w:val="auto"/>
              </w:rPr>
              <w:t>N/A</w:t>
            </w:r>
          </w:p>
        </w:tc>
        <w:tc>
          <w:tcPr>
            <w:tcW w:w="6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N/A</w:t>
            </w:r>
          </w:p>
        </w:tc>
      </w:tr>
      <w:tr>
        <w:trPr>
          <w:trHeight w:val="203"/>
        </w:trPr>
        <w:tc>
          <w:tcPr>
            <w:tcW w:w="35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Busey Bank</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1,241,303</w:t>
            </w:r>
          </w:p>
        </w:tc>
        <w:tc>
          <w:tcPr>
            <w:tcW w:w="1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9.91 %</w:t>
            </w:r>
          </w:p>
        </w:tc>
        <w:tc>
          <w:tcPr>
            <w:tcW w:w="100" w:type="dxa"/>
            <w:vAlign w:val="bottom"/>
            <w:shd w:val="clear" w:color="auto" w:fill="CCEEFF"/>
          </w:tcPr>
          <w:p>
            <w:pPr>
              <w:ind w:left="20"/>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501,104</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4.00 %</w:t>
            </w:r>
          </w:p>
        </w:tc>
        <w:tc>
          <w:tcPr>
            <w:tcW w:w="1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626,379</w:t>
            </w: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5.00 %</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 Conservation Buffer</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July 2013, U.S. federal banking authorities approved the Basel III Rule for strengthening international capital standards. The Basel III Rule introduced a capital conservation buffer, composed entirely of Common Equity Tier 1 Capital, which is added to the minimum risk-weighted asset ratios. The capital conservation buffer is not a minimum capital requirement; however, banking institutions with a ratio of Common Equity Tier 1 Capital to risk-weighted assets below the capital conservation buffer will face constraints on dividends, equity repurchases, and discretionary bonus payments based on the amount of the shortfall. In order to refrain from restrictions on dividends, equity repurchases, and discretionary bonus payments, banking institutions must maintain minimum ratios of (i) Common Equity Tier 1 Capital to risk-weighted assets of at least 7.0%, (ii) Tier 1 Capital to risk-weighted assets of at least 8.5%, and (iii) Total capital to risk-weighted assets of at least 10.5%.</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Stock-Based Compensation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 Options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has outstanding stock options assumed from acquisitions. A summary of the status of, and changes in, the</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Company's stock option awards for the six months ended June 30, 2022, follows: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Weighted-</w:t>
            </w:r>
          </w:p>
        </w:tc>
      </w:tr>
      <w:tr>
        <w:trPr>
          <w:trHeight w:val="162"/>
        </w:trPr>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Weighted-</w:t>
            </w:r>
          </w:p>
        </w:tc>
        <w:tc>
          <w:tcPr>
            <w:tcW w:w="9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Remaining</w:t>
            </w:r>
          </w:p>
        </w:tc>
      </w:tr>
      <w:tr>
        <w:trPr>
          <w:trHeight w:val="162"/>
        </w:trPr>
        <w:tc>
          <w:tcPr>
            <w:tcW w:w="374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Exercise</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Contractual</w:t>
            </w:r>
          </w:p>
        </w:tc>
      </w:tr>
      <w:tr>
        <w:trPr>
          <w:trHeight w:val="185"/>
        </w:trPr>
        <w:tc>
          <w:tcPr>
            <w:tcW w:w="374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0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6"/>
                <w:szCs w:val="16"/>
                <w:color w:val="auto"/>
              </w:rPr>
            </w:pPr>
          </w:p>
        </w:tc>
        <w:tc>
          <w:tcPr>
            <w:tcW w:w="9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Price</w:t>
            </w:r>
          </w:p>
        </w:tc>
        <w:tc>
          <w:tcPr>
            <w:tcW w:w="9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Life</w:t>
            </w:r>
          </w:p>
        </w:tc>
      </w:tr>
      <w:tr>
        <w:trPr>
          <w:trHeight w:val="196"/>
        </w:trPr>
        <w:tc>
          <w:tcPr>
            <w:tcW w:w="37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outstanding at December 31, 2021</w:t>
            </w:r>
          </w:p>
        </w:tc>
        <w:tc>
          <w:tcPr>
            <w:tcW w:w="20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31,386</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4.88</w:t>
            </w:r>
          </w:p>
        </w:tc>
        <w:tc>
          <w:tcPr>
            <w:tcW w:w="20" w:type="dxa"/>
            <w:vAlign w:val="bottom"/>
          </w:tcPr>
          <w:p>
            <w:pPr>
              <w:spacing w:after="0"/>
              <w:rPr>
                <w:sz w:val="17"/>
                <w:szCs w:val="17"/>
                <w:color w:val="auto"/>
              </w:rPr>
            </w:pPr>
          </w:p>
        </w:tc>
      </w:tr>
      <w:tr>
        <w:trPr>
          <w:trHeight w:val="203"/>
        </w:trPr>
        <w:tc>
          <w:tcPr>
            <w:tcW w:w="3740" w:type="dxa"/>
            <w:vAlign w:val="bottom"/>
          </w:tcPr>
          <w:p>
            <w:pPr>
              <w:ind w:left="220"/>
              <w:spacing w:after="0" w:line="202" w:lineRule="exact"/>
              <w:rPr>
                <w:sz w:val="20"/>
                <w:szCs w:val="20"/>
                <w:color w:val="auto"/>
              </w:rPr>
            </w:pPr>
            <w:r>
              <w:rPr>
                <w:rFonts w:ascii="Arial" w:cs="Arial" w:eastAsia="Arial" w:hAnsi="Arial"/>
                <w:sz w:val="18"/>
                <w:szCs w:val="18"/>
                <w:color w:val="auto"/>
              </w:rPr>
              <w:t>Expired</w:t>
            </w:r>
          </w:p>
        </w:tc>
        <w:tc>
          <w:tcPr>
            <w:tcW w:w="3120" w:type="dxa"/>
            <w:vAlign w:val="bottom"/>
            <w:gridSpan w:val="3"/>
          </w:tcPr>
          <w:p>
            <w:pPr>
              <w:jc w:val="right"/>
              <w:ind w:right="160"/>
              <w:spacing w:after="0" w:line="202" w:lineRule="exact"/>
              <w:rPr>
                <w:sz w:val="20"/>
                <w:szCs w:val="20"/>
                <w:color w:val="auto"/>
              </w:rPr>
            </w:pPr>
            <w:r>
              <w:rPr>
                <w:rFonts w:ascii="Arial" w:cs="Arial" w:eastAsia="Arial" w:hAnsi="Arial"/>
                <w:sz w:val="18"/>
                <w:szCs w:val="18"/>
                <w:color w:val="auto"/>
              </w:rPr>
              <w:t>(220)</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196"/>
        </w:trPr>
        <w:tc>
          <w:tcPr>
            <w:tcW w:w="37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Options outstanding at June 30, 2022</w:t>
            </w:r>
          </w:p>
        </w:tc>
        <w:tc>
          <w:tcPr>
            <w:tcW w:w="20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31,166</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23.53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4.38</w:t>
            </w:r>
          </w:p>
        </w:tc>
        <w:tc>
          <w:tcPr>
            <w:tcW w:w="20" w:type="dxa"/>
            <w:vAlign w:val="bottom"/>
          </w:tcPr>
          <w:p>
            <w:pPr>
              <w:spacing w:after="0"/>
              <w:rPr>
                <w:sz w:val="17"/>
                <w:szCs w:val="17"/>
                <w:color w:val="auto"/>
              </w:rPr>
            </w:pPr>
          </w:p>
        </w:tc>
      </w:tr>
      <w:tr>
        <w:trPr>
          <w:trHeight w:val="20"/>
        </w:trPr>
        <w:tc>
          <w:tcPr>
            <w:tcW w:w="37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374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Options exercisable at June 30, 2022</w:t>
            </w:r>
          </w:p>
        </w:tc>
        <w:tc>
          <w:tcPr>
            <w:tcW w:w="2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31,166</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4.38</w:t>
            </w:r>
          </w:p>
        </w:tc>
        <w:tc>
          <w:tcPr>
            <w:tcW w:w="20" w:type="dxa"/>
            <w:vAlign w:val="bottom"/>
          </w:tcPr>
          <w:p>
            <w:pPr>
              <w:spacing w:after="0"/>
              <w:rPr>
                <w:sz w:val="17"/>
                <w:szCs w:val="17"/>
                <w:color w:val="auto"/>
              </w:rPr>
            </w:pPr>
          </w:p>
        </w:tc>
      </w:tr>
      <w:tr>
        <w:trPr>
          <w:trHeight w:val="851"/>
        </w:trPr>
        <w:tc>
          <w:tcPr>
            <w:tcW w:w="3740" w:type="dxa"/>
            <w:vAlign w:val="bottom"/>
          </w:tcPr>
          <w:p>
            <w:pPr>
              <w:spacing w:after="0"/>
              <w:rPr>
                <w:sz w:val="24"/>
                <w:szCs w:val="24"/>
                <w:color w:val="auto"/>
              </w:rPr>
            </w:pPr>
          </w:p>
        </w:tc>
        <w:tc>
          <w:tcPr>
            <w:tcW w:w="2040" w:type="dxa"/>
            <w:vAlign w:val="bottom"/>
          </w:tcPr>
          <w:p>
            <w:pPr>
              <w:jc w:val="right"/>
              <w:ind w:right="1130"/>
              <w:spacing w:after="0"/>
              <w:rPr>
                <w:sz w:val="20"/>
                <w:szCs w:val="20"/>
                <w:color w:val="auto"/>
              </w:rPr>
            </w:pPr>
            <w:r>
              <w:rPr>
                <w:rFonts w:ascii="Arial" w:cs="Arial" w:eastAsia="Arial" w:hAnsi="Arial"/>
                <w:sz w:val="18"/>
                <w:szCs w:val="18"/>
                <w:color w:val="auto"/>
              </w:rPr>
              <w:t>35</w:t>
            </w: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4"/>
        </w:trPr>
        <w:tc>
          <w:tcPr>
            <w:tcW w:w="374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2020 Equity Plan</w:t>
      </w:r>
    </w:p>
    <w:p>
      <w:pPr>
        <w:spacing w:after="0" w:line="19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Under the terms of the 2020 Equity Plan, the Company has granted RSU, PSU, and DSU awards. Upon vesting/delivery, shares are expected (though not required) to be issued from treasury.</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RSU Awards</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Company grants RSUs to members of management periodically throughout the year. Each RSU is equivalent to one share of the Company’s common stock. These units have requisite service periods ranging from one to five years, subject to accelerated vesting upon eligible retirement from the Company. Recipients earn quarterly dividend equivalents on their respective units which entitle the recipients to additional units. Therefore, dividends earned each quarter compound based upon the updated unit balances.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PSU Awards</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 Company also grants PSU awards to members of management periodically throughout the year. Each PSU is equivalent to one share of the Company’s common stock. The number of units that ultimately vest will be determined based on the achievement of the market or other performance goals, subject to accelerated service-based vesting conditions upon eligible retirement from the Company.</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DSU Awards</w:t>
      </w:r>
    </w:p>
    <w:p>
      <w:pPr>
        <w:spacing w:after="0" w:line="19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The Company grants DSUs, which are restricted stock units with a deferred settlement date, to its directors and advisory directors. Each DSU is equivalent to one share of the Company’s common stock. DSUs vest over a one-year period following the grant date. These units generally are subject to the same terms as RSUs under the 2020 Equity Plan, except that, following vesting, settlement occurs within 30 days following the earlier of separation from the board or a change in control of the Company. After vesting and prior to delivery, these units will continue to earn dividend equivalents.</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Award Grants and Activity</w:t>
      </w:r>
    </w:p>
    <w:p>
      <w:pPr>
        <w:spacing w:after="0" w:line="19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A summary of changes in the Company’s RSU, PSU, and DSU awards for the six months ended June 30, 2022, is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900" w:type="dxa"/>
            <w:vAlign w:val="bottom"/>
            <w:gridSpan w:val="5"/>
          </w:tcPr>
          <w:p>
            <w:pPr>
              <w:ind w:left="460"/>
              <w:spacing w:after="0"/>
              <w:rPr>
                <w:sz w:val="20"/>
                <w:szCs w:val="20"/>
                <w:color w:val="auto"/>
              </w:rPr>
            </w:pPr>
            <w:r>
              <w:rPr>
                <w:rFonts w:ascii="Arial" w:cs="Arial" w:eastAsia="Arial" w:hAnsi="Arial"/>
                <w:sz w:val="14"/>
                <w:szCs w:val="14"/>
                <w:b w:val="1"/>
                <w:bCs w:val="1"/>
                <w:color w:val="auto"/>
              </w:rPr>
              <w:t>RSU Awards</w:t>
            </w:r>
          </w:p>
        </w:tc>
        <w:tc>
          <w:tcPr>
            <w:tcW w:w="1760" w:type="dxa"/>
            <w:vAlign w:val="bottom"/>
            <w:gridSpan w:val="5"/>
          </w:tcPr>
          <w:p>
            <w:pPr>
              <w:ind w:left="400"/>
              <w:spacing w:after="0"/>
              <w:rPr>
                <w:sz w:val="20"/>
                <w:szCs w:val="20"/>
                <w:color w:val="auto"/>
              </w:rPr>
            </w:pPr>
            <w:r>
              <w:rPr>
                <w:rFonts w:ascii="Arial" w:cs="Arial" w:eastAsia="Arial" w:hAnsi="Arial"/>
                <w:sz w:val="14"/>
                <w:szCs w:val="14"/>
                <w:b w:val="1"/>
                <w:bCs w:val="1"/>
                <w:color w:val="auto"/>
              </w:rPr>
              <w:t>PSU Awards</w:t>
            </w:r>
          </w:p>
        </w:tc>
        <w:tc>
          <w:tcPr>
            <w:tcW w:w="1580" w:type="dxa"/>
            <w:vAlign w:val="bottom"/>
            <w:gridSpan w:val="4"/>
          </w:tcPr>
          <w:p>
            <w:pPr>
              <w:jc w:val="right"/>
              <w:ind w:right="312"/>
              <w:spacing w:after="0"/>
              <w:rPr>
                <w:sz w:val="20"/>
                <w:szCs w:val="20"/>
                <w:color w:val="auto"/>
              </w:rPr>
            </w:pPr>
            <w:r>
              <w:rPr>
                <w:rFonts w:ascii="Arial" w:cs="Arial" w:eastAsia="Arial" w:hAnsi="Arial"/>
                <w:sz w:val="14"/>
                <w:szCs w:val="14"/>
                <w:b w:val="1"/>
                <w:bCs w:val="1"/>
                <w:color w:val="auto"/>
              </w:rPr>
              <w:t>DSU Awards</w:t>
            </w:r>
          </w:p>
        </w:tc>
      </w:tr>
      <w:tr>
        <w:trPr>
          <w:trHeight w:val="133"/>
        </w:trPr>
        <w:tc>
          <w:tcPr>
            <w:tcW w:w="3660" w:type="dxa"/>
            <w:vAlign w:val="bottom"/>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1"/>
                <w:szCs w:val="11"/>
                <w:color w:val="auto"/>
              </w:rPr>
            </w:pPr>
          </w:p>
        </w:tc>
        <w:tc>
          <w:tcPr>
            <w:tcW w:w="7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2"/>
          </w:tcPr>
          <w:p>
            <w:pPr>
              <w:jc w:val="center"/>
              <w:spacing w:after="0" w:line="133" w:lineRule="exact"/>
              <w:rPr>
                <w:sz w:val="20"/>
                <w:szCs w:val="20"/>
                <w:color w:val="auto"/>
              </w:rPr>
            </w:pPr>
            <w:r>
              <w:rPr>
                <w:rFonts w:ascii="Arial" w:cs="Arial" w:eastAsia="Arial" w:hAnsi="Arial"/>
                <w:sz w:val="14"/>
                <w:szCs w:val="14"/>
                <w:b w:val="1"/>
                <w:bCs w:val="1"/>
                <w:color w:val="auto"/>
                <w:w w:val="91"/>
              </w:rPr>
              <w:t>Weighted-</w:t>
            </w:r>
          </w:p>
        </w:tc>
      </w:t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Average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jc w:val="center"/>
              <w:ind w:right="12"/>
              <w:spacing w:after="0"/>
              <w:rPr>
                <w:sz w:val="20"/>
                <w:szCs w:val="20"/>
                <w:color w:val="auto"/>
              </w:rPr>
            </w:pPr>
            <w:r>
              <w:rPr>
                <w:rFonts w:ascii="Arial" w:cs="Arial" w:eastAsia="Arial" w:hAnsi="Arial"/>
                <w:sz w:val="14"/>
                <w:szCs w:val="14"/>
                <w:b w:val="1"/>
                <w:bCs w:val="1"/>
                <w:color w:val="auto"/>
                <w:w w:val="90"/>
              </w:rPr>
              <w:t>Average</w:t>
            </w:r>
          </w:p>
        </w:tc>
      </w:tr>
      <w:tr>
        <w:trPr>
          <w:trHeight w:val="162"/>
        </w:trPr>
        <w:tc>
          <w:tcPr>
            <w:tcW w:w="36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Grant Date</w:t>
            </w:r>
          </w:p>
        </w:tc>
      </w:tr>
      <w:tr>
        <w:trPr>
          <w:trHeight w:val="185"/>
        </w:trPr>
        <w:tc>
          <w:tcPr>
            <w:tcW w:w="3660" w:type="dxa"/>
            <w:vAlign w:val="bottom"/>
          </w:tcPr>
          <w:p>
            <w:pPr>
              <w:spacing w:after="0"/>
              <w:rPr>
                <w:sz w:val="16"/>
                <w:szCs w:val="16"/>
                <w:color w:val="auto"/>
              </w:rPr>
            </w:pPr>
          </w:p>
        </w:tc>
        <w:tc>
          <w:tcPr>
            <w:tcW w:w="102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gridSpan w:val="2"/>
          </w:tcPr>
          <w:p>
            <w:pPr>
              <w:ind w:left="80"/>
              <w:spacing w:after="0" w:line="185" w:lineRule="exact"/>
              <w:rPr>
                <w:sz w:val="20"/>
                <w:szCs w:val="20"/>
                <w:color w:val="auto"/>
              </w:rPr>
            </w:pPr>
            <w:r>
              <w:rPr>
                <w:rFonts w:ascii="Arial" w:cs="Arial" w:eastAsia="Arial" w:hAnsi="Arial"/>
                <w:sz w:val="14"/>
                <w:szCs w:val="14"/>
                <w:b w:val="1"/>
                <w:bCs w:val="1"/>
                <w:color w:val="auto"/>
              </w:rPr>
              <w:t xml:space="preserve">Shares </w:t>
            </w:r>
            <w:r>
              <w:rPr>
                <w:rFonts w:ascii="Arial" w:cs="Arial" w:eastAsia="Arial" w:hAnsi="Arial"/>
                <w:sz w:val="21"/>
                <w:szCs w:val="21"/>
                <w:color w:val="auto"/>
                <w:vertAlign w:val="superscript"/>
              </w:rPr>
              <w:t>(1)</w:t>
            </w: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5"/>
              </w:rPr>
              <w:t>Fair Value</w:t>
            </w:r>
          </w:p>
        </w:tc>
        <w:tc>
          <w:tcPr>
            <w:tcW w:w="86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Shares</w:t>
            </w: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3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Nonvested at December 31, 2021</w:t>
            </w:r>
          </w:p>
        </w:tc>
        <w:tc>
          <w:tcPr>
            <w:tcW w:w="8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1,147,927</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23.97</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113,915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22.86</w:t>
            </w:r>
          </w:p>
        </w:tc>
        <w:tc>
          <w:tcPr>
            <w:tcW w:w="16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34,135</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24.59</w:t>
            </w: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Granted</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156,483</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25.79</w:t>
            </w:r>
          </w:p>
        </w:tc>
        <w:tc>
          <w:tcPr>
            <w:tcW w:w="16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195,240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25.79</w:t>
            </w:r>
          </w:p>
        </w:tc>
        <w:tc>
          <w:tcPr>
            <w:tcW w:w="16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32,658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25.79</w:t>
            </w: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Dividend equivalents earned</w:t>
            </w: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22,800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24.52</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2,797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24.38</w:t>
            </w:r>
          </w:p>
        </w:tc>
      </w:tr>
      <w:tr>
        <w:trPr>
          <w:trHeight w:val="202"/>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Vested</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(136,084)</w:t>
            </w: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29.27</w:t>
            </w:r>
          </w:p>
        </w:tc>
        <w:tc>
          <w:tcPr>
            <w:tcW w:w="160" w:type="dxa"/>
            <w:vAlign w:val="bottom"/>
          </w:tcPr>
          <w:p>
            <w:pPr>
              <w:spacing w:after="0"/>
              <w:rPr>
                <w:sz w:val="17"/>
                <w:szCs w:val="17"/>
                <w:color w:val="auto"/>
              </w:rPr>
            </w:pPr>
          </w:p>
        </w:tc>
        <w:tc>
          <w:tcPr>
            <w:tcW w:w="8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(39,065)</w:t>
            </w:r>
          </w:p>
        </w:tc>
        <w:tc>
          <w:tcPr>
            <w:tcW w:w="12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24.67</w:t>
            </w: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Forfeited</w:t>
            </w:r>
          </w:p>
        </w:tc>
        <w:tc>
          <w:tcPr>
            <w:tcW w:w="10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(23,966)</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23.65</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(2,339)</w:t>
            </w: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24.30</w:t>
            </w:r>
          </w:p>
        </w:tc>
        <w:tc>
          <w:tcPr>
            <w:tcW w:w="1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r>
        <w:trPr>
          <w:trHeight w:val="236"/>
        </w:trPr>
        <w:tc>
          <w:tcPr>
            <w:tcW w:w="36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Nonvested at June 30, 2022</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7"/>
              </w:rPr>
              <w:t>1,167,160</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23.62</w:t>
            </w:r>
          </w:p>
        </w:tc>
        <w:tc>
          <w:tcPr>
            <w:tcW w:w="160" w:type="dxa"/>
            <w:vAlign w:val="bottom"/>
            <w:tcBorders>
              <w:bottom w:val="single" w:sz="8" w:color="CCEEFF"/>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306,816</w:t>
            </w:r>
          </w:p>
        </w:tc>
        <w:tc>
          <w:tcPr>
            <w:tcW w:w="1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24.71</w:t>
            </w:r>
          </w:p>
        </w:tc>
        <w:tc>
          <w:tcPr>
            <w:tcW w:w="160" w:type="dxa"/>
            <w:vAlign w:val="bottom"/>
            <w:tcBorders>
              <w:bottom w:val="single" w:sz="8" w:color="CCEEFF"/>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30,525</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ind w:left="20"/>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25.76</w:t>
            </w:r>
          </w:p>
        </w:tc>
      </w:tr>
      <w:tr>
        <w:trPr>
          <w:trHeight w:val="183"/>
        </w:trPr>
        <w:tc>
          <w:tcPr>
            <w:tcW w:w="36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Vested and outstanding at June 30, 2022</w:t>
            </w:r>
          </w:p>
        </w:tc>
        <w:tc>
          <w:tcPr>
            <w:tcW w:w="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115,208</w:t>
            </w:r>
          </w:p>
        </w:tc>
        <w:tc>
          <w:tcPr>
            <w:tcW w:w="160" w:type="dxa"/>
            <w:vAlign w:val="bottom"/>
          </w:tcPr>
          <w:p>
            <w:pPr>
              <w:spacing w:after="0"/>
              <w:rPr>
                <w:sz w:val="20"/>
                <w:szCs w:val="20"/>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22.80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49" w:lineRule="exact"/>
        <w:rPr>
          <w:sz w:val="20"/>
          <w:szCs w:val="20"/>
          <w:color w:val="auto"/>
        </w:rPr>
      </w:pPr>
    </w:p>
    <w:p>
      <w:pPr>
        <w:ind w:left="480" w:hanging="322"/>
        <w:spacing w:after="0"/>
        <w:tabs>
          <w:tab w:leader="none" w:pos="480" w:val="left"/>
        </w:tabs>
        <w:numPr>
          <w:ilvl w:val="0"/>
          <w:numId w:val="8"/>
        </w:numPr>
        <w:rPr>
          <w:rFonts w:ascii="Arial" w:cs="Arial" w:eastAsia="Arial" w:hAnsi="Arial"/>
          <w:sz w:val="11"/>
          <w:szCs w:val="11"/>
          <w:color w:val="auto"/>
        </w:rPr>
      </w:pPr>
      <w:r>
        <w:rPr>
          <w:rFonts w:ascii="Arial" w:cs="Arial" w:eastAsia="Arial" w:hAnsi="Arial"/>
          <w:sz w:val="14"/>
          <w:szCs w:val="14"/>
          <w:color w:val="auto"/>
        </w:rPr>
        <w:t>Shares for PSU awards represent target shares at grant date.</w:t>
      </w:r>
    </w:p>
    <w:p>
      <w:pPr>
        <w:spacing w:after="0" w:line="20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On March 23, 2022, under the terms of the 2020 Equity Plan, the Company granted 156,483 RSUs to members of management. The grant date fair value of the award totaled $4.0 million and will be recognized as compensation expense over the requisite service period ranging from one year to five years. The terms of these awards included an accelerated vesting provision upon eligible retirement from the Company, after a one-year minimum requisite service period. Subsequent to the requisite service period, the awards will become 100% vested.</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On March 23, 2022, the Company granted a target of 78,233 market-based PSUs with a maximum award of 125,173 units. The actual number of units issued at the vesting date could range from 0% to 160% of the initial grant, depending on attaining a market-based total shareholder return performance goal. The grant date fair value of the award is estimated to be $2.0 million and will be recognized in compensation expense over the performance period ending December 31, 2024. The Company expects to finalize the grant date fair value of these awards in the third quarter of 2022.</w:t>
      </w:r>
    </w:p>
    <w:p>
      <w:pPr>
        <w:spacing w:after="0" w:line="14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On March 23, 2022, the Company granted a target of 78,233 performance-based PSUs with a maximum award of 125,173 units. The actual number of units issued at the vesting date could range from 0% to 160% of the initial grant, depending on attaining a core return on average tangible common equity performance goal. The grant date fair value of the award is $2.0 million and will be recognized in compensation expense over the performance period ending December 31, 2024, subject to achievement of the performance goal.</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Further, on March 23, 2022, the Company granted a target of 38,774 PSUs with a maximum award of 77,548 units. The actual number of units issued at the vesting date could range from 0% to 200% of the initial grant, depending on attaining a performance goal based upon the compounded annual revenue growth rate of the FirsTech operating segment. The grant date fair value of the award is $1.0 million and will be recognized in compensation expense over the performance period ending December 31, 2024, subject to achievement of the performance goal.</w:t>
      </w:r>
    </w:p>
    <w:p>
      <w:pPr>
        <w:spacing w:after="0" w:line="160"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On March 23, 2022, the Company granted 32,658 DSUs to directors and advisory directors. The grant date fair value of the award totaled $0.8 million and will be recognized as compensation expense over the requisite service period of one year. Subsequent to the requisite service period, the awards will become 100% vested.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2021 Employee Stock Purchase Plan</w:t>
      </w:r>
    </w:p>
    <w:p>
      <w:pPr>
        <w:spacing w:after="0" w:line="198"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6"/>
          <w:szCs w:val="16"/>
          <w:color w:val="auto"/>
        </w:rPr>
        <w:t>The First Busey Corporation 2021 ESPP was approved at the Company’s 2021 Annual Meeting of Stockholders and details can be found within First Busey’s Definitive Proxy Statement filed with the SEC on April 8, 2021. The purpose of the 2021 ESPP is to provide a means through which our employees may acquire a proprietary interest in the Company by purchasing shares of our common stock at a 15% discount through voluntary payroll deductions, to assist us in retaining the services of our employees and securing and retaining the services of new employees, and to provide incentives for our employees to exert maximum efforts toward our success. The plan initially reserved for issuance and purchase an aggregate of 600,000 shares of the Company’s common stock. The first offering under this plan began on July 1, 2021.</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9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The Company did not record any stock option compensation expense for the three or six months ended June 30, 2022, or 2021. As of June 30, 2022, the Company did not have any unrecognized stock option expense.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Company recognized compensation expense related to nonvested RSU, PSU, and DSU awards, as well as the 2021</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ESPP, as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4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80" w:type="dxa"/>
            <w:vAlign w:val="bottom"/>
            <w:gridSpan w:val="6"/>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5"/>
        </w:trPr>
        <w:tc>
          <w:tcPr>
            <w:tcW w:w="366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Stock-based compensation expense</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RSU awards</w:t>
            </w:r>
          </w:p>
        </w:tc>
        <w:tc>
          <w:tcPr>
            <w:tcW w:w="1620" w:type="dxa"/>
            <w:vAlign w:val="bottom"/>
            <w:gridSpan w:val="2"/>
          </w:tcPr>
          <w:p>
            <w:pPr>
              <w:ind w:left="144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1,273</w:t>
            </w:r>
          </w:p>
        </w:tc>
        <w:tc>
          <w:tcPr>
            <w:tcW w:w="16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1,816</w:t>
            </w:r>
          </w:p>
        </w:tc>
        <w:tc>
          <w:tcPr>
            <w:tcW w:w="1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2,449</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3,046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PSU awards</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758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1,170</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DSU awards</w:t>
            </w:r>
          </w:p>
        </w:tc>
        <w:tc>
          <w:tcPr>
            <w:tcW w:w="1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257</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353</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483</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2021 ESPP</w:t>
            </w:r>
          </w:p>
        </w:tc>
        <w:tc>
          <w:tcPr>
            <w:tcW w:w="1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Total stock-based compensation expense</w:t>
            </w:r>
          </w:p>
        </w:tc>
        <w:tc>
          <w:tcPr>
            <w:tcW w:w="14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2,336</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2,437</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4,245</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3,885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40" w:type="dxa"/>
            <w:vAlign w:val="bottom"/>
            <w:vMerge w:val="restart"/>
          </w:tcPr>
          <w:p>
            <w:pPr>
              <w:jc w:val="right"/>
              <w:ind w:right="450"/>
              <w:spacing w:after="0"/>
              <w:rPr>
                <w:sz w:val="20"/>
                <w:szCs w:val="20"/>
                <w:color w:val="auto"/>
              </w:rPr>
            </w:pPr>
            <w:r>
              <w:rPr>
                <w:rFonts w:ascii="Arial" w:cs="Arial" w:eastAsia="Arial" w:hAnsi="Arial"/>
                <w:sz w:val="18"/>
                <w:szCs w:val="18"/>
                <w:color w:val="auto"/>
              </w:rPr>
              <w:t>37</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3660" w:type="dxa"/>
            <w:vAlign w:val="bottom"/>
          </w:tcPr>
          <w:p>
            <w:pPr>
              <w:spacing w:after="0"/>
              <w:rPr>
                <w:sz w:val="24"/>
                <w:szCs w:val="24"/>
                <w:color w:val="auto"/>
              </w:rPr>
            </w:pPr>
          </w:p>
        </w:tc>
        <w:tc>
          <w:tcPr>
            <w:tcW w:w="14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36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Unamortized compensation expense related to nonvested RSU, PSU, and DSU awards is summarized in the table below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85"/>
              </w:rPr>
              <w:t>As of</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33"/>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jc w:val="right"/>
              <w:ind w:right="115"/>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40" w:type="dxa"/>
            <w:vAlign w:val="bottom"/>
          </w:tcPr>
          <w:p>
            <w:pPr>
              <w:spacing w:after="0"/>
              <w:rPr>
                <w:sz w:val="11"/>
                <w:szCs w:val="1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r>
      <w:tr>
        <w:trPr>
          <w:trHeight w:val="196"/>
        </w:trPr>
        <w:tc>
          <w:tcPr>
            <w:tcW w:w="6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Unamortized stock-based compensation</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RSU awards</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11,273</w:t>
            </w:r>
          </w:p>
        </w:tc>
        <w:tc>
          <w:tcPr>
            <w:tcW w:w="3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10,204</w:t>
            </w:r>
          </w:p>
        </w:tc>
        <w:tc>
          <w:tcPr>
            <w:tcW w:w="24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PSU awards</w:t>
            </w:r>
          </w:p>
        </w:tc>
        <w:tc>
          <w:tcPr>
            <w:tcW w:w="1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4,973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1,547</w:t>
            </w:r>
          </w:p>
        </w:tc>
        <w:tc>
          <w:tcPr>
            <w:tcW w:w="240" w:type="dxa"/>
            <w:vAlign w:val="bottom"/>
            <w:shd w:val="clear" w:color="auto" w:fill="CCEEFF"/>
          </w:tcPr>
          <w:p>
            <w:pPr>
              <w:spacing w:after="0"/>
              <w:rPr>
                <w:sz w:val="17"/>
                <w:szCs w:val="17"/>
                <w:color w:val="auto"/>
              </w:rPr>
            </w:pPr>
          </w:p>
        </w:tc>
      </w:tr>
      <w:tr>
        <w:trPr>
          <w:trHeight w:val="203"/>
        </w:trPr>
        <w:tc>
          <w:tcPr>
            <w:tcW w:w="6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DSU awards</w:t>
            </w: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568</w:t>
            </w:r>
          </w:p>
        </w:tc>
        <w:tc>
          <w:tcPr>
            <w:tcW w:w="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209</w:t>
            </w:r>
          </w:p>
        </w:tc>
        <w:tc>
          <w:tcPr>
            <w:tcW w:w="240" w:type="dxa"/>
            <w:vAlign w:val="bottom"/>
            <w:tcBorders>
              <w:bottom w:val="single" w:sz="8" w:color="CCEEFF"/>
            </w:tcBorders>
          </w:tcPr>
          <w:p>
            <w:pPr>
              <w:spacing w:after="0"/>
              <w:rPr>
                <w:sz w:val="17"/>
                <w:szCs w:val="17"/>
                <w:color w:val="auto"/>
              </w:rPr>
            </w:pPr>
          </w:p>
        </w:tc>
      </w:tr>
      <w:tr>
        <w:trPr>
          <w:trHeight w:val="196"/>
        </w:trPr>
        <w:tc>
          <w:tcPr>
            <w:tcW w:w="6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unamortized stock-based compensation</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16,814</w:t>
            </w:r>
          </w:p>
        </w:tc>
        <w:tc>
          <w:tcPr>
            <w:tcW w:w="4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11,960</w:t>
            </w: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6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6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6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Weighted average period over which expense is to be recognized</w:t>
            </w:r>
          </w:p>
        </w:tc>
        <w:tc>
          <w:tcPr>
            <w:tcW w:w="180" w:type="dxa"/>
            <w:vAlign w:val="bottom"/>
            <w:shd w:val="clear" w:color="auto" w:fill="CCEEFF"/>
          </w:tcPr>
          <w:p>
            <w:pPr>
              <w:spacing w:after="0"/>
              <w:rPr>
                <w:sz w:val="17"/>
                <w:szCs w:val="17"/>
                <w:color w:val="auto"/>
              </w:rPr>
            </w:pPr>
          </w:p>
        </w:tc>
        <w:tc>
          <w:tcPr>
            <w:tcW w:w="1160" w:type="dxa"/>
            <w:vAlign w:val="bottom"/>
            <w:gridSpan w:val="4"/>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rPr>
              <w:t>2.8 yrs</w:t>
            </w:r>
          </w:p>
        </w:tc>
        <w:tc>
          <w:tcPr>
            <w:tcW w:w="1160" w:type="dxa"/>
            <w:vAlign w:val="bottom"/>
            <w:gridSpan w:val="2"/>
            <w:shd w:val="clear" w:color="auto" w:fill="CCEEFF"/>
          </w:tcPr>
          <w:p>
            <w:pPr>
              <w:ind w:left="640"/>
              <w:spacing w:after="0" w:line="202" w:lineRule="exact"/>
              <w:rPr>
                <w:sz w:val="20"/>
                <w:szCs w:val="20"/>
                <w:color w:val="auto"/>
              </w:rPr>
            </w:pPr>
            <w:r>
              <w:rPr>
                <w:rFonts w:ascii="Arial" w:cs="Arial" w:eastAsia="Arial" w:hAnsi="Arial"/>
                <w:sz w:val="18"/>
                <w:szCs w:val="18"/>
                <w:color w:val="auto"/>
                <w:w w:val="92"/>
              </w:rPr>
              <w:t>2.9 yrs</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Shares Available for Issuance Under Stock-based Compensation Plans</w:t>
      </w:r>
    </w:p>
    <w:p>
      <w:pPr>
        <w:spacing w:after="0" w:line="19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Shares remaining available for issuance pursuant to authorized stock-based compensation plans as of June 30, 2022, were as follows:</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80" w:type="dxa"/>
            <w:vAlign w:val="bottom"/>
          </w:tcPr>
          <w:p>
            <w:pPr>
              <w:jc w:val="right"/>
              <w:ind w:right="41"/>
              <w:spacing w:after="0"/>
              <w:rPr>
                <w:sz w:val="20"/>
                <w:szCs w:val="20"/>
                <w:color w:val="auto"/>
              </w:rPr>
            </w:pPr>
            <w:r>
              <w:rPr>
                <w:rFonts w:ascii="Arial" w:cs="Arial" w:eastAsia="Arial" w:hAnsi="Arial"/>
                <w:sz w:val="14"/>
                <w:szCs w:val="14"/>
                <w:b w:val="1"/>
                <w:bCs w:val="1"/>
                <w:color w:val="auto"/>
              </w:rPr>
              <w:t>Shares Remaining</w:t>
            </w:r>
          </w:p>
        </w:tc>
      </w:tr>
      <w:tr>
        <w:trPr>
          <w:trHeight w:val="162"/>
        </w:trPr>
        <w:tc>
          <w:tcPr>
            <w:tcW w:w="40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Arial" w:cs="Arial" w:eastAsia="Arial" w:hAnsi="Arial"/>
                <w:sz w:val="14"/>
                <w:szCs w:val="14"/>
                <w:b w:val="1"/>
                <w:bCs w:val="1"/>
                <w:color w:val="auto"/>
                <w:w w:val="91"/>
              </w:rPr>
              <w:t>Available for Issuance</w:t>
            </w:r>
          </w:p>
        </w:tc>
      </w:tr>
      <w:tr>
        <w:trPr>
          <w:trHeight w:val="185"/>
        </w:trPr>
        <w:tc>
          <w:tcPr>
            <w:tcW w:w="400" w:type="dxa"/>
            <w:vAlign w:val="bottom"/>
            <w:tcBorders>
              <w:bottom w:val="single" w:sz="8" w:color="CCEEFF"/>
            </w:tcBorders>
          </w:tcPr>
          <w:p>
            <w:pPr>
              <w:spacing w:after="0"/>
              <w:rPr>
                <w:sz w:val="16"/>
                <w:szCs w:val="16"/>
                <w:color w:val="auto"/>
              </w:rPr>
            </w:pPr>
          </w:p>
        </w:tc>
        <w:tc>
          <w:tcPr>
            <w:tcW w:w="71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Pursuant to the Plan</w:t>
            </w:r>
          </w:p>
        </w:tc>
      </w:tr>
      <w:tr>
        <w:trPr>
          <w:trHeight w:val="196"/>
        </w:trPr>
        <w:tc>
          <w:tcPr>
            <w:tcW w:w="4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2020</w:t>
            </w:r>
          </w:p>
        </w:tc>
        <w:tc>
          <w:tcPr>
            <w:tcW w:w="71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Equity Plan</w:t>
            </w:r>
          </w:p>
        </w:tc>
        <w:tc>
          <w:tcPr>
            <w:tcW w:w="1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644,174</w:t>
            </w:r>
          </w:p>
        </w:tc>
      </w:tr>
      <w:tr>
        <w:trPr>
          <w:trHeight w:val="230"/>
        </w:trPr>
        <w:tc>
          <w:tcPr>
            <w:tcW w:w="400" w:type="dxa"/>
            <w:vAlign w:val="bottom"/>
          </w:tcPr>
          <w:p>
            <w:pPr>
              <w:jc w:val="right"/>
              <w:spacing w:after="0"/>
              <w:rPr>
                <w:sz w:val="20"/>
                <w:szCs w:val="20"/>
                <w:color w:val="auto"/>
              </w:rPr>
            </w:pPr>
            <w:r>
              <w:rPr>
                <w:rFonts w:ascii="Arial" w:cs="Arial" w:eastAsia="Arial" w:hAnsi="Arial"/>
                <w:sz w:val="18"/>
                <w:szCs w:val="18"/>
                <w:color w:val="auto"/>
                <w:w w:val="89"/>
              </w:rPr>
              <w:t>2021</w:t>
            </w:r>
          </w:p>
        </w:tc>
        <w:tc>
          <w:tcPr>
            <w:tcW w:w="7120" w:type="dxa"/>
            <w:vAlign w:val="bottom"/>
          </w:tcPr>
          <w:p>
            <w:pPr>
              <w:ind w:left="20"/>
              <w:spacing w:after="0"/>
              <w:rPr>
                <w:sz w:val="20"/>
                <w:szCs w:val="20"/>
                <w:color w:val="auto"/>
              </w:rPr>
            </w:pPr>
            <w:r>
              <w:rPr>
                <w:rFonts w:ascii="Arial" w:cs="Arial" w:eastAsia="Arial" w:hAnsi="Arial"/>
                <w:sz w:val="18"/>
                <w:szCs w:val="18"/>
                <w:color w:val="auto"/>
              </w:rPr>
              <w:t>Employee Stock Purchase Plan</w:t>
            </w:r>
          </w:p>
        </w:tc>
        <w:tc>
          <w:tcPr>
            <w:tcW w:w="1380" w:type="dxa"/>
            <w:vAlign w:val="bottom"/>
          </w:tcPr>
          <w:p>
            <w:pPr>
              <w:jc w:val="right"/>
              <w:spacing w:after="0"/>
              <w:rPr>
                <w:sz w:val="20"/>
                <w:szCs w:val="20"/>
                <w:color w:val="auto"/>
              </w:rPr>
            </w:pPr>
            <w:r>
              <w:rPr>
                <w:rFonts w:ascii="Arial" w:cs="Arial" w:eastAsia="Arial" w:hAnsi="Arial"/>
                <w:sz w:val="18"/>
                <w:szCs w:val="18"/>
                <w:color w:val="auto"/>
              </w:rPr>
              <w:t>530,570</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Outstanding Commitments and Contingent Liabilities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Matters</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Company is a party to legal actions which arise in the normal course of its business activities. In the opinion of management, the ultimate resolution of these matters is not expected to have a material effect on the Company’s financial position or results of operations.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Credit Commitments and Contingencies</w:t>
      </w:r>
    </w:p>
    <w:p>
      <w:pPr>
        <w:spacing w:after="0" w:line="19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A summary of the contractual amount of the Company’s exposure to off-balance-sheet risk relating to the Company’s commitments to extend credit and standby letters of credit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8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79"/>
              </w:rPr>
              <w:t>As of</w:t>
            </w:r>
          </w:p>
        </w:tc>
        <w:tc>
          <w:tcPr>
            <w:tcW w:w="980" w:type="dxa"/>
            <w:vAlign w:val="bottom"/>
            <w:tcBorders>
              <w:bottom w:val="single" w:sz="8" w:color="auto"/>
            </w:tcBorders>
          </w:tcPr>
          <w:p>
            <w:pPr>
              <w:spacing w:after="0"/>
              <w:rPr>
                <w:sz w:val="16"/>
                <w:szCs w:val="16"/>
                <w:color w:val="auto"/>
              </w:rPr>
            </w:pPr>
          </w:p>
        </w:tc>
      </w:tr>
      <w:tr>
        <w:trPr>
          <w:trHeight w:val="133"/>
        </w:trPr>
        <w:tc>
          <w:tcPr>
            <w:tcW w:w="58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jc w:val="right"/>
              <w:ind w:right="37"/>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58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r>
      <w:tr>
        <w:trPr>
          <w:trHeight w:val="196"/>
        </w:trPr>
        <w:tc>
          <w:tcPr>
            <w:tcW w:w="58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instruments whose contract amounts represent credit risk</w:t>
            </w:r>
          </w:p>
        </w:tc>
        <w:tc>
          <w:tcPr>
            <w:tcW w:w="7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03"/>
        </w:trPr>
        <w:tc>
          <w:tcPr>
            <w:tcW w:w="5880" w:type="dxa"/>
            <w:vAlign w:val="bottom"/>
          </w:tcPr>
          <w:p>
            <w:pPr>
              <w:ind w:left="220"/>
              <w:spacing w:after="0" w:line="202" w:lineRule="exact"/>
              <w:rPr>
                <w:sz w:val="20"/>
                <w:szCs w:val="20"/>
                <w:color w:val="auto"/>
              </w:rPr>
            </w:pPr>
            <w:r>
              <w:rPr>
                <w:rFonts w:ascii="Arial" w:cs="Arial" w:eastAsia="Arial" w:hAnsi="Arial"/>
                <w:sz w:val="18"/>
                <w:szCs w:val="18"/>
                <w:color w:val="auto"/>
              </w:rPr>
              <w:t>Commitments to extend credit</w:t>
            </w:r>
          </w:p>
        </w:tc>
        <w:tc>
          <w:tcPr>
            <w:tcW w:w="88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7"/>
              </w:rPr>
              <w:t>1,994,872</w:t>
            </w:r>
          </w:p>
        </w:tc>
        <w:tc>
          <w:tcPr>
            <w:tcW w:w="340" w:type="dxa"/>
            <w:vAlign w:val="bottom"/>
            <w:gridSpan w:val="4"/>
          </w:tcPr>
          <w:p>
            <w:pPr>
              <w:jc w:val="right"/>
              <w:spacing w:after="0" w:line="202"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202" w:lineRule="exact"/>
              <w:rPr>
                <w:sz w:val="20"/>
                <w:szCs w:val="20"/>
                <w:color w:val="auto"/>
              </w:rPr>
            </w:pPr>
            <w:r>
              <w:rPr>
                <w:rFonts w:ascii="Arial" w:cs="Arial" w:eastAsia="Arial" w:hAnsi="Arial"/>
                <w:sz w:val="18"/>
                <w:szCs w:val="18"/>
                <w:color w:val="auto"/>
              </w:rPr>
              <w:t>1,983,655</w:t>
            </w:r>
          </w:p>
        </w:tc>
      </w:tr>
      <w:tr>
        <w:trPr>
          <w:trHeight w:val="203"/>
        </w:trPr>
        <w:tc>
          <w:tcPr>
            <w:tcW w:w="58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Standby letters of credit</w:t>
            </w:r>
          </w:p>
        </w:tc>
        <w:tc>
          <w:tcPr>
            <w:tcW w:w="7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32,482</w:t>
            </w: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32,552</w:t>
            </w:r>
          </w:p>
        </w:tc>
      </w:tr>
      <w:tr>
        <w:trPr>
          <w:trHeight w:val="196"/>
        </w:trPr>
        <w:tc>
          <w:tcPr>
            <w:tcW w:w="5880" w:type="dxa"/>
            <w:vAlign w:val="bottom"/>
          </w:tcPr>
          <w:p>
            <w:pPr>
              <w:spacing w:after="0" w:line="196" w:lineRule="exact"/>
              <w:rPr>
                <w:sz w:val="20"/>
                <w:szCs w:val="20"/>
                <w:color w:val="auto"/>
              </w:rPr>
            </w:pPr>
            <w:r>
              <w:rPr>
                <w:rFonts w:ascii="Arial" w:cs="Arial" w:eastAsia="Arial" w:hAnsi="Arial"/>
                <w:sz w:val="18"/>
                <w:szCs w:val="18"/>
                <w:color w:val="auto"/>
              </w:rPr>
              <w:t>Total commitments</w:t>
            </w:r>
          </w:p>
        </w:tc>
        <w:tc>
          <w:tcPr>
            <w:tcW w:w="70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w w:val="97"/>
              </w:rPr>
              <w:t>2,027,354</w:t>
            </w:r>
          </w:p>
        </w:tc>
        <w:tc>
          <w:tcPr>
            <w:tcW w:w="40" w:type="dxa"/>
            <w:vAlign w:val="bottom"/>
          </w:tcPr>
          <w:p>
            <w:pPr>
              <w:spacing w:after="0"/>
              <w:rPr>
                <w:sz w:val="17"/>
                <w:szCs w:val="17"/>
                <w:color w:val="auto"/>
              </w:rPr>
            </w:pPr>
          </w:p>
        </w:tc>
        <w:tc>
          <w:tcPr>
            <w:tcW w:w="220" w:type="dxa"/>
            <w:vAlign w:val="bottom"/>
            <w:gridSpan w:val="2"/>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tcPr>
          <w:p>
            <w:pPr>
              <w:jc w:val="right"/>
              <w:spacing w:after="0" w:line="196" w:lineRule="exact"/>
              <w:rPr>
                <w:sz w:val="20"/>
                <w:szCs w:val="20"/>
                <w:color w:val="auto"/>
              </w:rPr>
            </w:pPr>
            <w:r>
              <w:rPr>
                <w:rFonts w:ascii="Arial" w:cs="Arial" w:eastAsia="Arial" w:hAnsi="Arial"/>
                <w:sz w:val="18"/>
                <w:szCs w:val="18"/>
                <w:color w:val="auto"/>
              </w:rPr>
              <w:t>2,016,207</w:t>
            </w:r>
          </w:p>
        </w:tc>
      </w:tr>
      <w:tr>
        <w:trPr>
          <w:trHeight w:val="20"/>
        </w:trPr>
        <w:tc>
          <w:tcPr>
            <w:tcW w:w="5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10: Derivative Financial Instruments</w:t>
      </w:r>
    </w:p>
    <w:p>
      <w:pPr>
        <w:spacing w:after="0" w:line="202"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The Company utilizes interest rate swap agreements as part of its asset liability management strategy to help manage its interest rate risk position. Additionally, the Company enters into derivative financial instruments, including interest rate lock commitments issued to residential loan customers for loans that will be held for sale, forward sales commitments to sell residential mortgage loans to investors, and interest rate swaps with customers and other third parties. See “</w:t>
      </w:r>
      <w:r>
        <w:rPr>
          <w:rFonts w:ascii="Arial" w:cs="Arial" w:eastAsia="Arial" w:hAnsi="Arial"/>
          <w:sz w:val="16"/>
          <w:szCs w:val="16"/>
          <w:i w:val="1"/>
          <w:iCs w:val="1"/>
          <w:u w:val="single" w:color="auto"/>
          <w:color w:val="0000EE"/>
        </w:rPr>
        <w:t>Note 11:</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0000EE"/>
        </w:rPr>
        <w:t>Fair Value Measurements</w:t>
      </w:r>
      <w:r>
        <w:rPr>
          <w:rFonts w:ascii="Arial" w:cs="Arial" w:eastAsia="Arial" w:hAnsi="Arial"/>
          <w:sz w:val="16"/>
          <w:szCs w:val="16"/>
          <w:color w:val="000000"/>
        </w:rPr>
        <w:t>” for further discussion of the fair value measurement of such derivatives.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Company was holding collateral of $19.8 million to secure its obligation under derivative contracts as of June 30, 2022. The Company pledged $28.6 million and $27.3 million in cash to secure its obligation under derivative contracts as of June 30, 2022, and December 31, 2021, respectively.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 Designated as Cash Flow Hedges</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Company entered into derivative instruments designated as cash flow hedges. For a derivative instrument that is designated and qualifies as a cash flow hedge, the change in fair value of the derivative instrument is reported as a component of OCI and reclassified into earnings in the same period or periods during which the hedged transaction affects earnings. Changes in fair value of components excluded from the assessment of effectiveness are recognized in current earnings.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Swaps Designated as Cash Flow Hedges</w:t>
      </w:r>
    </w:p>
    <w:p>
      <w:pPr>
        <w:spacing w:after="0" w:line="19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6"/>
          <w:szCs w:val="16"/>
          <w:color w:val="auto"/>
        </w:rPr>
        <w:t>Interest rate swaps with notional amounts totaling $350.0 million as of June 30, 2022, and $50.0 million as of December 31, 2021, were designated as cash flow hedges. The Company entered into one $50.0 million interest rate swap to hedge the risks of variability in cash flows (future interest payments) attributable to changes in the contractually specified 3-month LIBOR benchmark interest rate on the Company’s junior subordinated debt owed to unconsolidated trusts (Debt Swap). In addition, the Company entered into one $300.0 million interest rate swap to reduce our balance sheet asset sensitive profile and to lock in earnings in the event future interest rate hikes do not materialize (Loan Swap). These hedges were determined to be highly effective during the period, and the Company expects its hedges to remain highly effective during the remaining terms of the swaps. Changes in fair value were recorded net of tax in OCI.</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A summary of the interest-rate swaps designated as cash flow hedges is presented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7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As of</w:t>
            </w:r>
          </w:p>
        </w:tc>
        <w:tc>
          <w:tcPr>
            <w:tcW w:w="7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gridSpan w:val="2"/>
          </w:tcPr>
          <w:p>
            <w:pPr>
              <w:jc w:val="right"/>
              <w:ind w:right="440"/>
              <w:spacing w:after="0" w:line="133" w:lineRule="exact"/>
              <w:rPr>
                <w:sz w:val="20"/>
                <w:szCs w:val="20"/>
                <w:color w:val="auto"/>
              </w:rPr>
            </w:pPr>
            <w:r>
              <w:rPr>
                <w:rFonts w:ascii="Arial" w:cs="Arial" w:eastAsia="Arial" w:hAnsi="Arial"/>
                <w:sz w:val="14"/>
                <w:szCs w:val="14"/>
                <w:b w:val="1"/>
                <w:bCs w:val="1"/>
                <w:color w:val="auto"/>
                <w:w w:val="96"/>
              </w:rPr>
              <w:t>June 30,</w:t>
            </w:r>
          </w:p>
        </w:tc>
        <w:tc>
          <w:tcPr>
            <w:tcW w:w="40" w:type="dxa"/>
            <w:vAlign w:val="bottom"/>
          </w:tcPr>
          <w:p>
            <w:pPr>
              <w:spacing w:after="0"/>
              <w:rPr>
                <w:sz w:val="11"/>
                <w:szCs w:val="11"/>
                <w:color w:val="auto"/>
              </w:rPr>
            </w:pPr>
          </w:p>
        </w:tc>
        <w:tc>
          <w:tcPr>
            <w:tcW w:w="900" w:type="dxa"/>
            <w:vAlign w:val="bottom"/>
            <w:gridSpan w:val="2"/>
          </w:tcPr>
          <w:p>
            <w:pPr>
              <w:jc w:val="right"/>
              <w:spacing w:after="0" w:line="133" w:lineRule="exact"/>
              <w:rPr>
                <w:sz w:val="20"/>
                <w:szCs w:val="20"/>
                <w:color w:val="auto"/>
              </w:rPr>
            </w:pPr>
            <w:r>
              <w:rPr>
                <w:rFonts w:ascii="Arial" w:cs="Arial" w:eastAsia="Arial" w:hAnsi="Arial"/>
                <w:sz w:val="14"/>
                <w:szCs w:val="14"/>
                <w:b w:val="1"/>
                <w:bCs w:val="1"/>
                <w:color w:val="auto"/>
                <w:w w:val="92"/>
              </w:rPr>
              <w:t>December 31,</w:t>
            </w:r>
          </w:p>
        </w:tc>
        <w:tc>
          <w:tcPr>
            <w:tcW w:w="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8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Debt Swap</w:t>
            </w:r>
          </w:p>
        </w:tc>
        <w:tc>
          <w:tcPr>
            <w:tcW w:w="500" w:type="dxa"/>
            <w:vAlign w:val="bottom"/>
          </w:tcPr>
          <w:p>
            <w:pPr>
              <w:spacing w:after="0"/>
              <w:rPr>
                <w:sz w:val="16"/>
                <w:szCs w:val="16"/>
                <w:color w:val="auto"/>
              </w:rPr>
            </w:pPr>
          </w:p>
        </w:tc>
        <w:tc>
          <w:tcPr>
            <w:tcW w:w="11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Location</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4800" w:type="dxa"/>
            <w:vAlign w:val="bottom"/>
            <w:gridSpan w:val="2"/>
            <w:vMerge w:val="continue"/>
          </w:tcPr>
          <w:p>
            <w:pPr>
              <w:spacing w:after="0"/>
              <w:rPr>
                <w:sz w:val="17"/>
                <w:szCs w:val="17"/>
                <w:color w:val="auto"/>
              </w:rPr>
            </w:pP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Notional amount</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50,000</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fixed pay rates</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1.79 %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Weighted average variable 3-month LIBOR receive rates</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1.83 %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0.20 %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maturity, in years</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2.21 yrs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3"/>
              </w:rPr>
              <w:t>2.71 yrs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Loan Swap</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Notional amount</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300,000</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fixed receive rates</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4.45 %</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4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Weighted average variable Prime pay rates</w:t>
            </w: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4.81 %</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ind w:left="480"/>
              <w:spacing w:after="0" w:line="202" w:lineRule="exact"/>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Weighted average maturity, in years</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6.61 yrs</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ind w:left="480"/>
              <w:spacing w:after="0" w:line="202" w:lineRule="exact"/>
              <w:rPr>
                <w:sz w:val="20"/>
                <w:szCs w:val="20"/>
                <w:color w:val="auto"/>
              </w:rPr>
            </w:pPr>
            <w:r>
              <w:rPr>
                <w:rFonts w:ascii="Arial" w:cs="Arial" w:eastAsia="Arial" w:hAnsi="Arial"/>
                <w:sz w:val="18"/>
                <w:szCs w:val="18"/>
                <w:color w:val="auto"/>
                <w:w w:val="97"/>
              </w:rPr>
              <w:t>— yrs</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Gross aggregate fair value of the swaps</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Gross aggregate fair value of swap assets</w:t>
            </w:r>
          </w:p>
        </w:tc>
        <w:tc>
          <w:tcPr>
            <w:tcW w:w="1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Other assets</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1,412</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tcPr>
          <w:p>
            <w:pPr>
              <w:ind w:left="200"/>
              <w:spacing w:after="0" w:line="202" w:lineRule="exact"/>
              <w:rPr>
                <w:sz w:val="20"/>
                <w:szCs w:val="20"/>
                <w:color w:val="auto"/>
              </w:rPr>
            </w:pPr>
            <w:r>
              <w:rPr>
                <w:rFonts w:ascii="Arial" w:cs="Arial" w:eastAsia="Arial" w:hAnsi="Arial"/>
                <w:sz w:val="18"/>
                <w:szCs w:val="18"/>
                <w:color w:val="auto"/>
              </w:rPr>
              <w:t>Gross aggregate fair value of swap liabilities</w:t>
            </w:r>
          </w:p>
        </w:tc>
        <w:tc>
          <w:tcPr>
            <w:tcW w:w="1640" w:type="dxa"/>
            <w:vAlign w:val="bottom"/>
            <w:gridSpan w:val="2"/>
          </w:tcPr>
          <w:p>
            <w:pPr>
              <w:ind w:left="500"/>
              <w:spacing w:after="0" w:line="202" w:lineRule="exact"/>
              <w:rPr>
                <w:sz w:val="20"/>
                <w:szCs w:val="20"/>
                <w:color w:val="auto"/>
              </w:rPr>
            </w:pPr>
            <w:r>
              <w:rPr>
                <w:rFonts w:ascii="Arial" w:cs="Arial" w:eastAsia="Arial" w:hAnsi="Arial"/>
                <w:sz w:val="18"/>
                <w:szCs w:val="18"/>
                <w:color w:val="auto"/>
                <w:w w:val="94"/>
              </w:rPr>
              <w:t>Other liabilities</w:t>
            </w:r>
          </w:p>
        </w:tc>
        <w:tc>
          <w:tcPr>
            <w:tcW w:w="2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19,296</w:t>
            </w:r>
          </w:p>
        </w:tc>
        <w:tc>
          <w:tcPr>
            <w:tcW w:w="240" w:type="dxa"/>
            <w:vAlign w:val="bottom"/>
          </w:tcPr>
          <w:p>
            <w:pPr>
              <w:spacing w:after="0"/>
              <w:rPr>
                <w:sz w:val="17"/>
                <w:szCs w:val="17"/>
                <w:color w:val="auto"/>
              </w:rPr>
            </w:pPr>
          </w:p>
        </w:tc>
        <w:tc>
          <w:tcPr>
            <w:tcW w:w="220" w:type="dxa"/>
            <w:vAlign w:val="bottom"/>
            <w:gridSpan w:val="2"/>
          </w:tcPr>
          <w:p>
            <w:pPr>
              <w:jc w:val="right"/>
              <w:ind w:right="28"/>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958</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7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780" w:type="dxa"/>
            <w:vAlign w:val="bottom"/>
          </w:tcPr>
          <w:p>
            <w:pPr>
              <w:spacing w:after="0" w:line="202" w:lineRule="exact"/>
              <w:rPr>
                <w:sz w:val="20"/>
                <w:szCs w:val="20"/>
                <w:color w:val="auto"/>
              </w:rPr>
            </w:pPr>
            <w:r>
              <w:rPr>
                <w:rFonts w:ascii="Arial" w:cs="Arial" w:eastAsia="Arial" w:hAnsi="Arial"/>
                <w:sz w:val="18"/>
                <w:szCs w:val="18"/>
                <w:b w:val="1"/>
                <w:bCs w:val="1"/>
                <w:color w:val="auto"/>
              </w:rPr>
              <w:t>Balances carried in AOCI</w:t>
            </w:r>
          </w:p>
        </w:tc>
        <w:tc>
          <w:tcPr>
            <w:tcW w:w="5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78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Unrealized gains (losses) on cash flow hedges, net of tax</w:t>
            </w:r>
          </w:p>
        </w:tc>
        <w:tc>
          <w:tcPr>
            <w:tcW w:w="164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AOCI</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(12,844)</w:t>
            </w:r>
          </w:p>
        </w:tc>
        <w:tc>
          <w:tcPr>
            <w:tcW w:w="240" w:type="dxa"/>
            <w:vAlign w:val="bottom"/>
            <w:shd w:val="clear" w:color="auto" w:fill="CCEEFF"/>
          </w:tcPr>
          <w:p>
            <w:pPr>
              <w:spacing w:after="0"/>
              <w:rPr>
                <w:sz w:val="17"/>
                <w:szCs w:val="17"/>
                <w:color w:val="auto"/>
              </w:rPr>
            </w:pPr>
          </w:p>
        </w:tc>
        <w:tc>
          <w:tcPr>
            <w:tcW w:w="220" w:type="dxa"/>
            <w:vAlign w:val="bottom"/>
            <w:gridSpan w:val="2"/>
            <w:shd w:val="clear" w:color="auto" w:fill="CCEEFF"/>
          </w:tcPr>
          <w:p>
            <w:pPr>
              <w:jc w:val="right"/>
              <w:ind w:right="28"/>
              <w:spacing w:after="0" w:line="202"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(685)</w:t>
            </w: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The Company expects $0.1 million of unrealized gains to be reclassified from OCI to interest income. Amounts actually recognized could differ from these expectations due to changes in interest rates, hedge de-designations, and the addition of other hedges subsequent to June 30, 2022.</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Interest expense recorded on these swap transactions was as follows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80" w:type="dxa"/>
            <w:vAlign w:val="bottom"/>
            <w:gridSpan w:val="4"/>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55"/>
        </w:trPr>
        <w:tc>
          <w:tcPr>
            <w:tcW w:w="5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8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income (expense) on swap transactions</w:t>
            </w:r>
          </w:p>
        </w:tc>
        <w:tc>
          <w:tcPr>
            <w:tcW w:w="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567</w:t>
            </w: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   1,067</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(566)</w:t>
            </w:r>
          </w:p>
        </w:tc>
      </w:tr>
    </w:tbl>
    <w:p>
      <w:pPr>
        <w:spacing w:after="0" w:line="188" w:lineRule="exact"/>
        <w:rPr>
          <w:sz w:val="20"/>
          <w:szCs w:val="20"/>
          <w:color w:val="auto"/>
        </w:rPr>
      </w:pPr>
    </w:p>
    <w:p>
      <w:pPr>
        <w:jc w:val="both"/>
        <w:ind w:left="60" w:right="79"/>
        <w:spacing w:after="0" w:line="291" w:lineRule="auto"/>
        <w:rPr>
          <w:sz w:val="20"/>
          <w:szCs w:val="20"/>
          <w:color w:val="auto"/>
        </w:rPr>
      </w:pPr>
      <w:r>
        <w:rPr>
          <w:rFonts w:ascii="Arial" w:cs="Arial" w:eastAsia="Arial" w:hAnsi="Arial"/>
          <w:sz w:val="17"/>
          <w:szCs w:val="17"/>
          <w:color w:val="auto"/>
        </w:rPr>
        <w:t xml:space="preserve">The following table reflects the net gains (losses) relating to cash flow derivative instruments that were recorded in AOCI and the unaudited Consolidated Statements of Income during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2020" w:type="dxa"/>
            <w:vAlign w:val="bottom"/>
            <w:gridSpan w:val="6"/>
          </w:tcPr>
          <w:p>
            <w:pPr>
              <w:spacing w:after="0"/>
              <w:rPr>
                <w:sz w:val="20"/>
                <w:szCs w:val="20"/>
                <w:color w:val="auto"/>
              </w:rPr>
            </w:pPr>
            <w:r>
              <w:rPr>
                <w:rFonts w:ascii="Arial" w:cs="Arial" w:eastAsia="Arial" w:hAnsi="Arial"/>
                <w:sz w:val="14"/>
                <w:szCs w:val="14"/>
                <w:b w:val="1"/>
                <w:bCs w:val="1"/>
                <w:color w:val="auto"/>
              </w:rPr>
              <w:t>Three Months Ended June 30,</w:t>
            </w: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r>
      <w:tr>
        <w:trPr>
          <w:trHeight w:val="155"/>
        </w:trPr>
        <w:tc>
          <w:tcPr>
            <w:tcW w:w="5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660" w:type="dxa"/>
            <w:vAlign w:val="bottom"/>
            <w:tcBorders>
              <w:top w:val="single" w:sz="8" w:color="auto"/>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4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4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Unrealized gains (losses) on cash flow hedges</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03"/>
        </w:trPr>
        <w:tc>
          <w:tcPr>
            <w:tcW w:w="5100" w:type="dxa"/>
            <w:vAlign w:val="bottom"/>
          </w:tcPr>
          <w:p>
            <w:pPr>
              <w:ind w:left="220"/>
              <w:spacing w:after="0" w:line="202" w:lineRule="exact"/>
              <w:rPr>
                <w:sz w:val="20"/>
                <w:szCs w:val="20"/>
                <w:color w:val="auto"/>
              </w:rPr>
            </w:pPr>
            <w:r>
              <w:rPr>
                <w:rFonts w:ascii="Arial" w:cs="Arial" w:eastAsia="Arial" w:hAnsi="Arial"/>
                <w:sz w:val="18"/>
                <w:szCs w:val="18"/>
                <w:color w:val="auto"/>
              </w:rPr>
              <w:t>Gain (loss) recognized in OCI, net of tax</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(6,550)</w:t>
            </w: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(69)</w:t>
            </w: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w w:val="98"/>
              </w:rPr>
              <w:t>(11,395)</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341</w:t>
            </w:r>
          </w:p>
        </w:tc>
      </w:tr>
      <w:tr>
        <w:trPr>
          <w:trHeight w:val="203"/>
        </w:trPr>
        <w:tc>
          <w:tcPr>
            <w:tcW w:w="51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(Gain) loss reclassified from OCI to interest expense, net of tax</w:t>
            </w:r>
          </w:p>
        </w:tc>
        <w:tc>
          <w:tcPr>
            <w:tcW w:w="2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(407)</w:t>
            </w: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(764)</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405</w:t>
            </w:r>
          </w:p>
        </w:tc>
      </w:tr>
      <w:tr>
        <w:trPr>
          <w:trHeight w:val="196"/>
        </w:trPr>
        <w:tc>
          <w:tcPr>
            <w:tcW w:w="5100" w:type="dxa"/>
            <w:vAlign w:val="bottom"/>
          </w:tcPr>
          <w:p>
            <w:pPr>
              <w:ind w:left="20"/>
              <w:spacing w:after="0" w:line="196" w:lineRule="exact"/>
              <w:rPr>
                <w:sz w:val="20"/>
                <w:szCs w:val="20"/>
                <w:color w:val="auto"/>
              </w:rPr>
            </w:pPr>
            <w:r>
              <w:rPr>
                <w:rFonts w:ascii="Arial" w:cs="Arial" w:eastAsia="Arial" w:hAnsi="Arial"/>
                <w:sz w:val="18"/>
                <w:szCs w:val="18"/>
                <w:color w:val="auto"/>
              </w:rPr>
              <w:t>Net change in unrealized gains (losses) on cash flow hedges</w:t>
            </w: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(6,957)</w:t>
            </w:r>
          </w:p>
        </w:tc>
        <w:tc>
          <w:tcPr>
            <w:tcW w:w="16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137</w:t>
            </w:r>
          </w:p>
        </w:tc>
        <w:tc>
          <w:tcPr>
            <w:tcW w:w="14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(12,159)</w:t>
            </w: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746</w:t>
            </w:r>
          </w:p>
        </w:tc>
      </w:tr>
      <w:tr>
        <w:trPr>
          <w:trHeight w:val="20"/>
        </w:trPr>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 Not Designated as Hedges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Swaps Not Designated as Hedges</w:t>
      </w:r>
    </w:p>
    <w:p>
      <w:pPr>
        <w:spacing w:after="0" w:line="19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The Company may offer derivative contracts to its customers in connection with their risk management needs. The Company manages the risk associated with these contracts by entering into equal and offsetting derivative agreements with a third-party dealer. These contracts support variable rate, commercial loan relationships totaling $443.8 million and $491.4 million as of June 30, 2022, and December 31, 2021, respectively. These derivatives generally worked together as an economic interest rate hedge, but the Company did not designate them for hedge accounting treatment. Consequently, changes in fair value of the corresponding derivative financial asset or liability were recorded as either a charge or credit to current earnings during the period in which the changes occurred.</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6"/>
          <w:szCs w:val="16"/>
          <w:color w:val="auto"/>
        </w:rPr>
        <w:t>Amounts and fair values of derivative assets and liabilities related to customer interest rate swaps recorded in the unaudited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center"/>
              <w:ind w:right="240"/>
              <w:spacing w:after="0"/>
              <w:rPr>
                <w:sz w:val="20"/>
                <w:szCs w:val="20"/>
                <w:color w:val="auto"/>
              </w:rPr>
            </w:pPr>
            <w:r>
              <w:rPr>
                <w:rFonts w:ascii="Arial" w:cs="Arial" w:eastAsia="Arial" w:hAnsi="Arial"/>
                <w:sz w:val="14"/>
                <w:szCs w:val="14"/>
                <w:b w:val="1"/>
                <w:bCs w:val="1"/>
                <w:color w:val="auto"/>
                <w:w w:val="90"/>
              </w:rPr>
              <w:t>As of June 30, 2022</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3"/>
                <w:szCs w:val="13"/>
                <w:color w:val="auto"/>
              </w:rPr>
            </w:pPr>
          </w:p>
        </w:tc>
        <w:tc>
          <w:tcPr>
            <w:tcW w:w="1700" w:type="dxa"/>
            <w:vAlign w:val="bottom"/>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Derivative Liability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83"/>
        </w:trPr>
        <w:tc>
          <w:tcPr>
            <w:tcW w:w="4180" w:type="dxa"/>
            <w:vAlign w:val="bottom"/>
            <w:tcBorders>
              <w:top w:val="single" w:sz="8" w:color="CCEEFF"/>
            </w:tcBorders>
            <w:shd w:val="clear" w:color="auto" w:fill="CCEEFF"/>
          </w:tcPr>
          <w:p>
            <w:pPr>
              <w:jc w:val="center"/>
              <w:ind w:right="210"/>
              <w:spacing w:after="0" w:line="182" w:lineRule="exact"/>
              <w:rPr>
                <w:sz w:val="20"/>
                <w:szCs w:val="20"/>
                <w:color w:val="auto"/>
              </w:rPr>
            </w:pPr>
            <w:r>
              <w:rPr>
                <w:rFonts w:ascii="Arial" w:cs="Arial" w:eastAsia="Arial" w:hAnsi="Arial"/>
                <w:sz w:val="18"/>
                <w:szCs w:val="18"/>
                <w:b w:val="1"/>
                <w:bCs w:val="1"/>
                <w:color w:val="auto"/>
                <w:w w:val="87"/>
              </w:rPr>
              <w:t>Derivatives not designated as hedging instruments</w:t>
            </w:r>
          </w:p>
        </w:tc>
        <w:tc>
          <w:tcPr>
            <w:tcW w:w="9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18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floating, receive fixed</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74,892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1,798</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8"/>
              </w:rPr>
              <w:t>368,937</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21,761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fixed, receive floating</w:t>
            </w:r>
          </w:p>
        </w:tc>
        <w:tc>
          <w:tcPr>
            <w:tcW w:w="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368,937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21,761</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74,892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line="196" w:lineRule="exact"/>
              <w:rPr>
                <w:sz w:val="20"/>
                <w:szCs w:val="20"/>
                <w:color w:val="auto"/>
              </w:rPr>
            </w:pPr>
            <w:r>
              <w:rPr>
                <w:rFonts w:ascii="Arial" w:cs="Arial" w:eastAsia="Arial" w:hAnsi="Arial"/>
                <w:sz w:val="18"/>
                <w:szCs w:val="18"/>
                <w:color w:val="auto"/>
                <w:w w:val="92"/>
              </w:rPr>
              <w:t>Total derivatives not designated as hedging instruments</w:t>
            </w:r>
          </w:p>
        </w:tc>
        <w:tc>
          <w:tcPr>
            <w:tcW w:w="9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443,829</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23,559</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443,829</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23,559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gridSpan w:val="5"/>
          </w:tcPr>
          <w:p>
            <w:pPr>
              <w:jc w:val="center"/>
              <w:ind w:right="260"/>
              <w:spacing w:after="0"/>
              <w:rPr>
                <w:sz w:val="20"/>
                <w:szCs w:val="20"/>
                <w:color w:val="auto"/>
              </w:rPr>
            </w:pPr>
            <w:r>
              <w:rPr>
                <w:rFonts w:ascii="Arial" w:cs="Arial" w:eastAsia="Arial" w:hAnsi="Arial"/>
                <w:sz w:val="14"/>
                <w:szCs w:val="14"/>
                <w:b w:val="1"/>
                <w:bCs w:val="1"/>
                <w:color w:val="auto"/>
                <w:w w:val="92"/>
              </w:rPr>
              <w:t>As of December 31, 2021</w:t>
            </w: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4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2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Derivative Asset</w:t>
            </w:r>
          </w:p>
        </w:tc>
        <w:tc>
          <w:tcPr>
            <w:tcW w:w="120" w:type="dxa"/>
            <w:vAlign w:val="bottom"/>
          </w:tcPr>
          <w:p>
            <w:pPr>
              <w:spacing w:after="0"/>
              <w:rPr>
                <w:sz w:val="13"/>
                <w:szCs w:val="13"/>
                <w:color w:val="auto"/>
              </w:rPr>
            </w:pPr>
          </w:p>
        </w:tc>
        <w:tc>
          <w:tcPr>
            <w:tcW w:w="1700" w:type="dxa"/>
            <w:vAlign w:val="bottom"/>
            <w:gridSpan w:val="4"/>
          </w:tcPr>
          <w:p>
            <w:pPr>
              <w:jc w:val="right"/>
              <w:ind w:right="217"/>
              <w:spacing w:after="0" w:line="155" w:lineRule="exact"/>
              <w:rPr>
                <w:sz w:val="20"/>
                <w:szCs w:val="20"/>
                <w:color w:val="auto"/>
              </w:rPr>
            </w:pPr>
            <w:r>
              <w:rPr>
                <w:rFonts w:ascii="Arial" w:cs="Arial" w:eastAsia="Arial" w:hAnsi="Arial"/>
                <w:sz w:val="14"/>
                <w:szCs w:val="14"/>
                <w:b w:val="1"/>
                <w:bCs w:val="1"/>
                <w:color w:val="auto"/>
              </w:rPr>
              <w:t>Derivative Liability</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4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20"/>
              <w:spacing w:after="0" w:line="133" w:lineRule="exact"/>
              <w:rPr>
                <w:sz w:val="20"/>
                <w:szCs w:val="20"/>
                <w:color w:val="auto"/>
              </w:rPr>
            </w:pPr>
            <w:r>
              <w:rPr>
                <w:rFonts w:ascii="Arial" w:cs="Arial" w:eastAsia="Arial" w:hAnsi="Arial"/>
                <w:sz w:val="14"/>
                <w:szCs w:val="14"/>
                <w:b w:val="1"/>
                <w:bCs w:val="1"/>
                <w:color w:val="auto"/>
              </w:rPr>
              <w:t>Notional</w:t>
            </w:r>
          </w:p>
        </w:tc>
        <w:tc>
          <w:tcPr>
            <w:tcW w:w="12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tcPr>
          <w:p>
            <w:pPr>
              <w:jc w:val="center"/>
              <w:ind w:right="39"/>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tcPr>
          <w:p>
            <w:pPr>
              <w:ind w:left="40"/>
              <w:spacing w:after="0" w:line="133" w:lineRule="exact"/>
              <w:rPr>
                <w:sz w:val="20"/>
                <w:szCs w:val="20"/>
                <w:color w:val="auto"/>
              </w:rPr>
            </w:pPr>
            <w:r>
              <w:rPr>
                <w:rFonts w:ascii="Arial" w:cs="Arial" w:eastAsia="Arial" w:hAnsi="Arial"/>
                <w:sz w:val="14"/>
                <w:szCs w:val="14"/>
                <w:b w:val="1"/>
                <w:bCs w:val="1"/>
                <w:color w:val="auto"/>
              </w:rPr>
              <w:t>Notional</w:t>
            </w:r>
          </w:p>
        </w:tc>
        <w:tc>
          <w:tcPr>
            <w:tcW w:w="180" w:type="dxa"/>
            <w:vAlign w:val="bottom"/>
            <w:tcBorders>
              <w:top w:val="single" w:sz="8" w:color="auto"/>
            </w:tcBorders>
          </w:tcPr>
          <w:p>
            <w:pPr>
              <w:spacing w:after="0"/>
              <w:rPr>
                <w:sz w:val="11"/>
                <w:szCs w:val="11"/>
                <w:color w:val="auto"/>
              </w:rPr>
            </w:pPr>
          </w:p>
        </w:tc>
        <w:tc>
          <w:tcPr>
            <w:tcW w:w="660" w:type="dxa"/>
            <w:vAlign w:val="bottom"/>
            <w:tcBorders>
              <w:top w:val="single" w:sz="8" w:color="auto"/>
            </w:tcBorders>
          </w:tcPr>
          <w:p>
            <w:pPr>
              <w:jc w:val="center"/>
              <w:ind w:right="77"/>
              <w:spacing w:after="0" w:line="133" w:lineRule="exact"/>
              <w:rPr>
                <w:sz w:val="20"/>
                <w:szCs w:val="20"/>
                <w:color w:val="auto"/>
              </w:rPr>
            </w:pPr>
            <w:r>
              <w:rPr>
                <w:rFonts w:ascii="Arial" w:cs="Arial" w:eastAsia="Arial" w:hAnsi="Arial"/>
                <w:sz w:val="14"/>
                <w:szCs w:val="14"/>
                <w:b w:val="1"/>
                <w:bCs w:val="1"/>
                <w:color w:val="auto"/>
              </w:rPr>
              <w:t>Fair</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4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120" w:type="dxa"/>
            <w:vAlign w:val="bottom"/>
          </w:tcPr>
          <w:p>
            <w:pPr>
              <w:spacing w:after="0"/>
              <w:rPr>
                <w:sz w:val="16"/>
                <w:szCs w:val="16"/>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6"/>
                <w:szCs w:val="16"/>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96"/>
        </w:trPr>
        <w:tc>
          <w:tcPr>
            <w:tcW w:w="4180" w:type="dxa"/>
            <w:vAlign w:val="bottom"/>
            <w:tcBorders>
              <w:top w:val="single" w:sz="8" w:color="CCEEFF"/>
            </w:tcBorders>
            <w:shd w:val="clear" w:color="auto" w:fill="CCEEFF"/>
          </w:tcPr>
          <w:p>
            <w:pPr>
              <w:jc w:val="center"/>
              <w:ind w:right="210"/>
              <w:spacing w:after="0" w:line="196" w:lineRule="exact"/>
              <w:rPr>
                <w:sz w:val="20"/>
                <w:szCs w:val="20"/>
                <w:color w:val="auto"/>
              </w:rPr>
            </w:pPr>
            <w:r>
              <w:rPr>
                <w:rFonts w:ascii="Arial" w:cs="Arial" w:eastAsia="Arial" w:hAnsi="Arial"/>
                <w:sz w:val="18"/>
                <w:szCs w:val="18"/>
                <w:b w:val="1"/>
                <w:bCs w:val="1"/>
                <w:color w:val="auto"/>
                <w:w w:val="87"/>
              </w:rPr>
              <w:t>Derivatives not designated as hedging instruments</w:t>
            </w:r>
          </w:p>
        </w:tc>
        <w:tc>
          <w:tcPr>
            <w:tcW w:w="9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floating, receive fixed</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8"/>
              </w:rPr>
              <w:t>404,572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17,839</w:t>
            </w:r>
          </w:p>
        </w:tc>
        <w:tc>
          <w:tcPr>
            <w:tcW w:w="1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86,784</w:t>
            </w:r>
          </w:p>
        </w:tc>
        <w:tc>
          <w:tcPr>
            <w:tcW w:w="140" w:type="dxa"/>
            <w:vAlign w:val="bottom"/>
          </w:tcPr>
          <w:p>
            <w:pPr>
              <w:spacing w:after="0"/>
              <w:rPr>
                <w:sz w:val="17"/>
                <w:szCs w:val="17"/>
                <w:color w:val="auto"/>
              </w:rPr>
            </w:pP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2,259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180" w:type="dxa"/>
            <w:vAlign w:val="bottom"/>
            <w:shd w:val="clear" w:color="auto" w:fill="CCEEFF"/>
          </w:tcPr>
          <w:p>
            <w:pPr>
              <w:jc w:val="center"/>
              <w:ind w:right="230"/>
              <w:spacing w:after="0" w:line="202" w:lineRule="exact"/>
              <w:rPr>
                <w:sz w:val="20"/>
                <w:szCs w:val="20"/>
                <w:color w:val="auto"/>
              </w:rPr>
            </w:pPr>
            <w:r>
              <w:rPr>
                <w:rFonts w:ascii="Arial" w:cs="Arial" w:eastAsia="Arial" w:hAnsi="Arial"/>
                <w:sz w:val="18"/>
                <w:szCs w:val="18"/>
                <w:color w:val="auto"/>
                <w:w w:val="91"/>
              </w:rPr>
              <w:t>Interest rate swaps – pay fixed, receive floating</w:t>
            </w:r>
          </w:p>
        </w:tc>
        <w:tc>
          <w:tcPr>
            <w:tcW w:w="9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86,784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2,259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404,572</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17,839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180" w:type="dxa"/>
            <w:vAlign w:val="bottom"/>
          </w:tcPr>
          <w:p>
            <w:pPr>
              <w:ind w:left="20"/>
              <w:spacing w:after="0" w:line="196" w:lineRule="exact"/>
              <w:rPr>
                <w:sz w:val="20"/>
                <w:szCs w:val="20"/>
                <w:color w:val="auto"/>
              </w:rPr>
            </w:pPr>
            <w:r>
              <w:rPr>
                <w:rFonts w:ascii="Arial" w:cs="Arial" w:eastAsia="Arial" w:hAnsi="Arial"/>
                <w:sz w:val="18"/>
                <w:szCs w:val="18"/>
                <w:color w:val="auto"/>
                <w:w w:val="92"/>
              </w:rPr>
              <w:t>Total derivatives not designated as hedging instruments</w:t>
            </w:r>
          </w:p>
        </w:tc>
        <w:tc>
          <w:tcPr>
            <w:tcW w:w="96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491,356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20,098</w:t>
            </w: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491,356</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20,098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960" w:type="dxa"/>
            <w:vAlign w:val="bottom"/>
            <w:vMerge w:val="restart"/>
          </w:tcPr>
          <w:p>
            <w:pPr>
              <w:jc w:val="right"/>
              <w:ind w:right="490"/>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180" w:type="dxa"/>
            <w:vAlign w:val="bottom"/>
          </w:tcPr>
          <w:p>
            <w:pPr>
              <w:spacing w:after="0"/>
              <w:rPr>
                <w:sz w:val="24"/>
                <w:szCs w:val="24"/>
                <w:color w:val="auto"/>
              </w:rPr>
            </w:pPr>
          </w:p>
        </w:tc>
        <w:tc>
          <w:tcPr>
            <w:tcW w:w="9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4"/>
        </w:trPr>
        <w:tc>
          <w:tcPr>
            <w:tcW w:w="4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7"/>
          <w:szCs w:val="17"/>
          <w:color w:val="auto"/>
        </w:rPr>
        <w:t>Changes in fair value of these derivative assets and liabilities are recorded in noninterest expense in the unaudited</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Consolidated Statements of Income and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tcPr>
          <w:p>
            <w:pPr>
              <w:spacing w:after="0"/>
              <w:rPr>
                <w:sz w:val="16"/>
                <w:szCs w:val="16"/>
                <w:color w:val="auto"/>
              </w:rPr>
            </w:pPr>
          </w:p>
        </w:tc>
        <w:tc>
          <w:tcPr>
            <w:tcW w:w="1920" w:type="dxa"/>
            <w:vAlign w:val="bottom"/>
            <w:tcBorders>
              <w:bottom w:val="single" w:sz="8" w:color="auto"/>
            </w:tcBorders>
            <w:gridSpan w:val="5"/>
          </w:tcPr>
          <w:p>
            <w:pPr>
              <w:spacing w:after="0"/>
              <w:rPr>
                <w:sz w:val="20"/>
                <w:szCs w:val="20"/>
                <w:color w:val="auto"/>
              </w:rPr>
            </w:pPr>
            <w:r>
              <w:rPr>
                <w:rFonts w:ascii="Arial" w:cs="Arial" w:eastAsia="Arial" w:hAnsi="Arial"/>
                <w:sz w:val="14"/>
                <w:szCs w:val="14"/>
                <w:b w:val="1"/>
                <w:bCs w:val="1"/>
                <w:color w:val="auto"/>
                <w:w w:val="95"/>
              </w:rPr>
              <w:t>Three Months Ended June 30,</w:t>
            </w:r>
          </w:p>
        </w:tc>
        <w:tc>
          <w:tcPr>
            <w:tcW w:w="100" w:type="dxa"/>
            <w:vAlign w:val="bottom"/>
          </w:tcPr>
          <w:p>
            <w:pPr>
              <w:spacing w:after="0"/>
              <w:rPr>
                <w:sz w:val="16"/>
                <w:szCs w:val="16"/>
                <w:color w:val="auto"/>
              </w:rPr>
            </w:pPr>
          </w:p>
        </w:tc>
        <w:tc>
          <w:tcPr>
            <w:tcW w:w="178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55"/>
        </w:trPr>
        <w:tc>
          <w:tcPr>
            <w:tcW w:w="340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50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Interest rate swaps</w:t>
            </w:r>
          </w:p>
        </w:tc>
        <w:tc>
          <w:tcPr>
            <w:tcW w:w="1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Pay floating, receive fixed</w:t>
            </w:r>
          </w:p>
        </w:tc>
        <w:tc>
          <w:tcPr>
            <w:tcW w:w="1600" w:type="dxa"/>
            <w:vAlign w:val="bottom"/>
            <w:gridSpan w:val="2"/>
          </w:tcPr>
          <w:p>
            <w:pPr>
              <w:jc w:val="center"/>
              <w:spacing w:after="0" w:line="202" w:lineRule="exact"/>
              <w:rPr>
                <w:sz w:val="20"/>
                <w:szCs w:val="20"/>
                <w:color w:val="auto"/>
              </w:rPr>
            </w:pPr>
            <w:r>
              <w:rPr>
                <w:rFonts w:ascii="Arial" w:cs="Arial" w:eastAsia="Arial" w:hAnsi="Arial"/>
                <w:sz w:val="18"/>
                <w:szCs w:val="18"/>
                <w:color w:val="auto"/>
                <w:w w:val="88"/>
              </w:rPr>
              <w:t>Noninterest expense</w:t>
            </w:r>
          </w:p>
        </w:tc>
        <w:tc>
          <w:tcPr>
            <w:tcW w:w="300" w:type="dxa"/>
            <w:vAlign w:val="bottom"/>
            <w:gridSpan w:val="2"/>
          </w:tcPr>
          <w:p>
            <w:pPr>
              <w:ind w:left="100"/>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7,025</w:t>
            </w:r>
          </w:p>
        </w:tc>
        <w:tc>
          <w:tcPr>
            <w:tcW w:w="280" w:type="dxa"/>
            <w:vAlign w:val="bottom"/>
            <w:gridSpan w:val="2"/>
          </w:tcPr>
          <w:p>
            <w:pPr>
              <w:jc w:val="right"/>
              <w:ind w:right="47"/>
              <w:spacing w:after="0" w:line="202" w:lineRule="exact"/>
              <w:rPr>
                <w:sz w:val="20"/>
                <w:szCs w:val="20"/>
                <w:color w:val="auto"/>
              </w:rPr>
            </w:pPr>
            <w:r>
              <w:rPr>
                <w:rFonts w:ascii="Arial" w:cs="Arial" w:eastAsia="Arial" w:hAnsi="Arial"/>
                <w:sz w:val="18"/>
                <w:szCs w:val="18"/>
                <w:color w:val="auto"/>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1,264</w:t>
            </w:r>
          </w:p>
        </w:tc>
        <w:tc>
          <w:tcPr>
            <w:tcW w:w="28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3,475</w:t>
            </w:r>
          </w:p>
        </w:tc>
        <w:tc>
          <w:tcPr>
            <w:tcW w:w="60" w:type="dxa"/>
            <w:vAlign w:val="bottom"/>
          </w:tcPr>
          <w:p>
            <w:pPr>
              <w:spacing w:after="0"/>
              <w:rPr>
                <w:sz w:val="17"/>
                <w:szCs w:val="17"/>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203"/>
        </w:trPr>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Pay fixed, receive floating</w:t>
            </w:r>
          </w:p>
        </w:tc>
        <w:tc>
          <w:tcPr>
            <w:tcW w:w="1600" w:type="dxa"/>
            <w:vAlign w:val="bottom"/>
            <w:gridSpan w:val="2"/>
            <w:shd w:val="clear" w:color="auto" w:fill="CCEEFF"/>
          </w:tcPr>
          <w:p>
            <w:pPr>
              <w:jc w:val="center"/>
              <w:spacing w:after="0" w:line="202" w:lineRule="exact"/>
              <w:rPr>
                <w:sz w:val="20"/>
                <w:szCs w:val="20"/>
                <w:color w:val="auto"/>
              </w:rPr>
            </w:pPr>
            <w:r>
              <w:rPr>
                <w:rFonts w:ascii="Arial" w:cs="Arial" w:eastAsia="Arial" w:hAnsi="Arial"/>
                <w:sz w:val="18"/>
                <w:szCs w:val="18"/>
                <w:color w:val="auto"/>
                <w:w w:val="88"/>
              </w:rPr>
              <w:t>Noninterest expense</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(7,025)</w:t>
            </w:r>
          </w:p>
        </w:tc>
        <w:tc>
          <w:tcPr>
            <w:tcW w:w="8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(1,264)</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(3,475)</w:t>
            </w: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9,331</w:t>
            </w:r>
          </w:p>
        </w:tc>
        <w:tc>
          <w:tcPr>
            <w:tcW w:w="0" w:type="dxa"/>
            <w:vAlign w:val="bottom"/>
          </w:tcPr>
          <w:p>
            <w:pPr>
              <w:spacing w:after="0"/>
              <w:rPr>
                <w:sz w:val="1"/>
                <w:szCs w:val="1"/>
                <w:color w:val="auto"/>
              </w:rPr>
            </w:pPr>
          </w:p>
        </w:tc>
      </w:tr>
      <w:tr>
        <w:trPr>
          <w:trHeight w:val="196"/>
        </w:trPr>
        <w:tc>
          <w:tcPr>
            <w:tcW w:w="3400" w:type="dxa"/>
            <w:vAlign w:val="bottom"/>
          </w:tcPr>
          <w:p>
            <w:pPr>
              <w:spacing w:after="0" w:line="196" w:lineRule="exact"/>
              <w:rPr>
                <w:sz w:val="20"/>
                <w:szCs w:val="20"/>
                <w:color w:val="auto"/>
              </w:rPr>
            </w:pPr>
            <w:r>
              <w:rPr>
                <w:rFonts w:ascii="Arial" w:cs="Arial" w:eastAsia="Arial" w:hAnsi="Arial"/>
                <w:sz w:val="18"/>
                <w:szCs w:val="18"/>
                <w:color w:val="auto"/>
                <w:w w:val="92"/>
              </w:rPr>
              <w:t>Net change in fair value of interest rate swaps</w:t>
            </w:r>
          </w:p>
        </w:tc>
        <w:tc>
          <w:tcPr>
            <w:tcW w:w="1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Risk Participation Agreement</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To manage the credit risk exposure related to a customer-facing swap, the Company entered into one risk participation agreement in conjunction with a loan participation with another financial institution. This risk participation agreement matures in 2028, and is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w w:val="85"/>
              </w:rPr>
              <w:t>As of</w:t>
            </w:r>
          </w:p>
        </w:tc>
        <w:tc>
          <w:tcPr>
            <w:tcW w:w="1040" w:type="dxa"/>
            <w:vAlign w:val="bottom"/>
            <w:tcBorders>
              <w:bottom w:val="single" w:sz="8" w:color="auto"/>
            </w:tcBorders>
          </w:tcPr>
          <w:p>
            <w:pPr>
              <w:spacing w:after="0"/>
              <w:rPr>
                <w:sz w:val="16"/>
                <w:szCs w:val="16"/>
                <w:color w:val="auto"/>
              </w:rPr>
            </w:pPr>
          </w:p>
        </w:tc>
      </w:tr>
      <w:tr>
        <w:trPr>
          <w:trHeight w:val="133"/>
        </w:trPr>
        <w:tc>
          <w:tcPr>
            <w:tcW w:w="6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00" w:type="dxa"/>
            <w:vAlign w:val="bottom"/>
          </w:tcPr>
          <w:p>
            <w:pPr>
              <w:jc w:val="right"/>
              <w:ind w:right="199"/>
              <w:spacing w:after="0" w:line="133" w:lineRule="exact"/>
              <w:rPr>
                <w:sz w:val="20"/>
                <w:szCs w:val="20"/>
                <w:color w:val="auto"/>
              </w:rPr>
            </w:pPr>
            <w:r>
              <w:rPr>
                <w:rFonts w:ascii="Arial" w:cs="Arial" w:eastAsia="Arial" w:hAnsi="Arial"/>
                <w:sz w:val="14"/>
                <w:szCs w:val="14"/>
                <w:b w:val="1"/>
                <w:bCs w:val="1"/>
                <w:color w:val="auto"/>
              </w:rPr>
              <w:t>June 30,</w:t>
            </w: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jc w:val="right"/>
              <w:ind w:right="99"/>
              <w:spacing w:after="0" w:line="133" w:lineRule="exact"/>
              <w:rPr>
                <w:sz w:val="20"/>
                <w:szCs w:val="20"/>
                <w:color w:val="auto"/>
              </w:rPr>
            </w:pPr>
            <w:r>
              <w:rPr>
                <w:rFonts w:ascii="Arial" w:cs="Arial" w:eastAsia="Arial" w:hAnsi="Arial"/>
                <w:sz w:val="14"/>
                <w:szCs w:val="14"/>
                <w:b w:val="1"/>
                <w:bCs w:val="1"/>
                <w:color w:val="auto"/>
                <w:w w:val="92"/>
              </w:rPr>
              <w:t>December 31,</w:t>
            </w:r>
          </w:p>
        </w:tc>
      </w:tr>
      <w:tr>
        <w:trPr>
          <w:trHeight w:val="185"/>
        </w:trPr>
        <w:tc>
          <w:tcPr>
            <w:tcW w:w="63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2021</w:t>
            </w:r>
          </w:p>
        </w:tc>
      </w:tr>
      <w:tr>
        <w:trPr>
          <w:trHeight w:val="182"/>
        </w:trPr>
        <w:tc>
          <w:tcPr>
            <w:tcW w:w="63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Risk participation agreement: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203"/>
        </w:trPr>
        <w:tc>
          <w:tcPr>
            <w:tcW w:w="6320" w:type="dxa"/>
            <w:vAlign w:val="bottom"/>
          </w:tcPr>
          <w:p>
            <w:pPr>
              <w:ind w:left="220"/>
              <w:spacing w:after="0" w:line="202" w:lineRule="exact"/>
              <w:rPr>
                <w:sz w:val="20"/>
                <w:szCs w:val="20"/>
                <w:color w:val="auto"/>
              </w:rPr>
            </w:pPr>
            <w:r>
              <w:rPr>
                <w:rFonts w:ascii="Arial" w:cs="Arial" w:eastAsia="Arial" w:hAnsi="Arial"/>
                <w:sz w:val="18"/>
                <w:szCs w:val="18"/>
                <w:color w:val="auto"/>
              </w:rPr>
              <w:t>Notional amount</w:t>
            </w:r>
          </w:p>
        </w:tc>
        <w:tc>
          <w:tcPr>
            <w:tcW w:w="220" w:type="dxa"/>
            <w:vAlign w:val="bottom"/>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3,946</w:t>
            </w:r>
          </w:p>
        </w:tc>
        <w:tc>
          <w:tcPr>
            <w:tcW w:w="42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3,990</w:t>
            </w:r>
          </w:p>
        </w:tc>
      </w:tr>
      <w:tr>
        <w:trPr>
          <w:trHeight w:val="203"/>
        </w:trPr>
        <w:tc>
          <w:tcPr>
            <w:tcW w:w="63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Fair value</w:t>
            </w: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w:t>
            </w:r>
          </w:p>
        </w:tc>
        <w:tc>
          <w:tcPr>
            <w:tcW w:w="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Mortgage Banking Derivatives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Interest Rate Lock Commitments</w:t>
      </w:r>
    </w:p>
    <w:p>
      <w:pPr>
        <w:spacing w:after="0" w:line="198"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 xml:space="preserve">Interest rate lock commitments that meet the definition of derivative financial instruments under ASC Topic 815 </w:t>
      </w:r>
      <w:r>
        <w:rPr>
          <w:rFonts w:ascii="Arial" w:cs="Arial" w:eastAsia="Arial" w:hAnsi="Arial"/>
          <w:sz w:val="17"/>
          <w:szCs w:val="17"/>
          <w:i w:val="1"/>
          <w:iCs w:val="1"/>
          <w:color w:val="auto"/>
        </w:rPr>
        <w:t xml:space="preserve">“Derivatives and Hedging” </w:t>
      </w:r>
      <w:r>
        <w:rPr>
          <w:rFonts w:ascii="Arial" w:cs="Arial" w:eastAsia="Arial" w:hAnsi="Arial"/>
          <w:sz w:val="17"/>
          <w:szCs w:val="17"/>
          <w:color w:val="auto"/>
        </w:rPr>
        <w:t>are carried at their fair values in other assets or other liabilities in the unaudited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Balance Sheets, with changes in the fair values of the corresponding derivative financial assets or liabilities recorded as either a charge or credit to current earnings during the period in which the changes occurred.</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Forward Sales Commitments</w:t>
      </w:r>
    </w:p>
    <w:p>
      <w:pPr>
        <w:spacing w:after="0" w:line="19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 xml:space="preserve">The Company economically hedges mortgage loans held for sale and interest rate lock commitments issued to its residential loan customers related to loans that will be held for sale by obtaining corresponding forward sales commitments with an investor to sell the loans at an agreed-upon price at the time the interest rate locks are issued to the customers. Forward sales commitments that meet the definition of derivative financial instruments under ASC Topic 815 </w:t>
      </w:r>
      <w:r>
        <w:rPr>
          <w:rFonts w:ascii="Arial" w:cs="Arial" w:eastAsia="Arial" w:hAnsi="Arial"/>
          <w:sz w:val="17"/>
          <w:szCs w:val="17"/>
          <w:i w:val="1"/>
          <w:iCs w:val="1"/>
          <w:color w:val="auto"/>
        </w:rPr>
        <w:t>“Derivatives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Hedging” </w:t>
      </w:r>
      <w:r>
        <w:rPr>
          <w:rFonts w:ascii="Arial" w:cs="Arial" w:eastAsia="Arial" w:hAnsi="Arial"/>
          <w:sz w:val="17"/>
          <w:szCs w:val="17"/>
          <w:color w:val="auto"/>
        </w:rPr>
        <w:t>are carried at their fair values in other assets or other liabilities in the unaudited Consolidated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Sheets. While such forward sales commitments generally served as an economic hedge to mortgage loans held for sale and interest rate lock commitments, the Company did not designate them for hedge accounting treatment. Changes in fair value of the corresponding derivative financial asset or liability were recorded as either a charge or credit to current earnings during the period in which the changes occurred.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Amounts and fair values of mortgage banking derivatives included in the unaudited Consolidated Balance Sheets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5"/>
          </w:tcPr>
          <w:p>
            <w:pPr>
              <w:ind w:left="60"/>
              <w:spacing w:after="0"/>
              <w:rPr>
                <w:sz w:val="20"/>
                <w:szCs w:val="20"/>
                <w:color w:val="auto"/>
              </w:rPr>
            </w:pPr>
            <w:r>
              <w:rPr>
                <w:rFonts w:ascii="Arial" w:cs="Arial" w:eastAsia="Arial" w:hAnsi="Arial"/>
                <w:sz w:val="14"/>
                <w:szCs w:val="14"/>
                <w:b w:val="1"/>
                <w:bCs w:val="1"/>
                <w:color w:val="auto"/>
              </w:rPr>
              <w:t>As of June 30, 2022</w:t>
            </w:r>
          </w:p>
        </w:tc>
        <w:tc>
          <w:tcPr>
            <w:tcW w:w="15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As of December 31, 2021</w:t>
            </w:r>
          </w:p>
        </w:tc>
        <w:tc>
          <w:tcPr>
            <w:tcW w:w="0" w:type="dxa"/>
            <w:vAlign w:val="bottom"/>
          </w:tcPr>
          <w:p>
            <w:pPr>
              <w:spacing w:after="0"/>
              <w:rPr>
                <w:sz w:val="1"/>
                <w:szCs w:val="1"/>
                <w:color w:val="auto"/>
              </w:rPr>
            </w:pPr>
          </w:p>
        </w:tc>
      </w:tr>
      <w:tr>
        <w:trPr>
          <w:trHeight w:val="133"/>
        </w:trPr>
        <w:tc>
          <w:tcPr>
            <w:tcW w:w="45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Borders>
              <w:top w:val="single" w:sz="8" w:color="auto"/>
            </w:tcBorders>
            <w:gridSpan w:val="3"/>
          </w:tcPr>
          <w:p>
            <w:pPr>
              <w:ind w:left="80"/>
              <w:spacing w:after="0" w:line="133" w:lineRule="exact"/>
              <w:rPr>
                <w:sz w:val="20"/>
                <w:szCs w:val="20"/>
                <w:color w:val="auto"/>
              </w:rPr>
            </w:pPr>
            <w:r>
              <w:rPr>
                <w:rFonts w:ascii="Arial" w:cs="Arial" w:eastAsia="Arial" w:hAnsi="Arial"/>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center"/>
              <w:ind w:right="35"/>
              <w:spacing w:after="0" w:line="133" w:lineRule="exact"/>
              <w:rPr>
                <w:sz w:val="20"/>
                <w:szCs w:val="20"/>
                <w:color w:val="auto"/>
              </w:rPr>
            </w:pPr>
            <w:r>
              <w:rPr>
                <w:rFonts w:ascii="Arial" w:cs="Arial" w:eastAsia="Arial" w:hAnsi="Arial"/>
                <w:sz w:val="14"/>
                <w:szCs w:val="14"/>
                <w:b w:val="1"/>
                <w:bCs w:val="1"/>
                <w:color w:val="auto"/>
              </w:rPr>
              <w:t>Fair</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2"/>
          </w:tcPr>
          <w:p>
            <w:pPr>
              <w:spacing w:after="0" w:line="133" w:lineRule="exact"/>
              <w:rPr>
                <w:sz w:val="20"/>
                <w:szCs w:val="20"/>
                <w:color w:val="auto"/>
              </w:rPr>
            </w:pPr>
            <w:r>
              <w:rPr>
                <w:rFonts w:ascii="Arial" w:cs="Arial" w:eastAsia="Arial" w:hAnsi="Arial"/>
                <w:sz w:val="14"/>
                <w:szCs w:val="14"/>
                <w:b w:val="1"/>
                <w:bCs w:val="1"/>
                <w:color w:val="auto"/>
              </w:rPr>
              <w:t>Notional</w:t>
            </w:r>
          </w:p>
        </w:tc>
        <w:tc>
          <w:tcPr>
            <w:tcW w:w="14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jc w:val="right"/>
              <w:ind w:right="135"/>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4540" w:type="dxa"/>
            <w:vAlign w:val="bottom"/>
          </w:tcPr>
          <w:p>
            <w:pPr>
              <w:spacing w:after="0"/>
              <w:rPr>
                <w:sz w:val="16"/>
                <w:szCs w:val="16"/>
                <w:color w:val="auto"/>
              </w:rPr>
            </w:pPr>
          </w:p>
        </w:tc>
        <w:tc>
          <w:tcPr>
            <w:tcW w:w="1240" w:type="dxa"/>
            <w:vAlign w:val="bottom"/>
            <w:gridSpan w:val="2"/>
          </w:tcPr>
          <w:p>
            <w:pPr>
              <w:ind w:left="280"/>
              <w:spacing w:after="0"/>
              <w:rPr>
                <w:sz w:val="20"/>
                <w:szCs w:val="20"/>
                <w:color w:val="auto"/>
              </w:rPr>
            </w:pPr>
            <w:r>
              <w:rPr>
                <w:rFonts w:ascii="Arial" w:cs="Arial" w:eastAsia="Arial" w:hAnsi="Arial"/>
                <w:sz w:val="14"/>
                <w:szCs w:val="14"/>
                <w:b w:val="1"/>
                <w:bCs w:val="1"/>
                <w:color w:val="auto"/>
              </w:rPr>
              <w:t>Location</w:t>
            </w:r>
          </w:p>
        </w:tc>
        <w:tc>
          <w:tcPr>
            <w:tcW w:w="8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6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100" w:type="dxa"/>
            <w:vAlign w:val="bottom"/>
          </w:tcPr>
          <w:p>
            <w:pPr>
              <w:spacing w:after="0"/>
              <w:rPr>
                <w:sz w:val="16"/>
                <w:szCs w:val="16"/>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6"/>
                <w:szCs w:val="16"/>
                <w:color w:val="auto"/>
              </w:rPr>
            </w:pPr>
          </w:p>
        </w:tc>
        <w:tc>
          <w:tcPr>
            <w:tcW w:w="580" w:type="dxa"/>
            <w:vAlign w:val="bottom"/>
          </w:tcPr>
          <w:p>
            <w:pPr>
              <w:jc w:val="right"/>
              <w:ind w:right="95"/>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45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Derivatives with positive fair value</w:t>
            </w:r>
          </w:p>
        </w:tc>
        <w:tc>
          <w:tcPr>
            <w:tcW w:w="1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540" w:type="dxa"/>
            <w:vAlign w:val="bottom"/>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240" w:type="dxa"/>
            <w:vAlign w:val="bottom"/>
            <w:gridSpan w:val="2"/>
          </w:tcPr>
          <w:p>
            <w:pPr>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7,201</w:t>
            </w:r>
          </w:p>
        </w:tc>
        <w:tc>
          <w:tcPr>
            <w:tcW w:w="10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202" w:lineRule="exact"/>
              <w:rPr>
                <w:sz w:val="20"/>
                <w:szCs w:val="20"/>
                <w:color w:val="auto"/>
              </w:rPr>
            </w:pPr>
            <w:r>
              <w:rPr>
                <w:rFonts w:ascii="Arial" w:cs="Arial" w:eastAsia="Arial" w:hAnsi="Arial"/>
                <w:sz w:val="18"/>
                <w:szCs w:val="18"/>
                <w:color w:val="auto"/>
              </w:rPr>
              <w:t>151</w:t>
            </w:r>
          </w:p>
        </w:tc>
        <w:tc>
          <w:tcPr>
            <w:tcW w:w="10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19,384</w:t>
            </w:r>
          </w:p>
        </w:tc>
        <w:tc>
          <w:tcPr>
            <w:tcW w:w="120" w:type="dxa"/>
            <w:vAlign w:val="bottom"/>
          </w:tcPr>
          <w:p>
            <w:pPr>
              <w:spacing w:after="0"/>
              <w:rPr>
                <w:sz w:val="17"/>
                <w:szCs w:val="17"/>
                <w:color w:val="auto"/>
              </w:rPr>
            </w:pPr>
          </w:p>
        </w:tc>
        <w:tc>
          <w:tcPr>
            <w:tcW w:w="14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line="202" w:lineRule="exact"/>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assets</w:t>
            </w:r>
          </w:p>
        </w:tc>
        <w:tc>
          <w:tcPr>
            <w:tcW w:w="8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931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1,884</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96"/>
        </w:trPr>
        <w:tc>
          <w:tcPr>
            <w:tcW w:w="4540" w:type="dxa"/>
            <w:vAlign w:val="bottom"/>
          </w:tcPr>
          <w:p>
            <w:pPr>
              <w:ind w:left="20"/>
              <w:spacing w:after="0" w:line="196" w:lineRule="exact"/>
              <w:rPr>
                <w:sz w:val="20"/>
                <w:szCs w:val="20"/>
                <w:color w:val="auto"/>
              </w:rPr>
            </w:pPr>
            <w:r>
              <w:rPr>
                <w:rFonts w:ascii="Arial" w:cs="Arial" w:eastAsia="Arial" w:hAnsi="Arial"/>
                <w:sz w:val="18"/>
                <w:szCs w:val="18"/>
                <w:color w:val="auto"/>
              </w:rPr>
              <w:t>Mortgage banking derivatives recorded in other assets</w:t>
            </w: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8,132</w:t>
            </w:r>
          </w:p>
        </w:tc>
        <w:tc>
          <w:tcPr>
            <w:tcW w:w="10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155</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21,268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0"/>
        </w:trPr>
        <w:tc>
          <w:tcPr>
            <w:tcW w:w="4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Derivatives with negative fair value</w:t>
            </w: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454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Other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527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3"/>
        </w:trPr>
        <w:tc>
          <w:tcPr>
            <w:tcW w:w="45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240" w:type="dxa"/>
            <w:vAlign w:val="bottom"/>
            <w:tcBorders>
              <w:bottom w:val="single" w:sz="8" w:color="CCEEFF"/>
            </w:tcBorders>
            <w:gridSpan w:val="2"/>
          </w:tcPr>
          <w:p>
            <w:pPr>
              <w:spacing w:after="0" w:line="202" w:lineRule="exact"/>
              <w:rPr>
                <w:sz w:val="20"/>
                <w:szCs w:val="20"/>
                <w:color w:val="auto"/>
              </w:rPr>
            </w:pPr>
            <w:r>
              <w:rPr>
                <w:rFonts w:ascii="Arial" w:cs="Arial" w:eastAsia="Arial" w:hAnsi="Arial"/>
                <w:sz w:val="18"/>
                <w:szCs w:val="18"/>
                <w:color w:val="auto"/>
              </w:rPr>
              <w:t>Other liabilities</w:t>
            </w:r>
          </w:p>
        </w:tc>
        <w:tc>
          <w:tcPr>
            <w:tcW w:w="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w w:val="94"/>
              </w:rPr>
              <w:t>11,551</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41,002</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196"/>
        </w:trPr>
        <w:tc>
          <w:tcPr>
            <w:tcW w:w="454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Mortgage banking derivatives recorded in other liabilities</w:t>
            </w:r>
          </w:p>
        </w:tc>
        <w:tc>
          <w:tcPr>
            <w:tcW w:w="1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12,078</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219</w:t>
            </w: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41,501</w:t>
            </w: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445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Net gains (losses) relating to these derivative instruments are summarized as follows for the periods presented </w:t>
      </w:r>
      <w:r>
        <w:rPr>
          <w:rFonts w:ascii="Arial" w:cs="Arial" w:eastAsia="Arial" w:hAnsi="Arial"/>
          <w:sz w:val="18"/>
          <w:szCs w:val="18"/>
          <w:i w:val="1"/>
          <w:iCs w:val="1"/>
          <w:color w:val="auto"/>
        </w:rPr>
        <w:t>(dollars 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60" w:type="dxa"/>
            <w:vAlign w:val="bottom"/>
          </w:tcPr>
          <w:p>
            <w:pPr>
              <w:spacing w:after="0"/>
              <w:rPr>
                <w:sz w:val="16"/>
                <w:szCs w:val="16"/>
                <w:color w:val="auto"/>
              </w:rPr>
            </w:pP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Location</w:t>
            </w:r>
          </w:p>
        </w:tc>
        <w:tc>
          <w:tcPr>
            <w:tcW w:w="206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76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55"/>
        </w:trPr>
        <w:tc>
          <w:tcPr>
            <w:tcW w:w="3660" w:type="dxa"/>
            <w:vAlign w:val="bottom"/>
          </w:tcPr>
          <w:p>
            <w:pPr>
              <w:spacing w:after="0"/>
              <w:rPr>
                <w:sz w:val="13"/>
                <w:szCs w:val="13"/>
                <w:color w:val="auto"/>
              </w:rPr>
            </w:pPr>
          </w:p>
        </w:tc>
        <w:tc>
          <w:tcPr>
            <w:tcW w:w="1420" w:type="dxa"/>
            <w:vAlign w:val="bottom"/>
            <w:gridSpan w:val="2"/>
            <w:vMerge w:val="continue"/>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5"/>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3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gains (losses)</w:t>
            </w: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60" w:type="dxa"/>
            <w:vAlign w:val="bottom"/>
          </w:tcPr>
          <w:p>
            <w:pPr>
              <w:ind w:left="220"/>
              <w:spacing w:after="0" w:line="202" w:lineRule="exact"/>
              <w:rPr>
                <w:sz w:val="20"/>
                <w:szCs w:val="20"/>
                <w:color w:val="auto"/>
              </w:rPr>
            </w:pPr>
            <w:r>
              <w:rPr>
                <w:rFonts w:ascii="Arial" w:cs="Arial" w:eastAsia="Arial" w:hAnsi="Arial"/>
                <w:sz w:val="18"/>
                <w:szCs w:val="18"/>
                <w:color w:val="auto"/>
              </w:rPr>
              <w:t>Interest rate lock commitments</w:t>
            </w:r>
          </w:p>
        </w:tc>
        <w:tc>
          <w:tcPr>
            <w:tcW w:w="1420" w:type="dxa"/>
            <w:vAlign w:val="bottom"/>
            <w:gridSpan w:val="2"/>
          </w:tcPr>
          <w:p>
            <w:pPr>
              <w:jc w:val="center"/>
              <w:ind w:right="120"/>
              <w:spacing w:after="0" w:line="202" w:lineRule="exact"/>
              <w:rPr>
                <w:sz w:val="20"/>
                <w:szCs w:val="20"/>
                <w:color w:val="auto"/>
              </w:rPr>
            </w:pPr>
            <w:r>
              <w:rPr>
                <w:rFonts w:ascii="Arial" w:cs="Arial" w:eastAsia="Arial" w:hAnsi="Arial"/>
                <w:sz w:val="18"/>
                <w:szCs w:val="18"/>
                <w:color w:val="auto"/>
                <w:w w:val="88"/>
              </w:rPr>
              <w:t>Mortgage revenue</w:t>
            </w:r>
          </w:p>
        </w:tc>
        <w:tc>
          <w:tcPr>
            <w:tcW w:w="20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134</w:t>
            </w:r>
          </w:p>
        </w:tc>
        <w:tc>
          <w:tcPr>
            <w:tcW w:w="18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493</w:t>
            </w:r>
          </w:p>
        </w:tc>
        <w:tc>
          <w:tcPr>
            <w:tcW w:w="1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149</w:t>
            </w:r>
          </w:p>
        </w:tc>
        <w:tc>
          <w:tcPr>
            <w:tcW w:w="160" w:type="dxa"/>
            <w:vAlign w:val="bottom"/>
          </w:tcPr>
          <w:p>
            <w:pPr>
              <w:spacing w:after="0"/>
              <w:rPr>
                <w:sz w:val="17"/>
                <w:szCs w:val="17"/>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965</w:t>
            </w:r>
          </w:p>
        </w:tc>
        <w:tc>
          <w:tcPr>
            <w:tcW w:w="0" w:type="dxa"/>
            <w:vAlign w:val="bottom"/>
          </w:tcPr>
          <w:p>
            <w:pPr>
              <w:spacing w:after="0"/>
              <w:rPr>
                <w:sz w:val="1"/>
                <w:szCs w:val="1"/>
                <w:color w:val="auto"/>
              </w:rPr>
            </w:pPr>
          </w:p>
        </w:tc>
      </w:tr>
      <w:tr>
        <w:trPr>
          <w:trHeight w:val="203"/>
        </w:trPr>
        <w:tc>
          <w:tcPr>
            <w:tcW w:w="36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Forward sales commitments</w:t>
            </w:r>
          </w:p>
        </w:tc>
        <w:tc>
          <w:tcPr>
            <w:tcW w:w="1420" w:type="dxa"/>
            <w:vAlign w:val="bottom"/>
            <w:gridSpan w:val="2"/>
            <w:shd w:val="clear" w:color="auto" w:fill="CCEEFF"/>
          </w:tcPr>
          <w:p>
            <w:pPr>
              <w:jc w:val="center"/>
              <w:ind w:right="120"/>
              <w:spacing w:after="0" w:line="202" w:lineRule="exact"/>
              <w:rPr>
                <w:sz w:val="20"/>
                <w:szCs w:val="20"/>
                <w:color w:val="auto"/>
              </w:rPr>
            </w:pPr>
            <w:r>
              <w:rPr>
                <w:rFonts w:ascii="Arial" w:cs="Arial" w:eastAsia="Arial" w:hAnsi="Arial"/>
                <w:sz w:val="18"/>
                <w:szCs w:val="18"/>
                <w:color w:val="auto"/>
                <w:w w:val="88"/>
              </w:rPr>
              <w:t>Mortgage revenue</w:t>
            </w:r>
          </w:p>
        </w:tc>
        <w:tc>
          <w:tcPr>
            <w:tcW w:w="20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(319)</w:t>
            </w:r>
          </w:p>
        </w:tc>
        <w:tc>
          <w:tcPr>
            <w:tcW w:w="18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(1,358)</w:t>
            </w: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(213)</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(2,178)</w:t>
            </w:r>
          </w:p>
        </w:tc>
        <w:tc>
          <w:tcPr>
            <w:tcW w:w="0" w:type="dxa"/>
            <w:vAlign w:val="bottom"/>
          </w:tcPr>
          <w:p>
            <w:pPr>
              <w:spacing w:after="0"/>
              <w:rPr>
                <w:sz w:val="1"/>
                <w:szCs w:val="1"/>
                <w:color w:val="auto"/>
              </w:rPr>
            </w:pPr>
          </w:p>
        </w:tc>
      </w:tr>
      <w:tr>
        <w:trPr>
          <w:trHeight w:val="196"/>
        </w:trPr>
        <w:tc>
          <w:tcPr>
            <w:tcW w:w="3660" w:type="dxa"/>
            <w:vAlign w:val="bottom"/>
          </w:tcPr>
          <w:p>
            <w:pPr>
              <w:ind w:left="20"/>
              <w:spacing w:after="0" w:line="196" w:lineRule="exact"/>
              <w:rPr>
                <w:sz w:val="20"/>
                <w:szCs w:val="20"/>
                <w:color w:val="auto"/>
              </w:rPr>
            </w:pPr>
            <w:r>
              <w:rPr>
                <w:rFonts w:ascii="Arial" w:cs="Arial" w:eastAsia="Arial" w:hAnsi="Arial"/>
                <w:sz w:val="18"/>
                <w:szCs w:val="18"/>
                <w:color w:val="auto"/>
              </w:rPr>
              <w:t>Net gains (losses)</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(185)</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w:t>
            </w:r>
          </w:p>
        </w:tc>
        <w:tc>
          <w:tcPr>
            <w:tcW w:w="16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11: Fair Value Measurements</w:t>
      </w:r>
    </w:p>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 xml:space="preserve">The fair value of an asset or liability is the price that would be received by selling that asset or paid in transferring that liability (exit price) in an orderly transaction occurring in the principal market (or most advantageous market in the absence of a principal market) for such asset or liability. ASC Topic 820 </w:t>
      </w:r>
      <w:r>
        <w:rPr>
          <w:rFonts w:ascii="Arial" w:cs="Arial" w:eastAsia="Arial" w:hAnsi="Arial"/>
          <w:sz w:val="17"/>
          <w:szCs w:val="17"/>
          <w:i w:val="1"/>
          <w:iCs w:val="1"/>
          <w:color w:val="auto"/>
        </w:rPr>
        <w:t>“Fair Value Measurement”</w:t>
      </w:r>
      <w:r>
        <w:rPr>
          <w:rFonts w:ascii="Arial" w:cs="Arial" w:eastAsia="Arial" w:hAnsi="Arial"/>
          <w:sz w:val="17"/>
          <w:szCs w:val="17"/>
          <w:color w:val="auto"/>
        </w:rPr>
        <w:t xml:space="preserve"> establishes a fair value hierarchy for valuation inputs that gives the highest priority to quoted prices in active markets for identical assets or liabilities and the lowest priority to unobservable inputs. The fair value hierarchy is as follows:</w:t>
      </w:r>
    </w:p>
    <w:p>
      <w:pPr>
        <w:spacing w:after="0" w:line="160" w:lineRule="exact"/>
        <w:rPr>
          <w:sz w:val="20"/>
          <w:szCs w:val="20"/>
          <w:color w:val="auto"/>
        </w:rPr>
      </w:pPr>
    </w:p>
    <w:p>
      <w:pPr>
        <w:ind w:left="640" w:right="79" w:hanging="320"/>
        <w:spacing w:after="0" w:line="261"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1 Inputs </w:t>
      </w:r>
      <w:r>
        <w:rPr>
          <w:rFonts w:ascii="Arial" w:cs="Arial" w:eastAsia="Arial" w:hAnsi="Arial"/>
          <w:sz w:val="18"/>
          <w:szCs w:val="18"/>
          <w:color w:val="auto"/>
        </w:rPr>
        <w:t>– Unadjusted quoted prices in active markets for identical assets or liabilities that the Company has</w:t>
      </w:r>
      <w:r>
        <w:rPr>
          <w:rFonts w:ascii="Arial" w:cs="Arial" w:eastAsia="Arial" w:hAnsi="Arial"/>
          <w:sz w:val="18"/>
          <w:szCs w:val="18"/>
          <w:i w:val="1"/>
          <w:iCs w:val="1"/>
          <w:color w:val="auto"/>
        </w:rPr>
        <w:t xml:space="preserve"> </w:t>
      </w:r>
      <w:r>
        <w:rPr>
          <w:rFonts w:ascii="Arial" w:cs="Arial" w:eastAsia="Arial" w:hAnsi="Arial"/>
          <w:sz w:val="18"/>
          <w:szCs w:val="18"/>
          <w:color w:val="auto"/>
        </w:rPr>
        <w:t>the ability to access at the measurement date.</w:t>
      </w:r>
    </w:p>
    <w:p>
      <w:pPr>
        <w:spacing w:after="0" w:line="157" w:lineRule="exact"/>
        <w:rPr>
          <w:rFonts w:ascii="Arial" w:cs="Arial" w:eastAsia="Arial" w:hAnsi="Arial"/>
          <w:sz w:val="18"/>
          <w:szCs w:val="18"/>
          <w:color w:val="auto"/>
        </w:rPr>
      </w:pPr>
    </w:p>
    <w:p>
      <w:pPr>
        <w:jc w:val="both"/>
        <w:ind w:left="640" w:right="79" w:hanging="320"/>
        <w:spacing w:after="0" w:line="279" w:lineRule="auto"/>
        <w:tabs>
          <w:tab w:leader="none" w:pos="6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Level 2 Inputs </w:t>
      </w:r>
      <w:r>
        <w:rPr>
          <w:rFonts w:ascii="Arial" w:cs="Arial" w:eastAsia="Arial" w:hAnsi="Arial"/>
          <w:sz w:val="16"/>
          <w:szCs w:val="16"/>
          <w:color w:val="auto"/>
        </w:rPr>
        <w:t>– Inputs other than quoted prices included in Level 1 that are observable for the asset or liability,</w:t>
      </w:r>
      <w:r>
        <w:rPr>
          <w:rFonts w:ascii="Arial" w:cs="Arial" w:eastAsia="Arial" w:hAnsi="Arial"/>
          <w:sz w:val="16"/>
          <w:szCs w:val="16"/>
          <w:i w:val="1"/>
          <w:iCs w:val="1"/>
          <w:color w:val="auto"/>
        </w:rPr>
        <w:t xml:space="preserve"> </w:t>
      </w:r>
      <w:r>
        <w:rPr>
          <w:rFonts w:ascii="Arial" w:cs="Arial" w:eastAsia="Arial" w:hAnsi="Arial"/>
          <w:sz w:val="16"/>
          <w:szCs w:val="16"/>
          <w:color w:val="auto"/>
        </w:rPr>
        <w:t>either directly or indirectly. These might include quoted prices for similar assets or liabilities in active markets, quoted prices for identical or similar assets or liabilities in markets that are not active, inputs other than quoted prices that are observable for the asset or liability (such as interest rates, volatilities, prepayment speeds, credit risks, etc.) or inputs that are derived principally from or corroborated by market data by correlation or other means.</w:t>
      </w:r>
    </w:p>
    <w:p>
      <w:pPr>
        <w:spacing w:after="0" w:line="145" w:lineRule="exact"/>
        <w:rPr>
          <w:rFonts w:ascii="Arial" w:cs="Arial" w:eastAsia="Arial" w:hAnsi="Arial"/>
          <w:sz w:val="16"/>
          <w:szCs w:val="16"/>
          <w:color w:val="auto"/>
        </w:rPr>
      </w:pPr>
    </w:p>
    <w:p>
      <w:pPr>
        <w:jc w:val="both"/>
        <w:ind w:left="640" w:right="79" w:hanging="320"/>
        <w:spacing w:after="0" w:line="248" w:lineRule="auto"/>
        <w:tabs>
          <w:tab w:leader="none" w:pos="6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Level 3 Inputs </w:t>
      </w:r>
      <w:r>
        <w:rPr>
          <w:rFonts w:ascii="Arial" w:cs="Arial" w:eastAsia="Arial" w:hAnsi="Arial"/>
          <w:sz w:val="18"/>
          <w:szCs w:val="18"/>
          <w:color w:val="auto"/>
        </w:rPr>
        <w:t>– Unobservable inputs for determining the fair values of assets or liabilities that reflect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own assumptions about the assumptions that market participants would use in pricing the assets or liabilities.</w:t>
      </w:r>
    </w:p>
    <w:p>
      <w:pPr>
        <w:spacing w:after="0" w:line="16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A description of the valuation methodologies used for instruments measured at fair value, as well as the general classification of such instruments pursuant to the valuation hierarchy, is set forth below. These valuation methodologies were applied to those Company assets and liabilities that are carried at fair value.</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In general, fair value is based upon quoted market prices, when available. If such quoted market prices are not available, fair values are measured utilizing independent valuation techniques of identical or similar securities for which significant assumptions are derived primarily from or corroborated by observable data. Valuation adjustments may be made to ensure that financial instruments are recorded at fair value. These adjustments may include amounts to reflect, among other things, counterparty credit quality and the company's creditworthiness as well as unobservable parameters. Any such valuation adjustments are applied consistently over time. While management believes the Company's valuation methodologies are appropriate and consistent with other market participants, the use of different methodologies or assumptions to determine the fair value of certain financial instruments could result in a different estimate of fair value at the reporting date.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Assets and Financial Liabilities Measured at Fair Value on a Recurring Basis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Debt Securities Available for Sale</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Debt securities classified as available for sale are reported at fair value utilizing Level 2 measurements. The Company obtains fair value measurements from an independent pricing service. The independent pricing service utilizes evaluated pricing models that vary by asset class and incorporate available trade, bid, and other market information. Because many fixed income securities do not trade on a daily basis, the independent pricing service applies available information, focusing on observable market data such as benchmark curves, benchmarking of like securities, sector groupings, and matrix pricing to prepare evaluations.</w:t>
      </w:r>
    </w:p>
    <w:p>
      <w:pPr>
        <w:spacing w:after="0" w:line="176"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The independent pricing service uses model processes, such as the Option Adjusted Spread model, to assess interest rate impact and develop prepayment scenarios. Models and processes take into account market conventions. For each asset class, a team of evaluators gathers information from market sources and integrates relevant credit information, perceived market movements, and sector news into the evaluated pricing applications and models.</w:t>
      </w:r>
    </w:p>
    <w:p>
      <w:pPr>
        <w:spacing w:after="0" w:line="159"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6"/>
          <w:szCs w:val="16"/>
          <w:color w:val="auto"/>
        </w:rPr>
        <w:t>Market inputs that the independent pricing service normally seeks for evaluations of securities, listed in approximate order of priority, include: benchmark yields, reported trades, broker/dealer quotes, issuer spreads, two-sided markets, benchmark securities, bids, offers, and reference data including market research publications. The independent pricing service also monitors market indicators, industry, and economic events. For certain security types, additional inputs may be used or some of the market inputs may not be applicable. Evaluators may prioritize inputs differently on any given day for any security based on market conditions, and not all inputs listed are available for use in the evaluation process for each security evaluation on a given day. Because the data utilized was observable, the securities have been classified as Level 2.</w:t>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Equity Securities</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Equity securities are reported at fair value utilizing Level 1 or Level 2 measurements. As applicable, for mutual funds, unadjusted quoted prices in active markets for identical assets are utilized to determine fair value at the measurement date and are classified as Level 1. For stock, quoted prices for identical or similar assets in markets that are not active are utilized and classified as Level 2.</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Loans Held for Sale</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Loans held for sale that were reported at fair value utilized Level 2 measurements at December 31, 2021. The fair values of the mortgage loans held for sale were measured using observable quoted market or contract prices or market price equivalents and were classified as Level 2.</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Derivative Assets and Derivative Liabilities</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Derivative assets and derivative liabilities are reported at fair value utilizing Level 2 or Level 3 measurements. As applicable, fair values of derivative assets and liabilities are determined based on prices that are obtained from a third-party which uses observable market inputs and are classified as Level 2. Due to the significance of unobservable inputs, derivative assets related to our risk participation agreement are classified as Level 3.</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The following tables summarize financial assets and financial liabilities measured at fair value on a recurring basis as of June 30, 2022, and December 31, 2021,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4"/>
          </w:tcPr>
          <w:p>
            <w:pPr>
              <w:jc w:val="right"/>
              <w:ind w:right="153"/>
              <w:spacing w:after="0"/>
              <w:rPr>
                <w:sz w:val="20"/>
                <w:szCs w:val="20"/>
                <w:color w:val="auto"/>
              </w:rPr>
            </w:pPr>
            <w:r>
              <w:rPr>
                <w:rFonts w:ascii="Arial" w:cs="Arial" w:eastAsia="Arial" w:hAnsi="Arial"/>
                <w:sz w:val="14"/>
                <w:szCs w:val="14"/>
                <w:b w:val="1"/>
                <w:bCs w:val="1"/>
                <w:color w:val="auto"/>
              </w:rPr>
              <w:t>As of June 30, 2022</w:t>
            </w: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133"/>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7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147,140</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147,140</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29,839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29,839</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287,612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287,612</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468,129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468,129</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98,362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98,362</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1,441,157</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1,441,157</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272,407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272,407</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11,264</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Derivative assets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25,126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25,129</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liabilities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43,074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43,074</w:t>
            </w:r>
          </w:p>
        </w:tc>
      </w:tr>
      <w:tr>
        <w:trPr>
          <w:trHeight w:val="378"/>
        </w:trPr>
        <w:tc>
          <w:tcPr>
            <w:tcW w:w="4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8"/>
              </w:rPr>
              <w:t>As of December 31, 2021</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r>
      <w:tr>
        <w:trPr>
          <w:trHeight w:val="133"/>
        </w:trPr>
        <w:tc>
          <w:tcPr>
            <w:tcW w:w="4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1</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center"/>
              <w:ind w:right="54"/>
              <w:spacing w:after="0" w:line="133" w:lineRule="exact"/>
              <w:rPr>
                <w:sz w:val="20"/>
                <w:szCs w:val="20"/>
                <w:color w:val="auto"/>
              </w:rPr>
            </w:pPr>
            <w:r>
              <w:rPr>
                <w:rFonts w:ascii="Arial" w:cs="Arial" w:eastAsia="Arial" w:hAnsi="Arial"/>
                <w:sz w:val="14"/>
                <w:szCs w:val="14"/>
                <w:b w:val="1"/>
                <w:bCs w:val="1"/>
                <w:color w:val="auto"/>
                <w:w w:val="92"/>
              </w:rPr>
              <w:t>Level 2</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right="53"/>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4740" w:type="dxa"/>
            <w:vAlign w:val="bottom"/>
            <w:tcBorders>
              <w:bottom w:val="single" w:sz="8" w:color="CCEEFF"/>
            </w:tcBorders>
          </w:tcPr>
          <w:p>
            <w:pPr>
              <w:spacing w:after="0"/>
              <w:rPr>
                <w:sz w:val="16"/>
                <w:szCs w:val="16"/>
                <w:color w:val="auto"/>
              </w:rPr>
            </w:pPr>
          </w:p>
        </w:tc>
        <w:tc>
          <w:tcPr>
            <w:tcW w:w="3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95"/>
              </w:rPr>
              <w:t>Inputs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Inputs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47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Debt securities available for sale:</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U.S. Treasury securities</w:t>
            </w:r>
          </w:p>
        </w:tc>
        <w:tc>
          <w:tcPr>
            <w:tcW w:w="42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165,762</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165,762</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6"/>
              </w:rPr>
              <w:t>Obligations of U.S. government corporations and agencies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38,470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38,470</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Obligations of states and political subdivisions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306,869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306,869</w:t>
            </w:r>
          </w:p>
        </w:tc>
      </w:tr>
      <w:tr>
        <w:trPr>
          <w:trHeight w:val="203"/>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Asset-backed securities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492,186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492,186</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Commercial mortgage-backed securities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614,998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614,998</w:t>
            </w:r>
          </w:p>
        </w:tc>
      </w:tr>
      <w:tr>
        <w:trPr>
          <w:trHeight w:val="202"/>
        </w:trPr>
        <w:tc>
          <w:tcPr>
            <w:tcW w:w="47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Residential mortgage-backed securities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2,069,313</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2,069,313</w:t>
            </w:r>
          </w:p>
        </w:tc>
      </w:tr>
      <w:tr>
        <w:trPr>
          <w:trHeight w:val="203"/>
        </w:trPr>
        <w:tc>
          <w:tcPr>
            <w:tcW w:w="4740" w:type="dxa"/>
            <w:vAlign w:val="bottom"/>
          </w:tcPr>
          <w:p>
            <w:pPr>
              <w:ind w:left="220"/>
              <w:spacing w:after="0" w:line="202" w:lineRule="exact"/>
              <w:rPr>
                <w:sz w:val="20"/>
                <w:szCs w:val="20"/>
                <w:color w:val="auto"/>
              </w:rPr>
            </w:pPr>
            <w:r>
              <w:rPr>
                <w:rFonts w:ascii="Arial" w:cs="Arial" w:eastAsia="Arial" w:hAnsi="Arial"/>
                <w:sz w:val="18"/>
                <w:szCs w:val="18"/>
                <w:color w:val="auto"/>
              </w:rPr>
              <w:t>Corporate debt securities</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293,653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293,653</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Equity securities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13,571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13,571</w:t>
            </w:r>
          </w:p>
        </w:tc>
      </w:tr>
      <w:tr>
        <w:trPr>
          <w:trHeight w:val="203"/>
        </w:trPr>
        <w:tc>
          <w:tcPr>
            <w:tcW w:w="4740" w:type="dxa"/>
            <w:vAlign w:val="bottom"/>
          </w:tcPr>
          <w:p>
            <w:pPr>
              <w:spacing w:after="0" w:line="202" w:lineRule="exact"/>
              <w:rPr>
                <w:sz w:val="20"/>
                <w:szCs w:val="20"/>
                <w:color w:val="auto"/>
              </w:rPr>
            </w:pPr>
            <w:r>
              <w:rPr>
                <w:rFonts w:ascii="Arial" w:cs="Arial" w:eastAsia="Arial" w:hAnsi="Arial"/>
                <w:sz w:val="18"/>
                <w:szCs w:val="18"/>
                <w:color w:val="auto"/>
              </w:rPr>
              <w:t>Loans held for sale</w:t>
            </w:r>
          </w:p>
        </w:tc>
        <w:tc>
          <w:tcPr>
            <w:tcW w:w="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23,875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23,875</w:t>
            </w:r>
          </w:p>
        </w:tc>
      </w:tr>
      <w:tr>
        <w:trPr>
          <w:trHeight w:val="203"/>
        </w:trPr>
        <w:tc>
          <w:tcPr>
            <w:tcW w:w="47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Derivative assets</w:t>
            </w:r>
          </w:p>
        </w:tc>
        <w:tc>
          <w:tcPr>
            <w:tcW w:w="3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ind w:left="4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20,314</w:t>
            </w: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Derivative liabilities</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21,501</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Loans Evaluated Individually</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Certain financial assets and financial liabilities are measured at fair value on a non-recurring basis; that is, the instruments are not measured at fair value on an ongoing basis but are subject to fair value adjustments in certain circumstances (for example, when there is evidence of impairment).</w:t>
      </w:r>
    </w:p>
    <w:p>
      <w:pPr>
        <w:spacing w:after="0" w:line="16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The Company does not record portfolio loans at fair value on a recurring basis. However, periodically, a loan is evaluated individually and is reported at the fair value of the underlying collateral, less estimated costs to sell, if repayment is expected solely from the collateral. If the collateral value is not sufficient, a specific reserve is recorded. Collateral values are estimated using a combination of observable inputs, including recent appraisals, and unobservable inputs based on customized discounting criteria. Due to the significance of unobservable inputs, fair values of individually evaluated collateral dependent loans have been classified as Level 3.</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OREO</w:t>
      </w:r>
    </w:p>
    <w:p>
      <w:pPr>
        <w:spacing w:after="0" w:line="19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Non-financial assets measured at fair value include OREO (upon initial recognition or subsequent impairment). OREO properties are measured using a combination of observable inputs, including recent appraisals, and unobservable inputs. Due to the significance of unobservable inputs, all OREO fair values have been classified as Level 3.</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Bank Property Held for Sale</w:t>
      </w:r>
    </w:p>
    <w:p>
      <w:pPr>
        <w:spacing w:after="0" w:line="198"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Bank property held for sale represents certain banking center office buildings which the Company has closed and consolidated with other existing banking centers. Bank property held for sale is measured at the lower of amortized cost or fair value less estimated costs to sell. Fair values were based upon discounted appraisals or real estate listing prices. Due to the significance of unobservable inputs, fair values of all bank property held for sale have been classified as Level 3.</w:t>
      </w:r>
    </w:p>
    <w:p>
      <w:pPr>
        <w:spacing w:after="0" w:line="14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The following tables summarize assets and liabilities measured at fair value on a non-recurring basis for the periods presented, segregated by the level of the valuation inputs within the fair value hierarchy utilized to measure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As of June 30, 2022</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r>
      <w:tr>
        <w:trPr>
          <w:trHeight w:val="133"/>
        </w:trPr>
        <w:tc>
          <w:tcPr>
            <w:tcW w:w="5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1"/>
                <w:szCs w:val="11"/>
                <w:color w:val="auto"/>
              </w:rPr>
            </w:pPr>
          </w:p>
        </w:tc>
        <w:tc>
          <w:tcPr>
            <w:tcW w:w="840" w:type="dxa"/>
            <w:vAlign w:val="bottom"/>
            <w:gridSpan w:val="2"/>
          </w:tcPr>
          <w:p>
            <w:pPr>
              <w:ind w:left="40"/>
              <w:spacing w:after="0" w:line="133"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1"/>
                <w:szCs w:val="11"/>
                <w:color w:val="auto"/>
              </w:rPr>
            </w:pPr>
          </w:p>
        </w:tc>
        <w:tc>
          <w:tcPr>
            <w:tcW w:w="740" w:type="dxa"/>
            <w:vAlign w:val="bottom"/>
          </w:tcPr>
          <w:p>
            <w:pPr>
              <w:jc w:val="center"/>
              <w:ind w:right="17"/>
              <w:spacing w:after="0" w:line="133"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 net of related allowance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5,366</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OREO with subsequent impairment</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274</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 with impairment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7,923</w:t>
            </w:r>
          </w:p>
        </w:tc>
      </w:tr>
      <w:tr>
        <w:trPr>
          <w:trHeight w:val="418"/>
        </w:trPr>
        <w:tc>
          <w:tcPr>
            <w:tcW w:w="5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5"/>
          </w:tcPr>
          <w:p>
            <w:pPr>
              <w:ind w:left="40"/>
              <w:spacing w:after="0"/>
              <w:rPr>
                <w:sz w:val="20"/>
                <w:szCs w:val="20"/>
                <w:color w:val="auto"/>
              </w:rPr>
            </w:pPr>
            <w:r>
              <w:rPr>
                <w:rFonts w:ascii="Arial" w:cs="Arial" w:eastAsia="Arial" w:hAnsi="Arial"/>
                <w:sz w:val="14"/>
                <w:szCs w:val="14"/>
                <w:b w:val="1"/>
                <w:bCs w:val="1"/>
                <w:color w:val="auto"/>
              </w:rPr>
              <w:t>As of December 31, 2021</w:t>
            </w: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r>
      <w:tr>
        <w:trPr>
          <w:trHeight w:val="160"/>
        </w:trPr>
        <w:tc>
          <w:tcPr>
            <w:tcW w:w="5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40" w:type="dxa"/>
            <w:vAlign w:val="bottom"/>
            <w:gridSpan w:val="2"/>
          </w:tcPr>
          <w:p>
            <w:pPr>
              <w:ind w:left="60"/>
              <w:spacing w:after="0" w:line="160"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3"/>
                <w:szCs w:val="13"/>
                <w:color w:val="auto"/>
              </w:rPr>
            </w:pPr>
          </w:p>
        </w:tc>
        <w:tc>
          <w:tcPr>
            <w:tcW w:w="840" w:type="dxa"/>
            <w:vAlign w:val="bottom"/>
            <w:gridSpan w:val="2"/>
          </w:tcPr>
          <w:p>
            <w:pPr>
              <w:ind w:left="40"/>
              <w:spacing w:after="0" w:line="160" w:lineRule="exact"/>
              <w:rPr>
                <w:sz w:val="20"/>
                <w:szCs w:val="20"/>
                <w:color w:val="auto"/>
              </w:rPr>
            </w:pPr>
            <w:r>
              <w:rPr>
                <w:rFonts w:ascii="Arial" w:cs="Arial" w:eastAsia="Arial" w:hAnsi="Arial"/>
                <w:sz w:val="14"/>
                <w:szCs w:val="14"/>
                <w:b w:val="1"/>
                <w:bCs w:val="1"/>
                <w:color w:val="auto"/>
              </w:rPr>
              <w:t>Level 3</w:t>
            </w:r>
          </w:p>
        </w:tc>
        <w:tc>
          <w:tcPr>
            <w:tcW w:w="100" w:type="dxa"/>
            <w:vAlign w:val="bottom"/>
          </w:tcPr>
          <w:p>
            <w:pPr>
              <w:spacing w:after="0"/>
              <w:rPr>
                <w:sz w:val="13"/>
                <w:szCs w:val="13"/>
                <w:color w:val="auto"/>
              </w:rPr>
            </w:pPr>
          </w:p>
        </w:tc>
        <w:tc>
          <w:tcPr>
            <w:tcW w:w="740" w:type="dxa"/>
            <w:vAlign w:val="bottom"/>
          </w:tcPr>
          <w:p>
            <w:pPr>
              <w:jc w:val="center"/>
              <w:ind w:right="17"/>
              <w:spacing w:after="0" w:line="160" w:lineRule="exact"/>
              <w:rPr>
                <w:sz w:val="20"/>
                <w:szCs w:val="20"/>
                <w:color w:val="auto"/>
              </w:rPr>
            </w:pPr>
            <w:r>
              <w:rPr>
                <w:rFonts w:ascii="Arial" w:cs="Arial" w:eastAsia="Arial" w:hAnsi="Arial"/>
                <w:sz w:val="14"/>
                <w:szCs w:val="14"/>
                <w:b w:val="1"/>
                <w:bCs w:val="1"/>
                <w:color w:val="auto"/>
                <w:w w:val="95"/>
              </w:rPr>
              <w:t>Total</w:t>
            </w:r>
          </w:p>
        </w:tc>
      </w:tr>
      <w:tr>
        <w:trPr>
          <w:trHeight w:val="185"/>
        </w:trPr>
        <w:tc>
          <w:tcPr>
            <w:tcW w:w="5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Inputs</w:t>
            </w:r>
          </w:p>
        </w:tc>
        <w:tc>
          <w:tcPr>
            <w:tcW w:w="120" w:type="dxa"/>
            <w:vAlign w:val="bottom"/>
          </w:tcPr>
          <w:p>
            <w:pPr>
              <w:spacing w:after="0"/>
              <w:rPr>
                <w:sz w:val="16"/>
                <w:szCs w:val="16"/>
                <w:color w:val="auto"/>
              </w:rPr>
            </w:pPr>
          </w:p>
        </w:tc>
        <w:tc>
          <w:tcPr>
            <w:tcW w:w="8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Inputs</w:t>
            </w:r>
          </w:p>
        </w:tc>
        <w:tc>
          <w:tcPr>
            <w:tcW w:w="160" w:type="dxa"/>
            <w:vAlign w:val="bottom"/>
          </w:tcPr>
          <w:p>
            <w:pPr>
              <w:spacing w:after="0"/>
              <w:rPr>
                <w:sz w:val="16"/>
                <w:szCs w:val="16"/>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Inputs</w:t>
            </w:r>
          </w:p>
        </w:tc>
        <w:tc>
          <w:tcPr>
            <w:tcW w:w="100" w:type="dxa"/>
            <w:vAlign w:val="bottom"/>
          </w:tcPr>
          <w:p>
            <w:pPr>
              <w:spacing w:after="0"/>
              <w:rPr>
                <w:sz w:val="16"/>
                <w:szCs w:val="16"/>
                <w:color w:val="auto"/>
              </w:rPr>
            </w:pPr>
          </w:p>
        </w:tc>
        <w:tc>
          <w:tcPr>
            <w:tcW w:w="740" w:type="dxa"/>
            <w:vAlign w:val="bottom"/>
          </w:tcPr>
          <w:p>
            <w:pPr>
              <w:jc w:val="center"/>
              <w:ind w:right="17"/>
              <w:spacing w:after="0"/>
              <w:rPr>
                <w:sz w:val="20"/>
                <w:szCs w:val="20"/>
                <w:color w:val="auto"/>
              </w:rPr>
            </w:pPr>
            <w:r>
              <w:rPr>
                <w:rFonts w:ascii="Arial" w:cs="Arial" w:eastAsia="Arial" w:hAnsi="Arial"/>
                <w:sz w:val="14"/>
                <w:szCs w:val="14"/>
                <w:b w:val="1"/>
                <w:bCs w:val="1"/>
                <w:color w:val="auto"/>
                <w:w w:val="95"/>
              </w:rPr>
              <w:t>Fair Value</w:t>
            </w:r>
          </w:p>
        </w:tc>
      </w:tr>
      <w:tr>
        <w:trPr>
          <w:trHeight w:val="196"/>
        </w:trPr>
        <w:tc>
          <w:tcPr>
            <w:tcW w:w="51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Loans evaluated individually, net of related allowance</w:t>
            </w: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ind w:left="460"/>
              <w:spacing w:after="0" w:line="196"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2,926</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2,926</w:t>
            </w:r>
          </w:p>
        </w:tc>
      </w:tr>
      <w:tr>
        <w:trPr>
          <w:trHeight w:val="203"/>
        </w:trPr>
        <w:tc>
          <w:tcPr>
            <w:tcW w:w="5120" w:type="dxa"/>
            <w:vAlign w:val="bottom"/>
          </w:tcPr>
          <w:p>
            <w:pPr>
              <w:ind w:left="20"/>
              <w:spacing w:after="0" w:line="202" w:lineRule="exact"/>
              <w:rPr>
                <w:sz w:val="20"/>
                <w:szCs w:val="20"/>
                <w:color w:val="auto"/>
              </w:rPr>
            </w:pPr>
            <w:r>
              <w:rPr>
                <w:rFonts w:ascii="Arial" w:cs="Arial" w:eastAsia="Arial" w:hAnsi="Arial"/>
                <w:sz w:val="18"/>
                <w:szCs w:val="18"/>
                <w:color w:val="auto"/>
              </w:rPr>
              <w:t>OREO with subsequent impairment</w:t>
            </w:r>
          </w:p>
        </w:tc>
        <w:tc>
          <w:tcPr>
            <w:tcW w:w="14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40" w:type="dxa"/>
            <w:vAlign w:val="bottom"/>
            <w:gridSpan w:val="2"/>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51</w:t>
            </w:r>
          </w:p>
        </w:tc>
      </w:tr>
      <w:tr>
        <w:trPr>
          <w:trHeight w:val="203"/>
        </w:trPr>
        <w:tc>
          <w:tcPr>
            <w:tcW w:w="512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Bank property held for sale with impairment</w:t>
            </w:r>
          </w:p>
        </w:tc>
        <w:tc>
          <w:tcPr>
            <w:tcW w:w="14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40" w:type="dxa"/>
            <w:vAlign w:val="bottom"/>
            <w:gridSpan w:val="2"/>
            <w:shd w:val="clear" w:color="auto" w:fill="CCEEFF"/>
          </w:tcPr>
          <w:p>
            <w:pPr>
              <w:ind w:left="460"/>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10,103</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10,103</w:t>
            </w:r>
          </w:p>
        </w:tc>
      </w:tr>
    </w:tbl>
    <w:p>
      <w:pPr>
        <w:spacing w:after="0" w:line="18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The following table presents additional quantitative information about assets measured at fair value on a non-recurring basis for which the Company has utilized Level 3 inputs to determine fair value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5"/>
          </w:tcPr>
          <w:p>
            <w:pPr>
              <w:jc w:val="center"/>
              <w:ind w:left="1277"/>
              <w:spacing w:after="0"/>
              <w:rPr>
                <w:sz w:val="20"/>
                <w:szCs w:val="20"/>
                <w:color w:val="auto"/>
              </w:rPr>
            </w:pPr>
            <w:r>
              <w:rPr>
                <w:rFonts w:ascii="Arial" w:cs="Arial" w:eastAsia="Arial" w:hAnsi="Arial"/>
                <w:sz w:val="14"/>
                <w:szCs w:val="14"/>
                <w:b w:val="1"/>
                <w:bCs w:val="1"/>
                <w:color w:val="auto"/>
                <w:w w:val="90"/>
              </w:rPr>
              <w:t>As of June 30, 2022</w:t>
            </w:r>
          </w:p>
        </w:tc>
        <w:tc>
          <w:tcPr>
            <w:tcW w:w="8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r>
      <w:tr>
        <w:trPr>
          <w:trHeight w:val="133"/>
        </w:trPr>
        <w:tc>
          <w:tcPr>
            <w:tcW w:w="2640" w:type="dxa"/>
            <w:vAlign w:val="bottom"/>
          </w:tcPr>
          <w:p>
            <w:pPr>
              <w:spacing w:after="0"/>
              <w:rPr>
                <w:sz w:val="11"/>
                <w:szCs w:val="11"/>
                <w:color w:val="auto"/>
              </w:rPr>
            </w:pPr>
          </w:p>
        </w:tc>
        <w:tc>
          <w:tcPr>
            <w:tcW w:w="860" w:type="dxa"/>
            <w:vAlign w:val="bottom"/>
            <w:gridSpan w:val="4"/>
          </w:tcPr>
          <w:p>
            <w:pPr>
              <w:jc w:val="center"/>
              <w:ind w:right="180"/>
              <w:spacing w:after="0" w:line="133"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1"/>
                <w:szCs w:val="11"/>
                <w:color w:val="auto"/>
              </w:rPr>
            </w:pPr>
          </w:p>
        </w:tc>
        <w:tc>
          <w:tcPr>
            <w:tcW w:w="2020" w:type="dxa"/>
            <w:vAlign w:val="bottom"/>
            <w:gridSpan w:val="3"/>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Valuation</w:t>
            </w:r>
          </w:p>
        </w:tc>
        <w:tc>
          <w:tcPr>
            <w:tcW w:w="11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820" w:type="dxa"/>
            <w:vAlign w:val="bottom"/>
          </w:tcPr>
          <w:p>
            <w:pPr>
              <w:spacing w:after="0"/>
              <w:rPr>
                <w:sz w:val="11"/>
                <w:szCs w:val="11"/>
                <w:color w:val="auto"/>
              </w:rPr>
            </w:pPr>
          </w:p>
        </w:tc>
        <w:tc>
          <w:tcPr>
            <w:tcW w:w="1420" w:type="dxa"/>
            <w:vAlign w:val="bottom"/>
          </w:tcPr>
          <w:p>
            <w:pPr>
              <w:jc w:val="center"/>
              <w:ind w:right="715"/>
              <w:spacing w:after="0" w:line="133" w:lineRule="exact"/>
              <w:rPr>
                <w:sz w:val="20"/>
                <w:szCs w:val="20"/>
                <w:color w:val="auto"/>
              </w:rPr>
            </w:pPr>
            <w:r>
              <w:rPr>
                <w:rFonts w:ascii="Arial" w:cs="Arial" w:eastAsia="Arial" w:hAnsi="Arial"/>
                <w:sz w:val="14"/>
                <w:szCs w:val="14"/>
                <w:b w:val="1"/>
                <w:bCs w:val="1"/>
                <w:color w:val="auto"/>
                <w:w w:val="88"/>
              </w:rPr>
              <w:t>Range</w:t>
            </w:r>
          </w:p>
        </w:tc>
      </w:tr>
      <w:tr>
        <w:trPr>
          <w:trHeight w:val="185"/>
        </w:trPr>
        <w:tc>
          <w:tcPr>
            <w:tcW w:w="26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Estimate</w:t>
            </w:r>
          </w:p>
        </w:tc>
        <w:tc>
          <w:tcPr>
            <w:tcW w:w="180" w:type="dxa"/>
            <w:vAlign w:val="bottom"/>
            <w:tcBorders>
              <w:bottom w:val="single" w:sz="8" w:color="CCEEFF"/>
            </w:tcBorders>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120" w:type="dxa"/>
            <w:vAlign w:val="bottom"/>
            <w:tcBorders>
              <w:bottom w:val="single" w:sz="8" w:color="CCEEFF"/>
            </w:tcBorders>
            <w:gridSpan w:val="2"/>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4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183"/>
        </w:trPr>
        <w:tc>
          <w:tcPr>
            <w:tcW w:w="3500" w:type="dxa"/>
            <w:vAlign w:val="bottom"/>
            <w:gridSpan w:val="5"/>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w w:val="94"/>
              </w:rPr>
              <w:t>Quantitative Information about Level 3 Fair</w:t>
            </w:r>
          </w:p>
        </w:tc>
        <w:tc>
          <w:tcPr>
            <w:tcW w:w="1920" w:type="dxa"/>
            <w:vAlign w:val="bottom"/>
            <w:gridSpan w:val="2"/>
            <w:shd w:val="clear" w:color="auto" w:fill="CCEEFF"/>
          </w:tcPr>
          <w:p>
            <w:pPr>
              <w:jc w:val="right"/>
              <w:ind w:right="277"/>
              <w:spacing w:after="0" w:line="182" w:lineRule="exact"/>
              <w:rPr>
                <w:sz w:val="20"/>
                <w:szCs w:val="20"/>
                <w:color w:val="auto"/>
              </w:rPr>
            </w:pPr>
            <w:r>
              <w:rPr>
                <w:rFonts w:ascii="Arial" w:cs="Arial" w:eastAsia="Arial" w:hAnsi="Arial"/>
                <w:sz w:val="18"/>
                <w:szCs w:val="18"/>
                <w:b w:val="1"/>
                <w:bCs w:val="1"/>
                <w:color w:val="auto"/>
                <w:w w:val="85"/>
              </w:rPr>
              <w:t>Value Measurements</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8"/>
        </w:trPr>
        <w:tc>
          <w:tcPr>
            <w:tcW w:w="2640" w:type="dxa"/>
            <w:vAlign w:val="bottom"/>
          </w:tcPr>
          <w:p>
            <w:pPr>
              <w:ind w:left="20"/>
              <w:spacing w:after="0" w:line="189" w:lineRule="exact"/>
              <w:rPr>
                <w:sz w:val="20"/>
                <w:szCs w:val="20"/>
                <w:color w:val="auto"/>
              </w:rPr>
            </w:pPr>
            <w:r>
              <w:rPr>
                <w:rFonts w:ascii="Arial" w:cs="Arial" w:eastAsia="Arial" w:hAnsi="Arial"/>
                <w:sz w:val="18"/>
                <w:szCs w:val="18"/>
                <w:color w:val="auto"/>
                <w:w w:val="99"/>
              </w:rPr>
              <w:t>Loans evaluated individually, net</w:t>
            </w: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5,366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3"/>
          </w:tcPr>
          <w:p>
            <w:pPr>
              <w:jc w:val="center"/>
              <w:ind w:right="140"/>
              <w:spacing w:after="0" w:line="189" w:lineRule="exact"/>
              <w:rPr>
                <w:sz w:val="20"/>
                <w:szCs w:val="20"/>
                <w:color w:val="auto"/>
              </w:rPr>
            </w:pPr>
            <w:r>
              <w:rPr>
                <w:rFonts w:ascii="Arial" w:cs="Arial" w:eastAsia="Arial" w:hAnsi="Arial"/>
                <w:sz w:val="18"/>
                <w:szCs w:val="18"/>
                <w:color w:val="auto"/>
                <w:w w:val="92"/>
              </w:rPr>
              <w:t>Appraisal of collateral</w:t>
            </w:r>
          </w:p>
        </w:tc>
        <w:tc>
          <w:tcPr>
            <w:tcW w:w="11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3"/>
              </w:rPr>
              <w:t>Appraisal</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3"/>
              </w:rPr>
              <w:t>-39.8% to</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w w:val="97"/>
              </w:rPr>
              <w:t>-100.0% (-47.5)%</w:t>
            </w:r>
          </w:p>
        </w:tc>
      </w:tr>
      <w:tr>
        <w:trPr>
          <w:trHeight w:val="217"/>
        </w:trPr>
        <w:tc>
          <w:tcPr>
            <w:tcW w:w="2640" w:type="dxa"/>
            <w:vAlign w:val="bottom"/>
          </w:tcPr>
          <w:p>
            <w:pPr>
              <w:ind w:left="20"/>
              <w:spacing w:after="0"/>
              <w:rPr>
                <w:sz w:val="20"/>
                <w:szCs w:val="20"/>
                <w:color w:val="auto"/>
              </w:rPr>
            </w:pPr>
            <w:r>
              <w:rPr>
                <w:rFonts w:ascii="Arial" w:cs="Arial" w:eastAsia="Arial" w:hAnsi="Arial"/>
                <w:sz w:val="18"/>
                <w:szCs w:val="18"/>
                <w:color w:val="auto"/>
              </w:rPr>
              <w:t>of related allowance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adjustments</w:t>
            </w: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8"/>
        </w:trPr>
        <w:tc>
          <w:tcPr>
            <w:tcW w:w="2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OREO with subsequent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2"/>
              </w:rPr>
              <w:t>Appraisal of collateral</w:t>
            </w:r>
          </w:p>
        </w:tc>
        <w:tc>
          <w:tcPr>
            <w:tcW w:w="112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3"/>
              </w:rPr>
              <w:t>Appraisal</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-16.0% to</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-100.0% (-35.4)%</w:t>
            </w:r>
          </w:p>
        </w:tc>
      </w:tr>
      <w:tr>
        <w:trPr>
          <w:trHeight w:val="21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adjustments</w:t>
            </w: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88"/>
        </w:trPr>
        <w:tc>
          <w:tcPr>
            <w:tcW w:w="2640" w:type="dxa"/>
            <w:vAlign w:val="bottom"/>
          </w:tcPr>
          <w:p>
            <w:pPr>
              <w:ind w:left="20"/>
              <w:spacing w:after="0" w:line="189" w:lineRule="exact"/>
              <w:rPr>
                <w:sz w:val="20"/>
                <w:szCs w:val="20"/>
                <w:color w:val="auto"/>
              </w:rPr>
            </w:pPr>
            <w:r>
              <w:rPr>
                <w:rFonts w:ascii="Arial" w:cs="Arial" w:eastAsia="Arial" w:hAnsi="Arial"/>
                <w:sz w:val="18"/>
                <w:szCs w:val="18"/>
                <w:color w:val="auto"/>
              </w:rPr>
              <w:t>Bank property held for sale with</w:t>
            </w: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7,923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3"/>
          </w:tcPr>
          <w:p>
            <w:pPr>
              <w:jc w:val="center"/>
              <w:ind w:right="140"/>
              <w:spacing w:after="0" w:line="189" w:lineRule="exact"/>
              <w:rPr>
                <w:sz w:val="20"/>
                <w:szCs w:val="20"/>
                <w:color w:val="auto"/>
              </w:rPr>
            </w:pPr>
            <w:r>
              <w:rPr>
                <w:rFonts w:ascii="Arial" w:cs="Arial" w:eastAsia="Arial" w:hAnsi="Arial"/>
                <w:sz w:val="18"/>
                <w:szCs w:val="18"/>
                <w:color w:val="auto"/>
                <w:w w:val="93"/>
              </w:rPr>
              <w:t>Appraisal of collateral or</w:t>
            </w:r>
          </w:p>
        </w:tc>
        <w:tc>
          <w:tcPr>
            <w:tcW w:w="11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3"/>
              </w:rPr>
              <w:t>Appraisal</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-0.7% to</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-70.1% (-35.1)%</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3"/>
          </w:tcPr>
          <w:p>
            <w:pPr>
              <w:jc w:val="center"/>
              <w:ind w:right="140"/>
              <w:spacing w:after="0"/>
              <w:rPr>
                <w:sz w:val="20"/>
                <w:szCs w:val="20"/>
                <w:color w:val="auto"/>
              </w:rPr>
            </w:pPr>
            <w:r>
              <w:rPr>
                <w:rFonts w:ascii="Arial" w:cs="Arial" w:eastAsia="Arial" w:hAnsi="Arial"/>
                <w:sz w:val="18"/>
                <w:szCs w:val="18"/>
                <w:color w:val="auto"/>
                <w:w w:val="91"/>
              </w:rPr>
              <w:t>real estate listing price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adjustments</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365"/>
        </w:trPr>
        <w:tc>
          <w:tcPr>
            <w:tcW w:w="26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gridSpan w:val="5"/>
          </w:tcPr>
          <w:p>
            <w:pPr>
              <w:jc w:val="center"/>
              <w:ind w:left="1297"/>
              <w:spacing w:after="0"/>
              <w:rPr>
                <w:sz w:val="20"/>
                <w:szCs w:val="20"/>
                <w:color w:val="auto"/>
              </w:rPr>
            </w:pPr>
            <w:r>
              <w:rPr>
                <w:rFonts w:ascii="Arial" w:cs="Arial" w:eastAsia="Arial" w:hAnsi="Arial"/>
                <w:sz w:val="14"/>
                <w:szCs w:val="14"/>
                <w:b w:val="1"/>
                <w:bCs w:val="1"/>
                <w:color w:val="auto"/>
                <w:w w:val="92"/>
              </w:rPr>
              <w:t>As of December 31, 2021</w:t>
            </w:r>
          </w:p>
        </w:tc>
        <w:tc>
          <w:tcPr>
            <w:tcW w:w="8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r>
      <w:tr>
        <w:trPr>
          <w:trHeight w:val="133"/>
        </w:trPr>
        <w:tc>
          <w:tcPr>
            <w:tcW w:w="2640" w:type="dxa"/>
            <w:vAlign w:val="bottom"/>
          </w:tcPr>
          <w:p>
            <w:pPr>
              <w:spacing w:after="0"/>
              <w:rPr>
                <w:sz w:val="11"/>
                <w:szCs w:val="11"/>
                <w:color w:val="auto"/>
              </w:rPr>
            </w:pPr>
          </w:p>
        </w:tc>
        <w:tc>
          <w:tcPr>
            <w:tcW w:w="860" w:type="dxa"/>
            <w:vAlign w:val="bottom"/>
            <w:gridSpan w:val="4"/>
          </w:tcPr>
          <w:p>
            <w:pPr>
              <w:jc w:val="center"/>
              <w:ind w:right="140"/>
              <w:spacing w:after="0" w:line="133" w:lineRule="exact"/>
              <w:rPr>
                <w:sz w:val="20"/>
                <w:szCs w:val="20"/>
                <w:color w:val="auto"/>
              </w:rPr>
            </w:pPr>
            <w:r>
              <w:rPr>
                <w:rFonts w:ascii="Arial" w:cs="Arial" w:eastAsia="Arial" w:hAnsi="Arial"/>
                <w:sz w:val="14"/>
                <w:szCs w:val="14"/>
                <w:b w:val="1"/>
                <w:bCs w:val="1"/>
                <w:color w:val="auto"/>
                <w:w w:val="95"/>
              </w:rPr>
              <w:t>Fair Value</w:t>
            </w:r>
          </w:p>
        </w:tc>
        <w:tc>
          <w:tcPr>
            <w:tcW w:w="20" w:type="dxa"/>
            <w:vAlign w:val="bottom"/>
          </w:tcPr>
          <w:p>
            <w:pPr>
              <w:spacing w:after="0"/>
              <w:rPr>
                <w:sz w:val="11"/>
                <w:szCs w:val="11"/>
                <w:color w:val="auto"/>
              </w:rPr>
            </w:pPr>
          </w:p>
        </w:tc>
        <w:tc>
          <w:tcPr>
            <w:tcW w:w="2020" w:type="dxa"/>
            <w:vAlign w:val="bottom"/>
            <w:gridSpan w:val="3"/>
          </w:tcPr>
          <w:p>
            <w:pPr>
              <w:jc w:val="center"/>
              <w:ind w:right="100"/>
              <w:spacing w:after="0" w:line="133" w:lineRule="exact"/>
              <w:rPr>
                <w:sz w:val="20"/>
                <w:szCs w:val="20"/>
                <w:color w:val="auto"/>
              </w:rPr>
            </w:pPr>
            <w:r>
              <w:rPr>
                <w:rFonts w:ascii="Arial" w:cs="Arial" w:eastAsia="Arial" w:hAnsi="Arial"/>
                <w:sz w:val="14"/>
                <w:szCs w:val="14"/>
                <w:b w:val="1"/>
                <w:bCs w:val="1"/>
                <w:color w:val="auto"/>
                <w:w w:val="95"/>
              </w:rPr>
              <w:t>Valuation</w:t>
            </w:r>
          </w:p>
        </w:tc>
        <w:tc>
          <w:tcPr>
            <w:tcW w:w="1120" w:type="dxa"/>
            <w:vAlign w:val="bottom"/>
            <w:gridSpan w:val="2"/>
          </w:tcPr>
          <w:p>
            <w:pPr>
              <w:jc w:val="center"/>
              <w:ind w:right="120"/>
              <w:spacing w:after="0" w:line="133" w:lineRule="exact"/>
              <w:rPr>
                <w:sz w:val="20"/>
                <w:szCs w:val="20"/>
                <w:color w:val="auto"/>
              </w:rPr>
            </w:pPr>
            <w:r>
              <w:rPr>
                <w:rFonts w:ascii="Arial" w:cs="Arial" w:eastAsia="Arial" w:hAnsi="Arial"/>
                <w:sz w:val="14"/>
                <w:szCs w:val="14"/>
                <w:b w:val="1"/>
                <w:bCs w:val="1"/>
                <w:color w:val="auto"/>
                <w:w w:val="90"/>
              </w:rPr>
              <w:t>Unobservable</w:t>
            </w:r>
          </w:p>
        </w:tc>
        <w:tc>
          <w:tcPr>
            <w:tcW w:w="820" w:type="dxa"/>
            <w:vAlign w:val="bottom"/>
          </w:tcPr>
          <w:p>
            <w:pPr>
              <w:spacing w:after="0"/>
              <w:rPr>
                <w:sz w:val="11"/>
                <w:szCs w:val="11"/>
                <w:color w:val="auto"/>
              </w:rPr>
            </w:pPr>
          </w:p>
        </w:tc>
        <w:tc>
          <w:tcPr>
            <w:tcW w:w="1420" w:type="dxa"/>
            <w:vAlign w:val="bottom"/>
          </w:tcPr>
          <w:p>
            <w:pPr>
              <w:jc w:val="center"/>
              <w:ind w:right="715"/>
              <w:spacing w:after="0" w:line="133" w:lineRule="exact"/>
              <w:rPr>
                <w:sz w:val="20"/>
                <w:szCs w:val="20"/>
                <w:color w:val="auto"/>
              </w:rPr>
            </w:pPr>
            <w:r>
              <w:rPr>
                <w:rFonts w:ascii="Arial" w:cs="Arial" w:eastAsia="Arial" w:hAnsi="Arial"/>
                <w:sz w:val="14"/>
                <w:szCs w:val="14"/>
                <w:b w:val="1"/>
                <w:bCs w:val="1"/>
                <w:color w:val="auto"/>
                <w:w w:val="88"/>
              </w:rPr>
              <w:t>Range</w:t>
            </w:r>
          </w:p>
        </w:tc>
      </w:tr>
      <w:tr>
        <w:trPr>
          <w:trHeight w:val="185"/>
        </w:trPr>
        <w:tc>
          <w:tcPr>
            <w:tcW w:w="264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Estimate</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Techniques</w:t>
            </w: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Input</w:t>
            </w:r>
          </w:p>
        </w:tc>
        <w:tc>
          <w:tcPr>
            <w:tcW w:w="140" w:type="dxa"/>
            <w:vAlign w:val="bottom"/>
            <w:tcBorders>
              <w:bottom w:val="single" w:sz="8" w:color="CCEEFF"/>
            </w:tcBorders>
          </w:tcPr>
          <w:p>
            <w:pPr>
              <w:spacing w:after="0"/>
              <w:rPr>
                <w:sz w:val="16"/>
                <w:szCs w:val="16"/>
                <w:color w:val="auto"/>
              </w:rPr>
            </w:pPr>
          </w:p>
        </w:tc>
        <w:tc>
          <w:tcPr>
            <w:tcW w:w="2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(Weighted Average)</w:t>
            </w:r>
          </w:p>
        </w:tc>
      </w:tr>
      <w:tr>
        <w:trPr>
          <w:trHeight w:val="183"/>
        </w:trPr>
        <w:tc>
          <w:tcPr>
            <w:tcW w:w="3360" w:type="dxa"/>
            <w:vAlign w:val="bottom"/>
            <w:gridSpan w:val="4"/>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w w:val="90"/>
              </w:rPr>
              <w:t>Quantitative Information about Level 3 Fair</w:t>
            </w:r>
          </w:p>
        </w:tc>
        <w:tc>
          <w:tcPr>
            <w:tcW w:w="160" w:type="dxa"/>
            <w:vAlign w:val="bottom"/>
            <w:gridSpan w:val="2"/>
            <w:shd w:val="clear" w:color="auto" w:fill="CCEEFF"/>
          </w:tcPr>
          <w:p>
            <w:pPr>
              <w:spacing w:after="0"/>
              <w:rPr>
                <w:sz w:val="15"/>
                <w:szCs w:val="15"/>
                <w:color w:val="auto"/>
              </w:rPr>
            </w:pPr>
          </w:p>
        </w:tc>
        <w:tc>
          <w:tcPr>
            <w:tcW w:w="1920" w:type="dxa"/>
            <w:vAlign w:val="bottom"/>
            <w:gridSpan w:val="2"/>
            <w:shd w:val="clear" w:color="auto" w:fill="CCEEFF"/>
          </w:tcPr>
          <w:p>
            <w:pPr>
              <w:jc w:val="right"/>
              <w:ind w:right="380"/>
              <w:spacing w:after="0" w:line="182" w:lineRule="exact"/>
              <w:rPr>
                <w:sz w:val="20"/>
                <w:szCs w:val="20"/>
                <w:color w:val="auto"/>
              </w:rPr>
            </w:pPr>
            <w:r>
              <w:rPr>
                <w:rFonts w:ascii="Arial" w:cs="Arial" w:eastAsia="Arial" w:hAnsi="Arial"/>
                <w:sz w:val="18"/>
                <w:szCs w:val="18"/>
                <w:b w:val="1"/>
                <w:bCs w:val="1"/>
                <w:color w:val="auto"/>
                <w:w w:val="84"/>
              </w:rPr>
              <w:t>Value Measurements</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88"/>
        </w:trPr>
        <w:tc>
          <w:tcPr>
            <w:tcW w:w="2640" w:type="dxa"/>
            <w:vAlign w:val="bottom"/>
          </w:tcPr>
          <w:p>
            <w:pPr>
              <w:ind w:left="20"/>
              <w:spacing w:after="0" w:line="189" w:lineRule="exact"/>
              <w:rPr>
                <w:sz w:val="20"/>
                <w:szCs w:val="20"/>
                <w:color w:val="auto"/>
              </w:rPr>
            </w:pPr>
            <w:r>
              <w:rPr>
                <w:rFonts w:ascii="Arial" w:cs="Arial" w:eastAsia="Arial" w:hAnsi="Arial"/>
                <w:sz w:val="18"/>
                <w:szCs w:val="18"/>
                <w:color w:val="auto"/>
                <w:w w:val="99"/>
              </w:rPr>
              <w:t>Loans evaluated individually, net</w:t>
            </w:r>
          </w:p>
        </w:tc>
        <w:tc>
          <w:tcPr>
            <w:tcW w:w="14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rPr>
              <w:t>2,926</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2"/>
              </w:rPr>
              <w:t>Appraisal of collateral</w:t>
            </w:r>
          </w:p>
        </w:tc>
        <w:tc>
          <w:tcPr>
            <w:tcW w:w="11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3"/>
              </w:rPr>
              <w:t>Appraisal</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w w:val="93"/>
              </w:rPr>
              <w:t>-50.0% to</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w w:val="97"/>
              </w:rPr>
              <w:t>-100.0% (-55.1)%</w:t>
            </w:r>
          </w:p>
        </w:tc>
      </w:tr>
      <w:tr>
        <w:trPr>
          <w:trHeight w:val="217"/>
        </w:trPr>
        <w:tc>
          <w:tcPr>
            <w:tcW w:w="2640" w:type="dxa"/>
            <w:vAlign w:val="bottom"/>
          </w:tcPr>
          <w:p>
            <w:pPr>
              <w:ind w:left="20"/>
              <w:spacing w:after="0"/>
              <w:rPr>
                <w:sz w:val="20"/>
                <w:szCs w:val="20"/>
                <w:color w:val="auto"/>
              </w:rPr>
            </w:pPr>
            <w:r>
              <w:rPr>
                <w:rFonts w:ascii="Arial" w:cs="Arial" w:eastAsia="Arial" w:hAnsi="Arial"/>
                <w:sz w:val="18"/>
                <w:szCs w:val="18"/>
                <w:color w:val="auto"/>
              </w:rPr>
              <w:t>of related allowance</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adjustments</w:t>
            </w:r>
          </w:p>
        </w:tc>
        <w:tc>
          <w:tcPr>
            <w:tcW w:w="82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188"/>
        </w:trPr>
        <w:tc>
          <w:tcPr>
            <w:tcW w:w="26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OREO with subsequent</w:t>
            </w: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51</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20" w:type="dxa"/>
            <w:vAlign w:val="bottom"/>
            <w:gridSpan w:val="3"/>
            <w:shd w:val="clear" w:color="auto" w:fill="CCEEFF"/>
          </w:tcPr>
          <w:p>
            <w:pPr>
              <w:jc w:val="center"/>
              <w:ind w:right="100"/>
              <w:spacing w:after="0" w:line="189" w:lineRule="exact"/>
              <w:rPr>
                <w:sz w:val="20"/>
                <w:szCs w:val="20"/>
                <w:color w:val="auto"/>
              </w:rPr>
            </w:pPr>
            <w:r>
              <w:rPr>
                <w:rFonts w:ascii="Arial" w:cs="Arial" w:eastAsia="Arial" w:hAnsi="Arial"/>
                <w:sz w:val="18"/>
                <w:szCs w:val="18"/>
                <w:color w:val="auto"/>
                <w:w w:val="92"/>
              </w:rPr>
              <w:t>Appraisal of collateral</w:t>
            </w:r>
          </w:p>
        </w:tc>
        <w:tc>
          <w:tcPr>
            <w:tcW w:w="1120" w:type="dxa"/>
            <w:vAlign w:val="bottom"/>
            <w:gridSpan w:val="2"/>
            <w:shd w:val="clear" w:color="auto" w:fill="CCEEFF"/>
          </w:tcPr>
          <w:p>
            <w:pPr>
              <w:jc w:val="center"/>
              <w:ind w:right="140"/>
              <w:spacing w:after="0" w:line="189" w:lineRule="exact"/>
              <w:rPr>
                <w:sz w:val="20"/>
                <w:szCs w:val="20"/>
                <w:color w:val="auto"/>
              </w:rPr>
            </w:pPr>
            <w:r>
              <w:rPr>
                <w:rFonts w:ascii="Arial" w:cs="Arial" w:eastAsia="Arial" w:hAnsi="Arial"/>
                <w:sz w:val="18"/>
                <w:szCs w:val="18"/>
                <w:color w:val="auto"/>
                <w:w w:val="93"/>
              </w:rPr>
              <w:t>Appraisal</w:t>
            </w:r>
          </w:p>
        </w:tc>
        <w:tc>
          <w:tcPr>
            <w:tcW w:w="8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3"/>
              </w:rPr>
              <w:t>-33.0% to</w:t>
            </w:r>
          </w:p>
        </w:tc>
        <w:tc>
          <w:tcPr>
            <w:tcW w:w="14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w w:val="97"/>
              </w:rPr>
              <w:t>-100.0% (-67.9)%</w:t>
            </w:r>
          </w:p>
        </w:tc>
      </w:tr>
      <w:tr>
        <w:trPr>
          <w:trHeight w:val="217"/>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88"/>
              </w:rPr>
              <w:t>adjustments</w:t>
            </w:r>
          </w:p>
        </w:tc>
        <w:tc>
          <w:tcPr>
            <w:tcW w:w="8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188"/>
        </w:trPr>
        <w:tc>
          <w:tcPr>
            <w:tcW w:w="2640" w:type="dxa"/>
            <w:vAlign w:val="bottom"/>
          </w:tcPr>
          <w:p>
            <w:pPr>
              <w:ind w:left="20"/>
              <w:spacing w:after="0" w:line="189" w:lineRule="exact"/>
              <w:rPr>
                <w:sz w:val="20"/>
                <w:szCs w:val="20"/>
                <w:color w:val="auto"/>
              </w:rPr>
            </w:pPr>
            <w:r>
              <w:rPr>
                <w:rFonts w:ascii="Arial" w:cs="Arial" w:eastAsia="Arial" w:hAnsi="Arial"/>
                <w:sz w:val="18"/>
                <w:szCs w:val="18"/>
                <w:color w:val="auto"/>
              </w:rPr>
              <w:t>Bank property held for sale with</w:t>
            </w:r>
          </w:p>
        </w:tc>
        <w:tc>
          <w:tcPr>
            <w:tcW w:w="140" w:type="dxa"/>
            <w:vAlign w:val="bottom"/>
          </w:tcPr>
          <w:p>
            <w:pPr>
              <w:spacing w:after="0"/>
              <w:rPr>
                <w:sz w:val="16"/>
                <w:szCs w:val="16"/>
                <w:color w:val="auto"/>
              </w:rPr>
            </w:pPr>
          </w:p>
        </w:tc>
        <w:tc>
          <w:tcPr>
            <w:tcW w:w="540" w:type="dxa"/>
            <w:vAlign w:val="bottom"/>
          </w:tcPr>
          <w:p>
            <w:pPr>
              <w:jc w:val="right"/>
              <w:spacing w:after="0" w:line="189" w:lineRule="exact"/>
              <w:rPr>
                <w:sz w:val="20"/>
                <w:szCs w:val="20"/>
                <w:color w:val="auto"/>
              </w:rPr>
            </w:pPr>
            <w:r>
              <w:rPr>
                <w:rFonts w:ascii="Arial" w:cs="Arial" w:eastAsia="Arial" w:hAnsi="Arial"/>
                <w:sz w:val="18"/>
                <w:szCs w:val="18"/>
                <w:color w:val="auto"/>
                <w:w w:val="90"/>
              </w:rPr>
              <w:t>10,103</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3"/>
          </w:tcPr>
          <w:p>
            <w:pPr>
              <w:jc w:val="center"/>
              <w:ind w:right="100"/>
              <w:spacing w:after="0" w:line="189" w:lineRule="exact"/>
              <w:rPr>
                <w:sz w:val="20"/>
                <w:szCs w:val="20"/>
                <w:color w:val="auto"/>
              </w:rPr>
            </w:pPr>
            <w:r>
              <w:rPr>
                <w:rFonts w:ascii="Arial" w:cs="Arial" w:eastAsia="Arial" w:hAnsi="Arial"/>
                <w:sz w:val="18"/>
                <w:szCs w:val="18"/>
                <w:color w:val="auto"/>
                <w:w w:val="93"/>
              </w:rPr>
              <w:t>Appraisal of collateral or</w:t>
            </w:r>
          </w:p>
        </w:tc>
        <w:tc>
          <w:tcPr>
            <w:tcW w:w="1120" w:type="dxa"/>
            <w:vAlign w:val="bottom"/>
            <w:gridSpan w:val="2"/>
          </w:tcPr>
          <w:p>
            <w:pPr>
              <w:jc w:val="center"/>
              <w:ind w:right="140"/>
              <w:spacing w:after="0" w:line="189" w:lineRule="exact"/>
              <w:rPr>
                <w:sz w:val="20"/>
                <w:szCs w:val="20"/>
                <w:color w:val="auto"/>
              </w:rPr>
            </w:pPr>
            <w:r>
              <w:rPr>
                <w:rFonts w:ascii="Arial" w:cs="Arial" w:eastAsia="Arial" w:hAnsi="Arial"/>
                <w:sz w:val="18"/>
                <w:szCs w:val="18"/>
                <w:color w:val="auto"/>
                <w:w w:val="93"/>
              </w:rPr>
              <w:t>Appraisal</w:t>
            </w:r>
          </w:p>
        </w:tc>
        <w:tc>
          <w:tcPr>
            <w:tcW w:w="820" w:type="dxa"/>
            <w:vAlign w:val="bottom"/>
          </w:tcPr>
          <w:p>
            <w:pPr>
              <w:jc w:val="right"/>
              <w:spacing w:after="0" w:line="189" w:lineRule="exact"/>
              <w:rPr>
                <w:sz w:val="20"/>
                <w:szCs w:val="20"/>
                <w:color w:val="auto"/>
              </w:rPr>
            </w:pPr>
            <w:r>
              <w:rPr>
                <w:rFonts w:ascii="Arial" w:cs="Arial" w:eastAsia="Arial" w:hAnsi="Arial"/>
                <w:sz w:val="18"/>
                <w:szCs w:val="18"/>
                <w:color w:val="auto"/>
              </w:rPr>
              <w:t>-0.7% to</w:t>
            </w:r>
          </w:p>
        </w:tc>
        <w:tc>
          <w:tcPr>
            <w:tcW w:w="1420" w:type="dxa"/>
            <w:vAlign w:val="bottom"/>
          </w:tcPr>
          <w:p>
            <w:pPr>
              <w:jc w:val="right"/>
              <w:spacing w:after="0" w:line="189" w:lineRule="exact"/>
              <w:rPr>
                <w:sz w:val="20"/>
                <w:szCs w:val="20"/>
                <w:color w:val="auto"/>
              </w:rPr>
            </w:pPr>
            <w:r>
              <w:rPr>
                <w:rFonts w:ascii="Arial" w:cs="Arial" w:eastAsia="Arial" w:hAnsi="Arial"/>
                <w:sz w:val="18"/>
                <w:szCs w:val="18"/>
                <w:color w:val="auto"/>
              </w:rPr>
              <w:t>-70.1% (-41.3)%</w:t>
            </w:r>
          </w:p>
        </w:tc>
      </w:tr>
      <w:tr>
        <w:trPr>
          <w:trHeight w:val="230"/>
        </w:trPr>
        <w:tc>
          <w:tcPr>
            <w:tcW w:w="2640" w:type="dxa"/>
            <w:vAlign w:val="bottom"/>
          </w:tcPr>
          <w:p>
            <w:pPr>
              <w:ind w:left="20"/>
              <w:spacing w:after="0"/>
              <w:rPr>
                <w:sz w:val="20"/>
                <w:szCs w:val="20"/>
                <w:color w:val="auto"/>
              </w:rPr>
            </w:pPr>
            <w:r>
              <w:rPr>
                <w:rFonts w:ascii="Arial" w:cs="Arial" w:eastAsia="Arial" w:hAnsi="Arial"/>
                <w:sz w:val="18"/>
                <w:szCs w:val="18"/>
                <w:color w:val="auto"/>
              </w:rPr>
              <w:t>impairment</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2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real estate listing price</w:t>
            </w:r>
          </w:p>
        </w:tc>
        <w:tc>
          <w:tcPr>
            <w:tcW w:w="1120" w:type="dxa"/>
            <w:vAlign w:val="bottom"/>
            <w:gridSpan w:val="2"/>
          </w:tcPr>
          <w:p>
            <w:pPr>
              <w:jc w:val="center"/>
              <w:ind w:right="140"/>
              <w:spacing w:after="0"/>
              <w:rPr>
                <w:sz w:val="20"/>
                <w:szCs w:val="20"/>
                <w:color w:val="auto"/>
              </w:rPr>
            </w:pPr>
            <w:r>
              <w:rPr>
                <w:rFonts w:ascii="Arial" w:cs="Arial" w:eastAsia="Arial" w:hAnsi="Arial"/>
                <w:sz w:val="18"/>
                <w:szCs w:val="18"/>
                <w:color w:val="auto"/>
                <w:w w:val="88"/>
              </w:rPr>
              <w:t>adjustments</w:t>
            </w:r>
          </w:p>
        </w:tc>
        <w:tc>
          <w:tcPr>
            <w:tcW w:w="820" w:type="dxa"/>
            <w:vAlign w:val="bottom"/>
          </w:tcPr>
          <w:p>
            <w:pPr>
              <w:spacing w:after="0"/>
              <w:rPr>
                <w:sz w:val="20"/>
                <w:szCs w:val="20"/>
                <w:color w:val="auto"/>
              </w:rPr>
            </w:pPr>
          </w:p>
        </w:tc>
        <w:tc>
          <w:tcPr>
            <w:tcW w:w="142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Financial Assets and Financial Liabilities That Are Not Carried at Fair Value</w:t>
      </w:r>
    </w:p>
    <w:p>
      <w:pPr>
        <w:spacing w:after="0" w:line="198"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Estimated fair values of financial instruments that are not carried at fair value in the Company’s unaudited Consolidated Balance Sheets, segregated by the level of the valuation inputs within the fair value hierarchy utilized to measure fair value,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52"/>
              <w:spacing w:after="0"/>
              <w:rPr>
                <w:sz w:val="20"/>
                <w:szCs w:val="20"/>
                <w:color w:val="auto"/>
              </w:rPr>
            </w:pPr>
            <w:r>
              <w:rPr>
                <w:rFonts w:ascii="Arial" w:cs="Arial" w:eastAsia="Arial" w:hAnsi="Arial"/>
                <w:sz w:val="14"/>
                <w:szCs w:val="14"/>
                <w:b w:val="1"/>
                <w:bCs w:val="1"/>
                <w:color w:val="auto"/>
              </w:rPr>
              <w:t>As of June 30, 2022</w:t>
            </w:r>
          </w:p>
        </w:tc>
        <w:tc>
          <w:tcPr>
            <w:tcW w:w="1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4"/>
                <w:szCs w:val="14"/>
                <w:b w:val="1"/>
                <w:bCs w:val="1"/>
                <w:color w:val="auto"/>
                <w:w w:val="96"/>
              </w:rPr>
              <w:t>As of December 31, 2021</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113"/>
              <w:spacing w:after="0" w:line="133" w:lineRule="exact"/>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tcPr>
          <w:p>
            <w:pPr>
              <w:jc w:val="right"/>
              <w:ind w:right="272"/>
              <w:spacing w:after="0" w:line="133" w:lineRule="exact"/>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right"/>
              <w:ind w:right="93"/>
              <w:spacing w:after="0" w:line="133" w:lineRule="exact"/>
              <w:rPr>
                <w:sz w:val="20"/>
                <w:szCs w:val="20"/>
                <w:color w:val="auto"/>
              </w:rPr>
            </w:pPr>
            <w:r>
              <w:rPr>
                <w:rFonts w:ascii="Arial" w:cs="Arial" w:eastAsia="Arial" w:hAnsi="Arial"/>
                <w:sz w:val="14"/>
                <w:szCs w:val="14"/>
                <w:b w:val="1"/>
                <w:bCs w:val="1"/>
                <w:color w:val="auto"/>
              </w:rPr>
              <w:t>Carrying</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jc w:val="right"/>
              <w:ind w:right="252"/>
              <w:spacing w:after="0" w:line="133"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2100" w:type="dxa"/>
            <w:vAlign w:val="bottom"/>
            <w:tcBorders>
              <w:bottom w:val="single" w:sz="8" w:color="CCEEFF"/>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Value</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2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Financial assets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Level 1 inputs: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Cash and cash equivalents</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230,852</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230,852</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836,095</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836,095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Debt securities held to maturity</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953,012</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876,738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gridSpan w:val="2"/>
          </w:tcPr>
          <w:p>
            <w:pPr>
              <w:ind w:left="420"/>
              <w:spacing w:after="0" w:line="216" w:lineRule="exact"/>
              <w:rPr>
                <w:sz w:val="20"/>
                <w:szCs w:val="20"/>
                <w:color w:val="auto"/>
              </w:rPr>
            </w:pPr>
            <w:r>
              <w:rPr>
                <w:rFonts w:ascii="Arial" w:cs="Arial" w:eastAsia="Arial" w:hAnsi="Arial"/>
                <w:sz w:val="17"/>
                <w:szCs w:val="17"/>
                <w:color w:val="auto"/>
              </w:rPr>
              <w:t xml:space="preserve">Loans held for sale </w:t>
            </w:r>
            <w:r>
              <w:rPr>
                <w:rFonts w:ascii="Arial" w:cs="Arial" w:eastAsia="Arial" w:hAnsi="Arial"/>
                <w:sz w:val="25"/>
                <w:szCs w:val="25"/>
                <w:color w:val="auto"/>
                <w:vertAlign w:val="superscript"/>
              </w:rPr>
              <w:t>(1)</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4,813</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4,818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Accrued interest receivable</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32,886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31,064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31,064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Portfolio loans, net</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7,409,021</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7,293,303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9"/>
              </w:rPr>
              <w:t>7,101,111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7,161,466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Mortgage servicing rights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7,282</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17,967</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8,608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12,133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Other servicing rights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1,829</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2,235</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2,268</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Financial liabilities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Level 2 inputs: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Time deposits</w:t>
            </w:r>
          </w:p>
        </w:tc>
        <w:tc>
          <w:tcPr>
            <w:tcW w:w="4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817,821</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800,416</w:t>
            </w:r>
          </w:p>
        </w:tc>
        <w:tc>
          <w:tcPr>
            <w:tcW w:w="28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935,649</w:t>
            </w:r>
          </w:p>
        </w:tc>
        <w:tc>
          <w:tcPr>
            <w:tcW w:w="2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935,778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228,383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228,383</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270,139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270,139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Short-term borrowings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16,396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16,480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17,673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3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Long-term debt</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36,000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36,101</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46,056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46,164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8"/>
              </w:rPr>
              <w:t>Junior subordinated debt owed to unconsolidated</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trusts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71,721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71,635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Accrued interest payable</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1,978</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2,728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2,728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Level 3 inputs:</w:t>
            </w:r>
          </w:p>
        </w:tc>
        <w:tc>
          <w:tcPr>
            <w:tcW w:w="3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Senior notes, net of unamortized issuance costs</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39,944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40,400</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320" w:type="dxa"/>
            <w:vAlign w:val="bottom"/>
            <w:gridSpan w:val="2"/>
            <w:shd w:val="clear" w:color="auto" w:fill="CCEEFF"/>
          </w:tcPr>
          <w:p>
            <w:pPr>
              <w:ind w:left="420"/>
              <w:spacing w:after="0" w:line="189" w:lineRule="exact"/>
              <w:rPr>
                <w:sz w:val="20"/>
                <w:szCs w:val="20"/>
                <w:color w:val="auto"/>
              </w:rPr>
            </w:pPr>
            <w:r>
              <w:rPr>
                <w:rFonts w:ascii="Arial" w:cs="Arial" w:eastAsia="Arial" w:hAnsi="Arial"/>
                <w:sz w:val="18"/>
                <w:szCs w:val="18"/>
                <w:color w:val="auto"/>
                <w:w w:val="99"/>
              </w:rPr>
              <w:t>Subordinated notes, net of unamortized issuance</w:t>
            </w:r>
          </w:p>
        </w:tc>
        <w:tc>
          <w:tcPr>
            <w:tcW w:w="3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32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costs</w:t>
            </w:r>
          </w:p>
        </w:tc>
        <w:tc>
          <w:tcPr>
            <w:tcW w:w="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281,304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280,275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182,773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195,600</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100" w:type="dxa"/>
            <w:vAlign w:val="bottom"/>
          </w:tcPr>
          <w:p>
            <w:pPr>
              <w:spacing w:after="0"/>
              <w:rPr>
                <w:sz w:val="9"/>
                <w:szCs w:val="9"/>
                <w:color w:val="auto"/>
              </w:rPr>
            </w:pPr>
          </w:p>
        </w:tc>
        <w:tc>
          <w:tcPr>
            <w:tcW w:w="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480" w:hanging="322"/>
        <w:spacing w:after="0"/>
        <w:tabs>
          <w:tab w:leader="none" w:pos="480" w:val="left"/>
        </w:tabs>
        <w:numPr>
          <w:ilvl w:val="0"/>
          <w:numId w:val="10"/>
        </w:numPr>
        <w:rPr>
          <w:rFonts w:ascii="Arial" w:cs="Arial" w:eastAsia="Arial" w:hAnsi="Arial"/>
          <w:sz w:val="11"/>
          <w:szCs w:val="11"/>
          <w:color w:val="auto"/>
        </w:rPr>
      </w:pPr>
      <w:r>
        <w:rPr>
          <w:rFonts w:ascii="Arial" w:cs="Arial" w:eastAsia="Arial" w:hAnsi="Arial"/>
          <w:sz w:val="14"/>
          <w:szCs w:val="14"/>
          <w:color w:val="auto"/>
        </w:rPr>
        <w:t>Effective January 1, 2022, recorded at LOCOM.</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12: Earnings Per Common Share</w:t>
      </w:r>
    </w:p>
    <w:p>
      <w:pPr>
        <w:spacing w:after="0" w:line="202"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Basic earnings per share is computed by dividing net income for the period by the weighted average number of common shares outstanding, which include DSUs that are vested but not delivered. Diluted earnings per common share is computed using the treasury stock method and reflects the potential dilution that could occur if the Company’s outstanding stock options and warrants were exercised, stock units were vested, and ESPP shares were issued.</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Earnings per common share have been computed as follows </w:t>
      </w:r>
      <w:r>
        <w:rPr>
          <w:rFonts w:ascii="Arial" w:cs="Arial" w:eastAsia="Arial" w:hAnsi="Arial"/>
          <w:sz w:val="18"/>
          <w:szCs w:val="18"/>
          <w:i w:val="1"/>
          <w:iCs w:val="1"/>
          <w:color w:val="auto"/>
        </w:rPr>
        <w:t>(dollars in thousands, except per share amounts)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5"/>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Pr>
          <w:p>
            <w:pPr>
              <w:spacing w:after="0"/>
              <w:rPr>
                <w:sz w:val="16"/>
                <w:szCs w:val="16"/>
                <w:color w:val="auto"/>
              </w:rPr>
            </w:pPr>
          </w:p>
        </w:tc>
        <w:tc>
          <w:tcPr>
            <w:tcW w:w="2040" w:type="dxa"/>
            <w:vAlign w:val="bottom"/>
            <w:gridSpan w:val="4"/>
          </w:tcPr>
          <w:p>
            <w:pPr>
              <w:jc w:val="right"/>
              <w:ind w:right="172"/>
              <w:spacing w:after="0"/>
              <w:rPr>
                <w:sz w:val="20"/>
                <w:szCs w:val="20"/>
                <w:color w:val="auto"/>
              </w:rPr>
            </w:pPr>
            <w:r>
              <w:rPr>
                <w:rFonts w:ascii="Arial" w:cs="Arial" w:eastAsia="Arial" w:hAnsi="Arial"/>
                <w:sz w:val="14"/>
                <w:szCs w:val="14"/>
                <w:b w:val="1"/>
                <w:bCs w:val="1"/>
                <w:color w:val="auto"/>
                <w:w w:val="97"/>
              </w:rPr>
              <w:t>Six Months Ended June 30,</w:t>
            </w:r>
          </w:p>
        </w:tc>
        <w:tc>
          <w:tcPr>
            <w:tcW w:w="0" w:type="dxa"/>
            <w:vAlign w:val="bottom"/>
          </w:tcPr>
          <w:p>
            <w:pPr>
              <w:spacing w:after="0"/>
              <w:rPr>
                <w:sz w:val="1"/>
                <w:szCs w:val="1"/>
                <w:color w:val="auto"/>
              </w:rPr>
            </w:pPr>
          </w:p>
        </w:tc>
      </w:tr>
      <w:tr>
        <w:trPr>
          <w:trHeight w:val="155"/>
        </w:trPr>
        <w:tc>
          <w:tcPr>
            <w:tcW w:w="440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29,824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29,766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58,263</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67,582</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440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Weighted average number of common shares outstanding,</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55,421,887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55,050,071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55,424,776</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54,762,563</w:t>
            </w:r>
          </w:p>
        </w:tc>
        <w:tc>
          <w:tcPr>
            <w:tcW w:w="0" w:type="dxa"/>
            <w:vAlign w:val="bottom"/>
          </w:tcPr>
          <w:p>
            <w:pPr>
              <w:spacing w:after="0"/>
              <w:rPr>
                <w:sz w:val="1"/>
                <w:szCs w:val="1"/>
                <w:color w:val="auto"/>
              </w:rPr>
            </w:pPr>
          </w:p>
        </w:tc>
      </w:tr>
      <w:tr>
        <w:trPr>
          <w:trHeight w:val="203"/>
        </w:trPr>
        <w:tc>
          <w:tcPr>
            <w:tcW w:w="4400" w:type="dxa"/>
            <w:vAlign w:val="bottom"/>
          </w:tcPr>
          <w:p>
            <w:pPr>
              <w:ind w:left="20"/>
              <w:spacing w:after="0" w:line="202" w:lineRule="exact"/>
              <w:rPr>
                <w:sz w:val="20"/>
                <w:szCs w:val="20"/>
                <w:color w:val="auto"/>
              </w:rPr>
            </w:pPr>
            <w:r>
              <w:rPr>
                <w:rFonts w:ascii="Arial" w:cs="Arial" w:eastAsia="Arial" w:hAnsi="Arial"/>
                <w:sz w:val="18"/>
                <w:szCs w:val="18"/>
                <w:color w:val="auto"/>
              </w:rPr>
              <w:t>Dilutive effect of common stock equivalents:</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Options</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1,453</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Warrants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1,686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1,770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1,746</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RSU awards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655,368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667,181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679,471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614,660</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PSU awards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14,534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2,888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15,456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1,444</w:t>
            </w: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DSU awards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3,039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6,148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16,206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3,076</w:t>
            </w:r>
          </w:p>
        </w:tc>
        <w:tc>
          <w:tcPr>
            <w:tcW w:w="0" w:type="dxa"/>
            <w:vAlign w:val="bottom"/>
          </w:tcPr>
          <w:p>
            <w:pPr>
              <w:spacing w:after="0"/>
              <w:rPr>
                <w:sz w:val="1"/>
                <w:szCs w:val="1"/>
                <w:color w:val="auto"/>
              </w:rPr>
            </w:pPr>
          </w:p>
        </w:tc>
      </w:tr>
      <w:tr>
        <w:trPr>
          <w:trHeight w:val="203"/>
        </w:trPr>
        <w:tc>
          <w:tcPr>
            <w:tcW w:w="4400" w:type="dxa"/>
            <w:vAlign w:val="bottom"/>
          </w:tcPr>
          <w:p>
            <w:pPr>
              <w:ind w:left="220"/>
              <w:spacing w:after="0" w:line="202" w:lineRule="exact"/>
              <w:rPr>
                <w:sz w:val="20"/>
                <w:szCs w:val="20"/>
                <w:color w:val="auto"/>
              </w:rPr>
            </w:pPr>
            <w:r>
              <w:rPr>
                <w:rFonts w:ascii="Arial" w:cs="Arial" w:eastAsia="Arial" w:hAnsi="Arial"/>
                <w:sz w:val="18"/>
                <w:szCs w:val="18"/>
                <w:color w:val="auto"/>
              </w:rPr>
              <w:t>ESPP</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9,503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8"/>
        </w:trPr>
        <w:tc>
          <w:tcPr>
            <w:tcW w:w="4400" w:type="dxa"/>
            <w:vAlign w:val="bottom"/>
            <w:tcBorders>
              <w:top w:val="single" w:sz="8" w:color="CCEEFF"/>
            </w:tcBorders>
            <w:shd w:val="clear" w:color="auto" w:fill="CCEEFF"/>
          </w:tcPr>
          <w:p>
            <w:pPr>
              <w:ind w:left="20"/>
              <w:spacing w:after="0" w:line="168" w:lineRule="exact"/>
              <w:rPr>
                <w:sz w:val="20"/>
                <w:szCs w:val="20"/>
                <w:color w:val="auto"/>
              </w:rPr>
            </w:pPr>
            <w:r>
              <w:rPr>
                <w:rFonts w:ascii="Arial" w:cs="Arial" w:eastAsia="Arial" w:hAnsi="Arial"/>
                <w:sz w:val="18"/>
                <w:szCs w:val="18"/>
                <w:color w:val="auto"/>
                <w:w w:val="93"/>
              </w:rPr>
              <w:t>Weighted average number of common shares outstanding,</w:t>
            </w: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56,104,017</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55,730,883</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56,149,466</w:t>
            </w:r>
          </w:p>
        </w:tc>
        <w:tc>
          <w:tcPr>
            <w:tcW w:w="16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90"/>
              </w:rPr>
              <w:t>55,384,942</w:t>
            </w:r>
          </w:p>
        </w:tc>
        <w:tc>
          <w:tcPr>
            <w:tcW w:w="0" w:type="dxa"/>
            <w:vAlign w:val="bottom"/>
          </w:tcPr>
          <w:p>
            <w:pPr>
              <w:spacing w:after="0"/>
              <w:rPr>
                <w:sz w:val="1"/>
                <w:szCs w:val="1"/>
                <w:color w:val="auto"/>
              </w:rPr>
            </w:pPr>
          </w:p>
        </w:tc>
      </w:tr>
      <w:tr>
        <w:trPr>
          <w:trHeight w:val="203"/>
        </w:trPr>
        <w:tc>
          <w:tcPr>
            <w:tcW w:w="4400" w:type="dxa"/>
            <w:vAlign w:val="bottom"/>
            <w:tcBorders>
              <w:bottom w:val="single" w:sz="8" w:color="CCEEFF"/>
            </w:tcBorders>
            <w:shd w:val="clear" w:color="auto" w:fill="CCEEFF"/>
          </w:tcPr>
          <w:p>
            <w:pPr>
              <w:ind w:left="20"/>
              <w:spacing w:after="0" w:line="203"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Basic earnings per common share</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0.53</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Average shares that were excluded from the computation of diluted earnings per common share because their effect would have been anti-dilutive are summarized in the table below for the periods presented:</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40" w:type="dxa"/>
            <w:vAlign w:val="bottom"/>
            <w:gridSpan w:val="4"/>
          </w:tcPr>
          <w:p>
            <w:pPr>
              <w:spacing w:after="0"/>
              <w:rPr>
                <w:sz w:val="20"/>
                <w:szCs w:val="20"/>
                <w:color w:val="auto"/>
              </w:rPr>
            </w:pPr>
            <w:r>
              <w:rPr>
                <w:rFonts w:ascii="Arial" w:cs="Arial" w:eastAsia="Arial" w:hAnsi="Arial"/>
                <w:sz w:val="14"/>
                <w:szCs w:val="14"/>
                <w:b w:val="1"/>
                <w:bCs w:val="1"/>
                <w:color w:val="auto"/>
              </w:rPr>
              <w:t>Three Months Ended June 30,</w:t>
            </w:r>
          </w:p>
        </w:tc>
        <w:tc>
          <w:tcPr>
            <w:tcW w:w="1780" w:type="dxa"/>
            <w:vAlign w:val="bottom"/>
            <w:gridSpan w:val="4"/>
          </w:tcPr>
          <w:p>
            <w:pPr>
              <w:ind w:left="20"/>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5"/>
        </w:trPr>
        <w:tc>
          <w:tcPr>
            <w:tcW w:w="3820" w:type="dxa"/>
            <w:vAlign w:val="bottom"/>
            <w:tcBorders>
              <w:bottom w:val="single" w:sz="8" w:color="CCEEFF"/>
            </w:tcBorders>
          </w:tcPr>
          <w:p>
            <w:pPr>
              <w:spacing w:after="0"/>
              <w:rPr>
                <w:sz w:val="13"/>
                <w:szCs w:val="13"/>
                <w:color w:val="auto"/>
              </w:rPr>
            </w:pPr>
          </w:p>
        </w:tc>
        <w:tc>
          <w:tcPr>
            <w:tcW w:w="1280" w:type="dxa"/>
            <w:vAlign w:val="bottom"/>
            <w:tcBorders>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9"/>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175"/>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8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Anti-dilutive common stock equivalents</w:t>
            </w:r>
          </w:p>
        </w:tc>
        <w:tc>
          <w:tcPr>
            <w:tcW w:w="1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Options</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31,166</w:t>
            </w:r>
          </w:p>
        </w:tc>
        <w:tc>
          <w:tcPr>
            <w:tcW w:w="160" w:type="dxa"/>
            <w:vAlign w:val="bottom"/>
          </w:tcPr>
          <w:p>
            <w:pPr>
              <w:spacing w:after="0"/>
              <w:rPr>
                <w:sz w:val="17"/>
                <w:szCs w:val="17"/>
                <w:color w:val="auto"/>
              </w:rPr>
            </w:pPr>
          </w:p>
        </w:tc>
        <w:tc>
          <w:tcPr>
            <w:tcW w:w="10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15,583</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RSU awards</w:t>
            </w:r>
          </w:p>
        </w:tc>
        <w:tc>
          <w:tcPr>
            <w:tcW w:w="2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155,649</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77,824</w:t>
            </w:r>
          </w:p>
        </w:tc>
        <w:tc>
          <w:tcPr>
            <w:tcW w:w="1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106,213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tcPr>
          <w:p>
            <w:pPr>
              <w:ind w:left="220"/>
              <w:spacing w:after="0" w:line="202" w:lineRule="exact"/>
              <w:rPr>
                <w:sz w:val="20"/>
                <w:szCs w:val="20"/>
                <w:color w:val="auto"/>
              </w:rPr>
            </w:pPr>
            <w:r>
              <w:rPr>
                <w:rFonts w:ascii="Arial" w:cs="Arial" w:eastAsia="Arial" w:hAnsi="Arial"/>
                <w:sz w:val="18"/>
                <w:szCs w:val="18"/>
                <w:color w:val="auto"/>
              </w:rPr>
              <w:t>PSU awards</w:t>
            </w:r>
          </w:p>
        </w:tc>
        <w:tc>
          <w:tcPr>
            <w:tcW w:w="2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278,472</w:t>
            </w:r>
          </w:p>
        </w:tc>
        <w:tc>
          <w:tcPr>
            <w:tcW w:w="16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86,080</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259,962</w:t>
            </w:r>
          </w:p>
        </w:tc>
        <w:tc>
          <w:tcPr>
            <w:tcW w:w="14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100,482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DSU awards</w:t>
            </w:r>
          </w:p>
        </w:tc>
        <w:tc>
          <w:tcPr>
            <w:tcW w:w="1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15,485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820" w:type="dxa"/>
            <w:vAlign w:val="bottom"/>
          </w:tcPr>
          <w:p>
            <w:pPr>
              <w:ind w:left="20"/>
              <w:spacing w:after="0" w:line="196" w:lineRule="exact"/>
              <w:rPr>
                <w:sz w:val="20"/>
                <w:szCs w:val="20"/>
                <w:color w:val="auto"/>
              </w:rPr>
            </w:pPr>
            <w:r>
              <w:rPr>
                <w:rFonts w:ascii="Arial" w:cs="Arial" w:eastAsia="Arial" w:hAnsi="Arial"/>
                <w:sz w:val="18"/>
                <w:szCs w:val="18"/>
                <w:color w:val="auto"/>
              </w:rPr>
              <w:t>Total anti-dilutive common stock equivalents</w:t>
            </w:r>
          </w:p>
        </w:tc>
        <w:tc>
          <w:tcPr>
            <w:tcW w:w="128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465,287</w:t>
            </w:r>
          </w:p>
        </w:tc>
        <w:tc>
          <w:tcPr>
            <w:tcW w:w="160" w:type="dxa"/>
            <w:vAlign w:val="bottom"/>
          </w:tcPr>
          <w:p>
            <w:pPr>
              <w:spacing w:after="0"/>
              <w:rPr>
                <w:sz w:val="17"/>
                <w:szCs w:val="17"/>
                <w:color w:val="auto"/>
              </w:rPr>
            </w:pP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86,080</w:t>
            </w:r>
          </w:p>
        </w:tc>
        <w:tc>
          <w:tcPr>
            <w:tcW w:w="1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353,369</w:t>
            </w:r>
          </w:p>
        </w:tc>
        <w:tc>
          <w:tcPr>
            <w:tcW w:w="140" w:type="dxa"/>
            <w:vAlign w:val="bottom"/>
          </w:tcPr>
          <w:p>
            <w:pPr>
              <w:spacing w:after="0"/>
              <w:rPr>
                <w:sz w:val="17"/>
                <w:szCs w:val="17"/>
                <w:color w:val="auto"/>
              </w:rPr>
            </w:pPr>
          </w:p>
        </w:tc>
        <w:tc>
          <w:tcPr>
            <w:tcW w:w="8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222,180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280" w:type="dxa"/>
            <w:vAlign w:val="bottom"/>
            <w:vMerge w:val="restart"/>
          </w:tcPr>
          <w:p>
            <w:pPr>
              <w:jc w:val="right"/>
              <w:ind w:right="450"/>
              <w:spacing w:after="0"/>
              <w:rPr>
                <w:sz w:val="20"/>
                <w:szCs w:val="20"/>
                <w:color w:val="auto"/>
              </w:rPr>
            </w:pPr>
            <w:r>
              <w:rPr>
                <w:rFonts w:ascii="Arial" w:cs="Arial" w:eastAsia="Arial" w:hAnsi="Arial"/>
                <w:sz w:val="18"/>
                <w:szCs w:val="18"/>
                <w:color w:val="auto"/>
              </w:rPr>
              <w:t>47</w:t>
            </w: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8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38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13: Accumulated Other Comprehensive Income (Loss)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The following table represents changes in AOCI by component, net of tax, for the period below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9"/>
          </w:tcPr>
          <w:p>
            <w:pPr>
              <w:jc w:val="right"/>
              <w:ind w:right="120"/>
              <w:spacing w:after="0"/>
              <w:rPr>
                <w:sz w:val="20"/>
                <w:szCs w:val="20"/>
                <w:color w:val="auto"/>
              </w:rPr>
            </w:pPr>
            <w:r>
              <w:rPr>
                <w:rFonts w:ascii="Arial" w:cs="Arial" w:eastAsia="Arial" w:hAnsi="Arial"/>
                <w:sz w:val="14"/>
                <w:szCs w:val="14"/>
                <w:b w:val="1"/>
                <w:bCs w:val="1"/>
                <w:color w:val="auto"/>
                <w:w w:val="93"/>
              </w:rPr>
              <w:t>Three Months Ended June 30,</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55"/>
        </w:trPr>
        <w:tc>
          <w:tcPr>
            <w:tcW w:w="346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96"/>
        </w:trPr>
        <w:tc>
          <w:tcPr>
            <w:tcW w:w="3460" w:type="dxa"/>
            <w:vAlign w:val="bottom"/>
            <w:tcBorders>
              <w:bottom w:val="single" w:sz="8" w:color="CCEEFF"/>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Before Tax</w:t>
            </w:r>
          </w:p>
        </w:tc>
        <w:tc>
          <w:tcPr>
            <w:tcW w:w="4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Tax Effect</w:t>
            </w:r>
          </w:p>
        </w:tc>
        <w:tc>
          <w:tcPr>
            <w:tcW w:w="60" w:type="dxa"/>
            <w:vAlign w:val="bottom"/>
            <w:tcBorders>
              <w:bottom w:val="single" w:sz="8" w:color="CCEEFF"/>
            </w:tcBorders>
            <w:gridSpan w:val="2"/>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Net of Tax</w:t>
            </w:r>
          </w:p>
        </w:tc>
        <w:tc>
          <w:tcPr>
            <w:tcW w:w="140" w:type="dxa"/>
            <w:vAlign w:val="bottom"/>
            <w:tcBorders>
              <w:bottom w:val="single" w:sz="8" w:color="CCEEFF"/>
            </w:tcBorders>
            <w:gridSpan w:val="2"/>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Before Tax</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Net of Tax</w:t>
            </w:r>
          </w:p>
        </w:tc>
        <w:tc>
          <w:tcPr>
            <w:tcW w:w="20" w:type="dxa"/>
            <w:vAlign w:val="bottom"/>
          </w:tcPr>
          <w:p>
            <w:pPr>
              <w:spacing w:after="0"/>
              <w:rPr>
                <w:sz w:val="17"/>
                <w:szCs w:val="17"/>
                <w:color w:val="auto"/>
              </w:rPr>
            </w:pPr>
          </w:p>
        </w:tc>
      </w:tr>
      <w:tr>
        <w:trPr>
          <w:trHeight w:val="196"/>
        </w:trPr>
        <w:tc>
          <w:tcPr>
            <w:tcW w:w="4640" w:type="dxa"/>
            <w:vAlign w:val="bottom"/>
            <w:gridSpan w:val="9"/>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87"/>
              </w:rPr>
              <w:t>Unrealized gains (losses) on debt securities available for sale</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w w:val="90"/>
              </w:rPr>
              <w:t>(184,233)</w:t>
            </w:r>
          </w:p>
        </w:tc>
        <w:tc>
          <w:tcPr>
            <w:tcW w:w="20" w:type="dxa"/>
            <w:vAlign w:val="bottom"/>
          </w:tcPr>
          <w:p>
            <w:pPr>
              <w:spacing w:after="0"/>
              <w:rPr>
                <w:sz w:val="17"/>
                <w:szCs w:val="17"/>
                <w:color w:val="auto"/>
              </w:rPr>
            </w:pPr>
          </w:p>
        </w:tc>
        <w:tc>
          <w:tcPr>
            <w:tcW w:w="280" w:type="dxa"/>
            <w:vAlign w:val="bottom"/>
            <w:gridSpan w:val="3"/>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52,515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w w:val="99"/>
              </w:rPr>
              <w:t>$ (131,718)</w:t>
            </w: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7,547</w:t>
            </w:r>
          </w:p>
        </w:tc>
        <w:tc>
          <w:tcPr>
            <w:tcW w:w="14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(2,151)</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5,396</w:t>
            </w:r>
          </w:p>
        </w:tc>
        <w:tc>
          <w:tcPr>
            <w:tcW w:w="20" w:type="dxa"/>
            <w:vAlign w:val="bottom"/>
          </w:tcPr>
          <w:p>
            <w:pPr>
              <w:spacing w:after="0"/>
              <w:rPr>
                <w:sz w:val="17"/>
                <w:szCs w:val="17"/>
                <w:color w:val="auto"/>
              </w:rPr>
            </w:pPr>
          </w:p>
        </w:tc>
      </w:tr>
      <w:tr>
        <w:trPr>
          <w:trHeight w:val="188"/>
        </w:trPr>
        <w:tc>
          <w:tcPr>
            <w:tcW w:w="34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available for sale,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(95,288)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27,162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(68,126)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6,769</w:t>
            </w:r>
          </w:p>
        </w:tc>
        <w:tc>
          <w:tcPr>
            <w:tcW w:w="20" w:type="dxa"/>
            <w:vAlign w:val="bottom"/>
          </w:tcPr>
          <w:p>
            <w:pPr>
              <w:spacing w:after="0"/>
              <w:rPr>
                <w:sz w:val="18"/>
                <w:szCs w:val="18"/>
                <w:color w:val="auto"/>
              </w:rPr>
            </w:pPr>
          </w:p>
        </w:tc>
      </w:tr>
      <w:tr>
        <w:trPr>
          <w:trHeight w:val="203"/>
        </w:trPr>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Amounts reclassified from AOCI, net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4</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w:t>
            </w:r>
          </w:p>
        </w:tc>
        <w:tc>
          <w:tcPr>
            <w:tcW w:w="20" w:type="dxa"/>
            <w:vAlign w:val="bottom"/>
          </w:tcPr>
          <w:p>
            <w:pPr>
              <w:spacing w:after="0"/>
              <w:rPr>
                <w:sz w:val="17"/>
                <w:szCs w:val="17"/>
                <w:color w:val="auto"/>
              </w:rPr>
            </w:pPr>
          </w:p>
        </w:tc>
      </w:tr>
      <w:tr>
        <w:trPr>
          <w:trHeight w:val="188"/>
        </w:trPr>
        <w:tc>
          <w:tcPr>
            <w:tcW w:w="34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Amortization of unrealized losses 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 transferred to held to</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maturity</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(629)</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196"/>
        </w:trPr>
        <w:tc>
          <w:tcPr>
            <w:tcW w:w="34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(277,310)</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79,047</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gridSpan w:val="3"/>
          </w:tcPr>
          <w:p>
            <w:pPr>
              <w:jc w:val="right"/>
              <w:spacing w:after="0" w:line="196" w:lineRule="exact"/>
              <w:rPr>
                <w:sz w:val="20"/>
                <w:szCs w:val="20"/>
                <w:color w:val="auto"/>
              </w:rPr>
            </w:pPr>
            <w:r>
              <w:rPr>
                <w:rFonts w:ascii="Arial" w:cs="Arial" w:eastAsia="Arial" w:hAnsi="Arial"/>
                <w:sz w:val="18"/>
                <w:szCs w:val="18"/>
                <w:color w:val="auto"/>
                <w:w w:val="91"/>
              </w:rPr>
              <w:t>$ (198,263)</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17,013</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(4,850)</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12,163</w:t>
            </w:r>
          </w:p>
        </w:tc>
        <w:tc>
          <w:tcPr>
            <w:tcW w:w="20" w:type="dxa"/>
            <w:vAlign w:val="bottom"/>
          </w:tcPr>
          <w:p>
            <w:pPr>
              <w:spacing w:after="0"/>
              <w:rPr>
                <w:sz w:val="17"/>
                <w:szCs w:val="17"/>
                <w:color w:val="auto"/>
              </w:rPr>
            </w:pPr>
          </w:p>
        </w:tc>
      </w:tr>
      <w:tr>
        <w:trPr>
          <w:trHeight w:val="196"/>
        </w:trPr>
        <w:tc>
          <w:tcPr>
            <w:tcW w:w="3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b w:val="1"/>
                <w:bCs w:val="1"/>
                <w:color w:val="auto"/>
                <w:w w:val="85"/>
              </w:rPr>
              <w:t>Unrealized gains (losses) on cash flow hedges</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(8,234)</w:t>
            </w:r>
          </w:p>
        </w:tc>
        <w:tc>
          <w:tcPr>
            <w:tcW w:w="20" w:type="dxa"/>
            <w:vAlign w:val="bottom"/>
            <w:shd w:val="clear" w:color="auto" w:fill="CCEEFF"/>
          </w:tcPr>
          <w:p>
            <w:pPr>
              <w:spacing w:after="0"/>
              <w:rPr>
                <w:sz w:val="17"/>
                <w:szCs w:val="17"/>
                <w:color w:val="auto"/>
              </w:rPr>
            </w:pPr>
          </w:p>
        </w:tc>
        <w:tc>
          <w:tcPr>
            <w:tcW w:w="280" w:type="dxa"/>
            <w:vAlign w:val="bottom"/>
            <w:gridSpan w:val="3"/>
            <w:shd w:val="clear" w:color="auto" w:fill="CCEEFF"/>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2,347</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20" w:type="dxa"/>
            <w:vAlign w:val="bottom"/>
            <w:gridSpan w:val="3"/>
            <w:shd w:val="clear" w:color="auto" w:fill="CCEEFF"/>
          </w:tcPr>
          <w:p>
            <w:pPr>
              <w:ind w:left="80"/>
              <w:spacing w:after="0" w:line="202" w:lineRule="exact"/>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(5,887)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(2,203)</w:t>
            </w: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628</w:t>
            </w:r>
          </w:p>
        </w:tc>
        <w:tc>
          <w:tcPr>
            <w:tcW w:w="12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(1,575)</w:t>
            </w:r>
          </w:p>
        </w:tc>
        <w:tc>
          <w:tcPr>
            <w:tcW w:w="20" w:type="dxa"/>
            <w:vAlign w:val="bottom"/>
          </w:tcPr>
          <w:p>
            <w:pPr>
              <w:spacing w:after="0"/>
              <w:rPr>
                <w:sz w:val="17"/>
                <w:szCs w:val="17"/>
                <w:color w:val="auto"/>
              </w:rPr>
            </w:pPr>
          </w:p>
        </w:tc>
      </w:tr>
      <w:tr>
        <w:trPr>
          <w:trHeight w:val="188"/>
        </w:trPr>
        <w:tc>
          <w:tcPr>
            <w:tcW w:w="3460" w:type="dxa"/>
            <w:vAlign w:val="bottom"/>
          </w:tcPr>
          <w:p>
            <w:pPr>
              <w:ind w:left="220"/>
              <w:spacing w:after="0" w:line="189" w:lineRule="exact"/>
              <w:rPr>
                <w:sz w:val="20"/>
                <w:szCs w:val="20"/>
                <w:color w:val="auto"/>
              </w:rPr>
            </w:pPr>
            <w:r>
              <w:rPr>
                <w:rFonts w:ascii="Arial" w:cs="Arial" w:eastAsia="Arial" w:hAnsi="Arial"/>
                <w:sz w:val="18"/>
                <w:szCs w:val="18"/>
                <w:color w:val="auto"/>
              </w:rPr>
              <w:t>Unrealized holding gains (losses) 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460" w:type="dxa"/>
            <w:vAlign w:val="bottom"/>
          </w:tcPr>
          <w:p>
            <w:pPr>
              <w:ind w:left="220"/>
              <w:spacing w:after="0"/>
              <w:rPr>
                <w:sz w:val="20"/>
                <w:szCs w:val="20"/>
                <w:color w:val="auto"/>
              </w:rPr>
            </w:pPr>
            <w:r>
              <w:rPr>
                <w:rFonts w:ascii="Arial" w:cs="Arial" w:eastAsia="Arial" w:hAnsi="Arial"/>
                <w:sz w:val="18"/>
                <w:szCs w:val="18"/>
                <w:color w:val="auto"/>
              </w:rPr>
              <w:t>cash flow hedges, net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(9,162)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2,612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(6,550)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8"/>
                <w:szCs w:val="18"/>
                <w:color w:val="auto"/>
              </w:rPr>
              <w:t>(97)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(69)</w:t>
            </w:r>
          </w:p>
        </w:tc>
      </w:tr>
      <w:tr>
        <w:trPr>
          <w:trHeight w:val="203"/>
        </w:trPr>
        <w:tc>
          <w:tcPr>
            <w:tcW w:w="3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Amounts reclassified from AOCI, net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(567)</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160</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(82)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w:t>
            </w:r>
          </w:p>
        </w:tc>
        <w:tc>
          <w:tcPr>
            <w:tcW w:w="20" w:type="dxa"/>
            <w:vAlign w:val="bottom"/>
          </w:tcPr>
          <w:p>
            <w:pPr>
              <w:spacing w:after="0"/>
              <w:rPr>
                <w:sz w:val="17"/>
                <w:szCs w:val="17"/>
                <w:color w:val="auto"/>
              </w:rPr>
            </w:pPr>
          </w:p>
        </w:tc>
      </w:tr>
      <w:tr>
        <w:trPr>
          <w:trHeight w:val="196"/>
        </w:trPr>
        <w:tc>
          <w:tcPr>
            <w:tcW w:w="34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140" w:type="dxa"/>
            <w:vAlign w:val="bottom"/>
            <w:tcBorders>
              <w:top w:val="single" w:sz="8" w:color="auto"/>
              <w:bottom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(17,963)</w:t>
            </w:r>
          </w:p>
        </w:tc>
        <w:tc>
          <w:tcPr>
            <w:tcW w:w="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gridSpan w:val="2"/>
          </w:tcPr>
          <w:p>
            <w:pPr>
              <w:jc w:val="right"/>
              <w:ind w:right="2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5,119</w:t>
            </w:r>
          </w:p>
        </w:tc>
        <w:tc>
          <w:tcPr>
            <w:tcW w:w="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gridSpan w:val="2"/>
          </w:tcPr>
          <w:p>
            <w:pPr>
              <w:spacing w:after="0" w:line="196" w:lineRule="exact"/>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(12,844)</w:t>
            </w:r>
          </w:p>
        </w:tc>
        <w:tc>
          <w:tcPr>
            <w:tcW w:w="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(2,012)</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574</w:t>
            </w:r>
          </w:p>
        </w:tc>
        <w:tc>
          <w:tcPr>
            <w:tcW w:w="1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(1,438)</w:t>
            </w:r>
          </w:p>
        </w:tc>
        <w:tc>
          <w:tcPr>
            <w:tcW w:w="20" w:type="dxa"/>
            <w:vAlign w:val="bottom"/>
          </w:tcPr>
          <w:p>
            <w:pPr>
              <w:spacing w:after="0"/>
              <w:rPr>
                <w:sz w:val="17"/>
                <w:szCs w:val="17"/>
                <w:color w:val="auto"/>
              </w:rPr>
            </w:pPr>
          </w:p>
        </w:tc>
      </w:tr>
      <w:tr>
        <w:trPr>
          <w:trHeight w:val="196"/>
        </w:trPr>
        <w:tc>
          <w:tcPr>
            <w:tcW w:w="34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Total AOCI</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w w:val="90"/>
              </w:rPr>
              <w:t>(295,273)</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gridSpan w:val="3"/>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w w:val="87"/>
              </w:rPr>
              <w:t>84,166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gridSpan w:val="5"/>
          </w:tcPr>
          <w:p>
            <w:pPr>
              <w:jc w:val="right"/>
              <w:ind w:right="20"/>
              <w:spacing w:after="0" w:line="202" w:lineRule="exact"/>
              <w:rPr>
                <w:sz w:val="20"/>
                <w:szCs w:val="20"/>
                <w:color w:val="auto"/>
              </w:rPr>
            </w:pPr>
            <w:r>
              <w:rPr>
                <w:rFonts w:ascii="Arial" w:cs="Arial" w:eastAsia="Arial" w:hAnsi="Arial"/>
                <w:sz w:val="18"/>
                <w:szCs w:val="18"/>
                <w:color w:val="auto"/>
                <w:w w:val="99"/>
              </w:rPr>
              <w:t>$ (211,107)</w:t>
            </w:r>
          </w:p>
        </w:tc>
        <w:tc>
          <w:tcPr>
            <w:tcW w:w="12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15,001</w:t>
            </w:r>
          </w:p>
        </w:tc>
        <w:tc>
          <w:tcPr>
            <w:tcW w:w="14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(4,276)</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10,725</w:t>
            </w:r>
          </w:p>
        </w:tc>
        <w:tc>
          <w:tcPr>
            <w:tcW w:w="20" w:type="dxa"/>
            <w:vAlign w:val="bottom"/>
          </w:tcPr>
          <w:p>
            <w:pPr>
              <w:spacing w:after="0"/>
              <w:rPr>
                <w:sz w:val="17"/>
                <w:szCs w:val="17"/>
                <w:color w:val="auto"/>
              </w:rPr>
            </w:pPr>
          </w:p>
        </w:tc>
      </w:tr>
      <w:tr>
        <w:trPr>
          <w:trHeight w:val="20"/>
        </w:trPr>
        <w:tc>
          <w:tcPr>
            <w:tcW w:w="34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561"/>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Six Months Ended June 30,</w:t>
            </w: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55"/>
        </w:trPr>
        <w:tc>
          <w:tcPr>
            <w:tcW w:w="3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11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34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w w:val="93"/>
              </w:rPr>
              <w:t>Before Tax</w:t>
            </w: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gridSpan w:val="3"/>
          </w:tcPr>
          <w:p>
            <w:pPr>
              <w:ind w:left="100"/>
              <w:spacing w:after="0" w:line="155" w:lineRule="exact"/>
              <w:rPr>
                <w:sz w:val="20"/>
                <w:szCs w:val="20"/>
                <w:color w:val="auto"/>
              </w:rPr>
            </w:pPr>
            <w:r>
              <w:rPr>
                <w:rFonts w:ascii="Arial" w:cs="Arial" w:eastAsia="Arial" w:hAnsi="Arial"/>
                <w:sz w:val="14"/>
                <w:szCs w:val="14"/>
                <w:b w:val="1"/>
                <w:bCs w:val="1"/>
                <w:color w:val="auto"/>
                <w:w w:val="92"/>
              </w:rPr>
              <w:t>Tax Effect</w:t>
            </w: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gridSpan w:val="2"/>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Net of Tax</w:t>
            </w:r>
          </w:p>
        </w:tc>
        <w:tc>
          <w:tcPr>
            <w:tcW w:w="1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Before Tax</w:t>
            </w:r>
          </w:p>
        </w:tc>
        <w:tc>
          <w:tcPr>
            <w:tcW w:w="14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2"/>
              </w:rPr>
              <w:t>Tax Effect</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91"/>
              </w:rPr>
              <w:t>Net of Tax</w:t>
            </w:r>
          </w:p>
        </w:tc>
        <w:tc>
          <w:tcPr>
            <w:tcW w:w="20" w:type="dxa"/>
            <w:vAlign w:val="bottom"/>
          </w:tcPr>
          <w:p>
            <w:pPr>
              <w:spacing w:after="0"/>
              <w:rPr>
                <w:sz w:val="13"/>
                <w:szCs w:val="13"/>
                <w:color w:val="auto"/>
              </w:rPr>
            </w:pPr>
          </w:p>
        </w:tc>
      </w:tr>
      <w:tr>
        <w:trPr>
          <w:trHeight w:val="196"/>
        </w:trPr>
        <w:tc>
          <w:tcPr>
            <w:tcW w:w="4640" w:type="dxa"/>
            <w:vAlign w:val="bottom"/>
            <w:gridSpan w:val="9"/>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w w:val="87"/>
              </w:rPr>
              <w:t>Unrealized gains (losses) on debt securities available for sale</w:t>
            </w: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(32,272)</w:t>
            </w:r>
          </w:p>
        </w:tc>
        <w:tc>
          <w:tcPr>
            <w:tcW w:w="28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9,199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(23,073)</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49,644</w:t>
            </w:r>
          </w:p>
        </w:tc>
        <w:tc>
          <w:tcPr>
            <w:tcW w:w="14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w w:val="95"/>
              </w:rPr>
              <w:t>(14,151)</w:t>
            </w: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35,493</w:t>
            </w:r>
          </w:p>
        </w:tc>
        <w:tc>
          <w:tcPr>
            <w:tcW w:w="20" w:type="dxa"/>
            <w:vAlign w:val="bottom"/>
          </w:tcPr>
          <w:p>
            <w:pPr>
              <w:spacing w:after="0"/>
              <w:rPr>
                <w:sz w:val="17"/>
                <w:szCs w:val="17"/>
                <w:color w:val="auto"/>
              </w:rPr>
            </w:pPr>
          </w:p>
        </w:tc>
      </w:tr>
      <w:tr>
        <w:trPr>
          <w:trHeight w:val="188"/>
        </w:trPr>
        <w:tc>
          <w:tcPr>
            <w:tcW w:w="34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 available for sale,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3"/>
              </w:rPr>
              <w:t>(199,570)</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56,888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w w:val="90"/>
              </w:rPr>
              <w:t>(142,682)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(32,603)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(23,310)</w:t>
            </w:r>
          </w:p>
        </w:tc>
        <w:tc>
          <w:tcPr>
            <w:tcW w:w="20" w:type="dxa"/>
            <w:vAlign w:val="bottom"/>
          </w:tcPr>
          <w:p>
            <w:pPr>
              <w:spacing w:after="0"/>
              <w:rPr>
                <w:sz w:val="18"/>
                <w:szCs w:val="18"/>
                <w:color w:val="auto"/>
              </w:rPr>
            </w:pPr>
          </w:p>
        </w:tc>
      </w:tr>
      <w:tr>
        <w:trPr>
          <w:trHeight w:val="188"/>
        </w:trPr>
        <w:tc>
          <w:tcPr>
            <w:tcW w:w="3460" w:type="dxa"/>
            <w:vAlign w:val="bottom"/>
          </w:tcPr>
          <w:p>
            <w:pPr>
              <w:ind w:left="220"/>
              <w:spacing w:after="0" w:line="189" w:lineRule="exact"/>
              <w:rPr>
                <w:sz w:val="20"/>
                <w:szCs w:val="20"/>
                <w:color w:val="auto"/>
              </w:rPr>
            </w:pPr>
            <w:r>
              <w:rPr>
                <w:rFonts w:ascii="Arial" w:cs="Arial" w:eastAsia="Arial" w:hAnsi="Arial"/>
                <w:sz w:val="18"/>
                <w:szCs w:val="18"/>
                <w:color w:val="auto"/>
              </w:rPr>
              <w:t>Unrealized losses on debt securities</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transferred to held to maturity from</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3460" w:type="dxa"/>
            <w:vAlign w:val="bottom"/>
          </w:tcPr>
          <w:p>
            <w:pPr>
              <w:ind w:left="220"/>
              <w:spacing w:after="0"/>
              <w:rPr>
                <w:sz w:val="20"/>
                <w:szCs w:val="20"/>
                <w:color w:val="auto"/>
              </w:rPr>
            </w:pPr>
            <w:r>
              <w:rPr>
                <w:rFonts w:ascii="Arial" w:cs="Arial" w:eastAsia="Arial" w:hAnsi="Arial"/>
                <w:sz w:val="18"/>
                <w:szCs w:val="18"/>
                <w:color w:val="auto"/>
              </w:rPr>
              <w:t>available for sale</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(48,456)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0"/>
              </w:rPr>
              <w:t>13,812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(34,644)</w:t>
            </w: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03"/>
        </w:trPr>
        <w:tc>
          <w:tcPr>
            <w:tcW w:w="34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Amounts reclassified from AOCI, net</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(28)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r>
      <w:tr>
        <w:trPr>
          <w:trHeight w:val="188"/>
        </w:trPr>
        <w:tc>
          <w:tcPr>
            <w:tcW w:w="3460" w:type="dxa"/>
            <w:vAlign w:val="bottom"/>
          </w:tcPr>
          <w:p>
            <w:pPr>
              <w:ind w:left="220"/>
              <w:spacing w:after="0" w:line="189" w:lineRule="exact"/>
              <w:rPr>
                <w:sz w:val="20"/>
                <w:szCs w:val="20"/>
                <w:color w:val="auto"/>
              </w:rPr>
            </w:pPr>
            <w:r>
              <w:rPr>
                <w:rFonts w:ascii="Arial" w:cs="Arial" w:eastAsia="Arial" w:hAnsi="Arial"/>
                <w:sz w:val="18"/>
                <w:szCs w:val="18"/>
                <w:color w:val="auto"/>
              </w:rPr>
              <w:t>Amortization of unrealized losses on</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3"/>
        </w:trPr>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securities transferred to held to</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17"/>
        </w:trPr>
        <w:tc>
          <w:tcPr>
            <w:tcW w:w="3460" w:type="dxa"/>
            <w:vAlign w:val="bottom"/>
          </w:tcPr>
          <w:p>
            <w:pPr>
              <w:ind w:left="220"/>
              <w:spacing w:after="0"/>
              <w:rPr>
                <w:sz w:val="20"/>
                <w:szCs w:val="20"/>
                <w:color w:val="auto"/>
              </w:rPr>
            </w:pPr>
            <w:r>
              <w:rPr>
                <w:rFonts w:ascii="Arial" w:cs="Arial" w:eastAsia="Arial" w:hAnsi="Arial"/>
                <w:sz w:val="18"/>
                <w:szCs w:val="18"/>
                <w:color w:val="auto"/>
              </w:rPr>
              <w:t>maturity</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3,090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gridSpan w:val="3"/>
          </w:tcPr>
          <w:p>
            <w:pPr>
              <w:jc w:val="right"/>
              <w:ind w:right="40"/>
              <w:spacing w:after="0"/>
              <w:rPr>
                <w:sz w:val="20"/>
                <w:szCs w:val="20"/>
                <w:color w:val="auto"/>
              </w:rPr>
            </w:pPr>
            <w:r>
              <w:rPr>
                <w:rFonts w:ascii="Arial" w:cs="Arial" w:eastAsia="Arial" w:hAnsi="Arial"/>
                <w:sz w:val="18"/>
                <w:szCs w:val="18"/>
                <w:color w:val="auto"/>
              </w:rPr>
              <w:t>(881)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196"/>
        </w:trPr>
        <w:tc>
          <w:tcPr>
            <w:tcW w:w="34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93"/>
              </w:rPr>
              <w:t>(277,310)</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79,047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860" w:type="dxa"/>
            <w:vAlign w:val="bottom"/>
            <w:tcBorders>
              <w:top w:val="single" w:sz="8" w:color="auto"/>
              <w:bottom w:val="single" w:sz="8" w:color="auto"/>
            </w:tcBorders>
            <w:gridSpan w:val="3"/>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w w:val="89"/>
              </w:rPr>
              <w:t>$ (198,263)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17,013</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(4,850)</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12,163</w:t>
            </w:r>
          </w:p>
        </w:tc>
        <w:tc>
          <w:tcPr>
            <w:tcW w:w="20" w:type="dxa"/>
            <w:vAlign w:val="bottom"/>
          </w:tcPr>
          <w:p>
            <w:pPr>
              <w:spacing w:after="0"/>
              <w:rPr>
                <w:sz w:val="17"/>
                <w:szCs w:val="17"/>
                <w:color w:val="auto"/>
              </w:rPr>
            </w:pPr>
          </w:p>
        </w:tc>
      </w:tr>
      <w:tr>
        <w:trPr>
          <w:trHeight w:val="196"/>
        </w:trPr>
        <w:tc>
          <w:tcPr>
            <w:tcW w:w="3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w w:val="85"/>
              </w:rPr>
              <w:t>Unrealized gains (losses) on cash flow hedges</w:t>
            </w: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tcPr>
          <w:p>
            <w:pPr>
              <w:ind w:left="20"/>
              <w:spacing w:after="0" w:line="202" w:lineRule="exact"/>
              <w:rPr>
                <w:sz w:val="20"/>
                <w:szCs w:val="20"/>
                <w:color w:val="auto"/>
              </w:rPr>
            </w:pPr>
            <w:r>
              <w:rPr>
                <w:rFonts w:ascii="Arial" w:cs="Arial" w:eastAsia="Arial" w:hAnsi="Arial"/>
                <w:sz w:val="18"/>
                <w:szCs w:val="18"/>
                <w:color w:val="auto"/>
              </w:rPr>
              <w:t>Balance at beginning of period</w:t>
            </w: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(958)</w:t>
            </w:r>
          </w:p>
        </w:tc>
        <w:tc>
          <w:tcPr>
            <w:tcW w:w="280" w:type="dxa"/>
            <w:vAlign w:val="bottom"/>
            <w:gridSpan w:val="3"/>
          </w:tcPr>
          <w:p>
            <w:pPr>
              <w:jc w:val="right"/>
              <w:ind w:right="7"/>
              <w:spacing w:after="0" w:line="202" w:lineRule="exact"/>
              <w:rPr>
                <w:sz w:val="20"/>
                <w:szCs w:val="20"/>
                <w:color w:val="auto"/>
              </w:rPr>
            </w:pPr>
            <w:r>
              <w:rPr>
                <w:rFonts w:ascii="Arial" w:cs="Arial" w:eastAsia="Arial" w:hAnsi="Arial"/>
                <w:sz w:val="18"/>
                <w:szCs w:val="18"/>
                <w:color w:val="auto"/>
              </w:rPr>
              <w:t>$</w:t>
            </w: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273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gridSpan w:val="3"/>
          </w:tcPr>
          <w:p>
            <w:pPr>
              <w:ind w:left="100"/>
              <w:spacing w:after="0" w:line="202" w:lineRule="exact"/>
              <w:rPr>
                <w:sz w:val="20"/>
                <w:szCs w:val="20"/>
                <w:color w:val="auto"/>
              </w:rPr>
            </w:pPr>
            <w:r>
              <w:rPr>
                <w:rFonts w:ascii="Arial" w:cs="Arial" w:eastAsia="Arial" w:hAnsi="Arial"/>
                <w:sz w:val="18"/>
                <w:szCs w:val="18"/>
                <w:color w:val="auto"/>
                <w:w w:val="99"/>
              </w:rPr>
              <w:t>$</w:t>
            </w:r>
          </w:p>
        </w:tc>
        <w:tc>
          <w:tcPr>
            <w:tcW w:w="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(685)</w:t>
            </w: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(3,055)</w:t>
            </w: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871</w:t>
            </w:r>
          </w:p>
        </w:tc>
        <w:tc>
          <w:tcPr>
            <w:tcW w:w="12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(2,184)</w:t>
            </w:r>
          </w:p>
        </w:tc>
        <w:tc>
          <w:tcPr>
            <w:tcW w:w="20" w:type="dxa"/>
            <w:vAlign w:val="bottom"/>
          </w:tcPr>
          <w:p>
            <w:pPr>
              <w:spacing w:after="0"/>
              <w:rPr>
                <w:sz w:val="17"/>
                <w:szCs w:val="17"/>
                <w:color w:val="auto"/>
              </w:rPr>
            </w:pPr>
          </w:p>
        </w:tc>
      </w:tr>
      <w:tr>
        <w:trPr>
          <w:trHeight w:val="188"/>
        </w:trPr>
        <w:tc>
          <w:tcPr>
            <w:tcW w:w="34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Unrealized holding gains (losses) on</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17"/>
        </w:trPr>
        <w:tc>
          <w:tcPr>
            <w:tcW w:w="3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flow hedges, net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(15,938)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4,543</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(11,395)</w:t>
            </w: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20" w:type="dxa"/>
            <w:vAlign w:val="bottom"/>
          </w:tcPr>
          <w:p>
            <w:pPr>
              <w:spacing w:after="0"/>
              <w:rPr>
                <w:sz w:val="18"/>
                <w:szCs w:val="18"/>
                <w:color w:val="auto"/>
              </w:rPr>
            </w:pPr>
          </w:p>
        </w:tc>
      </w:tr>
      <w:tr>
        <w:trPr>
          <w:trHeight w:val="203"/>
        </w:trPr>
        <w:tc>
          <w:tcPr>
            <w:tcW w:w="3460" w:type="dxa"/>
            <w:vAlign w:val="bottom"/>
          </w:tcPr>
          <w:p>
            <w:pPr>
              <w:ind w:left="220"/>
              <w:spacing w:after="0" w:line="202" w:lineRule="exact"/>
              <w:rPr>
                <w:sz w:val="20"/>
                <w:szCs w:val="20"/>
                <w:color w:val="auto"/>
              </w:rPr>
            </w:pPr>
            <w:r>
              <w:rPr>
                <w:rFonts w:ascii="Arial" w:cs="Arial" w:eastAsia="Arial" w:hAnsi="Arial"/>
                <w:sz w:val="18"/>
                <w:szCs w:val="18"/>
                <w:color w:val="auto"/>
              </w:rPr>
              <w:t>Amounts reclassified from AOCI, net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(1,067)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3"/>
          </w:tcPr>
          <w:p>
            <w:pPr>
              <w:jc w:val="right"/>
              <w:ind w:right="140"/>
              <w:spacing w:after="0" w:line="202" w:lineRule="exact"/>
              <w:rPr>
                <w:sz w:val="20"/>
                <w:szCs w:val="20"/>
                <w:color w:val="auto"/>
              </w:rPr>
            </w:pPr>
            <w:r>
              <w:rPr>
                <w:rFonts w:ascii="Arial" w:cs="Arial" w:eastAsia="Arial" w:hAnsi="Arial"/>
                <w:sz w:val="18"/>
                <w:szCs w:val="18"/>
                <w:color w:val="auto"/>
              </w:rPr>
              <w:t>(764)</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566</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(161)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405</w:t>
            </w:r>
          </w:p>
        </w:tc>
        <w:tc>
          <w:tcPr>
            <w:tcW w:w="20" w:type="dxa"/>
            <w:vAlign w:val="bottom"/>
          </w:tcPr>
          <w:p>
            <w:pPr>
              <w:spacing w:after="0"/>
              <w:rPr>
                <w:sz w:val="17"/>
                <w:szCs w:val="17"/>
                <w:color w:val="auto"/>
              </w:rPr>
            </w:pPr>
          </w:p>
        </w:tc>
      </w:tr>
      <w:tr>
        <w:trPr>
          <w:trHeight w:val="196"/>
        </w:trPr>
        <w:tc>
          <w:tcPr>
            <w:tcW w:w="34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Balance at end of period</w:t>
            </w: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(17,963)</w:t>
            </w: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gridSpan w:val="2"/>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5,119</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gridSpan w:val="2"/>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gridSpan w:val="2"/>
            <w:shd w:val="clear" w:color="auto" w:fill="CCEEFF"/>
          </w:tcPr>
          <w:p>
            <w:pPr>
              <w:jc w:val="right"/>
              <w:ind w:right="20"/>
              <w:spacing w:after="0" w:line="196" w:lineRule="exact"/>
              <w:rPr>
                <w:sz w:val="20"/>
                <w:szCs w:val="20"/>
                <w:color w:val="auto"/>
              </w:rPr>
            </w:pPr>
            <w:r>
              <w:rPr>
                <w:rFonts w:ascii="Arial" w:cs="Arial" w:eastAsia="Arial" w:hAnsi="Arial"/>
                <w:sz w:val="18"/>
                <w:szCs w:val="18"/>
                <w:color w:val="auto"/>
              </w:rPr>
              <w:t>(12,844)</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(2,012)</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574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(1,438)</w:t>
            </w:r>
          </w:p>
        </w:tc>
        <w:tc>
          <w:tcPr>
            <w:tcW w:w="20" w:type="dxa"/>
            <w:vAlign w:val="bottom"/>
          </w:tcPr>
          <w:p>
            <w:pPr>
              <w:spacing w:after="0"/>
              <w:rPr>
                <w:sz w:val="17"/>
                <w:szCs w:val="17"/>
                <w:color w:val="auto"/>
              </w:rPr>
            </w:pPr>
          </w:p>
        </w:tc>
      </w:tr>
      <w:tr>
        <w:trPr>
          <w:trHeight w:val="196"/>
        </w:trPr>
        <w:tc>
          <w:tcPr>
            <w:tcW w:w="34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4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AOCI</w:t>
            </w:r>
          </w:p>
        </w:tc>
        <w:tc>
          <w:tcPr>
            <w:tcW w:w="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w w:val="93"/>
              </w:rPr>
              <w:t>(295,273)</w:t>
            </w:r>
          </w:p>
        </w:tc>
        <w:tc>
          <w:tcPr>
            <w:tcW w:w="280" w:type="dxa"/>
            <w:vAlign w:val="bottom"/>
            <w:gridSpan w:val="3"/>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84,166</w:t>
            </w: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80" w:type="dxa"/>
            <w:vAlign w:val="bottom"/>
            <w:gridSpan w:val="6"/>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w w:val="99"/>
              </w:rPr>
              <w:t>$ (211,107)</w:t>
            </w:r>
          </w:p>
        </w:tc>
        <w:tc>
          <w:tcPr>
            <w:tcW w:w="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15,001</w:t>
            </w:r>
          </w:p>
        </w:tc>
        <w:tc>
          <w:tcPr>
            <w:tcW w:w="140" w:type="dxa"/>
            <w:vAlign w:val="bottom"/>
            <w:shd w:val="clear" w:color="auto" w:fill="CCEEFF"/>
          </w:tcPr>
          <w:p>
            <w:pPr>
              <w:spacing w:after="0"/>
              <w:rPr>
                <w:sz w:val="17"/>
                <w:szCs w:val="17"/>
                <w:color w:val="auto"/>
              </w:rPr>
            </w:pPr>
          </w:p>
        </w:tc>
        <w:tc>
          <w:tcPr>
            <w:tcW w:w="1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(4,276)</w:t>
            </w:r>
          </w:p>
        </w:tc>
        <w:tc>
          <w:tcPr>
            <w:tcW w:w="1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10,725</w:t>
            </w:r>
          </w:p>
        </w:tc>
        <w:tc>
          <w:tcPr>
            <w:tcW w:w="20" w:type="dxa"/>
            <w:vAlign w:val="bottom"/>
          </w:tcPr>
          <w:p>
            <w:pPr>
              <w:spacing w:after="0"/>
              <w:rPr>
                <w:sz w:val="17"/>
                <w:szCs w:val="17"/>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844"/>
        </w:trPr>
        <w:tc>
          <w:tcPr>
            <w:tcW w:w="3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gridSpan w:val="3"/>
          </w:tcPr>
          <w:p>
            <w:pPr>
              <w:jc w:val="right"/>
              <w:ind w:right="7"/>
              <w:spacing w:after="0"/>
              <w:rPr>
                <w:sz w:val="20"/>
                <w:szCs w:val="20"/>
                <w:color w:val="auto"/>
              </w:rPr>
            </w:pPr>
            <w:r>
              <w:rPr>
                <w:rFonts w:ascii="Arial" w:cs="Arial" w:eastAsia="Arial" w:hAnsi="Arial"/>
                <w:sz w:val="18"/>
                <w:szCs w:val="18"/>
                <w:color w:val="auto"/>
                <w:w w:val="89"/>
              </w:rPr>
              <w:t>48</w:t>
            </w: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33"/>
        </w:trPr>
        <w:tc>
          <w:tcPr>
            <w:tcW w:w="34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14: Operating Segments and Related Information</w:t>
      </w:r>
    </w:p>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The Company has three reportable operating segments: Banking, FirsTech, and Wealth Management. The Company’s three operating segments are strategic business units that are separately managed as they offer different products and services and have different marketing strategies. The Banking operating segment provides a full range of banking services to individual and corporate customers through its banking center network in Illinois; the St. Louis, Missouri metropolitan area; southwest Florida; and Indianapolis, Indiana. The FirsTech operating segment provides solutions for online, mobile, and voice-recognition bill payments; lockbox; and walk-in payments. The Wealth Management operating segment provides a full range of asset management, investment, brokerage, fiduciary, philanthropic advisory, tax preparation, and farm management services to individuals, businesses, and foundations.</w:t>
      </w:r>
    </w:p>
    <w:p>
      <w:pPr>
        <w:spacing w:after="0" w:line="167"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The segment financial information provided below has been derived from information used by management to monitor and manage the financial performance of the Company. The accounting policies of the three segments are the same as those described in the summary of significant accounting policies in “</w:t>
      </w:r>
      <w:r>
        <w:rPr>
          <w:rFonts w:ascii="Arial" w:cs="Arial" w:eastAsia="Arial" w:hAnsi="Arial"/>
          <w:sz w:val="16"/>
          <w:szCs w:val="16"/>
          <w:i w:val="1"/>
          <w:iCs w:val="1"/>
          <w:color w:val="auto"/>
        </w:rPr>
        <w:t>Note 1. Significant Accounting Policies</w:t>
      </w:r>
      <w:r>
        <w:rPr>
          <w:rFonts w:ascii="Arial" w:cs="Arial" w:eastAsia="Arial" w:hAnsi="Arial"/>
          <w:sz w:val="16"/>
          <w:szCs w:val="16"/>
          <w:color w:val="auto"/>
        </w:rPr>
        <w:t>” in the Company’s 2021 Annual Report. The Company accounts for intersegment revenue and transfers at current market value.</w:t>
      </w:r>
    </w:p>
    <w:p>
      <w:pPr>
        <w:spacing w:after="0" w:line="14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Following is a summary of selected financial information for the Company’s operating segments. The “other” category included in the tables below consists of the parent company, First Busey Risk Management, and the elimination of intercompany transactions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8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94"/>
              </w:rPr>
              <w:t>Goodwill</w:t>
            </w:r>
          </w:p>
        </w:tc>
        <w:tc>
          <w:tcPr>
            <w:tcW w:w="160" w:type="dxa"/>
            <w:vAlign w:val="bottom"/>
          </w:tcPr>
          <w:p>
            <w:pPr>
              <w:spacing w:after="0"/>
              <w:rPr>
                <w:sz w:val="16"/>
                <w:szCs w:val="16"/>
                <w:color w:val="auto"/>
              </w:rPr>
            </w:pPr>
          </w:p>
        </w:tc>
        <w:tc>
          <w:tcPr>
            <w:tcW w:w="218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Total Assets</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gridSpan w:val="3"/>
          </w:tcPr>
          <w:p>
            <w:pPr>
              <w:jc w:val="center"/>
              <w:spacing w:after="0" w:line="155" w:lineRule="exact"/>
              <w:rPr>
                <w:sz w:val="20"/>
                <w:szCs w:val="20"/>
                <w:color w:val="auto"/>
              </w:rPr>
            </w:pPr>
            <w:r>
              <w:rPr>
                <w:rFonts w:ascii="Arial" w:cs="Arial" w:eastAsia="Arial" w:hAnsi="Arial"/>
                <w:sz w:val="14"/>
                <w:szCs w:val="14"/>
                <w:b w:val="1"/>
                <w:bCs w:val="1"/>
                <w:color w:val="auto"/>
                <w:w w:val="91"/>
              </w:rPr>
              <w:t>As of</w:t>
            </w:r>
          </w:p>
        </w:tc>
        <w:tc>
          <w:tcPr>
            <w:tcW w:w="70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180" w:type="dxa"/>
            <w:vAlign w:val="bottom"/>
            <w:tcBorders>
              <w:bottom w:val="single" w:sz="8" w:color="auto"/>
            </w:tcBorders>
            <w:gridSpan w:val="3"/>
          </w:tcPr>
          <w:p>
            <w:pPr>
              <w:jc w:val="right"/>
              <w:ind w:right="859"/>
              <w:spacing w:after="0" w:line="155" w:lineRule="exact"/>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720" w:type="dxa"/>
            <w:vAlign w:val="bottom"/>
          </w:tcPr>
          <w:p>
            <w:pPr>
              <w:jc w:val="right"/>
              <w:ind w:right="19"/>
              <w:spacing w:after="0" w:line="133" w:lineRule="exact"/>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1"/>
                <w:szCs w:val="11"/>
                <w:color w:val="auto"/>
              </w:rPr>
            </w:pPr>
          </w:p>
        </w:tc>
        <w:tc>
          <w:tcPr>
            <w:tcW w:w="1020" w:type="dxa"/>
            <w:vAlign w:val="bottom"/>
            <w:gridSpan w:val="3"/>
          </w:tcPr>
          <w:p>
            <w:pPr>
              <w:ind w:left="140"/>
              <w:spacing w:after="0" w:line="133" w:lineRule="exact"/>
              <w:rPr>
                <w:sz w:val="20"/>
                <w:szCs w:val="20"/>
                <w:color w:val="auto"/>
              </w:rPr>
            </w:pPr>
            <w:r>
              <w:rPr>
                <w:rFonts w:ascii="Arial" w:cs="Arial" w:eastAsia="Arial" w:hAnsi="Arial"/>
                <w:sz w:val="14"/>
                <w:szCs w:val="14"/>
                <w:b w:val="1"/>
                <w:bCs w:val="1"/>
                <w:color w:val="auto"/>
                <w:w w:val="94"/>
              </w:rPr>
              <w:t>December 31,</w:t>
            </w:r>
          </w:p>
        </w:tc>
        <w:tc>
          <w:tcPr>
            <w:tcW w:w="160" w:type="dxa"/>
            <w:vAlign w:val="bottom"/>
          </w:tcPr>
          <w:p>
            <w:pPr>
              <w:spacing w:after="0"/>
              <w:rPr>
                <w:sz w:val="11"/>
                <w:szCs w:val="11"/>
                <w:color w:val="auto"/>
              </w:rPr>
            </w:pPr>
          </w:p>
        </w:tc>
        <w:tc>
          <w:tcPr>
            <w:tcW w:w="1000" w:type="dxa"/>
            <w:vAlign w:val="bottom"/>
          </w:tcPr>
          <w:p>
            <w:pPr>
              <w:jc w:val="right"/>
              <w:ind w:right="204"/>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020" w:type="dxa"/>
            <w:vAlign w:val="bottom"/>
          </w:tcPr>
          <w:p>
            <w:pPr>
              <w:jc w:val="right"/>
              <w:ind w:right="39"/>
              <w:spacing w:after="0" w:line="133" w:lineRule="exact"/>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020" w:type="dxa"/>
            <w:vAlign w:val="bottom"/>
          </w:tcPr>
          <w:p>
            <w:pPr>
              <w:spacing w:after="0"/>
              <w:rPr>
                <w:sz w:val="16"/>
                <w:szCs w:val="16"/>
                <w:color w:val="auto"/>
              </w:rPr>
            </w:pPr>
          </w:p>
        </w:tc>
        <w:tc>
          <w:tcPr>
            <w:tcW w:w="2460" w:type="dxa"/>
            <w:vAlign w:val="bottom"/>
            <w:gridSpan w:val="2"/>
          </w:tcPr>
          <w:p>
            <w:pPr>
              <w:jc w:val="right"/>
              <w:ind w:right="119"/>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160" w:type="dxa"/>
            <w:vAlign w:val="bottom"/>
            <w:gridSpan w:val="2"/>
          </w:tcPr>
          <w:p>
            <w:pPr>
              <w:jc w:val="right"/>
              <w:ind w:right="284"/>
              <w:spacing w:after="0"/>
              <w:rPr>
                <w:sz w:val="20"/>
                <w:szCs w:val="20"/>
                <w:color w:val="auto"/>
              </w:rPr>
            </w:pPr>
            <w:r>
              <w:rPr>
                <w:rFonts w:ascii="Arial" w:cs="Arial" w:eastAsia="Arial" w:hAnsi="Arial"/>
                <w:sz w:val="14"/>
                <w:szCs w:val="14"/>
                <w:b w:val="1"/>
                <w:bCs w:val="1"/>
                <w:color w:val="auto"/>
              </w:rPr>
              <w:t>2022</w:t>
            </w:r>
          </w:p>
        </w:tc>
        <w:tc>
          <w:tcPr>
            <w:tcW w:w="1180" w:type="dxa"/>
            <w:vAlign w:val="bottom"/>
            <w:gridSpan w:val="2"/>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segment</w:t>
            </w:r>
          </w:p>
        </w:tc>
        <w:tc>
          <w:tcPr>
            <w:tcW w:w="174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$ 294,773</w:t>
            </w:r>
          </w:p>
        </w:tc>
        <w:tc>
          <w:tcPr>
            <w:tcW w:w="38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294,773</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$ 12,226,414</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$ 12,746,833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FirsTech</w:t>
            </w:r>
          </w:p>
        </w:tc>
        <w:tc>
          <w:tcPr>
            <w:tcW w:w="24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8,992</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8,992</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47,209</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47,481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24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14,108</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14,108</w:t>
            </w:r>
          </w:p>
        </w:tc>
        <w:tc>
          <w:tcPr>
            <w:tcW w:w="11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75,985</w:t>
            </w:r>
          </w:p>
        </w:tc>
        <w:tc>
          <w:tcPr>
            <w:tcW w:w="11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65,587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74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6,825</w:t>
            </w:r>
          </w:p>
        </w:tc>
        <w:tc>
          <w:tcPr>
            <w:tcW w:w="11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196"/>
        </w:trPr>
        <w:tc>
          <w:tcPr>
            <w:tcW w:w="304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Consolidated total</w:t>
            </w:r>
          </w:p>
        </w:tc>
        <w:tc>
          <w:tcPr>
            <w:tcW w:w="1740" w:type="dxa"/>
            <w:vAlign w:val="bottom"/>
          </w:tcPr>
          <w:p>
            <w:pPr>
              <w:spacing w:after="0"/>
              <w:rPr>
                <w:sz w:val="17"/>
                <w:szCs w:val="17"/>
                <w:color w:val="auto"/>
              </w:rPr>
            </w:pPr>
          </w:p>
        </w:tc>
        <w:tc>
          <w:tcPr>
            <w:tcW w:w="7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$ 317,873</w:t>
            </w:r>
          </w:p>
        </w:tc>
        <w:tc>
          <w:tcPr>
            <w:tcW w:w="6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317,873</w:t>
            </w:r>
          </w:p>
        </w:tc>
        <w:tc>
          <w:tcPr>
            <w:tcW w:w="160" w:type="dxa"/>
            <w:vAlign w:val="bottom"/>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7"/>
              </w:rPr>
              <w:t>$ 12,356,433</w:t>
            </w:r>
          </w:p>
        </w:tc>
        <w:tc>
          <w:tcPr>
            <w:tcW w:w="160" w:type="dxa"/>
            <w:vAlign w:val="bottom"/>
          </w:tcPr>
          <w:p>
            <w:pPr>
              <w:spacing w:after="0"/>
              <w:rPr>
                <w:sz w:val="17"/>
                <w:szCs w:val="17"/>
                <w:color w:val="auto"/>
              </w:rPr>
            </w:pPr>
          </w:p>
        </w:tc>
        <w:tc>
          <w:tcPr>
            <w:tcW w:w="10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$ 12,859,689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740" w:type="dxa"/>
            <w:vAlign w:val="bottom"/>
            <w:vMerge w:val="restart"/>
          </w:tcPr>
          <w:p>
            <w:pPr>
              <w:jc w:val="right"/>
              <w:ind w:right="134"/>
              <w:spacing w:after="0"/>
              <w:rPr>
                <w:sz w:val="20"/>
                <w:szCs w:val="20"/>
                <w:color w:val="auto"/>
              </w:rPr>
            </w:pPr>
            <w:r>
              <w:rPr>
                <w:rFonts w:ascii="Arial" w:cs="Arial" w:eastAsia="Arial" w:hAnsi="Arial"/>
                <w:sz w:val="18"/>
                <w:szCs w:val="18"/>
                <w:color w:val="auto"/>
              </w:rPr>
              <w:t>49</w:t>
            </w: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BUSEY CORPORATION</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3400" w:type="dxa"/>
            <w:vAlign w:val="bottom"/>
          </w:tcPr>
          <w:p>
            <w:pPr>
              <w:spacing w:after="0"/>
              <w:rPr>
                <w:sz w:val="16"/>
                <w:szCs w:val="16"/>
                <w:color w:val="auto"/>
              </w:rPr>
            </w:pPr>
          </w:p>
        </w:tc>
        <w:tc>
          <w:tcPr>
            <w:tcW w:w="3560" w:type="dxa"/>
            <w:vAlign w:val="bottom"/>
            <w:gridSpan w:val="6"/>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1780" w:type="dxa"/>
            <w:vAlign w:val="bottom"/>
            <w:gridSpan w:val="5"/>
          </w:tcPr>
          <w:p>
            <w:pPr>
              <w:jc w:val="right"/>
              <w:spacing w:after="0"/>
              <w:rPr>
                <w:sz w:val="20"/>
                <w:szCs w:val="20"/>
                <w:color w:val="auto"/>
              </w:rPr>
            </w:pPr>
            <w:r>
              <w:rPr>
                <w:rFonts w:ascii="Arial" w:cs="Arial" w:eastAsia="Arial" w:hAnsi="Arial"/>
                <w:sz w:val="14"/>
                <w:szCs w:val="14"/>
                <w:b w:val="1"/>
                <w:bCs w:val="1"/>
                <w:color w:val="auto"/>
                <w:w w:val="92"/>
              </w:rPr>
              <w:t>Six Months Ended June 30,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400" w:type="dxa"/>
            <w:vAlign w:val="bottom"/>
            <w:tcBorders>
              <w:bottom w:val="single" w:sz="8" w:color="CCEEFF"/>
            </w:tcBorders>
          </w:tcPr>
          <w:p>
            <w:pPr>
              <w:spacing w:after="0"/>
              <w:rPr>
                <w:sz w:val="13"/>
                <w:szCs w:val="13"/>
                <w:color w:val="auto"/>
              </w:rPr>
            </w:pPr>
          </w:p>
        </w:tc>
        <w:tc>
          <w:tcPr>
            <w:tcW w:w="168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21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700" w:type="dxa"/>
            <w:vAlign w:val="bottom"/>
            <w:tcBorders>
              <w:top w:val="single" w:sz="8" w:color="auto"/>
              <w:bottom w:val="single" w:sz="8" w:color="auto"/>
            </w:tcBorders>
          </w:tcPr>
          <w:p>
            <w:pPr>
              <w:jc w:val="right"/>
              <w:ind w:right="191"/>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8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80,072</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68,250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2"/>
              </w:rPr>
              <w:t>153,904</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w w:val="95"/>
              </w:rPr>
              <w:t>136,705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FirsTech</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w:t>
            </w:r>
          </w:p>
        </w:tc>
        <w:tc>
          <w:tcPr>
            <w:tcW w:w="168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(4,161)</w:t>
            </w:r>
          </w:p>
        </w:tc>
        <w:tc>
          <w:tcPr>
            <w:tcW w:w="16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(3,729)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(7,955)</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(7,311)</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net interest income</w:t>
            </w:r>
          </w:p>
        </w:tc>
        <w:tc>
          <w:tcPr>
            <w:tcW w:w="16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75,928</w:t>
            </w:r>
          </w:p>
        </w:tc>
        <w:tc>
          <w:tcPr>
            <w:tcW w:w="1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64,542</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145,984</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129,435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Noninterest income</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8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13,982</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14,938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29,268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27,822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FirsTech</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5,336</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10,755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9,670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14,135</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13,000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29,911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25,587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(2,434)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264</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(3,143)</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1,377</w:t>
            </w: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168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31,019</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33,011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66,791</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64,456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Noninterest expense</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8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54,380</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48,421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2"/>
              </w:rPr>
              <w:t>109,947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90,512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FirsTech</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4,809</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4,277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9,492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8,567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7,586</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6,717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15,851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13,282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2,317</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3,210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4,178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4,763</w:t>
            </w: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168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69,092</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62,625</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139,468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117,124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Income before income taxes</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8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38,021</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36,467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71,825</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82,511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FirsTech</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6,549</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14,060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12,305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(8,912)</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(6,675)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(15,276)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(10,697)</w:t>
            </w: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income before income taxes</w:t>
            </w:r>
          </w:p>
        </w:tc>
        <w:tc>
          <w:tcPr>
            <w:tcW w:w="168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36,202</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36,628</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71,907</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34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0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Banking</w:t>
            </w:r>
          </w:p>
        </w:tc>
        <w:tc>
          <w:tcPr>
            <w:tcW w:w="186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30,499</w:t>
            </w:r>
          </w:p>
        </w:tc>
        <w:tc>
          <w:tcPr>
            <w:tcW w:w="340" w:type="dxa"/>
            <w:vAlign w:val="bottom"/>
            <w:gridSpan w:val="2"/>
          </w:tcPr>
          <w:p>
            <w:pPr>
              <w:jc w:val="right"/>
              <w:ind w:right="27"/>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29,238</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56,950</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64,766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FirsTech</w:t>
            </w:r>
          </w:p>
        </w:tc>
        <w:tc>
          <w:tcPr>
            <w:tcW w:w="16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397</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w:t>
            </w:r>
          </w:p>
        </w:tc>
        <w:tc>
          <w:tcPr>
            <w:tcW w:w="1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5,092</w:t>
            </w: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4,884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10,932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jc w:val="right"/>
              <w:spacing w:after="0" w:line="202" w:lineRule="exact"/>
              <w:rPr>
                <w:sz w:val="20"/>
                <w:szCs w:val="20"/>
                <w:color w:val="auto"/>
              </w:rPr>
            </w:pPr>
            <w:r>
              <w:rPr>
                <w:rFonts w:ascii="Arial" w:cs="Arial" w:eastAsia="Arial" w:hAnsi="Arial"/>
                <w:sz w:val="18"/>
                <w:szCs w:val="18"/>
                <w:color w:val="auto"/>
              </w:rPr>
              <w:t>9,566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w:t>
            </w:r>
          </w:p>
        </w:tc>
        <w:tc>
          <w:tcPr>
            <w:tcW w:w="168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(6,164)</w:t>
            </w:r>
          </w:p>
        </w:tc>
        <w:tc>
          <w:tcPr>
            <w:tcW w:w="16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(4,757)</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(10,566)</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(7,580)</w:t>
            </w:r>
          </w:p>
        </w:tc>
        <w:tc>
          <w:tcPr>
            <w:tcW w:w="0" w:type="dxa"/>
            <w:vAlign w:val="bottom"/>
          </w:tcPr>
          <w:p>
            <w:pPr>
              <w:spacing w:after="0"/>
              <w:rPr>
                <w:sz w:val="1"/>
                <w:szCs w:val="1"/>
                <w:color w:val="auto"/>
              </w:rPr>
            </w:pPr>
          </w:p>
        </w:tc>
      </w:tr>
      <w:tr>
        <w:trPr>
          <w:trHeight w:val="196"/>
        </w:trPr>
        <w:tc>
          <w:tcPr>
            <w:tcW w:w="3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net income</w:t>
            </w:r>
          </w:p>
        </w:tc>
        <w:tc>
          <w:tcPr>
            <w:tcW w:w="168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29,824</w:t>
            </w:r>
          </w:p>
        </w:tc>
        <w:tc>
          <w:tcPr>
            <w:tcW w:w="160" w:type="dxa"/>
            <w:vAlign w:val="bottom"/>
          </w:tcPr>
          <w:p>
            <w:pPr>
              <w:spacing w:after="0"/>
              <w:rPr>
                <w:sz w:val="17"/>
                <w:szCs w:val="17"/>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29,766</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58,263</w:t>
            </w:r>
          </w:p>
        </w:tc>
        <w:tc>
          <w:tcPr>
            <w:tcW w:w="16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67,582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680" w:type="dxa"/>
            <w:vAlign w:val="bottom"/>
            <w:vMerge w:val="restart"/>
          </w:tcPr>
          <w:p>
            <w:pPr>
              <w:jc w:val="right"/>
              <w:ind w:right="453"/>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6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3"/>
        </w:trPr>
        <w:tc>
          <w:tcPr>
            <w:tcW w:w="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15: Leases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Busey as the Lessee</w:t>
      </w:r>
    </w:p>
    <w:p>
      <w:pPr>
        <w:spacing w:after="0" w:line="19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 xml:space="preserve">The Company has operating leases consisting primarily of equipment leases and real estate leases for banking centers, ATM locations, and office space. The following table summarizes lease-related information and balances the Company reported in its unaudited Consolidated Balance Sheets for the periods presented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15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3"/>
        </w:trPr>
        <w:tc>
          <w:tcPr>
            <w:tcW w:w="6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jc w:val="right"/>
              <w:ind w:right="46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60" w:type="dxa"/>
            <w:vAlign w:val="bottom"/>
          </w:tcPr>
          <w:p>
            <w:pPr>
              <w:jc w:val="right"/>
              <w:ind w:right="35"/>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0" w:type="dxa"/>
            <w:vAlign w:val="bottom"/>
          </w:tcPr>
          <w:p>
            <w:pPr>
              <w:spacing w:after="0"/>
              <w:rPr>
                <w:sz w:val="11"/>
                <w:szCs w:val="11"/>
                <w:color w:val="auto"/>
              </w:rPr>
            </w:pPr>
          </w:p>
        </w:tc>
      </w:tr>
      <w:tr>
        <w:trPr>
          <w:trHeight w:val="185"/>
        </w:trPr>
        <w:tc>
          <w:tcPr>
            <w:tcW w:w="64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r>
      <w:tr>
        <w:trPr>
          <w:trHeight w:val="183"/>
        </w:trPr>
        <w:tc>
          <w:tcPr>
            <w:tcW w:w="640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Lease balances</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Right of use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8,615</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10,533</w:t>
            </w:r>
          </w:p>
        </w:tc>
        <w:tc>
          <w:tcPr>
            <w:tcW w:w="20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Lease liabilities</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8,655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10,591</w:t>
            </w:r>
          </w:p>
        </w:tc>
        <w:tc>
          <w:tcPr>
            <w:tcW w:w="200" w:type="dxa"/>
            <w:vAlign w:val="bottom"/>
            <w:shd w:val="clear" w:color="auto" w:fill="CCEEFF"/>
          </w:tcPr>
          <w:p>
            <w:pPr>
              <w:spacing w:after="0"/>
              <w:rPr>
                <w:sz w:val="17"/>
                <w:szCs w:val="17"/>
                <w:color w:val="auto"/>
              </w:rPr>
            </w:pPr>
          </w:p>
        </w:tc>
      </w:tr>
      <w:tr>
        <w:trPr>
          <w:trHeight w:val="405"/>
        </w:trPr>
        <w:tc>
          <w:tcPr>
            <w:tcW w:w="6400" w:type="dxa"/>
            <w:vAlign w:val="bottom"/>
          </w:tcPr>
          <w:p>
            <w:pPr>
              <w:ind w:left="20"/>
              <w:spacing w:after="0"/>
              <w:rPr>
                <w:sz w:val="20"/>
                <w:szCs w:val="20"/>
                <w:color w:val="auto"/>
              </w:rPr>
            </w:pPr>
            <w:r>
              <w:rPr>
                <w:rFonts w:ascii="Arial" w:cs="Arial" w:eastAsia="Arial" w:hAnsi="Arial"/>
                <w:sz w:val="18"/>
                <w:szCs w:val="18"/>
                <w:b w:val="1"/>
                <w:bCs w:val="1"/>
                <w:color w:val="auto"/>
              </w:rPr>
              <w:t>Supplemental information</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r>
      <w:tr>
        <w:trPr>
          <w:trHeight w:val="202"/>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Year through which lease terms extend</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2031</w:t>
            </w:r>
          </w:p>
        </w:tc>
        <w:tc>
          <w:tcPr>
            <w:tcW w:w="200" w:type="dxa"/>
            <w:vAlign w:val="bottom"/>
            <w:shd w:val="clear" w:color="auto" w:fill="CCEEFF"/>
          </w:tcPr>
          <w:p>
            <w:pPr>
              <w:spacing w:after="0"/>
              <w:rPr>
                <w:sz w:val="17"/>
                <w:szCs w:val="17"/>
                <w:color w:val="auto"/>
              </w:rPr>
            </w:pPr>
          </w:p>
        </w:tc>
      </w:tr>
      <w:tr>
        <w:trPr>
          <w:trHeight w:val="203"/>
        </w:trPr>
        <w:tc>
          <w:tcPr>
            <w:tcW w:w="6400" w:type="dxa"/>
            <w:vAlign w:val="bottom"/>
          </w:tcPr>
          <w:p>
            <w:pPr>
              <w:ind w:left="220"/>
              <w:spacing w:after="0" w:line="202" w:lineRule="exact"/>
              <w:rPr>
                <w:sz w:val="20"/>
                <w:szCs w:val="20"/>
                <w:color w:val="auto"/>
              </w:rPr>
            </w:pPr>
            <w:r>
              <w:rPr>
                <w:rFonts w:ascii="Arial" w:cs="Arial" w:eastAsia="Arial" w:hAnsi="Arial"/>
                <w:sz w:val="18"/>
                <w:szCs w:val="18"/>
                <w:color w:val="auto"/>
              </w:rPr>
              <w:t>Weighted average remaining lease term (in years)</w:t>
            </w:r>
          </w:p>
        </w:tc>
        <w:tc>
          <w:tcPr>
            <w:tcW w:w="18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6.25</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spacing w:after="0" w:line="202" w:lineRule="exact"/>
              <w:rPr>
                <w:sz w:val="20"/>
                <w:szCs w:val="20"/>
                <w:color w:val="auto"/>
              </w:rPr>
            </w:pPr>
            <w:r>
              <w:rPr>
                <w:rFonts w:ascii="Arial" w:cs="Arial" w:eastAsia="Arial" w:hAnsi="Arial"/>
                <w:sz w:val="18"/>
                <w:szCs w:val="18"/>
                <w:color w:val="auto"/>
              </w:rPr>
              <w:t>6.47</w:t>
            </w:r>
          </w:p>
        </w:tc>
        <w:tc>
          <w:tcPr>
            <w:tcW w:w="200" w:type="dxa"/>
            <w:vAlign w:val="bottom"/>
          </w:tcPr>
          <w:p>
            <w:pPr>
              <w:spacing w:after="0"/>
              <w:rPr>
                <w:sz w:val="17"/>
                <w:szCs w:val="17"/>
                <w:color w:val="auto"/>
              </w:rPr>
            </w:pPr>
          </w:p>
        </w:tc>
      </w:tr>
      <w:tr>
        <w:trPr>
          <w:trHeight w:val="203"/>
        </w:trPr>
        <w:tc>
          <w:tcPr>
            <w:tcW w:w="6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Weighted average discount rate</w:t>
            </w: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2.04 %</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2.16 %</w:t>
            </w: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 following table represents lease costs and cash flows related to leases for the periods presented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22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2300" w:type="dxa"/>
            <w:vAlign w:val="bottom"/>
            <w:gridSpan w:val="6"/>
          </w:tcPr>
          <w:p>
            <w:pPr>
              <w:ind w:left="14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000" w:type="dxa"/>
            <w:vAlign w:val="bottom"/>
            <w:gridSpan w:val="4"/>
          </w:tcPr>
          <w:p>
            <w:pPr>
              <w:jc w:val="right"/>
              <w:ind w:right="152"/>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56"/>
        </w:trPr>
        <w:tc>
          <w:tcPr>
            <w:tcW w:w="4440" w:type="dxa"/>
            <w:vAlign w:val="bottom"/>
            <w:tcBorders>
              <w:bottom w:val="single" w:sz="8" w:color="CCEEFF"/>
            </w:tcBorders>
          </w:tcPr>
          <w:p>
            <w:pPr>
              <w:spacing w:after="0"/>
              <w:rPr>
                <w:sz w:val="13"/>
                <w:szCs w:val="13"/>
                <w:color w:val="auto"/>
              </w:rPr>
            </w:pPr>
          </w:p>
        </w:tc>
        <w:tc>
          <w:tcPr>
            <w:tcW w:w="6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2022</w:t>
            </w:r>
          </w:p>
        </w:tc>
        <w:tc>
          <w:tcPr>
            <w:tcW w:w="340" w:type="dxa"/>
            <w:vAlign w:val="bottom"/>
            <w:tcBorders>
              <w:top w:val="single" w:sz="8" w:color="auto"/>
              <w:bottom w:val="single" w:sz="8" w:color="auto"/>
            </w:tcBorders>
          </w:tcPr>
          <w:p>
            <w:pPr>
              <w:spacing w:after="0"/>
              <w:rPr>
                <w:sz w:val="13"/>
                <w:szCs w:val="13"/>
                <w:color w:val="auto"/>
              </w:rPr>
            </w:pPr>
          </w:p>
        </w:tc>
        <w:tc>
          <w:tcPr>
            <w:tcW w:w="1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2"/>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74"/>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2"/>
              <w:spacing w:after="0" w:line="155"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Lease costs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costs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6"/>
              </w:rPr>
              <w:t>582</w:t>
            </w: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608</w:t>
            </w:r>
          </w:p>
        </w:tc>
        <w:tc>
          <w:tcPr>
            <w:tcW w:w="1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1,199</w:t>
            </w: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02"/>
        </w:trPr>
        <w:tc>
          <w:tcPr>
            <w:tcW w:w="4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Variable lease costs</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3"/>
        </w:trPr>
        <w:tc>
          <w:tcPr>
            <w:tcW w:w="444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Short-term lease costs</w:t>
            </w:r>
          </w:p>
        </w:tc>
        <w:tc>
          <w:tcPr>
            <w:tcW w:w="6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w:t>
            </w:r>
          </w:p>
        </w:tc>
        <w:tc>
          <w:tcPr>
            <w:tcW w:w="1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4440" w:type="dxa"/>
            <w:vAlign w:val="bottom"/>
            <w:tcBorders>
              <w:bottom w:val="single" w:sz="8" w:color="CCEEFF"/>
            </w:tcBorders>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lease cost </w:t>
            </w:r>
            <w:r>
              <w:rPr>
                <w:rFonts w:ascii="Arial" w:cs="Arial" w:eastAsia="Arial" w:hAnsi="Arial"/>
                <w:sz w:val="22"/>
                <w:szCs w:val="22"/>
                <w:color w:val="auto"/>
                <w:vertAlign w:val="superscript"/>
              </w:rPr>
              <w:t>(1)</w:t>
            </w:r>
          </w:p>
        </w:tc>
        <w:tc>
          <w:tcPr>
            <w:tcW w:w="660" w:type="dxa"/>
            <w:vAlign w:val="bottom"/>
            <w:tcBorders>
              <w:bottom w:val="single" w:sz="8" w:color="auto"/>
            </w:tcBorders>
            <w:shd w:val="clear" w:color="auto" w:fill="CCEEFF"/>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6"/>
              </w:rPr>
              <w:t>682</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750</w:t>
            </w:r>
          </w:p>
        </w:tc>
        <w:tc>
          <w:tcPr>
            <w:tcW w:w="1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1,431</w:t>
            </w:r>
          </w:p>
        </w:tc>
        <w:tc>
          <w:tcPr>
            <w:tcW w:w="1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0"/>
        </w:trPr>
        <w:tc>
          <w:tcPr>
            <w:tcW w:w="4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Cash flows related to leases</w:t>
            </w:r>
          </w:p>
        </w:tc>
        <w:tc>
          <w:tcPr>
            <w:tcW w:w="6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40" w:type="dxa"/>
            <w:vAlign w:val="bottom"/>
            <w:vMerge w:val="continue"/>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4440" w:type="dxa"/>
            <w:vAlign w:val="bottom"/>
            <w:shd w:val="clear" w:color="auto" w:fill="CCEEFF"/>
          </w:tcPr>
          <w:p>
            <w:pPr>
              <w:ind w:left="20"/>
              <w:spacing w:after="0" w:line="189" w:lineRule="exact"/>
              <w:rPr>
                <w:sz w:val="20"/>
                <w:szCs w:val="20"/>
                <w:color w:val="auto"/>
              </w:rPr>
            </w:pPr>
            <w:r>
              <w:rPr>
                <w:rFonts w:ascii="Arial" w:cs="Arial" w:eastAsia="Arial" w:hAnsi="Arial"/>
                <w:sz w:val="18"/>
                <w:szCs w:val="18"/>
                <w:color w:val="auto"/>
              </w:rPr>
              <w:t>Cash paid for amounts included in the measurement of</w:t>
            </w:r>
          </w:p>
        </w:tc>
        <w:tc>
          <w:tcPr>
            <w:tcW w:w="6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6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440" w:type="dxa"/>
            <w:vAlign w:val="bottom"/>
          </w:tcPr>
          <w:p>
            <w:pPr>
              <w:ind w:left="220"/>
              <w:spacing w:after="0" w:line="202" w:lineRule="exact"/>
              <w:rPr>
                <w:sz w:val="20"/>
                <w:szCs w:val="20"/>
                <w:color w:val="auto"/>
              </w:rPr>
            </w:pPr>
            <w:r>
              <w:rPr>
                <w:rFonts w:ascii="Arial" w:cs="Arial" w:eastAsia="Arial" w:hAnsi="Arial"/>
                <w:sz w:val="18"/>
                <w:szCs w:val="18"/>
                <w:color w:val="auto"/>
              </w:rPr>
              <w:t>Operating lease cash flows – Fixed payments</w:t>
            </w:r>
          </w:p>
        </w:tc>
        <w:tc>
          <w:tcPr>
            <w:tcW w:w="660" w:type="dxa"/>
            <w:vAlign w:val="bottom"/>
          </w:tcPr>
          <w:p>
            <w:pPr>
              <w:jc w:val="right"/>
              <w:ind w:right="507"/>
              <w:spacing w:after="0"/>
              <w:rPr>
                <w:sz w:val="20"/>
                <w:szCs w:val="20"/>
                <w:color w:val="auto"/>
              </w:rPr>
            </w:pPr>
            <w:r>
              <w:rPr>
                <w:rFonts w:ascii="Arial" w:cs="Arial" w:eastAsia="Arial" w:hAnsi="Arial"/>
                <w:sz w:val="15"/>
                <w:szCs w:val="15"/>
                <w:color w:val="auto"/>
                <w:w w:val="71"/>
              </w:rPr>
              <w:t>$</w:t>
            </w:r>
          </w:p>
        </w:tc>
        <w:tc>
          <w:tcPr>
            <w:tcW w:w="340" w:type="dxa"/>
            <w:vAlign w:val="bottom"/>
          </w:tcPr>
          <w:p>
            <w:pPr>
              <w:jc w:val="right"/>
              <w:spacing w:after="0" w:line="202" w:lineRule="exact"/>
              <w:rPr>
                <w:sz w:val="20"/>
                <w:szCs w:val="20"/>
                <w:color w:val="auto"/>
              </w:rPr>
            </w:pPr>
            <w:r>
              <w:rPr>
                <w:rFonts w:ascii="Arial" w:cs="Arial" w:eastAsia="Arial" w:hAnsi="Arial"/>
                <w:sz w:val="18"/>
                <w:szCs w:val="18"/>
                <w:color w:val="auto"/>
                <w:w w:val="86"/>
              </w:rPr>
              <w:t>738</w:t>
            </w: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590</w:t>
            </w:r>
          </w:p>
        </w:tc>
        <w:tc>
          <w:tcPr>
            <w:tcW w:w="140" w:type="dxa"/>
            <w:vAlign w:val="bottom"/>
          </w:tcPr>
          <w:p>
            <w:pPr>
              <w:spacing w:after="0"/>
              <w:rPr>
                <w:sz w:val="17"/>
                <w:szCs w:val="17"/>
                <w:color w:val="auto"/>
              </w:rPr>
            </w:pPr>
          </w:p>
        </w:tc>
        <w:tc>
          <w:tcPr>
            <w:tcW w:w="16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1,369</w:t>
            </w:r>
          </w:p>
        </w:tc>
        <w:tc>
          <w:tcPr>
            <w:tcW w:w="140" w:type="dxa"/>
            <w:vAlign w:val="bottom"/>
          </w:tcPr>
          <w:p>
            <w:pPr>
              <w:spacing w:after="0"/>
              <w:rPr>
                <w:sz w:val="17"/>
                <w:szCs w:val="17"/>
                <w:color w:val="auto"/>
              </w:rPr>
            </w:pPr>
          </w:p>
        </w:tc>
        <w:tc>
          <w:tcPr>
            <w:tcW w:w="240" w:type="dxa"/>
            <w:vAlign w:val="bottom"/>
          </w:tcPr>
          <w:p>
            <w:pPr>
              <w:jc w:val="right"/>
              <w:ind w:right="50"/>
              <w:spacing w:after="0" w:line="202"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2" w:lineRule="exact"/>
              <w:rPr>
                <w:sz w:val="20"/>
                <w:szCs w:val="20"/>
                <w:color w:val="auto"/>
              </w:rPr>
            </w:pPr>
            <w:r>
              <w:rPr>
                <w:rFonts w:ascii="Arial" w:cs="Arial" w:eastAsia="Arial" w:hAnsi="Arial"/>
                <w:sz w:val="18"/>
                <w:szCs w:val="18"/>
                <w:color w:val="auto"/>
              </w:rPr>
              <w:t>1,136</w:t>
            </w:r>
          </w:p>
        </w:tc>
        <w:tc>
          <w:tcPr>
            <w:tcW w:w="0" w:type="dxa"/>
            <w:vAlign w:val="bottom"/>
          </w:tcPr>
          <w:p>
            <w:pPr>
              <w:spacing w:after="0"/>
              <w:rPr>
                <w:sz w:val="1"/>
                <w:szCs w:val="1"/>
                <w:color w:val="auto"/>
              </w:rPr>
            </w:pPr>
          </w:p>
        </w:tc>
      </w:tr>
      <w:tr>
        <w:trPr>
          <w:trHeight w:val="203"/>
        </w:trPr>
        <w:tc>
          <w:tcPr>
            <w:tcW w:w="44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Operating lease cash flows – Liability reduction</w:t>
            </w:r>
          </w:p>
        </w:tc>
        <w:tc>
          <w:tcPr>
            <w:tcW w:w="66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6"/>
              </w:rPr>
              <w:t>692</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1,277</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188"/>
        </w:trPr>
        <w:tc>
          <w:tcPr>
            <w:tcW w:w="4440" w:type="dxa"/>
            <w:vAlign w:val="bottom"/>
          </w:tcPr>
          <w:p>
            <w:pPr>
              <w:ind w:left="20"/>
              <w:spacing w:after="0" w:line="189" w:lineRule="exact"/>
              <w:rPr>
                <w:sz w:val="20"/>
                <w:szCs w:val="20"/>
                <w:color w:val="auto"/>
              </w:rPr>
            </w:pPr>
            <w:r>
              <w:rPr>
                <w:rFonts w:ascii="Arial" w:cs="Arial" w:eastAsia="Arial" w:hAnsi="Arial"/>
                <w:sz w:val="18"/>
                <w:szCs w:val="18"/>
                <w:color w:val="auto"/>
                <w:w w:val="93"/>
              </w:rPr>
              <w:t>Right of use assets obtained during the period in exchange</w:t>
            </w:r>
          </w:p>
        </w:tc>
        <w:tc>
          <w:tcPr>
            <w:tcW w:w="6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4440" w:type="dxa"/>
            <w:vAlign w:val="bottom"/>
          </w:tcPr>
          <w:p>
            <w:pPr>
              <w:ind w:left="20"/>
              <w:spacing w:after="0"/>
              <w:rPr>
                <w:sz w:val="20"/>
                <w:szCs w:val="20"/>
                <w:color w:val="auto"/>
              </w:rPr>
            </w:pPr>
            <w:r>
              <w:rPr>
                <w:rFonts w:ascii="Arial" w:cs="Arial" w:eastAsia="Arial" w:hAnsi="Arial"/>
                <w:sz w:val="18"/>
                <w:szCs w:val="18"/>
                <w:color w:val="auto"/>
              </w:rPr>
              <w:t>for operating lease liabilities</w:t>
            </w:r>
          </w:p>
        </w:tc>
        <w:tc>
          <w:tcPr>
            <w:tcW w:w="660" w:type="dxa"/>
            <w:vAlign w:val="bottom"/>
          </w:tcPr>
          <w:p>
            <w:pPr>
              <w:spacing w:after="0"/>
              <w:rPr>
                <w:sz w:val="20"/>
                <w:szCs w:val="20"/>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1,462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60325</wp:posOffset>
            </wp:positionV>
            <wp:extent cx="141414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64" w:lineRule="exact"/>
        <w:rPr>
          <w:sz w:val="20"/>
          <w:szCs w:val="20"/>
          <w:color w:val="auto"/>
        </w:rPr>
      </w:pPr>
    </w:p>
    <w:p>
      <w:pPr>
        <w:ind w:left="480" w:hanging="322"/>
        <w:spacing w:after="0"/>
        <w:tabs>
          <w:tab w:leader="none" w:pos="480" w:val="left"/>
        </w:tabs>
        <w:numPr>
          <w:ilvl w:val="0"/>
          <w:numId w:val="11"/>
        </w:numPr>
        <w:rPr>
          <w:rFonts w:ascii="Arial" w:cs="Arial" w:eastAsia="Arial" w:hAnsi="Arial"/>
          <w:sz w:val="11"/>
          <w:szCs w:val="11"/>
          <w:color w:val="auto"/>
        </w:rPr>
      </w:pPr>
      <w:r>
        <w:rPr>
          <w:rFonts w:ascii="Arial" w:cs="Arial" w:eastAsia="Arial" w:hAnsi="Arial"/>
          <w:sz w:val="14"/>
          <w:szCs w:val="14"/>
          <w:color w:val="auto"/>
        </w:rPr>
        <w:t>Lease costs are included in net occupancy and equipment expense in the unaudited Consolidated Statements of Income.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FIRST BUSEY CORPORATION</w:t>
      </w: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182"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The Company was obligated under noncancelable operating leases for office space and other commitments,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7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73"/>
              <w:spacing w:after="0"/>
              <w:rPr>
                <w:sz w:val="20"/>
                <w:szCs w:val="20"/>
                <w:color w:val="auto"/>
              </w:rPr>
            </w:pPr>
            <w:r>
              <w:rPr>
                <w:rFonts w:ascii="Arial" w:cs="Arial" w:eastAsia="Arial" w:hAnsi="Arial"/>
                <w:sz w:val="14"/>
                <w:szCs w:val="14"/>
                <w:b w:val="1"/>
                <w:bCs w:val="1"/>
                <w:color w:val="auto"/>
              </w:rPr>
              <w:t>As of</w:t>
            </w:r>
          </w:p>
        </w:tc>
      </w:tr>
      <w:tr>
        <w:trPr>
          <w:trHeight w:val="185"/>
        </w:trPr>
        <w:tc>
          <w:tcPr>
            <w:tcW w:w="78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w w:val="90"/>
              </w:rPr>
              <w:t>June 30, 2022</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Rent commitments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Remainder of 2022</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1,066</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2023</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1,833</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2024</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1,500</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2025</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1,265</w:t>
            </w:r>
          </w:p>
        </w:tc>
      </w:tr>
      <w:tr>
        <w:trPr>
          <w:trHeight w:val="203"/>
        </w:trPr>
        <w:tc>
          <w:tcPr>
            <w:tcW w:w="7860" w:type="dxa"/>
            <w:vAlign w:val="bottom"/>
          </w:tcPr>
          <w:p>
            <w:pPr>
              <w:ind w:left="220"/>
              <w:spacing w:after="0" w:line="202" w:lineRule="exact"/>
              <w:rPr>
                <w:sz w:val="20"/>
                <w:szCs w:val="20"/>
                <w:color w:val="auto"/>
              </w:rPr>
            </w:pPr>
            <w:r>
              <w:rPr>
                <w:rFonts w:ascii="Arial" w:cs="Arial" w:eastAsia="Arial" w:hAnsi="Arial"/>
                <w:sz w:val="18"/>
                <w:szCs w:val="18"/>
                <w:color w:val="auto"/>
              </w:rPr>
              <w:t>2026</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995</w:t>
            </w:r>
          </w:p>
        </w:tc>
      </w:tr>
      <w:tr>
        <w:trPr>
          <w:trHeight w:val="203"/>
        </w:trPr>
        <w:tc>
          <w:tcPr>
            <w:tcW w:w="7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2027</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701</w:t>
            </w:r>
          </w:p>
        </w:tc>
      </w:tr>
      <w:tr>
        <w:trPr>
          <w:trHeight w:val="203"/>
        </w:trPr>
        <w:tc>
          <w:tcPr>
            <w:tcW w:w="786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Thereafter</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1,853</w:t>
            </w:r>
          </w:p>
        </w:tc>
      </w:tr>
      <w:tr>
        <w:trPr>
          <w:trHeight w:val="196"/>
        </w:trPr>
        <w:tc>
          <w:tcPr>
            <w:tcW w:w="78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undiscounted cash flows</w:t>
            </w: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9,213</w:t>
            </w:r>
          </w:p>
        </w:tc>
      </w:tr>
      <w:tr>
        <w:trPr>
          <w:trHeight w:val="203"/>
        </w:trPr>
        <w:tc>
          <w:tcPr>
            <w:tcW w:w="7860" w:type="dxa"/>
            <w:vAlign w:val="bottom"/>
            <w:tcBorders>
              <w:bottom w:val="single" w:sz="8" w:color="CCEEFF"/>
            </w:tcBorders>
          </w:tcPr>
          <w:p>
            <w:pPr>
              <w:ind w:left="20"/>
              <w:spacing w:after="0" w:line="202" w:lineRule="exact"/>
              <w:rPr>
                <w:sz w:val="20"/>
                <w:szCs w:val="20"/>
                <w:color w:val="auto"/>
              </w:rPr>
            </w:pPr>
            <w:r>
              <w:rPr>
                <w:rFonts w:ascii="Arial" w:cs="Arial" w:eastAsia="Arial" w:hAnsi="Arial"/>
                <w:sz w:val="18"/>
                <w:szCs w:val="18"/>
                <w:color w:val="auto"/>
              </w:rPr>
              <w:t>Less: Amounts representing interest</w:t>
            </w: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w:t>
            </w:r>
          </w:p>
        </w:tc>
      </w:tr>
      <w:tr>
        <w:trPr>
          <w:trHeight w:val="196"/>
        </w:trPr>
        <w:tc>
          <w:tcPr>
            <w:tcW w:w="78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Present value of net future minimum lease payments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8,655</w:t>
            </w:r>
          </w:p>
        </w:tc>
      </w:tr>
      <w:tr>
        <w:trPr>
          <w:trHeight w:val="20"/>
        </w:trPr>
        <w:tc>
          <w:tcPr>
            <w:tcW w:w="7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Busey as the Lessor</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 xml:space="preserve">Busey occasionally leases parking lots and office space to outside parties. Further, in connection with the acquisition of CAC in the second quarter of 2021, the Company acquired office buildings in Glenview, IL and Northbrook, IL, along with operating leases for space within these buildings that is rented to third parties. Revenues recorded in connection with these leases and reported in other income on our unaudited Consolidated Statements of Income are summarized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80" w:type="dxa"/>
            <w:vAlign w:val="bottom"/>
            <w:gridSpan w:val="5"/>
          </w:tcPr>
          <w:p>
            <w:pPr>
              <w:ind w:left="20"/>
              <w:spacing w:after="0"/>
              <w:rPr>
                <w:sz w:val="20"/>
                <w:szCs w:val="20"/>
                <w:color w:val="auto"/>
              </w:rPr>
            </w:pPr>
            <w:r>
              <w:rPr>
                <w:rFonts w:ascii="Arial" w:cs="Arial" w:eastAsia="Arial" w:hAnsi="Arial"/>
                <w:sz w:val="14"/>
                <w:szCs w:val="14"/>
                <w:b w:val="1"/>
                <w:bCs w:val="1"/>
                <w:color w:val="auto"/>
              </w:rPr>
              <w:t>Three Months Ended June 30,</w:t>
            </w:r>
          </w:p>
        </w:tc>
        <w:tc>
          <w:tcPr>
            <w:tcW w:w="160" w:type="dxa"/>
            <w:vAlign w:val="bottom"/>
          </w:tcPr>
          <w:p>
            <w:pPr>
              <w:spacing w:after="0"/>
              <w:rPr>
                <w:sz w:val="16"/>
                <w:szCs w:val="16"/>
                <w:color w:val="auto"/>
              </w:rPr>
            </w:pPr>
          </w:p>
        </w:tc>
        <w:tc>
          <w:tcPr>
            <w:tcW w:w="2000" w:type="dxa"/>
            <w:vAlign w:val="bottom"/>
            <w:gridSpan w:val="4"/>
          </w:tcPr>
          <w:p>
            <w:pPr>
              <w:jc w:val="right"/>
              <w:ind w:right="159"/>
              <w:spacing w:after="0"/>
              <w:rPr>
                <w:sz w:val="20"/>
                <w:szCs w:val="20"/>
                <w:color w:val="auto"/>
              </w:rPr>
            </w:pPr>
            <w:r>
              <w:rPr>
                <w:rFonts w:ascii="Arial" w:cs="Arial" w:eastAsia="Arial" w:hAnsi="Arial"/>
                <w:sz w:val="14"/>
                <w:szCs w:val="14"/>
                <w:b w:val="1"/>
                <w:bCs w:val="1"/>
                <w:color w:val="auto"/>
                <w:w w:val="95"/>
              </w:rPr>
              <w:t>Six Months Ended June 30,</w:t>
            </w:r>
          </w:p>
        </w:tc>
      </w:tr>
      <w:tr>
        <w:trPr>
          <w:trHeight w:val="155"/>
        </w:trPr>
        <w:tc>
          <w:tcPr>
            <w:tcW w:w="4440" w:type="dxa"/>
            <w:vAlign w:val="bottom"/>
            <w:tcBorders>
              <w:bottom w:val="single" w:sz="8" w:color="CCEEFF"/>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279"/>
              <w:spacing w:after="0" w:line="155"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282"/>
              <w:spacing w:after="0" w:line="155"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760" w:type="dxa"/>
            <w:vAlign w:val="bottom"/>
            <w:tcBorders>
              <w:top w:val="single" w:sz="8" w:color="auto"/>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2021</w:t>
            </w:r>
          </w:p>
        </w:tc>
      </w:tr>
      <w:tr>
        <w:trPr>
          <w:trHeight w:val="196"/>
        </w:trPr>
        <w:tc>
          <w:tcPr>
            <w:tcW w:w="44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Rental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87</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373</w:t>
            </w:r>
          </w:p>
        </w:tc>
        <w:tc>
          <w:tcPr>
            <w:tcW w:w="1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left="40" w:right="99"/>
        <w:spacing w:after="0" w:line="266"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4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480" w:type="dxa"/>
            <w:vAlign w:val="bottom"/>
            <w:gridSpan w:val="25"/>
          </w:tcPr>
          <w:p>
            <w:pPr>
              <w:ind w:left="20"/>
              <w:spacing w:after="0"/>
              <w:rPr>
                <w:sz w:val="20"/>
                <w:szCs w:val="20"/>
                <w:color w:val="auto"/>
              </w:rPr>
            </w:pPr>
            <w:r>
              <w:rPr>
                <w:rFonts w:ascii="Arial" w:cs="Arial" w:eastAsia="Arial" w:hAnsi="Arial"/>
                <w:sz w:val="18"/>
                <w:szCs w:val="18"/>
                <w:b w:val="1"/>
                <w:bCs w:val="1"/>
                <w:color w:val="auto"/>
              </w:rPr>
              <w:t>Table of Contents</w:t>
            </w:r>
          </w:p>
        </w:tc>
        <w:tc>
          <w:tcPr>
            <w:tcW w:w="1440" w:type="dxa"/>
            <w:vAlign w:val="bottom"/>
          </w:tcPr>
          <w:p>
            <w:pPr>
              <w:spacing w:after="0"/>
              <w:rPr>
                <w:sz w:val="20"/>
                <w:szCs w:val="20"/>
                <w:color w:val="auto"/>
              </w:rPr>
            </w:pPr>
          </w:p>
        </w:tc>
      </w:tr>
      <w:tr>
        <w:trPr>
          <w:trHeight w:val="378"/>
        </w:trPr>
        <w:tc>
          <w:tcPr>
            <w:tcW w:w="100" w:type="dxa"/>
            <w:vAlign w:val="bottom"/>
          </w:tcPr>
          <w:p>
            <w:pPr>
              <w:spacing w:after="0"/>
              <w:rPr>
                <w:sz w:val="24"/>
                <w:szCs w:val="24"/>
                <w:color w:val="auto"/>
              </w:rPr>
            </w:pPr>
          </w:p>
        </w:tc>
        <w:tc>
          <w:tcPr>
            <w:tcW w:w="9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OVERVIEW</w:t>
              </w:r>
            </w:hyperlink>
          </w:p>
        </w:tc>
        <w:tc>
          <w:tcPr>
            <w:tcW w:w="6460" w:type="dxa"/>
            <w:vAlign w:val="bottom"/>
            <w:gridSpan w:val="22"/>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385"/>
        </w:trPr>
        <w:tc>
          <w:tcPr>
            <w:tcW w:w="100" w:type="dxa"/>
            <w:vAlign w:val="bottom"/>
          </w:tcPr>
          <w:p>
            <w:pPr>
              <w:spacing w:after="0"/>
              <w:rPr>
                <w:sz w:val="24"/>
                <w:szCs w:val="24"/>
                <w:color w:val="auto"/>
              </w:rPr>
            </w:pPr>
          </w:p>
        </w:tc>
        <w:tc>
          <w:tcPr>
            <w:tcW w:w="7380" w:type="dxa"/>
            <w:vAlign w:val="bottom"/>
            <w:gridSpan w:val="24"/>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EXECUTIVE SUMMARY</w:t>
              </w:r>
            </w:hyperlink>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183"/>
        </w:trPr>
        <w:tc>
          <w:tcPr>
            <w:tcW w:w="10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64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Operating Results</w:t>
              </w:r>
            </w:hyperlink>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54</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8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Acquisitions</w:t>
              </w:r>
            </w:hyperlink>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54</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Borders>
              <w:top w:val="single" w:sz="8" w:color="0000EE"/>
            </w:tcBorders>
            <w:gridSpan w:val="3"/>
          </w:tcPr>
          <w:p>
            <w:pPr>
              <w:spacing w:after="0" w:line="182" w:lineRule="exact"/>
              <w:rPr>
                <w:rFonts w:ascii="Arial" w:cs="Arial" w:eastAsia="Arial" w:hAnsi="Arial"/>
                <w:sz w:val="18"/>
                <w:szCs w:val="18"/>
                <w:color w:val="0000EE"/>
                <w:w w:val="77"/>
              </w:rPr>
            </w:pPr>
            <w:hyperlink w:anchor="page55">
              <w:r>
                <w:rPr>
                  <w:rFonts w:ascii="Arial" w:cs="Arial" w:eastAsia="Arial" w:hAnsi="Arial"/>
                  <w:sz w:val="18"/>
                  <w:szCs w:val="18"/>
                  <w:color w:val="0000EE"/>
                  <w:w w:val="77"/>
                </w:rPr>
                <w:t>Non-operating</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20" w:type="dxa"/>
            <w:vAlign w:val="bottom"/>
            <w:gridSpan w:val="18"/>
          </w:tcPr>
          <w:p>
            <w:pPr>
              <w:ind w:left="60"/>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Expenses and Non-GAAP Measures</w:t>
              </w:r>
            </w:hyperlink>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55</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00" w:type="dxa"/>
            <w:vAlign w:val="bottom"/>
            <w:tcBorders>
              <w:top w:val="single" w:sz="8" w:color="0000EE"/>
            </w:tcBorders>
            <w:gridSpan w:val="21"/>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Banking Center Markets</w:t>
              </w:r>
            </w:hyperlink>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55</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760" w:type="dxa"/>
            <w:vAlign w:val="bottom"/>
            <w:tcBorders>
              <w:top w:val="single" w:sz="8" w:color="0000EE"/>
            </w:tcBorders>
            <w:gridSpan w:val="14"/>
          </w:tcPr>
          <w:p>
            <w:pPr>
              <w:spacing w:after="0" w:line="182" w:lineRule="exact"/>
              <w:rPr>
                <w:rFonts w:ascii="Arial" w:cs="Arial" w:eastAsia="Arial" w:hAnsi="Arial"/>
                <w:sz w:val="18"/>
                <w:szCs w:val="18"/>
                <w:color w:val="0000EE"/>
              </w:rPr>
            </w:pPr>
            <w:hyperlink w:anchor="page55">
              <w:r>
                <w:rPr>
                  <w:rFonts w:ascii="Arial" w:cs="Arial" w:eastAsia="Arial" w:hAnsi="Arial"/>
                  <w:sz w:val="18"/>
                  <w:szCs w:val="18"/>
                  <w:color w:val="0000EE"/>
                </w:rPr>
                <w:t>Net Interest Income</w:t>
              </w:r>
            </w:hyperlink>
          </w:p>
        </w:tc>
        <w:tc>
          <w:tcPr>
            <w:tcW w:w="3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55</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Borders>
              <w:top w:val="single" w:sz="8" w:color="0000EE"/>
            </w:tcBorders>
            <w:gridSpan w:val="9"/>
          </w:tcPr>
          <w:p>
            <w:pPr>
              <w:spacing w:after="0" w:line="182" w:lineRule="exact"/>
              <w:rPr>
                <w:rFonts w:ascii="Arial" w:cs="Arial" w:eastAsia="Arial" w:hAnsi="Arial"/>
                <w:sz w:val="18"/>
                <w:szCs w:val="18"/>
                <w:color w:val="0000EE"/>
                <w:w w:val="90"/>
              </w:rPr>
            </w:pPr>
            <w:hyperlink w:anchor="page60">
              <w:r>
                <w:rPr>
                  <w:rFonts w:ascii="Arial" w:cs="Arial" w:eastAsia="Arial" w:hAnsi="Arial"/>
                  <w:sz w:val="18"/>
                  <w:szCs w:val="18"/>
                  <w:color w:val="0000EE"/>
                  <w:w w:val="90"/>
                </w:rPr>
                <w:t>Noninterest Income</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60</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83"/>
              </w:rPr>
            </w:pPr>
            <w:hyperlink w:anchor="page62">
              <w:r>
                <w:rPr>
                  <w:rFonts w:ascii="Arial" w:cs="Arial" w:eastAsia="Arial" w:hAnsi="Arial"/>
                  <w:sz w:val="18"/>
                  <w:szCs w:val="18"/>
                  <w:color w:val="0000EE"/>
                  <w:w w:val="83"/>
                </w:rPr>
                <w:t>Noninterest Expense</w:t>
              </w:r>
            </w:hyperlink>
          </w:p>
        </w:tc>
        <w:tc>
          <w:tcPr>
            <w:tcW w:w="60" w:type="dxa"/>
            <w:vAlign w:val="bottom"/>
            <w:tcBorders>
              <w:bottom w:val="single" w:sz="8" w:color="0000EE"/>
            </w:tcBorders>
            <w:gridSpan w:val="2"/>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3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62</w:t>
            </w:r>
          </w:p>
        </w:tc>
      </w:tr>
      <w:tr>
        <w:trPr>
          <w:trHeight w:val="385"/>
        </w:trPr>
        <w:tc>
          <w:tcPr>
            <w:tcW w:w="100" w:type="dxa"/>
            <w:vAlign w:val="bottom"/>
          </w:tcPr>
          <w:p>
            <w:pPr>
              <w:spacing w:after="0"/>
              <w:rPr>
                <w:sz w:val="24"/>
                <w:szCs w:val="24"/>
                <w:color w:val="auto"/>
              </w:rPr>
            </w:pPr>
          </w:p>
        </w:tc>
        <w:tc>
          <w:tcPr>
            <w:tcW w:w="7380" w:type="dxa"/>
            <w:vAlign w:val="bottom"/>
            <w:gridSpan w:val="24"/>
          </w:tcPr>
          <w:p>
            <w:pPr>
              <w:spacing w:after="0"/>
              <w:rPr>
                <w:rFonts w:ascii="Arial" w:cs="Arial" w:eastAsia="Arial" w:hAnsi="Arial"/>
                <w:sz w:val="18"/>
                <w:szCs w:val="18"/>
                <w:color w:val="0000EE"/>
              </w:rPr>
            </w:pPr>
            <w:hyperlink w:anchor="page65">
              <w:r>
                <w:rPr>
                  <w:rFonts w:ascii="Arial" w:cs="Arial" w:eastAsia="Arial" w:hAnsi="Arial"/>
                  <w:sz w:val="18"/>
                  <w:szCs w:val="18"/>
                  <w:color w:val="0000EE"/>
                </w:rPr>
                <w:t>FINANCIAL CONDITION</w:t>
              </w:r>
            </w:hyperlink>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183"/>
        </w:trPr>
        <w:tc>
          <w:tcPr>
            <w:tcW w:w="10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1680" w:type="dxa"/>
            <w:vAlign w:val="bottom"/>
            <w:tcBorders>
              <w:top w:val="single" w:sz="8" w:color="0000EE"/>
            </w:tcBorders>
            <w:gridSpan w:val="13"/>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Balance Sheet</w:t>
              </w:r>
            </w:hyperlink>
          </w:p>
        </w:tc>
        <w:tc>
          <w:tcPr>
            <w:tcW w:w="380" w:type="dxa"/>
            <w:vAlign w:val="bottom"/>
            <w:gridSpan w:val="2"/>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65</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83"/>
              </w:rPr>
            </w:pPr>
            <w:hyperlink w:anchor="page65">
              <w:r>
                <w:rPr>
                  <w:rFonts w:ascii="Arial" w:cs="Arial" w:eastAsia="Arial" w:hAnsi="Arial"/>
                  <w:sz w:val="18"/>
                  <w:szCs w:val="18"/>
                  <w:color w:val="0000EE"/>
                  <w:w w:val="83"/>
                </w:rPr>
                <w:t>Portfolio Loans</w:t>
              </w:r>
            </w:hyperlink>
          </w:p>
        </w:tc>
        <w:tc>
          <w:tcPr>
            <w:tcW w:w="100" w:type="dxa"/>
            <w:vAlign w:val="bottom"/>
            <w:tcBorders>
              <w:bottom w:val="single" w:sz="8" w:color="0000EE"/>
            </w:tcBorders>
          </w:tcPr>
          <w:p>
            <w:pPr>
              <w:spacing w:after="0"/>
              <w:rPr>
                <w:sz w:val="15"/>
                <w:szCs w:val="15"/>
                <w:color w:val="auto"/>
              </w:rPr>
            </w:pPr>
          </w:p>
        </w:tc>
        <w:tc>
          <w:tcPr>
            <w:tcW w:w="380" w:type="dxa"/>
            <w:vAlign w:val="bottom"/>
            <w:gridSpan w:val="5"/>
          </w:tcPr>
          <w:p>
            <w:pPr>
              <w:spacing w:after="0"/>
              <w:rPr>
                <w:sz w:val="15"/>
                <w:szCs w:val="15"/>
                <w:color w:val="auto"/>
              </w:rPr>
            </w:pPr>
          </w:p>
        </w:tc>
        <w:tc>
          <w:tcPr>
            <w:tcW w:w="56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65</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20" w:type="dxa"/>
            <w:vAlign w:val="bottom"/>
            <w:gridSpan w:val="6"/>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Deposits</w:t>
              </w:r>
            </w:hyperlink>
          </w:p>
        </w:tc>
        <w:tc>
          <w:tcPr>
            <w:tcW w:w="380" w:type="dxa"/>
            <w:vAlign w:val="bottom"/>
            <w:gridSpan w:val="5"/>
          </w:tcPr>
          <w:p>
            <w:pPr>
              <w:spacing w:after="0"/>
              <w:rPr>
                <w:sz w:val="15"/>
                <w:szCs w:val="15"/>
                <w:color w:val="auto"/>
              </w:rPr>
            </w:pPr>
          </w:p>
        </w:tc>
        <w:tc>
          <w:tcPr>
            <w:tcW w:w="560" w:type="dxa"/>
            <w:vAlign w:val="bottom"/>
            <w:gridSpan w:val="4"/>
          </w:tcPr>
          <w:p>
            <w:pPr>
              <w:spacing w:after="0"/>
              <w:rPr>
                <w:sz w:val="15"/>
                <w:szCs w:val="15"/>
                <w:color w:val="auto"/>
              </w:rPr>
            </w:pPr>
          </w:p>
        </w:tc>
        <w:tc>
          <w:tcPr>
            <w:tcW w:w="5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60" w:type="dxa"/>
            <w:vAlign w:val="bottom"/>
            <w:gridSpan w:val="2"/>
          </w:tcPr>
          <w:p>
            <w:pPr>
              <w:spacing w:after="0"/>
              <w:rPr>
                <w:sz w:val="15"/>
                <w:szCs w:val="15"/>
                <w:color w:val="auto"/>
              </w:rPr>
            </w:pPr>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70</w:t>
            </w:r>
          </w:p>
        </w:tc>
      </w:tr>
      <w:tr>
        <w:trPr>
          <w:trHeight w:val="20"/>
        </w:trPr>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00" w:type="dxa"/>
            <w:vAlign w:val="bottom"/>
          </w:tcPr>
          <w:p>
            <w:pPr>
              <w:spacing w:after="0"/>
              <w:rPr>
                <w:sz w:val="24"/>
                <w:szCs w:val="24"/>
                <w:color w:val="auto"/>
              </w:rPr>
            </w:pPr>
          </w:p>
        </w:tc>
        <w:tc>
          <w:tcPr>
            <w:tcW w:w="7380" w:type="dxa"/>
            <w:vAlign w:val="bottom"/>
            <w:gridSpan w:val="24"/>
          </w:tcPr>
          <w:p>
            <w:pPr>
              <w:spacing w:after="0"/>
              <w:rPr>
                <w:rFonts w:ascii="Arial" w:cs="Arial" w:eastAsia="Arial" w:hAnsi="Arial"/>
                <w:sz w:val="18"/>
                <w:szCs w:val="18"/>
                <w:color w:val="0000EE"/>
              </w:rPr>
            </w:pPr>
            <w:hyperlink w:anchor="page70">
              <w:r>
                <w:rPr>
                  <w:rFonts w:ascii="Arial" w:cs="Arial" w:eastAsia="Arial" w:hAnsi="Arial"/>
                  <w:sz w:val="18"/>
                  <w:szCs w:val="18"/>
                  <w:color w:val="0000EE"/>
                </w:rPr>
                <w:t>LIQUIDITY</w:t>
              </w:r>
            </w:hyperlink>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70</w:t>
            </w:r>
          </w:p>
        </w:tc>
      </w:tr>
      <w:tr>
        <w:trPr>
          <w:trHeight w:val="20"/>
        </w:trPr>
        <w:tc>
          <w:tcPr>
            <w:tcW w:w="100" w:type="dxa"/>
            <w:vAlign w:val="bottom"/>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00" w:type="dxa"/>
            <w:vAlign w:val="bottom"/>
          </w:tcPr>
          <w:p>
            <w:pPr>
              <w:spacing w:after="0"/>
              <w:rPr>
                <w:sz w:val="24"/>
                <w:szCs w:val="24"/>
                <w:color w:val="auto"/>
              </w:rPr>
            </w:pPr>
          </w:p>
        </w:tc>
        <w:tc>
          <w:tcPr>
            <w:tcW w:w="3380" w:type="dxa"/>
            <w:vAlign w:val="bottom"/>
            <w:tcBorders>
              <w:bottom w:val="single" w:sz="8" w:color="0000EE"/>
            </w:tcBorders>
            <w:gridSpan w:val="20"/>
          </w:tcPr>
          <w:p>
            <w:pPr>
              <w:spacing w:after="0"/>
              <w:rPr>
                <w:rFonts w:ascii="Arial" w:cs="Arial" w:eastAsia="Arial" w:hAnsi="Arial"/>
                <w:sz w:val="18"/>
                <w:szCs w:val="18"/>
                <w:color w:val="0000EE"/>
                <w:w w:val="96"/>
              </w:rPr>
            </w:pPr>
            <w:hyperlink w:anchor="page71">
              <w:r>
                <w:rPr>
                  <w:rFonts w:ascii="Arial" w:cs="Arial" w:eastAsia="Arial" w:hAnsi="Arial"/>
                  <w:sz w:val="18"/>
                  <w:szCs w:val="18"/>
                  <w:color w:val="0000EE"/>
                  <w:w w:val="96"/>
                </w:rPr>
                <w:t>OFF-BALANCE SHEET ARRANGEMENTS</w:t>
              </w:r>
            </w:hyperlink>
          </w:p>
        </w:tc>
        <w:tc>
          <w:tcPr>
            <w:tcW w:w="4000" w:type="dxa"/>
            <w:vAlign w:val="bottom"/>
            <w:gridSpan w:val="4"/>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385"/>
        </w:trPr>
        <w:tc>
          <w:tcPr>
            <w:tcW w:w="100" w:type="dxa"/>
            <w:vAlign w:val="bottom"/>
          </w:tcPr>
          <w:p>
            <w:pPr>
              <w:spacing w:after="0"/>
              <w:rPr>
                <w:sz w:val="24"/>
                <w:szCs w:val="24"/>
                <w:color w:val="auto"/>
              </w:rPr>
            </w:pPr>
          </w:p>
        </w:tc>
        <w:tc>
          <w:tcPr>
            <w:tcW w:w="1840" w:type="dxa"/>
            <w:vAlign w:val="bottom"/>
            <w:tcBorders>
              <w:bottom w:val="single" w:sz="8" w:color="0000EE"/>
            </w:tcBorders>
            <w:gridSpan w:val="12"/>
          </w:tcPr>
          <w:p>
            <w:pPr>
              <w:spacing w:after="0"/>
              <w:rPr>
                <w:rFonts w:ascii="Arial" w:cs="Arial" w:eastAsia="Arial" w:hAnsi="Arial"/>
                <w:sz w:val="18"/>
                <w:szCs w:val="18"/>
                <w:color w:val="0000EE"/>
                <w:w w:val="93"/>
              </w:rPr>
            </w:pPr>
            <w:hyperlink w:anchor="page71">
              <w:r>
                <w:rPr>
                  <w:rFonts w:ascii="Arial" w:cs="Arial" w:eastAsia="Arial" w:hAnsi="Arial"/>
                  <w:sz w:val="18"/>
                  <w:szCs w:val="18"/>
                  <w:color w:val="0000EE"/>
                  <w:w w:val="93"/>
                </w:rPr>
                <w:t>CAPITAL RESOURCES</w:t>
              </w:r>
            </w:hyperlink>
          </w:p>
        </w:tc>
        <w:tc>
          <w:tcPr>
            <w:tcW w:w="5540" w:type="dxa"/>
            <w:vAlign w:val="bottom"/>
            <w:gridSpan w:val="12"/>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71</w:t>
            </w:r>
          </w:p>
        </w:tc>
      </w:tr>
      <w:tr>
        <w:trPr>
          <w:trHeight w:val="385"/>
        </w:trPr>
        <w:tc>
          <w:tcPr>
            <w:tcW w:w="100" w:type="dxa"/>
            <w:vAlign w:val="bottom"/>
          </w:tcPr>
          <w:p>
            <w:pPr>
              <w:spacing w:after="0"/>
              <w:rPr>
                <w:sz w:val="24"/>
                <w:szCs w:val="24"/>
                <w:color w:val="auto"/>
              </w:rPr>
            </w:pPr>
          </w:p>
        </w:tc>
        <w:tc>
          <w:tcPr>
            <w:tcW w:w="7380" w:type="dxa"/>
            <w:vAlign w:val="bottom"/>
            <w:gridSpan w:val="24"/>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NON-GAAP FINANCIAL INFORMATION</w:t>
              </w:r>
            </w:hyperlink>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72</w:t>
            </w:r>
          </w:p>
        </w:tc>
      </w:tr>
      <w:tr>
        <w:trPr>
          <w:trHeight w:val="385"/>
        </w:trPr>
        <w:tc>
          <w:tcPr>
            <w:tcW w:w="100" w:type="dxa"/>
            <w:vAlign w:val="bottom"/>
          </w:tcPr>
          <w:p>
            <w:pPr>
              <w:spacing w:after="0"/>
              <w:rPr>
                <w:sz w:val="24"/>
                <w:szCs w:val="24"/>
                <w:color w:val="auto"/>
              </w:rPr>
            </w:pPr>
          </w:p>
        </w:tc>
        <w:tc>
          <w:tcPr>
            <w:tcW w:w="3240" w:type="dxa"/>
            <w:vAlign w:val="bottom"/>
            <w:tcBorders>
              <w:top w:val="single" w:sz="8" w:color="0000EE"/>
            </w:tcBorders>
            <w:gridSpan w:val="19"/>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FORWARD LOOKING STATEMENTS</w:t>
              </w:r>
            </w:hyperlink>
          </w:p>
        </w:tc>
        <w:tc>
          <w:tcPr>
            <w:tcW w:w="4140" w:type="dxa"/>
            <w:vAlign w:val="bottom"/>
            <w:gridSpan w:val="5"/>
          </w:tcPr>
          <w:p>
            <w:pPr>
              <w:spacing w:after="0"/>
              <w:rPr>
                <w:sz w:val="24"/>
                <w:szCs w:val="24"/>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20"/>
        </w:trPr>
        <w:tc>
          <w:tcPr>
            <w:tcW w:w="100" w:type="dxa"/>
            <w:vAlign w:val="bottom"/>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060" w:type="dxa"/>
            <w:vAlign w:val="bottom"/>
            <w:gridSpan w:val="11"/>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r>
        <w:trPr>
          <w:trHeight w:val="385"/>
        </w:trPr>
        <w:tc>
          <w:tcPr>
            <w:tcW w:w="100" w:type="dxa"/>
            <w:vAlign w:val="bottom"/>
          </w:tcPr>
          <w:p>
            <w:pPr>
              <w:spacing w:after="0"/>
              <w:rPr>
                <w:sz w:val="24"/>
                <w:szCs w:val="24"/>
                <w:color w:val="auto"/>
              </w:rPr>
            </w:pPr>
          </w:p>
        </w:tc>
        <w:tc>
          <w:tcPr>
            <w:tcW w:w="7380" w:type="dxa"/>
            <w:vAlign w:val="bottom"/>
            <w:gridSpan w:val="24"/>
          </w:tcPr>
          <w:p>
            <w:pPr>
              <w:spacing w:after="0"/>
              <w:rPr>
                <w:rFonts w:ascii="Arial" w:cs="Arial" w:eastAsia="Arial" w:hAnsi="Arial"/>
                <w:sz w:val="18"/>
                <w:szCs w:val="18"/>
                <w:color w:val="0000EE"/>
              </w:rPr>
            </w:pPr>
            <w:hyperlink w:anchor="page79">
              <w:r>
                <w:rPr>
                  <w:rFonts w:ascii="Arial" w:cs="Arial" w:eastAsia="Arial" w:hAnsi="Arial"/>
                  <w:sz w:val="18"/>
                  <w:szCs w:val="18"/>
                  <w:color w:val="0000EE"/>
                </w:rPr>
                <w:t>CRITICAL ACCOUNTING ESTIMATES</w:t>
              </w:r>
            </w:hyperlink>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79</w:t>
            </w:r>
          </w:p>
        </w:tc>
      </w:tr>
      <w:tr>
        <w:trPr>
          <w:trHeight w:val="183"/>
        </w:trPr>
        <w:tc>
          <w:tcPr>
            <w:tcW w:w="100" w:type="dxa"/>
            <w:vAlign w:val="bottom"/>
          </w:tcPr>
          <w:p>
            <w:pPr>
              <w:spacing w:after="0"/>
              <w:rPr>
                <w:sz w:val="15"/>
                <w:szCs w:val="15"/>
                <w:color w:val="auto"/>
              </w:rPr>
            </w:pPr>
          </w:p>
        </w:tc>
        <w:tc>
          <w:tcPr>
            <w:tcW w:w="340" w:type="dxa"/>
            <w:vAlign w:val="bottom"/>
            <w:tcBorders>
              <w:top w:val="single" w:sz="8" w:color="0000EE"/>
            </w:tcBorders>
          </w:tcPr>
          <w:p>
            <w:pPr>
              <w:spacing w:after="0"/>
              <w:rPr>
                <w:sz w:val="15"/>
                <w:szCs w:val="15"/>
                <w:color w:val="auto"/>
              </w:rPr>
            </w:pPr>
          </w:p>
        </w:tc>
        <w:tc>
          <w:tcPr>
            <w:tcW w:w="2740" w:type="dxa"/>
            <w:vAlign w:val="bottom"/>
            <w:tcBorders>
              <w:top w:val="single" w:sz="8" w:color="0000EE"/>
            </w:tcBorders>
            <w:gridSpan w:val="17"/>
          </w:tcPr>
          <w:p>
            <w:pPr>
              <w:spacing w:after="0" w:line="182" w:lineRule="exact"/>
              <w:rPr>
                <w:rFonts w:ascii="Arial" w:cs="Arial" w:eastAsia="Arial" w:hAnsi="Arial"/>
                <w:sz w:val="18"/>
                <w:szCs w:val="18"/>
                <w:color w:val="0000EE"/>
                <w:w w:val="88"/>
              </w:rPr>
            </w:pPr>
            <w:hyperlink w:anchor="page79">
              <w:r>
                <w:rPr>
                  <w:rFonts w:ascii="Arial" w:cs="Arial" w:eastAsia="Arial" w:hAnsi="Arial"/>
                  <w:sz w:val="18"/>
                  <w:szCs w:val="18"/>
                  <w:color w:val="0000EE"/>
                  <w:w w:val="88"/>
                </w:rPr>
                <w:t>Fair Value of Debt Securities Available</w:t>
              </w:r>
            </w:hyperlink>
          </w:p>
        </w:tc>
        <w:tc>
          <w:tcPr>
            <w:tcW w:w="4300" w:type="dxa"/>
            <w:vAlign w:val="bottom"/>
            <w:gridSpan w:val="6"/>
          </w:tcPr>
          <w:p>
            <w:pPr>
              <w:ind w:left="120"/>
              <w:spacing w:after="0" w:line="182" w:lineRule="exact"/>
              <w:rPr>
                <w:rFonts w:ascii="Arial" w:cs="Arial" w:eastAsia="Arial" w:hAnsi="Arial"/>
                <w:sz w:val="18"/>
                <w:szCs w:val="18"/>
                <w:color w:val="0000EE"/>
              </w:rPr>
            </w:pPr>
            <w:hyperlink w:anchor="page79">
              <w:r>
                <w:rPr>
                  <w:rFonts w:ascii="Arial" w:cs="Arial" w:eastAsia="Arial" w:hAnsi="Arial"/>
                  <w:sz w:val="18"/>
                  <w:szCs w:val="18"/>
                  <w:color w:val="0000EE"/>
                </w:rPr>
                <w:t>for Sale</w:t>
              </w:r>
            </w:hyperlink>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79</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20" w:type="dxa"/>
            <w:vAlign w:val="bottom"/>
            <w:tcBorders>
              <w:top w:val="single" w:sz="8" w:color="0000EE"/>
            </w:tcBorders>
            <w:gridSpan w:val="20"/>
          </w:tcPr>
          <w:p>
            <w:pPr>
              <w:spacing w:after="0" w:line="182" w:lineRule="exact"/>
              <w:rPr>
                <w:rFonts w:ascii="Arial" w:cs="Arial" w:eastAsia="Arial" w:hAnsi="Arial"/>
                <w:sz w:val="18"/>
                <w:szCs w:val="18"/>
                <w:color w:val="0000EE"/>
                <w:w w:val="96"/>
              </w:rPr>
            </w:pPr>
            <w:hyperlink w:anchor="page80">
              <w:r>
                <w:rPr>
                  <w:rFonts w:ascii="Arial" w:cs="Arial" w:eastAsia="Arial" w:hAnsi="Arial"/>
                  <w:sz w:val="18"/>
                  <w:szCs w:val="18"/>
                  <w:color w:val="0000EE"/>
                  <w:w w:val="96"/>
                </w:rPr>
                <w:t>Fair Value of Assets Acquired and Liabilities</w:t>
              </w:r>
            </w:hyperlink>
          </w:p>
        </w:tc>
        <w:tc>
          <w:tcPr>
            <w:tcW w:w="3620" w:type="dxa"/>
            <w:vAlign w:val="bottom"/>
            <w:gridSpan w:val="3"/>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Assumed in Business Combinations</w:t>
              </w:r>
            </w:hyperlink>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80</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8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80">
              <w:r>
                <w:rPr>
                  <w:rFonts w:ascii="Arial" w:cs="Arial" w:eastAsia="Arial" w:hAnsi="Arial"/>
                  <w:sz w:val="18"/>
                  <w:szCs w:val="18"/>
                  <w:color w:val="0000EE"/>
                </w:rPr>
                <w:t>Goodwill</w:t>
              </w:r>
            </w:hyperlink>
          </w:p>
        </w:tc>
        <w:tc>
          <w:tcPr>
            <w:tcW w:w="1160" w:type="dxa"/>
            <w:vAlign w:val="bottom"/>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80</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80" w:type="dxa"/>
            <w:vAlign w:val="bottom"/>
            <w:tcBorders>
              <w:top w:val="single" w:sz="8" w:color="0000EE"/>
            </w:tcBorders>
            <w:gridSpan w:val="2"/>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Income</w:t>
              </w:r>
            </w:hyperlink>
          </w:p>
        </w:tc>
        <w:tc>
          <w:tcPr>
            <w:tcW w:w="6360" w:type="dxa"/>
            <w:vAlign w:val="bottom"/>
            <w:gridSpan w:val="21"/>
          </w:tcPr>
          <w:p>
            <w:pPr>
              <w:spacing w:after="0" w:line="182" w:lineRule="exact"/>
              <w:rPr>
                <w:rFonts w:ascii="Arial" w:cs="Arial" w:eastAsia="Arial" w:hAnsi="Arial"/>
                <w:sz w:val="18"/>
                <w:szCs w:val="18"/>
                <w:color w:val="0000EE"/>
              </w:rPr>
            </w:pPr>
            <w:hyperlink w:anchor="page81">
              <w:r>
                <w:rPr>
                  <w:rFonts w:ascii="Arial" w:cs="Arial" w:eastAsia="Arial" w:hAnsi="Arial"/>
                  <w:sz w:val="18"/>
                  <w:szCs w:val="18"/>
                  <w:color w:val="0000EE"/>
                </w:rPr>
                <w:t>Taxes</w:t>
              </w:r>
            </w:hyperlink>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81</w:t>
            </w:r>
          </w:p>
        </w:tc>
      </w:tr>
      <w:tr>
        <w:trPr>
          <w:trHeight w:val="183"/>
        </w:trPr>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0" w:type="dxa"/>
            <w:vAlign w:val="bottom"/>
            <w:tcBorders>
              <w:top w:val="single" w:sz="8" w:color="0000EE"/>
              <w:bottom w:val="single" w:sz="8" w:color="0000EE"/>
            </w:tcBorders>
            <w:gridSpan w:val="4"/>
          </w:tcPr>
          <w:p>
            <w:pPr>
              <w:spacing w:after="0" w:line="182" w:lineRule="exact"/>
              <w:rPr>
                <w:rFonts w:ascii="Arial" w:cs="Arial" w:eastAsia="Arial" w:hAnsi="Arial"/>
                <w:sz w:val="18"/>
                <w:szCs w:val="18"/>
                <w:color w:val="0000EE"/>
                <w:w w:val="90"/>
              </w:rPr>
            </w:pPr>
            <w:hyperlink w:anchor="page81">
              <w:r>
                <w:rPr>
                  <w:rFonts w:ascii="Arial" w:cs="Arial" w:eastAsia="Arial" w:hAnsi="Arial"/>
                  <w:sz w:val="18"/>
                  <w:szCs w:val="18"/>
                  <w:color w:val="0000EE"/>
                  <w:w w:val="90"/>
                </w:rPr>
                <w:t>Allowance for</w:t>
              </w:r>
            </w:hyperlink>
          </w:p>
        </w:tc>
        <w:tc>
          <w:tcPr>
            <w:tcW w:w="1060" w:type="dxa"/>
            <w:vAlign w:val="bottom"/>
            <w:tcBorders>
              <w:bottom w:val="single" w:sz="8" w:color="0000EE"/>
            </w:tcBorders>
            <w:gridSpan w:val="11"/>
          </w:tcPr>
          <w:p>
            <w:pPr>
              <w:ind w:left="80"/>
              <w:spacing w:after="0" w:line="182" w:lineRule="exact"/>
              <w:rPr>
                <w:rFonts w:ascii="Arial" w:cs="Arial" w:eastAsia="Arial" w:hAnsi="Arial"/>
                <w:sz w:val="18"/>
                <w:szCs w:val="18"/>
                <w:color w:val="0000EE"/>
                <w:w w:val="87"/>
              </w:rPr>
            </w:pPr>
            <w:hyperlink w:anchor="page81">
              <w:r>
                <w:rPr>
                  <w:rFonts w:ascii="Arial" w:cs="Arial" w:eastAsia="Arial" w:hAnsi="Arial"/>
                  <w:sz w:val="18"/>
                  <w:szCs w:val="18"/>
                  <w:color w:val="0000EE"/>
                  <w:w w:val="87"/>
                </w:rPr>
                <w:t>Credit Losses</w:t>
              </w:r>
            </w:hyperlink>
          </w:p>
        </w:tc>
        <w:tc>
          <w:tcPr>
            <w:tcW w:w="4980" w:type="dxa"/>
            <w:vAlign w:val="bottom"/>
            <w:gridSpan w:val="8"/>
          </w:tcPr>
          <w:p>
            <w:pPr>
              <w:spacing w:after="0"/>
              <w:rPr>
                <w:sz w:val="15"/>
                <w:szCs w:val="15"/>
                <w:color w:val="auto"/>
              </w:rPr>
            </w:pPr>
          </w:p>
        </w:tc>
        <w:tc>
          <w:tcPr>
            <w:tcW w:w="1440" w:type="dxa"/>
            <w:vAlign w:val="bottom"/>
          </w:tcPr>
          <w:p>
            <w:pPr>
              <w:jc w:val="right"/>
              <w:ind w:right="10"/>
              <w:spacing w:after="0" w:line="182" w:lineRule="exact"/>
              <w:rPr>
                <w:sz w:val="20"/>
                <w:szCs w:val="20"/>
                <w:color w:val="auto"/>
              </w:rPr>
            </w:pPr>
            <w:r>
              <w:rPr>
                <w:rFonts w:ascii="Arial" w:cs="Arial" w:eastAsia="Arial" w:hAnsi="Arial"/>
                <w:sz w:val="18"/>
                <w:szCs w:val="18"/>
                <w:color w:val="auto"/>
              </w:rPr>
              <w:t>81</w:t>
            </w:r>
          </w:p>
        </w:tc>
      </w:tr>
      <w:tr>
        <w:trPr>
          <w:trHeight w:val="858"/>
        </w:trPr>
        <w:tc>
          <w:tcPr>
            <w:tcW w:w="6320" w:type="dxa"/>
            <w:vAlign w:val="bottom"/>
            <w:gridSpan w:val="24"/>
          </w:tcPr>
          <w:p>
            <w:pPr>
              <w:jc w:val="right"/>
              <w:ind w:right="1760"/>
              <w:spacing w:after="0"/>
              <w:rPr>
                <w:sz w:val="20"/>
                <w:szCs w:val="20"/>
                <w:color w:val="auto"/>
              </w:rPr>
            </w:pPr>
            <w:r>
              <w:rPr>
                <w:rFonts w:ascii="Arial" w:cs="Arial" w:eastAsia="Arial" w:hAnsi="Arial"/>
                <w:sz w:val="18"/>
                <w:szCs w:val="18"/>
                <w:color w:val="auto"/>
              </w:rPr>
              <w:t>53</w:t>
            </w:r>
          </w:p>
        </w:tc>
        <w:tc>
          <w:tcPr>
            <w:tcW w:w="11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547"/>
        </w:trPr>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First Busey is a $12.4 billion financial holding company headquartered in Champaign, Illinois. Our common stock is traded on The Nasdaq Global Select Market under the symbol “BUSE.”</w:t>
      </w:r>
    </w:p>
    <w:p>
      <w:pPr>
        <w:spacing w:after="0" w:line="157"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Our three operating segments provide a full range of banking, payment technology solutions, and wealth management services through our subsidiaries, Busey Bank and FirsTech, in Illinois; the St. Louis, Missouri metropolitan area; southwest Florida; and Indianapolis, Indiana.</w:t>
      </w:r>
    </w:p>
    <w:p>
      <w:pPr>
        <w:spacing w:after="0" w:line="16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 following discussion and analysis are intended to assist readers in understanding First Busey’s financial condition and results of operations during the three and six months ended June 30, 2022, and should be read in conjunction with our unaudited consolidated financial statements and notes thereto included in this Quarterly Report, as well as our 2021 Annual Report.</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SUMMARY</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Results</w:t>
      </w:r>
    </w:p>
    <w:p>
      <w:pPr>
        <w:spacing w:after="0" w:line="198" w:lineRule="exact"/>
        <w:rPr>
          <w:sz w:val="20"/>
          <w:szCs w:val="20"/>
          <w:color w:val="auto"/>
        </w:rPr>
      </w:pPr>
    </w:p>
    <w:p>
      <w:pPr>
        <w:jc w:val="both"/>
        <w:ind w:left="60" w:right="59"/>
        <w:spacing w:after="0" w:line="324" w:lineRule="auto"/>
        <w:rPr>
          <w:sz w:val="20"/>
          <w:szCs w:val="20"/>
          <w:color w:val="auto"/>
        </w:rPr>
      </w:pPr>
      <w:r>
        <w:rPr>
          <w:rFonts w:ascii="Arial" w:cs="Arial" w:eastAsia="Arial" w:hAnsi="Arial"/>
          <w:sz w:val="16"/>
          <w:szCs w:val="16"/>
          <w:color w:val="auto"/>
        </w:rPr>
        <w:t xml:space="preserve">Operating performance metrics presented in the table below have been derived from information used by management to monitor and manage the financial performance of the Company </w:t>
      </w:r>
      <w:r>
        <w:rPr>
          <w:rFonts w:ascii="Arial" w:cs="Arial" w:eastAsia="Arial" w:hAnsi="Arial"/>
          <w:sz w:val="16"/>
          <w:szCs w:val="16"/>
          <w:i w:val="1"/>
          <w:iCs w:val="1"/>
          <w:color w:val="auto"/>
        </w:rPr>
        <w:t>(dollars in thousands, except per share amounts)</w:t>
      </w:r>
      <w:r>
        <w:rPr>
          <w:rFonts w:ascii="Arial" w:cs="Arial" w:eastAsia="Arial" w:hAnsi="Arial"/>
          <w:sz w:val="16"/>
          <w:szCs w:val="16"/>
          <w:color w:val="auto"/>
        </w:rPr>
        <w:t>:</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9"/>
              </w:rPr>
              <w:t>Three Months Ended</w:t>
            </w:r>
          </w:p>
        </w:tc>
        <w:tc>
          <w:tcPr>
            <w:tcW w:w="100" w:type="dxa"/>
            <w:vAlign w:val="bottom"/>
          </w:tcPr>
          <w:p>
            <w:pPr>
              <w:spacing w:after="0"/>
              <w:rPr>
                <w:sz w:val="16"/>
                <w:szCs w:val="16"/>
                <w:color w:val="auto"/>
              </w:rPr>
            </w:pPr>
          </w:p>
        </w:tc>
        <w:tc>
          <w:tcPr>
            <w:tcW w:w="160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53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2"/>
              </w:rPr>
              <w:t>June 30,</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jc w:val="right"/>
              <w:ind w:right="35"/>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jc w:val="right"/>
              <w:ind w:right="260"/>
              <w:spacing w:after="0" w:line="133" w:lineRule="exact"/>
              <w:rPr>
                <w:sz w:val="20"/>
                <w:szCs w:val="20"/>
                <w:color w:val="auto"/>
              </w:rPr>
            </w:pPr>
            <w:r>
              <w:rPr>
                <w:rFonts w:ascii="Arial" w:cs="Arial" w:eastAsia="Arial" w:hAnsi="Arial"/>
                <w:sz w:val="14"/>
                <w:szCs w:val="14"/>
                <w:b w:val="1"/>
                <w:bCs w:val="1"/>
                <w:color w:val="auto"/>
                <w:w w:val="85"/>
              </w:rPr>
              <w:t>June 30,</w:t>
            </w:r>
          </w:p>
        </w:tc>
        <w:tc>
          <w:tcPr>
            <w:tcW w:w="8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r>
      <w:tr>
        <w:trPr>
          <w:trHeight w:val="185"/>
        </w:trPr>
        <w:tc>
          <w:tcPr>
            <w:tcW w:w="53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r>
      <w:tr>
        <w:trPr>
          <w:trHeight w:val="196"/>
        </w:trPr>
        <w:tc>
          <w:tcPr>
            <w:tcW w:w="53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29,824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29,766</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58,263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67,582</w:t>
            </w:r>
          </w:p>
        </w:tc>
        <w:tc>
          <w:tcPr>
            <w:tcW w:w="160" w:type="dxa"/>
            <w:vAlign w:val="bottom"/>
            <w:shd w:val="clear" w:color="auto" w:fill="CCEEFF"/>
          </w:tcPr>
          <w:p>
            <w:pPr>
              <w:spacing w:after="0"/>
              <w:rPr>
                <w:sz w:val="17"/>
                <w:szCs w:val="17"/>
                <w:color w:val="auto"/>
              </w:rPr>
            </w:pPr>
          </w:p>
        </w:tc>
      </w:tr>
      <w:tr>
        <w:trPr>
          <w:trHeight w:val="216"/>
        </w:trPr>
        <w:tc>
          <w:tcPr>
            <w:tcW w:w="5360" w:type="dxa"/>
            <w:vAlign w:val="bottom"/>
          </w:tcPr>
          <w:p>
            <w:pPr>
              <w:ind w:left="20"/>
              <w:spacing w:after="0" w:line="216" w:lineRule="exact"/>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17"/>
                <w:szCs w:val="17"/>
                <w:color w:val="auto"/>
              </w:rPr>
              <w:t>Net income</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30,081</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31,921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59,185</w:t>
            </w:r>
          </w:p>
        </w:tc>
        <w:tc>
          <w:tcPr>
            <w:tcW w:w="1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8"/>
              </w:rPr>
              <w:t>69,986</w:t>
            </w:r>
          </w:p>
        </w:tc>
        <w:tc>
          <w:tcPr>
            <w:tcW w:w="160" w:type="dxa"/>
            <w:vAlign w:val="bottom"/>
          </w:tcPr>
          <w:p>
            <w:pPr>
              <w:spacing w:after="0"/>
              <w:rPr>
                <w:sz w:val="18"/>
                <w:szCs w:val="18"/>
                <w:color w:val="auto"/>
              </w:rPr>
            </w:pPr>
          </w:p>
        </w:tc>
      </w:tr>
      <w:tr>
        <w:trPr>
          <w:trHeight w:val="203"/>
        </w:trPr>
        <w:tc>
          <w:tcPr>
            <w:tcW w:w="5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53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Diluted earnings per common share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17"/>
                <w:szCs w:val="17"/>
                <w:color w:val="auto"/>
              </w:rPr>
              <w:t>Diluted earnings per common share</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8"/>
                <w:szCs w:val="18"/>
                <w:color w:val="auto"/>
              </w:rPr>
            </w:pPr>
          </w:p>
        </w:tc>
      </w:tr>
      <w:tr>
        <w:trPr>
          <w:trHeight w:val="203"/>
        </w:trPr>
        <w:tc>
          <w:tcPr>
            <w:tcW w:w="5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536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b w:val="1"/>
                <w:bCs w:val="1"/>
                <w:color w:val="auto"/>
              </w:rPr>
              <w:t xml:space="preserve">Reported: </w:t>
            </w:r>
            <w:r>
              <w:rPr>
                <w:rFonts w:ascii="Arial" w:cs="Arial" w:eastAsia="Arial" w:hAnsi="Arial"/>
                <w:sz w:val="17"/>
                <w:szCs w:val="17"/>
                <w:color w:val="auto"/>
              </w:rPr>
              <w:t>Return on average assets</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0.96 %</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0.94 %</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1.24 %</w:t>
            </w:r>
          </w:p>
        </w:tc>
      </w:tr>
      <w:tr>
        <w:trPr>
          <w:trHeight w:val="353"/>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Return on average assets</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 (2)</w:t>
            </w:r>
          </w:p>
        </w:tc>
        <w:tc>
          <w:tcPr>
            <w:tcW w:w="100" w:type="dxa"/>
            <w:vAlign w:val="bottom"/>
          </w:tcPr>
          <w:p>
            <w:pPr>
              <w:spacing w:after="0"/>
              <w:rPr>
                <w:sz w:val="24"/>
                <w:szCs w:val="24"/>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0.97 %</w:t>
            </w: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Pr>
          <w:p>
            <w:pPr>
              <w:spacing w:after="0"/>
              <w:rPr>
                <w:sz w:val="24"/>
                <w:szCs w:val="24"/>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0.95 %</w:t>
            </w:r>
          </w:p>
        </w:tc>
        <w:tc>
          <w:tcPr>
            <w:tcW w:w="8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-77470</wp:posOffset>
            </wp:positionV>
            <wp:extent cx="5648960"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48960" cy="12890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spacing w:after="0" w:line="19"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 xml:space="preserve">Reported: </w:t>
      </w:r>
      <w:r>
        <w:rPr>
          <w:rFonts w:ascii="Arial" w:cs="Arial" w:eastAsia="Arial" w:hAnsi="Arial"/>
          <w:sz w:val="16"/>
          <w:szCs w:val="16"/>
          <w:color w:val="auto"/>
        </w:rPr>
        <w:t>Return on average tangible common equity</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 (2)</w:t>
      </w:r>
    </w:p>
    <w:p>
      <w:pPr>
        <w:ind w:left="60"/>
        <w:spacing w:after="0"/>
        <w:rPr>
          <w:sz w:val="20"/>
          <w:szCs w:val="20"/>
          <w:color w:val="auto"/>
        </w:rPr>
      </w:pPr>
      <w:r>
        <w:rPr>
          <w:rFonts w:ascii="Arial" w:cs="Arial" w:eastAsia="Arial" w:hAnsi="Arial"/>
          <w:sz w:val="16"/>
          <w:szCs w:val="16"/>
          <w:b w:val="1"/>
          <w:bCs w:val="1"/>
          <w:color w:val="auto"/>
        </w:rPr>
        <w:t xml:space="preserve">Adjusted: </w:t>
      </w:r>
      <w:r>
        <w:rPr>
          <w:rFonts w:ascii="Arial" w:cs="Arial" w:eastAsia="Arial" w:hAnsi="Arial"/>
          <w:sz w:val="16"/>
          <w:szCs w:val="16"/>
          <w:color w:val="auto"/>
        </w:rPr>
        <w:t>Return on average tangible common equity</w:t>
      </w:r>
      <w:r>
        <w:rPr>
          <w:rFonts w:ascii="Arial" w:cs="Arial" w:eastAsia="Arial" w:hAnsi="Arial"/>
          <w:sz w:val="16"/>
          <w:szCs w:val="16"/>
          <w:b w:val="1"/>
          <w:bCs w:val="1"/>
          <w:color w:val="auto"/>
        </w:rPr>
        <w:t xml:space="preserve"> </w:t>
      </w:r>
      <w:r>
        <w:rPr>
          <w:rFonts w:ascii="Arial" w:cs="Arial" w:eastAsia="Arial" w:hAnsi="Arial"/>
          <w:sz w:val="23"/>
          <w:szCs w:val="23"/>
          <w:color w:val="auto"/>
          <w:vertAlign w:val="superscript"/>
        </w:rPr>
        <w:t>(1),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-159385</wp:posOffset>
            </wp:positionV>
            <wp:extent cx="564896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5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Pre-provision net revenue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-128905</wp:posOffset>
            </wp:positionV>
            <wp:extent cx="564896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ind w:left="60"/>
        <w:spacing w:after="0" w:line="183" w:lineRule="auto"/>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Pre-provision net revenue</w:t>
      </w:r>
      <w:r>
        <w:rPr>
          <w:rFonts w:ascii="Arial" w:cs="Arial" w:eastAsia="Arial" w:hAnsi="Arial"/>
          <w:sz w:val="18"/>
          <w:szCs w:val="18"/>
          <w:b w:val="1"/>
          <w:bCs w:val="1"/>
          <w:color w:val="auto"/>
        </w:rPr>
        <w:t xml:space="preserve">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br w:type="column"/>
      </w:r>
    </w:p>
    <w:p>
      <w:pPr>
        <w:spacing w:after="0" w:line="58" w:lineRule="exact"/>
        <w:rPr>
          <w:sz w:val="20"/>
          <w:szCs w:val="20"/>
          <w:color w:val="auto"/>
        </w:rPr>
      </w:pPr>
    </w:p>
    <w:p>
      <w:pPr>
        <w:ind w:left="300"/>
        <w:spacing w:after="0"/>
        <w:tabs>
          <w:tab w:leader="none" w:pos="1200" w:val="left"/>
          <w:tab w:leader="none" w:pos="2060" w:val="left"/>
          <w:tab w:leader="none" w:pos="2900" w:val="left"/>
        </w:tabs>
        <w:rPr>
          <w:sz w:val="20"/>
          <w:szCs w:val="20"/>
          <w:color w:val="auto"/>
        </w:rPr>
      </w:pPr>
      <w:r>
        <w:rPr>
          <w:rFonts w:ascii="Arial" w:cs="Arial" w:eastAsia="Arial" w:hAnsi="Arial"/>
          <w:sz w:val="18"/>
          <w:szCs w:val="18"/>
          <w:color w:val="auto"/>
        </w:rPr>
        <w:t>14.50 %</w:t>
      </w:r>
      <w:r>
        <w:rPr>
          <w:sz w:val="20"/>
          <w:szCs w:val="20"/>
          <w:color w:val="auto"/>
        </w:rPr>
        <w:tab/>
      </w:r>
      <w:r>
        <w:rPr>
          <w:rFonts w:ascii="Arial" w:cs="Arial" w:eastAsia="Arial" w:hAnsi="Arial"/>
          <w:sz w:val="18"/>
          <w:szCs w:val="18"/>
          <w:color w:val="auto"/>
        </w:rPr>
        <w:t>12.26 %</w:t>
        <w:tab/>
        <w:t>13.57 %</w:t>
      </w:r>
      <w:r>
        <w:rPr>
          <w:sz w:val="20"/>
          <w:szCs w:val="20"/>
          <w:color w:val="auto"/>
        </w:rPr>
        <w:tab/>
      </w:r>
      <w:r>
        <w:rPr>
          <w:rFonts w:ascii="Arial" w:cs="Arial" w:eastAsia="Arial" w:hAnsi="Arial"/>
          <w:sz w:val="16"/>
          <w:szCs w:val="16"/>
          <w:color w:val="auto"/>
        </w:rPr>
        <w:t>14.44 %</w:t>
      </w:r>
    </w:p>
    <w:p>
      <w:pPr>
        <w:spacing w:after="0" w:line="23" w:lineRule="exact"/>
        <w:rPr>
          <w:sz w:val="20"/>
          <w:szCs w:val="20"/>
          <w:color w:val="auto"/>
        </w:rPr>
      </w:pPr>
    </w:p>
    <w:p>
      <w:pPr>
        <w:ind w:left="300"/>
        <w:spacing w:after="0"/>
        <w:tabs>
          <w:tab w:leader="none" w:pos="1200" w:val="left"/>
          <w:tab w:leader="none" w:pos="2060" w:val="left"/>
          <w:tab w:leader="none" w:pos="2900" w:val="left"/>
        </w:tabs>
        <w:rPr>
          <w:sz w:val="20"/>
          <w:szCs w:val="20"/>
          <w:color w:val="auto"/>
        </w:rPr>
      </w:pPr>
      <w:r>
        <w:rPr>
          <w:rFonts w:ascii="Arial" w:cs="Arial" w:eastAsia="Arial" w:hAnsi="Arial"/>
          <w:sz w:val="18"/>
          <w:szCs w:val="18"/>
          <w:color w:val="auto"/>
        </w:rPr>
        <w:t>14.62 %</w:t>
      </w:r>
      <w:r>
        <w:rPr>
          <w:sz w:val="20"/>
          <w:szCs w:val="20"/>
          <w:color w:val="auto"/>
        </w:rPr>
        <w:tab/>
      </w:r>
      <w:r>
        <w:rPr>
          <w:rFonts w:ascii="Arial" w:cs="Arial" w:eastAsia="Arial" w:hAnsi="Arial"/>
          <w:sz w:val="18"/>
          <w:szCs w:val="18"/>
          <w:color w:val="auto"/>
        </w:rPr>
        <w:t>13.14 %</w:t>
        <w:tab/>
        <w:t>13.79 %</w:t>
      </w:r>
      <w:r>
        <w:rPr>
          <w:sz w:val="20"/>
          <w:szCs w:val="20"/>
          <w:color w:val="auto"/>
        </w:rPr>
        <w:tab/>
      </w:r>
      <w:r>
        <w:rPr>
          <w:rFonts w:ascii="Arial" w:cs="Arial" w:eastAsia="Arial" w:hAnsi="Arial"/>
          <w:sz w:val="16"/>
          <w:szCs w:val="16"/>
          <w:color w:val="auto"/>
        </w:rPr>
        <w:t>14.96 %</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39,569</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34,030</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$ 75,635</w:t>
            </w:r>
          </w:p>
        </w:tc>
        <w:tc>
          <w:tcPr>
            <w:tcW w:w="760" w:type="dxa"/>
            <w:vAlign w:val="bottom"/>
          </w:tcPr>
          <w:p>
            <w:pPr>
              <w:jc w:val="right"/>
              <w:spacing w:after="0"/>
              <w:rPr>
                <w:sz w:val="20"/>
                <w:szCs w:val="20"/>
                <w:color w:val="auto"/>
              </w:rPr>
            </w:pPr>
            <w:r>
              <w:rPr>
                <w:rFonts w:ascii="Arial" w:cs="Arial" w:eastAsia="Arial" w:hAnsi="Arial"/>
                <w:sz w:val="18"/>
                <w:szCs w:val="18"/>
                <w:color w:val="auto"/>
              </w:rPr>
              <w:t>$ 74,228</w:t>
            </w:r>
          </w:p>
        </w:tc>
      </w:tr>
      <w:tr>
        <w:trPr>
          <w:trHeight w:val="217"/>
        </w:trPr>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41,267</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10"/>
              <w:spacing w:after="0"/>
              <w:rPr>
                <w:sz w:val="20"/>
                <w:szCs w:val="20"/>
                <w:color w:val="auto"/>
              </w:rPr>
            </w:pPr>
            <w:r>
              <w:rPr>
                <w:rFonts w:ascii="Arial" w:cs="Arial" w:eastAsia="Arial" w:hAnsi="Arial"/>
                <w:sz w:val="18"/>
                <w:szCs w:val="18"/>
                <w:color w:val="auto"/>
                <w:w w:val="98"/>
              </w:rPr>
              <w:t>37,486</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$ 80,621</w:t>
            </w:r>
          </w:p>
        </w:tc>
        <w:tc>
          <w:tcPr>
            <w:tcW w:w="760" w:type="dxa"/>
            <w:vAlign w:val="bottom"/>
          </w:tcPr>
          <w:p>
            <w:pPr>
              <w:jc w:val="right"/>
              <w:spacing w:after="0"/>
              <w:rPr>
                <w:sz w:val="20"/>
                <w:szCs w:val="20"/>
                <w:color w:val="auto"/>
              </w:rPr>
            </w:pPr>
            <w:r>
              <w:rPr>
                <w:rFonts w:ascii="Arial" w:cs="Arial" w:eastAsia="Arial" w:hAnsi="Arial"/>
                <w:sz w:val="18"/>
                <w:szCs w:val="18"/>
                <w:color w:val="auto"/>
              </w:rPr>
              <w:t>$ 80,239</w:t>
            </w:r>
          </w:p>
        </w:tc>
      </w:tr>
    </w:tbl>
    <w:p>
      <w:pPr>
        <w:spacing w:after="0" w:line="20" w:lineRule="exact"/>
        <w:rPr>
          <w:sz w:val="20"/>
          <w:szCs w:val="20"/>
          <w:color w:val="auto"/>
        </w:rPr>
      </w:pPr>
    </w:p>
    <w:p>
      <w:pPr>
        <w:sectPr>
          <w:pgSz w:w="11900" w:h="16838" w:orient="portrait"/>
          <w:cols w:equalWidth="0" w:num="2">
            <w:col w:w="4680" w:space="720"/>
            <w:col w:w="361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183"/>
        </w:trPr>
        <w:tc>
          <w:tcPr>
            <w:tcW w:w="84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286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r>
      <w:tr>
        <w:trPr>
          <w:trHeight w:val="216"/>
        </w:trPr>
        <w:tc>
          <w:tcPr>
            <w:tcW w:w="840" w:type="dxa"/>
            <w:vAlign w:val="bottom"/>
          </w:tcPr>
          <w:p>
            <w:pPr>
              <w:ind w:left="20"/>
              <w:spacing w:after="0"/>
              <w:rPr>
                <w:sz w:val="20"/>
                <w:szCs w:val="20"/>
                <w:color w:val="auto"/>
              </w:rPr>
            </w:pPr>
            <w:r>
              <w:rPr>
                <w:rFonts w:ascii="Arial" w:cs="Arial" w:eastAsia="Arial" w:hAnsi="Arial"/>
                <w:sz w:val="18"/>
                <w:szCs w:val="18"/>
                <w:b w:val="1"/>
                <w:bCs w:val="1"/>
                <w:color w:val="auto"/>
                <w:w w:val="94"/>
              </w:rPr>
              <w:t>Reported:</w:t>
            </w:r>
          </w:p>
        </w:tc>
        <w:tc>
          <w:tcPr>
            <w:tcW w:w="4260" w:type="dxa"/>
            <w:vAlign w:val="bottom"/>
            <w:gridSpan w:val="2"/>
          </w:tcPr>
          <w:p>
            <w:pPr>
              <w:ind w:left="40"/>
              <w:spacing w:after="0" w:line="216" w:lineRule="exact"/>
              <w:rPr>
                <w:sz w:val="20"/>
                <w:szCs w:val="20"/>
                <w:color w:val="auto"/>
              </w:rPr>
            </w:pPr>
            <w:r>
              <w:rPr>
                <w:rFonts w:ascii="Arial" w:cs="Arial" w:eastAsia="Arial" w:hAnsi="Arial"/>
                <w:sz w:val="17"/>
                <w:szCs w:val="17"/>
                <w:color w:val="auto"/>
              </w:rPr>
              <w:t xml:space="preserve">Pre-provision net revenue to average assets </w:t>
            </w:r>
            <w:r>
              <w:rPr>
                <w:rFonts w:ascii="Arial" w:cs="Arial" w:eastAsia="Arial" w:hAnsi="Arial"/>
                <w:sz w:val="25"/>
                <w:szCs w:val="25"/>
                <w:color w:val="auto"/>
                <w:vertAlign w:val="superscript"/>
              </w:rPr>
              <w:t>(1), (2)</w:t>
            </w:r>
          </w:p>
        </w:tc>
        <w:tc>
          <w:tcPr>
            <w:tcW w:w="1380" w:type="dxa"/>
            <w:vAlign w:val="bottom"/>
          </w:tcPr>
          <w:p>
            <w:pPr>
              <w:jc w:val="right"/>
              <w:ind w:right="110"/>
              <w:spacing w:after="0"/>
              <w:rPr>
                <w:sz w:val="20"/>
                <w:szCs w:val="20"/>
                <w:color w:val="auto"/>
              </w:rPr>
            </w:pPr>
            <w:r>
              <w:rPr>
                <w:rFonts w:ascii="Arial" w:cs="Arial" w:eastAsia="Arial" w:hAnsi="Arial"/>
                <w:sz w:val="18"/>
                <w:szCs w:val="18"/>
                <w:color w:val="auto"/>
              </w:rPr>
              <w:t>1.27 %</w:t>
            </w: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1.20 %</w:t>
            </w: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1.21 %</w:t>
            </w:r>
          </w:p>
        </w:tc>
        <w:tc>
          <w:tcPr>
            <w:tcW w:w="680" w:type="dxa"/>
            <w:vAlign w:val="bottom"/>
          </w:tcPr>
          <w:p>
            <w:pPr>
              <w:jc w:val="right"/>
              <w:spacing w:after="0"/>
              <w:rPr>
                <w:sz w:val="20"/>
                <w:szCs w:val="20"/>
                <w:color w:val="auto"/>
              </w:rPr>
            </w:pPr>
            <w:r>
              <w:rPr>
                <w:rFonts w:ascii="Arial" w:cs="Arial" w:eastAsia="Arial" w:hAnsi="Arial"/>
                <w:sz w:val="18"/>
                <w:szCs w:val="18"/>
                <w:color w:val="auto"/>
              </w:rPr>
              <w:t>1.36 %</w:t>
            </w:r>
          </w:p>
        </w:tc>
      </w:tr>
      <w:tr>
        <w:trPr>
          <w:trHeight w:val="216"/>
        </w:trPr>
        <w:tc>
          <w:tcPr>
            <w:tcW w:w="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96"/>
              </w:rPr>
              <w:t>Adjusted:</w:t>
            </w:r>
          </w:p>
        </w:tc>
        <w:tc>
          <w:tcPr>
            <w:tcW w:w="4260" w:type="dxa"/>
            <w:vAlign w:val="bottom"/>
            <w:gridSpan w:val="2"/>
            <w:shd w:val="clear" w:color="auto" w:fill="CCEEFF"/>
          </w:tcPr>
          <w:p>
            <w:pPr>
              <w:ind w:left="40"/>
              <w:spacing w:after="0" w:line="216" w:lineRule="exact"/>
              <w:rPr>
                <w:sz w:val="20"/>
                <w:szCs w:val="20"/>
                <w:color w:val="auto"/>
              </w:rPr>
            </w:pPr>
            <w:r>
              <w:rPr>
                <w:rFonts w:ascii="Arial" w:cs="Arial" w:eastAsia="Arial" w:hAnsi="Arial"/>
                <w:sz w:val="17"/>
                <w:szCs w:val="17"/>
                <w:color w:val="auto"/>
              </w:rPr>
              <w:t xml:space="preserve">Pre-provision net revenue to average assets </w:t>
            </w:r>
            <w:r>
              <w:rPr>
                <w:rFonts w:ascii="Arial" w:cs="Arial" w:eastAsia="Arial" w:hAnsi="Arial"/>
                <w:sz w:val="25"/>
                <w:szCs w:val="25"/>
                <w:color w:val="auto"/>
                <w:vertAlign w:val="superscript"/>
              </w:rPr>
              <w:t>(1), (2)</w:t>
            </w:r>
          </w:p>
        </w:tc>
        <w:tc>
          <w:tcPr>
            <w:tcW w:w="13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1.33 %</w:t>
            </w:r>
          </w:p>
        </w:tc>
        <w:tc>
          <w:tcPr>
            <w:tcW w:w="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1.32 %</w:t>
            </w:r>
          </w:p>
        </w:tc>
        <w:tc>
          <w:tcPr>
            <w:tcW w:w="8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1.47 %</w:t>
            </w:r>
          </w:p>
        </w:tc>
      </w:tr>
      <w:tr>
        <w:trPr>
          <w:trHeight w:val="115"/>
        </w:trPr>
        <w:tc>
          <w:tcPr>
            <w:tcW w:w="840" w:type="dxa"/>
            <w:vAlign w:val="bottom"/>
            <w:tcBorders>
              <w:bottom w:val="single" w:sz="8" w:color="auto"/>
            </w:tcBorders>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286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680" w:type="dxa"/>
            <w:vAlign w:val="bottom"/>
          </w:tcPr>
          <w:p>
            <w:pPr>
              <w:spacing w:after="0"/>
              <w:rPr>
                <w:sz w:val="10"/>
                <w:szCs w:val="10"/>
                <w:color w:val="auto"/>
              </w:rPr>
            </w:pPr>
          </w:p>
        </w:tc>
      </w:tr>
    </w:tbl>
    <w:p>
      <w:pPr>
        <w:spacing w:after="0" w:line="62" w:lineRule="exact"/>
        <w:rPr>
          <w:sz w:val="20"/>
          <w:szCs w:val="20"/>
          <w:color w:val="auto"/>
        </w:rPr>
      </w:pPr>
    </w:p>
    <w:p>
      <w:pPr>
        <w:ind w:left="480" w:right="79" w:hanging="322"/>
        <w:spacing w:after="0" w:line="250" w:lineRule="auto"/>
        <w:tabs>
          <w:tab w:leader="none" w:pos="480" w:val="left"/>
        </w:tabs>
        <w:numPr>
          <w:ilvl w:val="0"/>
          <w:numId w:val="12"/>
        </w:numPr>
        <w:rPr>
          <w:rFonts w:ascii="Arial" w:cs="Arial" w:eastAsia="Arial" w:hAnsi="Arial"/>
          <w:sz w:val="14"/>
          <w:szCs w:val="14"/>
          <w:color w:val="auto"/>
        </w:rPr>
      </w:pPr>
      <w:r>
        <w:rPr>
          <w:rFonts w:ascii="Arial" w:cs="Arial" w:eastAsia="Arial" w:hAnsi="Arial"/>
          <w:sz w:val="14"/>
          <w:szCs w:val="14"/>
          <w:color w:val="auto"/>
        </w:rPr>
        <w:t>A non-GAAP financial measure. For a reconciliation of non-GAAP measures to the most directly comparable GAAP financial measures, see “</w:t>
      </w:r>
      <w:hyperlink w:anchor="page72">
        <w:r>
          <w:rPr>
            <w:rFonts w:ascii="Arial" w:cs="Arial" w:eastAsia="Arial" w:hAnsi="Arial"/>
            <w:sz w:val="14"/>
            <w:szCs w:val="14"/>
            <w:i w:val="1"/>
            <w:iCs w:val="1"/>
            <w:u w:val="single" w:color="auto"/>
            <w:color w:val="0000EE"/>
          </w:rPr>
          <w:t>Item 2. Management’s Discussion and Analysis—Non-GAAP Financial Information</w:t>
        </w:r>
      </w:hyperlink>
      <w:r>
        <w:rPr>
          <w:rFonts w:ascii="Arial" w:cs="Arial" w:eastAsia="Arial" w:hAnsi="Arial"/>
          <w:sz w:val="14"/>
          <w:szCs w:val="14"/>
          <w:color w:val="auto"/>
        </w:rPr>
        <w:t>” included in this Quarterly Report.</w:t>
      </w:r>
    </w:p>
    <w:p>
      <w:pPr>
        <w:ind w:left="480" w:hanging="322"/>
        <w:spacing w:after="0"/>
        <w:tabs>
          <w:tab w:leader="none" w:pos="480" w:val="left"/>
        </w:tabs>
        <w:numPr>
          <w:ilvl w:val="0"/>
          <w:numId w:val="12"/>
        </w:numPr>
        <w:rPr>
          <w:rFonts w:ascii="Arial" w:cs="Arial" w:eastAsia="Arial" w:hAnsi="Arial"/>
          <w:sz w:val="13"/>
          <w:szCs w:val="13"/>
          <w:color w:val="auto"/>
        </w:rPr>
      </w:pPr>
      <w:r>
        <w:rPr>
          <w:rFonts w:ascii="Arial" w:cs="Arial" w:eastAsia="Arial" w:hAnsi="Arial"/>
          <w:sz w:val="14"/>
          <w:szCs w:val="14"/>
          <w:color w:val="auto"/>
        </w:rPr>
        <w:t>Annualized measure.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Acquisitions</w:t>
      </w:r>
    </w:p>
    <w:p>
      <w:pPr>
        <w:spacing w:after="0" w:line="198"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On May 31, 2021, First Busey completed its acquisition of CAC, the holding company for GSB. GSB was operated as a separate banking subsidiary from June 1, 2021, until August 14, 2021, when it was merged with and into Busey Bank. At that time GSB’s banking centers became banking centers of Busey Bank. Upon completion of the GSB acquisition, we reset the baseline for the future financial performance of First Busey in a multitude of positive ways.</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Non-operating Expenses and Non-GAAP Measures</w:t>
      </w:r>
    </w:p>
    <w:p>
      <w:pPr>
        <w:spacing w:after="0" w:line="198" w:lineRule="exact"/>
        <w:rPr>
          <w:sz w:val="20"/>
          <w:szCs w:val="20"/>
          <w:color w:val="auto"/>
        </w:rPr>
      </w:pPr>
    </w:p>
    <w:p>
      <w:pPr>
        <w:jc w:val="both"/>
        <w:ind w:left="60" w:right="59"/>
        <w:spacing w:after="0" w:line="269" w:lineRule="auto"/>
        <w:rPr>
          <w:rFonts w:ascii="Arial" w:cs="Arial" w:eastAsia="Arial" w:hAnsi="Arial"/>
          <w:sz w:val="16"/>
          <w:szCs w:val="16"/>
          <w:i w:val="1"/>
          <w:iCs w:val="1"/>
          <w:color w:val="0000EE"/>
        </w:rPr>
      </w:pPr>
      <w:r>
        <w:rPr>
          <w:rFonts w:ascii="Arial" w:cs="Arial" w:eastAsia="Arial" w:hAnsi="Arial"/>
          <w:sz w:val="16"/>
          <w:szCs w:val="16"/>
          <w:color w:val="auto"/>
        </w:rPr>
        <w:t xml:space="preserve">First Busey views certain non-operating items, including acquisition-related and restructuring charges, as adjustments to net income reported under GAAP. Non-operating pre-tax adjustments for the three and six months ended June 30, 2022, included $0.3 million and $1.1 million of expenses, respectively, related to acquisitions and restructuring. A reconciliation of non-GAAP measures—including pre-provision net revenue, adjusted pre-provision net revenue, pre-provision net revenue to average assets, adjusted pre-provision net revenue to average assets, adjusted net income, adjusted diluted earnings per share, adjusted return on average assets, return on average tangible common equity, adjusted return on average tangible common equity, adjusted net interest income, adjusted net interest margin, adjusted noninterest expense, adjusted core expense, efficiency ratio, adjusted efficiency ratio, adjusted core efficiency ratio, tangible book value per common share, tangible common equity, tangible common equity to tangible assets, core loans, core loans to portfolio loans, core deposits, core deposits to total deposits, and core loans to core deposits—which First Busey believes facilitates the </w:t>
      </w:r>
      <w:hyperlink w:anchor="page72">
        <w:r>
          <w:rPr>
            <w:rFonts w:ascii="Arial" w:cs="Arial" w:eastAsia="Arial" w:hAnsi="Arial"/>
            <w:sz w:val="16"/>
            <w:szCs w:val="16"/>
            <w:color w:val="auto"/>
          </w:rPr>
          <w:t xml:space="preserve">assessment of its financial results and peer comparability, is included in tabular form in </w:t>
        </w:r>
        <w:r>
          <w:rPr>
            <w:rFonts w:ascii="Arial" w:cs="Arial" w:eastAsia="Arial" w:hAnsi="Arial"/>
            <w:sz w:val="16"/>
            <w:szCs w:val="16"/>
            <w:i w:val="1"/>
            <w:iCs w:val="1"/>
            <w:color w:val="auto"/>
          </w:rPr>
          <w:t>“</w:t>
        </w:r>
        <w:r>
          <w:rPr>
            <w:rFonts w:ascii="Arial" w:cs="Arial" w:eastAsia="Arial" w:hAnsi="Arial"/>
            <w:sz w:val="16"/>
            <w:szCs w:val="16"/>
            <w:i w:val="1"/>
            <w:iCs w:val="1"/>
            <w:u w:val="single" w:color="auto"/>
            <w:color w:val="0000EE"/>
          </w:rPr>
          <w:t>Item 2. Management’s Discussion</w:t>
        </w:r>
      </w:hyperlink>
      <w:r>
        <w:rPr>
          <w:rFonts w:ascii="Arial" w:cs="Arial" w:eastAsia="Arial" w:hAnsi="Arial"/>
          <w:sz w:val="16"/>
          <w:szCs w:val="16"/>
          <w:color w:val="auto"/>
        </w:rPr>
        <w:t xml:space="preserve"> </w:t>
      </w:r>
      <w:hyperlink w:anchor="page72">
        <w:r>
          <w:rPr>
            <w:rFonts w:ascii="Arial" w:cs="Arial" w:eastAsia="Arial" w:hAnsi="Arial"/>
            <w:sz w:val="16"/>
            <w:szCs w:val="16"/>
            <w:i w:val="1"/>
            <w:iCs w:val="1"/>
            <w:u w:val="single" w:color="auto"/>
            <w:color w:val="0000EE"/>
          </w:rPr>
          <w:t>and Analysis—Non-GAAP Financial Information</w:t>
        </w:r>
        <w:r>
          <w:rPr>
            <w:rFonts w:ascii="Arial" w:cs="Arial" w:eastAsia="Arial" w:hAnsi="Arial"/>
            <w:sz w:val="16"/>
            <w:szCs w:val="16"/>
            <w:i w:val="1"/>
            <w:iCs w:val="1"/>
            <w:color w:val="000000"/>
          </w:rPr>
          <w:t>”</w:t>
        </w:r>
        <w:r>
          <w:rPr>
            <w:rFonts w:ascii="Arial" w:cs="Arial" w:eastAsia="Arial" w:hAnsi="Arial"/>
            <w:sz w:val="16"/>
            <w:szCs w:val="16"/>
            <w:i w:val="1"/>
            <w:iCs w:val="1"/>
            <w:color w:val="0000EE"/>
          </w:rPr>
          <w:t xml:space="preserve"> </w:t>
        </w:r>
        <w:r>
          <w:rPr>
            <w:rFonts w:ascii="Arial" w:cs="Arial" w:eastAsia="Arial" w:hAnsi="Arial"/>
            <w:sz w:val="16"/>
            <w:szCs w:val="16"/>
            <w:color w:val="000000"/>
          </w:rPr>
          <w:t>included in this Quarterly Report.</w:t>
        </w:r>
      </w:hyperlink>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Banking Center Markets</w:t>
      </w:r>
    </w:p>
    <w:p>
      <w:pPr>
        <w:spacing w:after="0" w:line="19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We serve the Illinois banking market with 46 Busey Bank banking centers. Our Illinois markets feature several Fortune 1000 companies. Those organizations, coupled with large healthcare and higher education sectors, anchor the communities in which they are located and have provided a comparatively stable foundation for housing, employment, and small business. Ten of our banking centers in Illinois are located within the Chicago Metropolitan Statistical Area, and 12 of our banking centers in Illinois are located within the St. Louis Metropolitan Statistical Area.</w:t>
      </w:r>
    </w:p>
    <w:p>
      <w:pPr>
        <w:spacing w:after="0" w:line="16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Busey Bank has eight banking centers in Missouri, all within the St. Louis Metropolitan Statistical Area. St. Louis, Missouri has a diverse economy with major employment sectors including health care, financial services, professional and business services, and retail. We have a total of 20 banking centers within the boundaries of the St. Louis Metropolitan Statistical Area, including branches in both Illinois and Missouri.</w:t>
      </w:r>
    </w:p>
    <w:p>
      <w:pPr>
        <w:spacing w:after="0" w:line="174"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Busey Bank has three banking centers in southwest Florida, an area which has experienced strong population growth, job growth, and an expanded housing market over the last several years.</w:t>
      </w:r>
    </w:p>
    <w:p>
      <w:pPr>
        <w:spacing w:after="0" w:line="157"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Busey Bank has one banking center in the Indianapolis, Indiana area, which is the most populous city of Indiana with a diverse economy, including the headquarters of many large corporations.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Interest Income</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Net interest income is the difference between interest income and fees earned on earning assets and interest expense incurred on interest-bearing liabilities. Interest rate levels and volume fluctuations within earning assets and interest-bearing liabilities impact net interest income. Net interest margin is tax-equivalent net interest income as a percent of average earning assets.</w:t>
      </w:r>
    </w:p>
    <w:p>
      <w:pPr>
        <w:spacing w:after="0" w:line="174"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Certain assets with tax favorable treatment are evaluated on a tax-equivalent basis, assuming a federal income tax rate of 21.0%. Tax favorable assets generally have lower contractual pre-tax yields than fully taxable assets. A tax-equivalent analysis is performed by adding the tax savings to the earnings on tax favorable assets. After factoring in the tax favorable effects of these assets, the yields may be more appropriately evaluated against alternative earning assets. In addition to yield, various other risks are factored into the evaluation process.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Consolidated Average Balance Sheets and Interest Rates (Unaudited)</w:t>
      </w:r>
    </w:p>
    <w:p>
      <w:pPr>
        <w:spacing w:after="0" w:line="19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 xml:space="preserve">The following tables show our unaudited Consolidated Average Balance Sheets </w:t>
      </w:r>
      <w:r>
        <w:rPr>
          <w:rFonts w:ascii="Arial" w:cs="Arial" w:eastAsia="Arial" w:hAnsi="Arial"/>
          <w:sz w:val="18"/>
          <w:szCs w:val="18"/>
          <w:i w:val="1"/>
          <w:iCs w:val="1"/>
          <w:color w:val="auto"/>
        </w:rPr>
        <w:t>(dollars in thousands)</w:t>
      </w:r>
      <w:r>
        <w:rPr>
          <w:rFonts w:ascii="Arial" w:cs="Arial" w:eastAsia="Arial" w:hAnsi="Arial"/>
          <w:sz w:val="18"/>
          <w:szCs w:val="18"/>
          <w:color w:val="auto"/>
        </w:rPr>
        <w:t>, and details the major categories of assets and liabilities, the interest income earned on interest-earning assets, the interest expense paid for interest-bearing liabilities, and the related interest yields for the periods shown. Average information is provided on a daily average basis.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8"/>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56"/>
        </w:trPr>
        <w:tc>
          <w:tcPr>
            <w:tcW w:w="22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right"/>
              <w:ind w:right="393"/>
              <w:spacing w:after="0" w:line="155" w:lineRule="exact"/>
              <w:rPr>
                <w:sz w:val="20"/>
                <w:szCs w:val="20"/>
                <w:color w:val="auto"/>
              </w:rPr>
            </w:pPr>
            <w:r>
              <w:rPr>
                <w:rFonts w:ascii="Arial" w:cs="Arial" w:eastAsia="Arial" w:hAnsi="Arial"/>
                <w:sz w:val="14"/>
                <w:szCs w:val="14"/>
                <w:b w:val="1"/>
                <w:bCs w:val="1"/>
                <w:color w:val="auto"/>
                <w:w w:val="96"/>
              </w:rPr>
              <w:t>2022</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gridSpan w:val="3"/>
          </w:tcPr>
          <w:p>
            <w:pPr>
              <w:jc w:val="center"/>
              <w:ind w:right="352"/>
              <w:spacing w:after="0" w:line="155"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15"/>
        </w:trPr>
        <w:tc>
          <w:tcPr>
            <w:tcW w:w="2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gridSpan w:val="2"/>
          </w:tcPr>
          <w:p>
            <w:pPr>
              <w:jc w:val="right"/>
              <w:ind w:right="300"/>
              <w:spacing w:after="0" w:line="11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Income/</w:t>
            </w:r>
          </w:p>
        </w:tc>
        <w:tc>
          <w:tcPr>
            <w:tcW w:w="680" w:type="dxa"/>
            <w:vAlign w:val="bottom"/>
            <w:gridSpan w:val="2"/>
          </w:tcPr>
          <w:p>
            <w:pPr>
              <w:jc w:val="right"/>
              <w:ind w:right="70"/>
              <w:spacing w:after="0" w:line="115" w:lineRule="exact"/>
              <w:rPr>
                <w:sz w:val="20"/>
                <w:szCs w:val="20"/>
                <w:color w:val="auto"/>
              </w:rPr>
            </w:pPr>
            <w:r>
              <w:rPr>
                <w:rFonts w:ascii="Arial" w:cs="Arial" w:eastAsia="Arial" w:hAnsi="Arial"/>
                <w:sz w:val="13"/>
                <w:szCs w:val="13"/>
                <w:b w:val="1"/>
                <w:bCs w:val="1"/>
                <w:color w:val="auto"/>
              </w:rPr>
              <w:t>Yield/</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gridSpan w:val="2"/>
          </w:tcPr>
          <w:p>
            <w:pPr>
              <w:jc w:val="right"/>
              <w:ind w:right="280"/>
              <w:spacing w:after="0" w:line="115" w:lineRule="exact"/>
              <w:rPr>
                <w:sz w:val="20"/>
                <w:szCs w:val="20"/>
                <w:color w:val="auto"/>
              </w:rPr>
            </w:pPr>
            <w:r>
              <w:rPr>
                <w:rFonts w:ascii="Arial" w:cs="Arial" w:eastAsia="Arial" w:hAnsi="Arial"/>
                <w:sz w:val="13"/>
                <w:szCs w:val="13"/>
                <w:b w:val="1"/>
                <w:bCs w:val="1"/>
                <w:color w:val="auto"/>
              </w:rPr>
              <w:t>Average</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Income/</w:t>
            </w:r>
          </w:p>
        </w:tc>
        <w:tc>
          <w:tcPr>
            <w:tcW w:w="44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Yield/</w:t>
            </w:r>
          </w:p>
        </w:tc>
        <w:tc>
          <w:tcPr>
            <w:tcW w:w="240" w:type="dxa"/>
            <w:vAlign w:val="bottom"/>
          </w:tcPr>
          <w:p>
            <w:pPr>
              <w:spacing w:after="0"/>
              <w:rPr>
                <w:sz w:val="9"/>
                <w:szCs w:val="9"/>
                <w:color w:val="auto"/>
              </w:rPr>
            </w:pPr>
          </w:p>
        </w:tc>
      </w:tr>
      <w:tr>
        <w:trPr>
          <w:trHeight w:val="189"/>
        </w:trPr>
        <w:tc>
          <w:tcPr>
            <w:tcW w:w="2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860" w:type="dxa"/>
            <w:vAlign w:val="bottom"/>
            <w:gridSpan w:val="3"/>
          </w:tcPr>
          <w:p>
            <w:pPr>
              <w:spacing w:after="0" w:line="190"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21"/>
                <w:szCs w:val="21"/>
                <w:b w:val="1"/>
                <w:bCs w:val="1"/>
                <w:color w:val="auto"/>
                <w:vertAlign w:val="superscript"/>
              </w:rPr>
              <w:t>(5)</w:t>
            </w:r>
          </w:p>
        </w:tc>
        <w:tc>
          <w:tcPr>
            <w:tcW w:w="120" w:type="dxa"/>
            <w:vAlign w:val="bottom"/>
          </w:tcPr>
          <w:p>
            <w:pPr>
              <w:spacing w:after="0"/>
              <w:rPr>
                <w:sz w:val="16"/>
                <w:szCs w:val="16"/>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Balance</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Expense</w:t>
            </w:r>
          </w:p>
        </w:tc>
        <w:tc>
          <w:tcPr>
            <w:tcW w:w="680" w:type="dxa"/>
            <w:vAlign w:val="bottom"/>
            <w:gridSpan w:val="2"/>
          </w:tcPr>
          <w:p>
            <w:pPr>
              <w:jc w:val="right"/>
              <w:ind w:right="150"/>
              <w:spacing w:after="0" w:line="190" w:lineRule="exact"/>
              <w:rPr>
                <w:sz w:val="20"/>
                <w:szCs w:val="20"/>
                <w:color w:val="auto"/>
              </w:rPr>
            </w:pPr>
            <w:r>
              <w:rPr>
                <w:rFonts w:ascii="Arial" w:cs="Arial" w:eastAsia="Arial" w:hAnsi="Arial"/>
                <w:sz w:val="14"/>
                <w:szCs w:val="14"/>
                <w:b w:val="1"/>
                <w:bCs w:val="1"/>
                <w:color w:val="auto"/>
                <w:w w:val="81"/>
              </w:rPr>
              <w:t xml:space="preserve">Rate </w:t>
            </w:r>
            <w:r>
              <w:rPr>
                <w:rFonts w:ascii="Arial" w:cs="Arial" w:eastAsia="Arial" w:hAnsi="Arial"/>
                <w:sz w:val="21"/>
                <w:szCs w:val="21"/>
                <w:b w:val="1"/>
                <w:bCs w:val="1"/>
                <w:color w:val="auto"/>
                <w:w w:val="81"/>
                <w:vertAlign w:val="superscript"/>
              </w:rPr>
              <w:t>(5)</w:t>
            </w:r>
          </w:p>
        </w:tc>
      </w:tr>
      <w:tr>
        <w:trPr>
          <w:trHeight w:val="196"/>
        </w:trPr>
        <w:tc>
          <w:tcPr>
            <w:tcW w:w="33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188"/>
        </w:trPr>
        <w:tc>
          <w:tcPr>
            <w:tcW w:w="3320" w:type="dxa"/>
            <w:vAlign w:val="bottom"/>
            <w:gridSpan w:val="2"/>
          </w:tcPr>
          <w:p>
            <w:pPr>
              <w:ind w:left="20"/>
              <w:spacing w:after="0" w:line="189" w:lineRule="exact"/>
              <w:rPr>
                <w:sz w:val="20"/>
                <w:szCs w:val="20"/>
                <w:color w:val="auto"/>
              </w:rPr>
            </w:pPr>
            <w:r>
              <w:rPr>
                <w:rFonts w:ascii="Arial" w:cs="Arial" w:eastAsia="Arial" w:hAnsi="Arial"/>
                <w:sz w:val="18"/>
                <w:szCs w:val="18"/>
                <w:color w:val="auto"/>
                <w:w w:val="97"/>
              </w:rPr>
              <w:t>Interest-bearing bank deposits and federal</w:t>
            </w: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7"/>
        </w:trPr>
        <w:tc>
          <w:tcPr>
            <w:tcW w:w="3320" w:type="dxa"/>
            <w:vAlign w:val="bottom"/>
            <w:gridSpan w:val="2"/>
          </w:tcPr>
          <w:p>
            <w:pPr>
              <w:ind w:left="20"/>
              <w:spacing w:after="0"/>
              <w:rPr>
                <w:sz w:val="20"/>
                <w:szCs w:val="20"/>
                <w:color w:val="auto"/>
              </w:rPr>
            </w:pPr>
            <w:r>
              <w:rPr>
                <w:rFonts w:ascii="Arial" w:cs="Arial" w:eastAsia="Arial" w:hAnsi="Arial"/>
                <w:sz w:val="18"/>
                <w:szCs w:val="18"/>
                <w:color w:val="auto"/>
              </w:rPr>
              <w:t>funds sold</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230,129</w:t>
            </w:r>
          </w:p>
        </w:tc>
        <w:tc>
          <w:tcPr>
            <w:tcW w:w="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358</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0.62 %</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505,223</w:t>
            </w:r>
          </w:p>
        </w:tc>
        <w:tc>
          <w:tcPr>
            <w:tcW w:w="40" w:type="dxa"/>
            <w:vAlign w:val="bottom"/>
          </w:tcPr>
          <w:p>
            <w:pPr>
              <w:spacing w:after="0"/>
              <w:rPr>
                <w:sz w:val="18"/>
                <w:szCs w:val="18"/>
                <w:color w:val="auto"/>
              </w:rPr>
            </w:pPr>
          </w:p>
        </w:tc>
        <w:tc>
          <w:tcPr>
            <w:tcW w:w="220" w:type="dxa"/>
            <w:vAlign w:val="bottom"/>
            <w:gridSpan w:val="2"/>
          </w:tcPr>
          <w:p>
            <w:pPr>
              <w:jc w:val="center"/>
              <w:ind w:left="34"/>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0.19 %</w:t>
            </w: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187,785</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281</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0.60 %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151,612</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476</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1.26 %</w:t>
            </w:r>
          </w:p>
        </w:tc>
      </w:tr>
      <w:tr>
        <w:trPr>
          <w:trHeight w:val="192"/>
        </w:trPr>
        <w:tc>
          <w:tcPr>
            <w:tcW w:w="3320" w:type="dxa"/>
            <w:vAlign w:val="bottom"/>
            <w:gridSpan w:val="2"/>
            <w:shd w:val="clear" w:color="auto" w:fill="CCEEFF"/>
          </w:tcPr>
          <w:p>
            <w:pPr>
              <w:ind w:left="220"/>
              <w:spacing w:after="0" w:line="192"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40"/>
        </w:trPr>
        <w:tc>
          <w:tcPr>
            <w:tcW w:w="3320" w:type="dxa"/>
            <w:vAlign w:val="bottom"/>
            <w:gridSpan w:val="2"/>
            <w:shd w:val="clear" w:color="auto" w:fill="CCEEFF"/>
          </w:tcPr>
          <w:p>
            <w:pPr>
              <w:ind w:left="220"/>
              <w:spacing w:after="0" w:line="240"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293,276</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296,201</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1,908</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2.58 %</w:t>
            </w:r>
          </w:p>
        </w:tc>
      </w:tr>
      <w:tr>
        <w:trPr>
          <w:trHeight w:val="203"/>
        </w:trPr>
        <w:tc>
          <w:tcPr>
            <w:tcW w:w="33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3,359,950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w w:val="94"/>
              </w:rPr>
              <w:t>14,664</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1.75 %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2,583,437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7,909</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1.23 %</w:t>
            </w: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3,089</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4.16 %</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22,393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2.62 %</w:t>
            </w:r>
          </w:p>
        </w:tc>
      </w:tr>
      <w:tr>
        <w:trPr>
          <w:trHeight w:val="216"/>
        </w:trPr>
        <w:tc>
          <w:tcPr>
            <w:tcW w:w="33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Portfolio loans </w:t>
            </w:r>
            <w:r>
              <w:rPr>
                <w:rFonts w:ascii="Arial" w:cs="Arial" w:eastAsia="Arial" w:hAnsi="Arial"/>
                <w:sz w:val="25"/>
                <w:szCs w:val="25"/>
                <w:color w:val="auto"/>
                <w:vertAlign w:val="superscript"/>
              </w:rPr>
              <w:t>(1), (2)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7,378,969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65,860</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3.58 %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6,889,551</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61,583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3.59 %</w:t>
            </w:r>
          </w:p>
        </w:tc>
      </w:tr>
      <w:tr>
        <w:trPr>
          <w:trHeight w:val="196"/>
        </w:trPr>
        <w:tc>
          <w:tcPr>
            <w:tcW w:w="332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interest-earning assets </w:t>
            </w:r>
            <w:r>
              <w:rPr>
                <w:rFonts w:ascii="Arial" w:cs="Arial" w:eastAsia="Arial" w:hAnsi="Arial"/>
                <w:sz w:val="22"/>
                <w:szCs w:val="22"/>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11,453,198</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83,142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2.91</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10,448,417</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72,267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2.77</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121,568</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142,242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133,242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135,760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(88,753)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(96,626)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832,815</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768,862</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3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12,452,070</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11,398,655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2,662,976</w:t>
            </w:r>
          </w:p>
        </w:tc>
        <w:tc>
          <w:tcPr>
            <w:tcW w:w="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500</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0.08 %</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2,479,380</w:t>
            </w:r>
          </w:p>
        </w:tc>
        <w:tc>
          <w:tcPr>
            <w:tcW w:w="40" w:type="dxa"/>
            <w:vAlign w:val="bottom"/>
          </w:tcPr>
          <w:p>
            <w:pPr>
              <w:spacing w:after="0"/>
              <w:rPr>
                <w:sz w:val="17"/>
                <w:szCs w:val="17"/>
                <w:color w:val="auto"/>
              </w:rPr>
            </w:pPr>
          </w:p>
        </w:tc>
        <w:tc>
          <w:tcPr>
            <w:tcW w:w="220" w:type="dxa"/>
            <w:vAlign w:val="bottom"/>
            <w:gridSpan w:val="2"/>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495</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0.08 %</w:t>
            </w: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3,459,414</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0.08 %</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2,911,791</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705</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0.10 %</w:t>
            </w: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848,693</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954</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0.45 %</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1,041,165</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2,095</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0.81 %</w:t>
            </w:r>
          </w:p>
        </w:tc>
      </w:tr>
      <w:tr>
        <w:trPr>
          <w:trHeight w:val="188"/>
        </w:trPr>
        <w:tc>
          <w:tcPr>
            <w:tcW w:w="3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9"/>
              </w:rPr>
              <w:t>Federal funds purchased and repurchase</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235,733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204,417</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0.12 %</w:t>
            </w:r>
          </w:p>
        </w:tc>
      </w:tr>
      <w:tr>
        <w:trPr>
          <w:trHeight w:val="216"/>
        </w:trPr>
        <w:tc>
          <w:tcPr>
            <w:tcW w:w="33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Borrowings </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296,168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3,667</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4.97 %</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257,770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3,059</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4.76 %</w:t>
            </w:r>
          </w:p>
        </w:tc>
      </w:tr>
      <w:tr>
        <w:trPr>
          <w:trHeight w:val="188"/>
        </w:trPr>
        <w:tc>
          <w:tcPr>
            <w:tcW w:w="33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Junior subordinated debt issued to</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unconsolidated trusts</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71,693</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3.96 %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71,523</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36"/>
        </w:trPr>
        <w:tc>
          <w:tcPr>
            <w:tcW w:w="332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7,574,677</w:t>
            </w: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6,668</w:t>
            </w:r>
          </w:p>
        </w:tc>
        <w:tc>
          <w:tcPr>
            <w:tcW w:w="1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0.35</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6,966,046</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7,146</w:t>
            </w:r>
          </w:p>
        </w:tc>
        <w:tc>
          <w:tcPr>
            <w:tcW w:w="1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0.41</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224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332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2.56 %</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2.36 %</w:t>
            </w: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10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3,535,110</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2,970,890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3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145,231</w:t>
            </w: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118,948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3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1,197,052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1,342,771</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3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12,452,070</w:t>
            </w:r>
          </w:p>
        </w:tc>
        <w:tc>
          <w:tcPr>
            <w:tcW w:w="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11,398,655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6"/>
        </w:trPr>
        <w:tc>
          <w:tcPr>
            <w:tcW w:w="33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income / earning assets </w:t>
            </w:r>
            <w:r>
              <w:rPr>
                <w:rFonts w:ascii="Arial" w:cs="Arial" w:eastAsia="Arial" w:hAnsi="Arial"/>
                <w:sz w:val="25"/>
                <w:szCs w:val="25"/>
                <w:color w:val="auto"/>
                <w:vertAlign w:val="superscript"/>
              </w:rPr>
              <w:t>(1), (3)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11,453,198</w:t>
            </w:r>
          </w:p>
        </w:tc>
        <w:tc>
          <w:tcPr>
            <w:tcW w:w="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83,142</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2.91 %</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10,448,417</w:t>
            </w:r>
          </w:p>
        </w:tc>
        <w:tc>
          <w:tcPr>
            <w:tcW w:w="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center"/>
              <w:ind w:left="34"/>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72,267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2.77 %</w:t>
            </w:r>
          </w:p>
        </w:tc>
      </w:tr>
      <w:tr>
        <w:trPr>
          <w:trHeight w:val="203"/>
        </w:trPr>
        <w:tc>
          <w:tcPr>
            <w:tcW w:w="33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 earning assets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11,453,198</w:t>
            </w:r>
          </w:p>
        </w:tc>
        <w:tc>
          <w:tcPr>
            <w:tcW w:w="6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6,668</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0.23 %</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10,448,417</w:t>
            </w:r>
          </w:p>
        </w:tc>
        <w:tc>
          <w:tcPr>
            <w:tcW w:w="40" w:type="dxa"/>
            <w:vAlign w:val="bottom"/>
          </w:tcPr>
          <w:p>
            <w:pPr>
              <w:spacing w:after="0"/>
              <w:rPr>
                <w:sz w:val="17"/>
                <w:szCs w:val="17"/>
                <w:color w:val="auto"/>
              </w:rPr>
            </w:pPr>
          </w:p>
        </w:tc>
        <w:tc>
          <w:tcPr>
            <w:tcW w:w="220" w:type="dxa"/>
            <w:vAlign w:val="bottom"/>
            <w:gridSpan w:val="2"/>
          </w:tcPr>
          <w:p>
            <w:pPr>
              <w:jc w:val="center"/>
              <w:ind w:left="34"/>
              <w:spacing w:after="0" w:line="202" w:lineRule="exact"/>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7,146</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0.27 %</w:t>
            </w:r>
          </w:p>
        </w:tc>
      </w:tr>
      <w:tr>
        <w:trPr>
          <w:trHeight w:val="196"/>
        </w:trPr>
        <w:tc>
          <w:tcPr>
            <w:tcW w:w="332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2"/>
                <w:szCs w:val="22"/>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76,474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2.68</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65,121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2.50</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6"/>
        </w:trPr>
        <w:tc>
          <w:tcPr>
            <w:tcW w:w="2240" w:type="dxa"/>
            <w:vAlign w:val="bottom"/>
            <w:tcBorders>
              <w:bottom w:val="single" w:sz="8" w:color="auto"/>
            </w:tcBorders>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2" w:lineRule="exact"/>
        <w:rPr>
          <w:sz w:val="20"/>
          <w:szCs w:val="20"/>
          <w:color w:val="auto"/>
        </w:rPr>
      </w:pPr>
    </w:p>
    <w:p>
      <w:pPr>
        <w:jc w:val="both"/>
        <w:ind w:left="480" w:right="79" w:hanging="322"/>
        <w:spacing w:after="0" w:line="247" w:lineRule="auto"/>
        <w:tabs>
          <w:tab w:leader="none" w:pos="4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color w:val="auto"/>
        </w:rPr>
        <w:t>“</w:t>
      </w:r>
      <w:hyperlink w:anchor="page72">
        <w:r>
          <w:rPr>
            <w:rFonts w:ascii="Arial" w:cs="Arial" w:eastAsia="Arial" w:hAnsi="Arial"/>
            <w:sz w:val="14"/>
            <w:szCs w:val="14"/>
            <w:i w:val="1"/>
            <w:iCs w:val="1"/>
            <w:u w:val="single" w:color="auto"/>
            <w:color w:val="0000EE"/>
          </w:rPr>
          <w:t>Item 2. Management’s Discussion and Analysis—Non-GAAP Financial Information</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ind w:left="480" w:hanging="322"/>
        <w:spacing w:after="0"/>
        <w:tabs>
          <w:tab w:leader="none" w:pos="4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1"/>
          <w:szCs w:val="11"/>
          <w:color w:val="auto"/>
        </w:rPr>
      </w:pPr>
    </w:p>
    <w:p>
      <w:pPr>
        <w:ind w:left="480" w:right="79" w:hanging="322"/>
        <w:spacing w:after="0" w:line="241" w:lineRule="auto"/>
        <w:tabs>
          <w:tab w:leader="none" w:pos="4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Interest income includes a tax-equivalent adjustment of $0.5 million and $0.6 million for the three months ended June 30, 2022, and 2021, respectively.</w:t>
      </w:r>
    </w:p>
    <w:p>
      <w:pPr>
        <w:ind w:left="480" w:hanging="322"/>
        <w:spacing w:after="0"/>
        <w:tabs>
          <w:tab w:leader="none" w:pos="4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1"/>
          <w:szCs w:val="11"/>
          <w:color w:val="auto"/>
        </w:rPr>
      </w:pPr>
    </w:p>
    <w:p>
      <w:pPr>
        <w:ind w:left="480" w:hanging="322"/>
        <w:spacing w:after="0"/>
        <w:tabs>
          <w:tab w:leader="none" w:pos="480" w:val="left"/>
        </w:tabs>
        <w:numPr>
          <w:ilvl w:val="0"/>
          <w:numId w:val="13"/>
        </w:numPr>
        <w:rPr>
          <w:rFonts w:ascii="Arial" w:cs="Arial" w:eastAsia="Arial" w:hAnsi="Arial"/>
          <w:sz w:val="11"/>
          <w:szCs w:val="11"/>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7"/>
          </w:tcPr>
          <w:p>
            <w:pPr>
              <w:jc w:val="right"/>
              <w:ind w:right="460"/>
              <w:spacing w:after="0"/>
              <w:rPr>
                <w:sz w:val="20"/>
                <w:szCs w:val="20"/>
                <w:color w:val="auto"/>
              </w:rPr>
            </w:pPr>
            <w:r>
              <w:rPr>
                <w:rFonts w:ascii="Arial" w:cs="Arial" w:eastAsia="Arial" w:hAnsi="Arial"/>
                <w:sz w:val="14"/>
                <w:szCs w:val="14"/>
                <w:b w:val="1"/>
                <w:bCs w:val="1"/>
                <w:color w:val="auto"/>
                <w:w w:val="91"/>
              </w:rPr>
              <w:t>Six Months Ended June 30,</w:t>
            </w: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56"/>
        </w:trPr>
        <w:tc>
          <w:tcPr>
            <w:tcW w:w="2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392"/>
              <w:spacing w:after="0" w:line="155" w:lineRule="exact"/>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4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gridSpan w:val="3"/>
          </w:tcPr>
          <w:p>
            <w:pPr>
              <w:jc w:val="right"/>
              <w:ind w:right="452"/>
              <w:spacing w:after="0" w:line="155"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r>
      <w:tr>
        <w:trPr>
          <w:trHeight w:val="128"/>
        </w:trPr>
        <w:tc>
          <w:tcPr>
            <w:tcW w:w="2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jc w:val="right"/>
              <w:ind w:right="12"/>
              <w:spacing w:after="0" w:line="129" w:lineRule="exact"/>
              <w:rPr>
                <w:sz w:val="20"/>
                <w:szCs w:val="20"/>
                <w:color w:val="auto"/>
              </w:rPr>
            </w:pPr>
            <w:r>
              <w:rPr>
                <w:rFonts w:ascii="Arial" w:cs="Arial" w:eastAsia="Arial" w:hAnsi="Arial"/>
                <w:sz w:val="14"/>
                <w:szCs w:val="14"/>
                <w:b w:val="1"/>
                <w:bCs w:val="1"/>
                <w:color w:val="auto"/>
                <w:w w:val="94"/>
              </w:rPr>
              <w:t>Income/</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Yield/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20"/>
              <w:spacing w:after="0" w:line="129" w:lineRule="exact"/>
              <w:rPr>
                <w:sz w:val="20"/>
                <w:szCs w:val="20"/>
                <w:color w:val="auto"/>
              </w:rPr>
            </w:pPr>
            <w:r>
              <w:rPr>
                <w:rFonts w:ascii="Arial" w:cs="Arial" w:eastAsia="Arial" w:hAnsi="Arial"/>
                <w:sz w:val="14"/>
                <w:szCs w:val="14"/>
                <w:b w:val="1"/>
                <w:bCs w:val="1"/>
                <w:color w:val="auto"/>
              </w:rPr>
              <w:t>Average</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rPr>
              <w:t>Income/</w:t>
            </w:r>
          </w:p>
        </w:tc>
        <w:tc>
          <w:tcPr>
            <w:tcW w:w="4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Yield/</w:t>
            </w:r>
          </w:p>
        </w:tc>
        <w:tc>
          <w:tcPr>
            <w:tcW w:w="240" w:type="dxa"/>
            <w:vAlign w:val="bottom"/>
          </w:tcPr>
          <w:p>
            <w:pPr>
              <w:spacing w:after="0"/>
              <w:rPr>
                <w:sz w:val="11"/>
                <w:szCs w:val="11"/>
                <w:color w:val="auto"/>
              </w:rPr>
            </w:pPr>
          </w:p>
        </w:tc>
      </w:tr>
      <w:tr>
        <w:trPr>
          <w:trHeight w:val="189"/>
        </w:trPr>
        <w:tc>
          <w:tcPr>
            <w:tcW w:w="2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w w:val="90"/>
              </w:rPr>
              <w:t>Expense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gridSpan w:val="2"/>
          </w:tcPr>
          <w:p>
            <w:pPr>
              <w:jc w:val="right"/>
              <w:ind w:right="310"/>
              <w:spacing w:after="0" w:line="190" w:lineRule="exact"/>
              <w:rPr>
                <w:sz w:val="20"/>
                <w:szCs w:val="20"/>
                <w:color w:val="auto"/>
              </w:rPr>
            </w:pPr>
            <w:r>
              <w:rPr>
                <w:rFonts w:ascii="Arial" w:cs="Arial" w:eastAsia="Arial" w:hAnsi="Arial"/>
                <w:sz w:val="14"/>
                <w:szCs w:val="14"/>
                <w:b w:val="1"/>
                <w:bCs w:val="1"/>
                <w:color w:val="auto"/>
                <w:w w:val="85"/>
              </w:rPr>
              <w:t xml:space="preserve">Rate </w:t>
            </w:r>
            <w:r>
              <w:rPr>
                <w:rFonts w:ascii="Arial" w:cs="Arial" w:eastAsia="Arial" w:hAnsi="Arial"/>
                <w:sz w:val="21"/>
                <w:szCs w:val="21"/>
                <w:b w:val="1"/>
                <w:bCs w:val="1"/>
                <w:color w:val="auto"/>
                <w:w w:val="85"/>
                <w:vertAlign w:val="superscript"/>
              </w:rPr>
              <w:t>(5)</w:t>
            </w:r>
          </w:p>
        </w:tc>
        <w:tc>
          <w:tcPr>
            <w:tcW w:w="120" w:type="dxa"/>
            <w:vAlign w:val="bottom"/>
          </w:tcPr>
          <w:p>
            <w:pPr>
              <w:spacing w:after="0"/>
              <w:rPr>
                <w:sz w:val="16"/>
                <w:szCs w:val="16"/>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Balance</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Expense</w:t>
            </w:r>
          </w:p>
        </w:tc>
        <w:tc>
          <w:tcPr>
            <w:tcW w:w="680" w:type="dxa"/>
            <w:vAlign w:val="bottom"/>
            <w:gridSpan w:val="2"/>
          </w:tcPr>
          <w:p>
            <w:pPr>
              <w:jc w:val="right"/>
              <w:ind w:right="150"/>
              <w:spacing w:after="0" w:line="190" w:lineRule="exact"/>
              <w:rPr>
                <w:sz w:val="20"/>
                <w:szCs w:val="20"/>
                <w:color w:val="auto"/>
              </w:rPr>
            </w:pPr>
            <w:r>
              <w:rPr>
                <w:rFonts w:ascii="Arial" w:cs="Arial" w:eastAsia="Arial" w:hAnsi="Arial"/>
                <w:sz w:val="14"/>
                <w:szCs w:val="14"/>
                <w:b w:val="1"/>
                <w:bCs w:val="1"/>
                <w:color w:val="auto"/>
                <w:w w:val="81"/>
              </w:rPr>
              <w:t xml:space="preserve">Rate </w:t>
            </w:r>
            <w:r>
              <w:rPr>
                <w:rFonts w:ascii="Arial" w:cs="Arial" w:eastAsia="Arial" w:hAnsi="Arial"/>
                <w:sz w:val="21"/>
                <w:szCs w:val="21"/>
                <w:b w:val="1"/>
                <w:bCs w:val="1"/>
                <w:color w:val="auto"/>
                <w:w w:val="81"/>
                <w:vertAlign w:val="superscript"/>
              </w:rPr>
              <w:t>(5)</w:t>
            </w:r>
          </w:p>
        </w:tc>
      </w:tr>
      <w:tr>
        <w:trPr>
          <w:trHeight w:val="196"/>
        </w:trPr>
        <w:tc>
          <w:tcPr>
            <w:tcW w:w="3120" w:type="dxa"/>
            <w:vAlign w:val="bottom"/>
            <w:tcBorders>
              <w:top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r>
      <w:tr>
        <w:trPr>
          <w:trHeight w:val="188"/>
        </w:trPr>
        <w:tc>
          <w:tcPr>
            <w:tcW w:w="3120" w:type="dxa"/>
            <w:vAlign w:val="bottom"/>
            <w:gridSpan w:val="2"/>
          </w:tcPr>
          <w:p>
            <w:pPr>
              <w:ind w:left="20"/>
              <w:spacing w:after="0" w:line="189" w:lineRule="exact"/>
              <w:rPr>
                <w:sz w:val="20"/>
                <w:szCs w:val="20"/>
                <w:color w:val="auto"/>
              </w:rPr>
            </w:pPr>
            <w:r>
              <w:rPr>
                <w:rFonts w:ascii="Arial" w:cs="Arial" w:eastAsia="Arial" w:hAnsi="Arial"/>
                <w:sz w:val="18"/>
                <w:szCs w:val="18"/>
                <w:color w:val="auto"/>
              </w:rPr>
              <w:t>Interest-bearing bank deposits and</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17"/>
        </w:trPr>
        <w:tc>
          <w:tcPr>
            <w:tcW w:w="3120" w:type="dxa"/>
            <w:vAlign w:val="bottom"/>
            <w:gridSpan w:val="2"/>
          </w:tcPr>
          <w:p>
            <w:pPr>
              <w:ind w:left="20"/>
              <w:spacing w:after="0"/>
              <w:rPr>
                <w:sz w:val="20"/>
                <w:szCs w:val="20"/>
                <w:color w:val="auto"/>
              </w:rPr>
            </w:pPr>
            <w:r>
              <w:rPr>
                <w:rFonts w:ascii="Arial" w:cs="Arial" w:eastAsia="Arial" w:hAnsi="Arial"/>
                <w:sz w:val="18"/>
                <w:szCs w:val="18"/>
                <w:color w:val="auto"/>
              </w:rPr>
              <w:t>federal funds sold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394,562</w:t>
            </w:r>
          </w:p>
        </w:tc>
        <w:tc>
          <w:tcPr>
            <w:tcW w:w="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635</w:t>
            </w:r>
          </w:p>
        </w:tc>
        <w:tc>
          <w:tcPr>
            <w:tcW w:w="1060" w:type="dxa"/>
            <w:vAlign w:val="bottom"/>
            <w:gridSpan w:val="4"/>
          </w:tcPr>
          <w:p>
            <w:pPr>
              <w:jc w:val="right"/>
              <w:ind w:right="170"/>
              <w:spacing w:after="0"/>
              <w:rPr>
                <w:sz w:val="20"/>
                <w:szCs w:val="20"/>
                <w:color w:val="auto"/>
              </w:rPr>
            </w:pPr>
            <w:r>
              <w:rPr>
                <w:rFonts w:ascii="Arial" w:cs="Arial" w:eastAsia="Arial" w:hAnsi="Arial"/>
                <w:sz w:val="18"/>
                <w:szCs w:val="18"/>
                <w:color w:val="auto"/>
              </w:rPr>
              <w:t>0.32 %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464,128</w:t>
            </w:r>
          </w:p>
        </w:tc>
        <w:tc>
          <w:tcPr>
            <w:tcW w:w="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0.17 %</w:t>
            </w: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Investment securities: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U.S. Government obligations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192,660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569</w:t>
            </w: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0.60 %</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122,966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959</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1.57 %</w:t>
            </w:r>
          </w:p>
        </w:tc>
      </w:tr>
      <w:tr>
        <w:trPr>
          <w:trHeight w:val="192"/>
        </w:trPr>
        <w:tc>
          <w:tcPr>
            <w:tcW w:w="3120" w:type="dxa"/>
            <w:vAlign w:val="bottom"/>
            <w:gridSpan w:val="2"/>
            <w:shd w:val="clear" w:color="auto" w:fill="CCEEFF"/>
          </w:tcPr>
          <w:p>
            <w:pPr>
              <w:ind w:left="220"/>
              <w:spacing w:after="0" w:line="192" w:lineRule="exact"/>
              <w:rPr>
                <w:sz w:val="20"/>
                <w:szCs w:val="20"/>
                <w:color w:val="auto"/>
              </w:rPr>
            </w:pPr>
            <w:r>
              <w:rPr>
                <w:rFonts w:ascii="Arial" w:cs="Arial" w:eastAsia="Arial" w:hAnsi="Arial"/>
                <w:sz w:val="18"/>
                <w:szCs w:val="18"/>
                <w:color w:val="auto"/>
              </w:rPr>
              <w:t>Obligations of states and political</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40"/>
        </w:trPr>
        <w:tc>
          <w:tcPr>
            <w:tcW w:w="3120" w:type="dxa"/>
            <w:vAlign w:val="bottom"/>
            <w:gridSpan w:val="2"/>
            <w:shd w:val="clear" w:color="auto" w:fill="CCEEFF"/>
          </w:tcPr>
          <w:p>
            <w:pPr>
              <w:ind w:left="220"/>
              <w:spacing w:after="0" w:line="240" w:lineRule="exact"/>
              <w:rPr>
                <w:sz w:val="20"/>
                <w:szCs w:val="20"/>
                <w:color w:val="auto"/>
              </w:rPr>
            </w:pPr>
            <w:r>
              <w:rPr>
                <w:rFonts w:ascii="Arial" w:cs="Arial" w:eastAsia="Arial" w:hAnsi="Arial"/>
                <w:sz w:val="18"/>
                <w:szCs w:val="18"/>
                <w:color w:val="auto"/>
              </w:rPr>
              <w:t xml:space="preserve">subdivisions </w:t>
            </w:r>
            <w:r>
              <w:rPr>
                <w:rFonts w:ascii="Arial" w:cs="Arial" w:eastAsia="Arial" w:hAnsi="Arial"/>
                <w:sz w:val="26"/>
                <w:szCs w:val="26"/>
                <w:color w:val="auto"/>
                <w:vertAlign w:val="superscript"/>
              </w:rPr>
              <w:t>(1)</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297,781</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3,862</w:t>
            </w:r>
          </w:p>
        </w:tc>
        <w:tc>
          <w:tcPr>
            <w:tcW w:w="10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2.62 %</w:t>
            </w: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296,112</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6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2.64 %</w:t>
            </w:r>
          </w:p>
        </w:tc>
      </w:tr>
      <w:tr>
        <w:trPr>
          <w:trHeight w:val="203"/>
        </w:trPr>
        <w:tc>
          <w:tcPr>
            <w:tcW w:w="312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securities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3,414,885</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27,615</w:t>
            </w: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1.63 %</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2,378,684</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15,346</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1.30 %</w:t>
            </w: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Loans held for sale</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7,485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w:t>
            </w:r>
          </w:p>
        </w:tc>
        <w:tc>
          <w:tcPr>
            <w:tcW w:w="106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3.10 %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26,858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302</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2.27 %</w:t>
            </w:r>
          </w:p>
        </w:tc>
      </w:tr>
      <w:tr>
        <w:trPr>
          <w:trHeight w:val="216"/>
        </w:trPr>
        <w:tc>
          <w:tcPr>
            <w:tcW w:w="31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Portfolio loans </w:t>
            </w:r>
            <w:r>
              <w:rPr>
                <w:rFonts w:ascii="Arial" w:cs="Arial" w:eastAsia="Arial" w:hAnsi="Arial"/>
                <w:sz w:val="25"/>
                <w:szCs w:val="25"/>
                <w:color w:val="auto"/>
                <w:vertAlign w:val="superscript"/>
              </w:rPr>
              <w:t>(1), (2)</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7,270,506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2"/>
              </w:rPr>
              <w:t>126,983</w:t>
            </w:r>
          </w:p>
        </w:tc>
        <w:tc>
          <w:tcPr>
            <w:tcW w:w="1060" w:type="dxa"/>
            <w:vAlign w:val="bottom"/>
            <w:gridSpan w:val="4"/>
          </w:tcPr>
          <w:p>
            <w:pPr>
              <w:jc w:val="right"/>
              <w:ind w:right="170"/>
              <w:spacing w:after="0"/>
              <w:rPr>
                <w:sz w:val="20"/>
                <w:szCs w:val="20"/>
                <w:color w:val="auto"/>
              </w:rPr>
            </w:pPr>
            <w:r>
              <w:rPr>
                <w:rFonts w:ascii="Arial" w:cs="Arial" w:eastAsia="Arial" w:hAnsi="Arial"/>
                <w:sz w:val="18"/>
                <w:szCs w:val="18"/>
                <w:color w:val="auto"/>
              </w:rPr>
              <w:t>3.52 %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6,813,530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124,325</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3.68 %</w:t>
            </w:r>
          </w:p>
        </w:tc>
      </w:tr>
      <w:tr>
        <w:trPr>
          <w:trHeight w:val="196"/>
        </w:trPr>
        <w:tc>
          <w:tcPr>
            <w:tcW w:w="312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Total interest-earning assets </w:t>
            </w:r>
            <w:r>
              <w:rPr>
                <w:rFonts w:ascii="Arial" w:cs="Arial" w:eastAsia="Arial" w:hAnsi="Arial"/>
                <w:sz w:val="22"/>
                <w:szCs w:val="22"/>
                <w:color w:val="auto"/>
                <w:vertAlign w:val="superscript"/>
              </w:rPr>
              <w:t>(1), (3)</w:t>
            </w: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11,577,879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159,779</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2.78</w:t>
            </w:r>
          </w:p>
        </w:tc>
        <w:tc>
          <w:tcPr>
            <w:tcW w:w="400" w:type="dxa"/>
            <w:vAlign w:val="bottom"/>
            <w:tcBorders>
              <w:top w:val="single" w:sz="8" w:color="CCEEFF"/>
              <w:bottom w:val="single" w:sz="8" w:color="CCEEFF"/>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10,102,278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145,199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2.90</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due from banks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124,085</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128,139</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Premises and equipment</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134,304</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135,168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ACL</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(88,604)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60"/>
              <w:spacing w:after="0" w:line="202" w:lineRule="exact"/>
              <w:rPr>
                <w:sz w:val="20"/>
                <w:szCs w:val="20"/>
                <w:color w:val="auto"/>
              </w:rPr>
            </w:pPr>
            <w:r>
              <w:rPr>
                <w:rFonts w:ascii="Arial" w:cs="Arial" w:eastAsia="Arial" w:hAnsi="Arial"/>
                <w:sz w:val="18"/>
                <w:szCs w:val="18"/>
                <w:color w:val="auto"/>
              </w:rPr>
              <w:t>(99,458)</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Other assets</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808,264</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732,545</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1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12,555,928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10,998,672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Interest-bearing transaction deposits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2,671,606</w:t>
            </w:r>
          </w:p>
        </w:tc>
        <w:tc>
          <w:tcPr>
            <w:tcW w:w="6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864</w:t>
            </w: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0.07 %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2,395,358</w:t>
            </w:r>
          </w:p>
        </w:tc>
        <w:tc>
          <w:tcPr>
            <w:tcW w:w="8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1,007</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0.08 %</w:t>
            </w: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Savings and money market deposits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3,444,744</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1,252</w:t>
            </w:r>
          </w:p>
        </w:tc>
        <w:tc>
          <w:tcPr>
            <w:tcW w:w="1060" w:type="dxa"/>
            <w:vAlign w:val="bottom"/>
            <w:gridSpan w:val="4"/>
            <w:shd w:val="clear" w:color="auto" w:fill="CCEEFF"/>
          </w:tcPr>
          <w:p>
            <w:pPr>
              <w:jc w:val="right"/>
              <w:ind w:right="170"/>
              <w:spacing w:after="0" w:line="202" w:lineRule="exact"/>
              <w:rPr>
                <w:sz w:val="20"/>
                <w:szCs w:val="20"/>
                <w:color w:val="auto"/>
              </w:rPr>
            </w:pPr>
            <w:r>
              <w:rPr>
                <w:rFonts w:ascii="Arial" w:cs="Arial" w:eastAsia="Arial" w:hAnsi="Arial"/>
                <w:sz w:val="18"/>
                <w:szCs w:val="18"/>
                <w:color w:val="auto"/>
              </w:rPr>
              <w:t>0.07 %</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2,784,383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1,340</w:t>
            </w:r>
          </w:p>
        </w:tc>
        <w:tc>
          <w:tcPr>
            <w:tcW w:w="16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0.10 %</w:t>
            </w:r>
          </w:p>
        </w:tc>
      </w:tr>
      <w:tr>
        <w:trPr>
          <w:trHeight w:val="203"/>
        </w:trPr>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Time deposits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882,779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2,154</w:t>
            </w: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0.49 %</w:t>
            </w: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1,054,335</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4,680</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0.90 %</w:t>
            </w:r>
          </w:p>
        </w:tc>
      </w:tr>
      <w:tr>
        <w:trPr>
          <w:trHeight w:val="188"/>
        </w:trPr>
        <w:tc>
          <w:tcPr>
            <w:tcW w:w="31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w w:val="93"/>
              </w:rPr>
              <w:t>Federal funds purchased and repurchase</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agreements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253,316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10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0.16 %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194,610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0.12 %</w:t>
            </w:r>
          </w:p>
        </w:tc>
      </w:tr>
      <w:tr>
        <w:trPr>
          <w:trHeight w:val="216"/>
        </w:trPr>
        <w:tc>
          <w:tcPr>
            <w:tcW w:w="3120" w:type="dxa"/>
            <w:vAlign w:val="bottom"/>
            <w:gridSpan w:val="2"/>
          </w:tcPr>
          <w:p>
            <w:pPr>
              <w:ind w:left="20"/>
              <w:spacing w:after="0" w:line="216" w:lineRule="exact"/>
              <w:rPr>
                <w:sz w:val="20"/>
                <w:szCs w:val="20"/>
                <w:color w:val="auto"/>
              </w:rPr>
            </w:pPr>
            <w:r>
              <w:rPr>
                <w:rFonts w:ascii="Arial" w:cs="Arial" w:eastAsia="Arial" w:hAnsi="Arial"/>
                <w:sz w:val="17"/>
                <w:szCs w:val="17"/>
                <w:color w:val="auto"/>
              </w:rPr>
              <w:t xml:space="preserve">Borrowings </w:t>
            </w:r>
            <w:r>
              <w:rPr>
                <w:rFonts w:ascii="Arial" w:cs="Arial" w:eastAsia="Arial" w:hAnsi="Arial"/>
                <w:sz w:val="25"/>
                <w:szCs w:val="25"/>
                <w:color w:val="auto"/>
                <w:vertAlign w:val="superscript"/>
              </w:rPr>
              <w:t>(4)</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290,331</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6,865</w:t>
            </w:r>
          </w:p>
        </w:tc>
        <w:tc>
          <w:tcPr>
            <w:tcW w:w="1060" w:type="dxa"/>
            <w:vAlign w:val="bottom"/>
            <w:gridSpan w:val="4"/>
          </w:tcPr>
          <w:p>
            <w:pPr>
              <w:jc w:val="right"/>
              <w:ind w:right="170"/>
              <w:spacing w:after="0"/>
              <w:rPr>
                <w:sz w:val="20"/>
                <w:szCs w:val="20"/>
                <w:color w:val="auto"/>
              </w:rPr>
            </w:pPr>
            <w:r>
              <w:rPr>
                <w:rFonts w:ascii="Arial" w:cs="Arial" w:eastAsia="Arial" w:hAnsi="Arial"/>
                <w:sz w:val="18"/>
                <w:szCs w:val="18"/>
                <w:color w:val="auto"/>
              </w:rPr>
              <w:t>4.77 %</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244,661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5,983</w:t>
            </w:r>
          </w:p>
        </w:tc>
        <w:tc>
          <w:tcPr>
            <w:tcW w:w="16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4.93 %</w:t>
            </w:r>
          </w:p>
        </w:tc>
      </w:tr>
      <w:tr>
        <w:trPr>
          <w:trHeight w:val="188"/>
        </w:trPr>
        <w:tc>
          <w:tcPr>
            <w:tcW w:w="31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8"/>
                <w:szCs w:val="18"/>
                <w:color w:val="auto"/>
              </w:rPr>
              <w:t>Junior subordinated debt issued to</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r>
      <w:tr>
        <w:trPr>
          <w:trHeight w:val="217"/>
        </w:trPr>
        <w:tc>
          <w:tcPr>
            <w:tcW w:w="31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unconsolidated trusts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71,672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w:t>
            </w:r>
          </w:p>
        </w:tc>
        <w:tc>
          <w:tcPr>
            <w:tcW w:w="10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3.83 %</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71,503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4.11 %</w:t>
            </w:r>
          </w:p>
        </w:tc>
      </w:tr>
      <w:tr>
        <w:trPr>
          <w:trHeight w:val="236"/>
        </w:trPr>
        <w:tc>
          <w:tcPr>
            <w:tcW w:w="312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rPr>
              <w:t>Total interest-bearing liabilities</w:t>
            </w:r>
          </w:p>
        </w:tc>
        <w:tc>
          <w:tcPr>
            <w:tcW w:w="12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7,614,448</w:t>
            </w: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12,703</w:t>
            </w:r>
          </w:p>
        </w:tc>
        <w:tc>
          <w:tcPr>
            <w:tcW w:w="40" w:type="dxa"/>
            <w:vAlign w:val="bottom"/>
            <w:tcBorders>
              <w:top w:val="single" w:sz="8" w:color="auto"/>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6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0.34</w:t>
            </w:r>
          </w:p>
        </w:tc>
        <w:tc>
          <w:tcPr>
            <w:tcW w:w="400" w:type="dxa"/>
            <w:vAlign w:val="bottom"/>
            <w:tcBorders>
              <w:bottom w:val="single" w:sz="8" w:color="CCEEFF"/>
            </w:tcBorders>
          </w:tcPr>
          <w:p>
            <w:pPr>
              <w:jc w:val="right"/>
              <w:ind w:right="17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auto"/>
              <w:bottom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6,744,850</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14,584</w:t>
            </w:r>
          </w:p>
        </w:tc>
        <w:tc>
          <w:tcPr>
            <w:tcW w:w="160" w:type="dxa"/>
            <w:vAlign w:val="bottom"/>
            <w:tcBorders>
              <w:bottom w:val="single" w:sz="8" w:color="CCEEFF"/>
            </w:tcBorders>
          </w:tcPr>
          <w:p>
            <w:pPr>
              <w:spacing w:after="0"/>
              <w:rPr>
                <w:sz w:val="20"/>
                <w:szCs w:val="20"/>
                <w:color w:val="auto"/>
              </w:rPr>
            </w:pPr>
          </w:p>
        </w:tc>
        <w:tc>
          <w:tcPr>
            <w:tcW w:w="440" w:type="dxa"/>
            <w:vAlign w:val="bottom"/>
            <w:tcBorders>
              <w:top w:val="single" w:sz="8" w:color="auto"/>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0.44</w:t>
            </w:r>
          </w:p>
        </w:tc>
        <w:tc>
          <w:tcPr>
            <w:tcW w:w="2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183"/>
        </w:trPr>
        <w:tc>
          <w:tcPr>
            <w:tcW w:w="2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43"/>
        </w:trPr>
        <w:tc>
          <w:tcPr>
            <w:tcW w:w="3120" w:type="dxa"/>
            <w:vAlign w:val="bottom"/>
            <w:gridSpan w:val="2"/>
          </w:tcPr>
          <w:p>
            <w:pPr>
              <w:ind w:left="20"/>
              <w:spacing w:after="0" w:line="202" w:lineRule="exact"/>
              <w:rPr>
                <w:sz w:val="20"/>
                <w:szCs w:val="20"/>
                <w:color w:val="auto"/>
              </w:rPr>
            </w:pPr>
            <w:r>
              <w:rPr>
                <w:rFonts w:ascii="Arial" w:cs="Arial" w:eastAsia="Arial" w:hAnsi="Arial"/>
                <w:sz w:val="16"/>
                <w:szCs w:val="16"/>
                <w:color w:val="auto"/>
              </w:rPr>
              <w:t xml:space="preserve">Net interest spread </w:t>
            </w:r>
            <w:r>
              <w:rPr>
                <w:rFonts w:ascii="Arial" w:cs="Arial" w:eastAsia="Arial" w:hAnsi="Arial"/>
                <w:sz w:val="23"/>
                <w:szCs w:val="23"/>
                <w:color w:val="auto"/>
                <w:vertAlign w:val="superscript"/>
              </w:rPr>
              <w:t>(1)</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2.44 %</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2.46 %</w:t>
            </w:r>
          </w:p>
        </w:tc>
      </w:tr>
      <w:tr>
        <w:trPr>
          <w:trHeight w:val="183"/>
        </w:trPr>
        <w:tc>
          <w:tcPr>
            <w:tcW w:w="224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6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r>
      <w:tr>
        <w:trPr>
          <w:trHeight w:val="203"/>
        </w:trPr>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Noninterest-bearing deposits</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3,562,380</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2,830,646</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03"/>
        </w:trPr>
        <w:tc>
          <w:tcPr>
            <w:tcW w:w="31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Other liabilities</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140,040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113,758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203"/>
        </w:trPr>
        <w:tc>
          <w:tcPr>
            <w:tcW w:w="3120" w:type="dxa"/>
            <w:vAlign w:val="bottom"/>
            <w:tcBorders>
              <w:bottom w:val="single" w:sz="8" w:color="CCEEFF"/>
            </w:tcBorders>
            <w:gridSpan w:val="2"/>
          </w:tcPr>
          <w:p>
            <w:pPr>
              <w:ind w:left="20"/>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1,239,060</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6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60" w:type="dxa"/>
            <w:vAlign w:val="bottom"/>
            <w:tcBorders>
              <w:bottom w:val="single" w:sz="8" w:color="CCEEFF"/>
            </w:tcBorders>
          </w:tcPr>
          <w:p>
            <w:pPr>
              <w:spacing w:after="0"/>
              <w:rPr>
                <w:sz w:val="17"/>
                <w:szCs w:val="17"/>
                <w:color w:val="auto"/>
              </w:rPr>
            </w:pPr>
          </w:p>
        </w:tc>
        <w:tc>
          <w:tcPr>
            <w:tcW w:w="4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1,309,418</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8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44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r>
      <w:tr>
        <w:trPr>
          <w:trHeight w:val="196"/>
        </w:trPr>
        <w:tc>
          <w:tcPr>
            <w:tcW w:w="31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w w:val="98"/>
              </w:rPr>
              <w:t>Total liabilities and stockholders’ equity</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12,555,928</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10,998,672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216"/>
        </w:trPr>
        <w:tc>
          <w:tcPr>
            <w:tcW w:w="31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Interest income / earning assets </w:t>
            </w:r>
            <w:r>
              <w:rPr>
                <w:rFonts w:ascii="Arial" w:cs="Arial" w:eastAsia="Arial" w:hAnsi="Arial"/>
                <w:sz w:val="25"/>
                <w:szCs w:val="25"/>
                <w:color w:val="auto"/>
                <w:vertAlign w:val="superscript"/>
              </w:rPr>
              <w:t>(1), (3)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11,577,879</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159,779</w:t>
            </w:r>
          </w:p>
        </w:tc>
        <w:tc>
          <w:tcPr>
            <w:tcW w:w="1060" w:type="dxa"/>
            <w:vAlign w:val="bottom"/>
            <w:gridSpan w:val="4"/>
            <w:shd w:val="clear" w:color="auto" w:fill="CCEEFF"/>
          </w:tcPr>
          <w:p>
            <w:pPr>
              <w:jc w:val="right"/>
              <w:ind w:right="170"/>
              <w:spacing w:after="0"/>
              <w:rPr>
                <w:sz w:val="20"/>
                <w:szCs w:val="20"/>
                <w:color w:val="auto"/>
              </w:rPr>
            </w:pPr>
            <w:r>
              <w:rPr>
                <w:rFonts w:ascii="Arial" w:cs="Arial" w:eastAsia="Arial" w:hAnsi="Arial"/>
                <w:sz w:val="18"/>
                <w:szCs w:val="18"/>
                <w:color w:val="auto"/>
              </w:rPr>
              <w:t>2.78 %</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10,102,278</w:t>
            </w:r>
          </w:p>
        </w:tc>
        <w:tc>
          <w:tcPr>
            <w:tcW w:w="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145,199</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2.90 %</w:t>
            </w:r>
          </w:p>
        </w:tc>
      </w:tr>
      <w:tr>
        <w:trPr>
          <w:trHeight w:val="203"/>
        </w:trPr>
        <w:tc>
          <w:tcPr>
            <w:tcW w:w="31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Interest expense / earning assets</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11,577,879</w:t>
            </w:r>
          </w:p>
        </w:tc>
        <w:tc>
          <w:tcPr>
            <w:tcW w:w="60" w:type="dxa"/>
            <w:vAlign w:val="bottom"/>
          </w:tcPr>
          <w:p>
            <w:pPr>
              <w:spacing w:after="0"/>
              <w:rPr>
                <w:sz w:val="17"/>
                <w:szCs w:val="17"/>
                <w:color w:val="auto"/>
              </w:rPr>
            </w:pPr>
          </w:p>
        </w:tc>
        <w:tc>
          <w:tcPr>
            <w:tcW w:w="2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12,703</w:t>
            </w:r>
          </w:p>
        </w:tc>
        <w:tc>
          <w:tcPr>
            <w:tcW w:w="1060" w:type="dxa"/>
            <w:vAlign w:val="bottom"/>
            <w:gridSpan w:val="4"/>
          </w:tcPr>
          <w:p>
            <w:pPr>
              <w:jc w:val="right"/>
              <w:ind w:right="170"/>
              <w:spacing w:after="0" w:line="202" w:lineRule="exact"/>
              <w:rPr>
                <w:sz w:val="20"/>
                <w:szCs w:val="20"/>
                <w:color w:val="auto"/>
              </w:rPr>
            </w:pPr>
            <w:r>
              <w:rPr>
                <w:rFonts w:ascii="Arial" w:cs="Arial" w:eastAsia="Arial" w:hAnsi="Arial"/>
                <w:sz w:val="18"/>
                <w:szCs w:val="18"/>
                <w:color w:val="auto"/>
              </w:rPr>
              <w:t>0.22 %</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10,102,278</w:t>
            </w:r>
          </w:p>
        </w:tc>
        <w:tc>
          <w:tcPr>
            <w:tcW w:w="80" w:type="dxa"/>
            <w:vAlign w:val="bottom"/>
          </w:tcPr>
          <w:p>
            <w:pPr>
              <w:spacing w:after="0"/>
              <w:rPr>
                <w:sz w:val="17"/>
                <w:szCs w:val="17"/>
                <w:color w:val="auto"/>
              </w:rPr>
            </w:pP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14,584</w:t>
            </w:r>
          </w:p>
        </w:tc>
        <w:tc>
          <w:tcPr>
            <w:tcW w:w="160" w:type="dxa"/>
            <w:vAlign w:val="bottom"/>
          </w:tcPr>
          <w:p>
            <w:pPr>
              <w:spacing w:after="0"/>
              <w:rPr>
                <w:sz w:val="17"/>
                <w:szCs w:val="17"/>
                <w:color w:val="auto"/>
              </w:rPr>
            </w:pPr>
          </w:p>
        </w:tc>
        <w:tc>
          <w:tcPr>
            <w:tcW w:w="6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0.29 %</w:t>
            </w:r>
          </w:p>
        </w:tc>
      </w:tr>
      <w:tr>
        <w:trPr>
          <w:trHeight w:val="196"/>
        </w:trPr>
        <w:tc>
          <w:tcPr>
            <w:tcW w:w="3120" w:type="dxa"/>
            <w:vAlign w:val="bottom"/>
            <w:tcBorders>
              <w:top w:val="single" w:sz="8" w:color="CCEEFF"/>
              <w:bottom w:val="single" w:sz="8" w:color="CCEEFF"/>
            </w:tcBorders>
            <w:gridSpan w:val="2"/>
            <w:shd w:val="clear" w:color="auto" w:fill="CCEEFF"/>
          </w:tcPr>
          <w:p>
            <w:pPr>
              <w:ind w:left="20"/>
              <w:spacing w:after="0" w:line="195" w:lineRule="exact"/>
              <w:rPr>
                <w:sz w:val="20"/>
                <w:szCs w:val="20"/>
                <w:color w:val="auto"/>
              </w:rPr>
            </w:pPr>
            <w:r>
              <w:rPr>
                <w:rFonts w:ascii="Arial" w:cs="Arial" w:eastAsia="Arial" w:hAnsi="Arial"/>
                <w:sz w:val="16"/>
                <w:szCs w:val="16"/>
                <w:color w:val="auto"/>
              </w:rPr>
              <w:t xml:space="preserve">Net interest margin </w:t>
            </w:r>
            <w:r>
              <w:rPr>
                <w:rFonts w:ascii="Arial" w:cs="Arial" w:eastAsia="Arial" w:hAnsi="Arial"/>
                <w:sz w:val="22"/>
                <w:szCs w:val="22"/>
                <w:color w:val="auto"/>
                <w:vertAlign w:val="superscript"/>
              </w:rPr>
              <w:t>(1)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147,076</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2.56</w:t>
            </w:r>
          </w:p>
        </w:tc>
        <w:tc>
          <w:tcPr>
            <w:tcW w:w="400" w:type="dxa"/>
            <w:vAlign w:val="bottom"/>
            <w:tcBorders>
              <w:top w:val="single" w:sz="8" w:color="CCEEFF"/>
              <w:bottom w:val="single" w:sz="8" w:color="CCEEFF"/>
            </w:tcBorders>
            <w:shd w:val="clear" w:color="auto" w:fill="CCEEFF"/>
          </w:tcPr>
          <w:p>
            <w:pPr>
              <w:jc w:val="right"/>
              <w:ind w:right="170"/>
              <w:spacing w:after="0" w:line="196" w:lineRule="exact"/>
              <w:rPr>
                <w:sz w:val="20"/>
                <w:szCs w:val="20"/>
                <w:color w:val="auto"/>
              </w:rPr>
            </w:pPr>
            <w:r>
              <w:rPr>
                <w:rFonts w:ascii="Arial" w:cs="Arial" w:eastAsia="Arial" w:hAnsi="Arial"/>
                <w:sz w:val="18"/>
                <w:szCs w:val="18"/>
                <w:color w:val="auto"/>
                <w:w w:val="74"/>
              </w:rPr>
              <w:t>%</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130,615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4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2.61</w:t>
            </w:r>
          </w:p>
        </w:tc>
        <w:tc>
          <w:tcPr>
            <w:tcW w:w="24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
        </w:trPr>
        <w:tc>
          <w:tcPr>
            <w:tcW w:w="22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80" w:type="dxa"/>
            <w:vAlign w:val="bottom"/>
          </w:tcPr>
          <w:p>
            <w:pPr>
              <w:spacing w:after="0"/>
              <w:rPr>
                <w:sz w:val="8"/>
                <w:szCs w:val="8"/>
                <w:color w:val="auto"/>
              </w:rPr>
            </w:pPr>
          </w:p>
        </w:tc>
        <w:tc>
          <w:tcPr>
            <w:tcW w:w="1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r>
    </w:tbl>
    <w:p>
      <w:pPr>
        <w:spacing w:after="0" w:line="62" w:lineRule="exact"/>
        <w:rPr>
          <w:sz w:val="20"/>
          <w:szCs w:val="20"/>
          <w:color w:val="auto"/>
        </w:rPr>
      </w:pPr>
    </w:p>
    <w:p>
      <w:pPr>
        <w:jc w:val="both"/>
        <w:ind w:left="480" w:right="79" w:hanging="322"/>
        <w:spacing w:after="0" w:line="247" w:lineRule="auto"/>
        <w:tabs>
          <w:tab w:leader="none" w:pos="480" w:val="left"/>
        </w:tabs>
        <w:numPr>
          <w:ilvl w:val="0"/>
          <w:numId w:val="14"/>
        </w:numPr>
        <w:rPr>
          <w:rFonts w:ascii="Arial" w:cs="Arial" w:eastAsia="Arial" w:hAnsi="Arial"/>
          <w:sz w:val="14"/>
          <w:szCs w:val="14"/>
          <w:color w:val="auto"/>
        </w:rPr>
      </w:pPr>
      <w:r>
        <w:rPr>
          <w:rFonts w:ascii="Arial" w:cs="Arial" w:eastAsia="Arial" w:hAnsi="Arial"/>
          <w:sz w:val="14"/>
          <w:szCs w:val="14"/>
          <w:color w:val="auto"/>
        </w:rPr>
        <w:t xml:space="preserve">On a tax-equivalent basis and assuming a federal income tax rate of 21.0%. For a reconciliation of non-GAAP measures to the most directly comparable GAAP financial measures, see </w:t>
      </w:r>
      <w:r>
        <w:rPr>
          <w:rFonts w:ascii="Arial" w:cs="Arial" w:eastAsia="Arial" w:hAnsi="Arial"/>
          <w:sz w:val="14"/>
          <w:szCs w:val="14"/>
          <w:i w:val="1"/>
          <w:iCs w:val="1"/>
          <w:color w:val="auto"/>
        </w:rPr>
        <w:t>“</w:t>
      </w:r>
      <w:hyperlink w:anchor="page72">
        <w:r>
          <w:rPr>
            <w:rFonts w:ascii="Arial" w:cs="Arial" w:eastAsia="Arial" w:hAnsi="Arial"/>
            <w:sz w:val="14"/>
            <w:szCs w:val="14"/>
            <w:i w:val="1"/>
            <w:iCs w:val="1"/>
            <w:u w:val="single" w:color="auto"/>
            <w:color w:val="0000EE"/>
          </w:rPr>
          <w:t>Item 2. Management’s Discussion and Analysis—Non-GAAP Financial Information</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ind w:left="480" w:hanging="322"/>
        <w:spacing w:after="0"/>
        <w:tabs>
          <w:tab w:leader="none" w:pos="4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Non-accrual loans have been included in average portfolio loans.</w:t>
      </w:r>
    </w:p>
    <w:p>
      <w:pPr>
        <w:spacing w:after="0" w:line="1" w:lineRule="exact"/>
        <w:rPr>
          <w:rFonts w:ascii="Arial" w:cs="Arial" w:eastAsia="Arial" w:hAnsi="Arial"/>
          <w:sz w:val="11"/>
          <w:szCs w:val="11"/>
          <w:color w:val="auto"/>
        </w:rPr>
      </w:pPr>
    </w:p>
    <w:p>
      <w:pPr>
        <w:ind w:left="480" w:right="79" w:hanging="322"/>
        <w:spacing w:after="0" w:line="241" w:lineRule="auto"/>
        <w:tabs>
          <w:tab w:leader="none" w:pos="4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Interest income includes a tax-equivalent adjustment of $1.1 million and $1.2 million for the six months ended June 30, 2022, and 2021, respectively.</w:t>
      </w:r>
    </w:p>
    <w:p>
      <w:pPr>
        <w:ind w:left="480" w:hanging="322"/>
        <w:spacing w:after="0"/>
        <w:tabs>
          <w:tab w:leader="none" w:pos="4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Includes short-term and long-term borrowings. Interest expense includes a non-usage fee on a revolving loan.</w:t>
      </w:r>
    </w:p>
    <w:p>
      <w:pPr>
        <w:spacing w:after="0" w:line="1" w:lineRule="exact"/>
        <w:rPr>
          <w:rFonts w:ascii="Arial" w:cs="Arial" w:eastAsia="Arial" w:hAnsi="Arial"/>
          <w:sz w:val="11"/>
          <w:szCs w:val="11"/>
          <w:color w:val="auto"/>
        </w:rPr>
      </w:pPr>
    </w:p>
    <w:p>
      <w:pPr>
        <w:ind w:left="480" w:hanging="322"/>
        <w:spacing w:after="0"/>
        <w:tabs>
          <w:tab w:leader="none" w:pos="480" w:val="left"/>
        </w:tabs>
        <w:numPr>
          <w:ilvl w:val="0"/>
          <w:numId w:val="14"/>
        </w:numPr>
        <w:rPr>
          <w:rFonts w:ascii="Arial" w:cs="Arial" w:eastAsia="Arial" w:hAnsi="Arial"/>
          <w:sz w:val="11"/>
          <w:szCs w:val="11"/>
          <w:color w:val="auto"/>
        </w:rPr>
      </w:pPr>
      <w:r>
        <w:rPr>
          <w:rFonts w:ascii="Arial" w:cs="Arial" w:eastAsia="Arial" w:hAnsi="Arial"/>
          <w:sz w:val="14"/>
          <w:szCs w:val="14"/>
          <w:color w:val="auto"/>
        </w:rPr>
        <w:t>Annualized.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Notable changes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660" w:type="dxa"/>
            <w:vAlign w:val="bottom"/>
          </w:tcPr>
          <w:p>
            <w:pPr>
              <w:spacing w:after="0"/>
              <w:rPr>
                <w:sz w:val="16"/>
                <w:szCs w:val="16"/>
                <w:color w:val="auto"/>
              </w:rPr>
            </w:pPr>
          </w:p>
        </w:tc>
        <w:tc>
          <w:tcPr>
            <w:tcW w:w="23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rPr>
              <w:t>Three Months Ended June 30,</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$ 11,453,198</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$ 10,448,417</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$ 1,004,781</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7,574,677</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6,966,046</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608,631</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8.7 %</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3,535,110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2,970,890</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564,220</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19.0 %</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10,506,193</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9,403,226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1,102,967</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11,255,018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10,055,884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1,199,134</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11.9 %</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line="189" w:lineRule="exact"/>
              <w:rPr>
                <w:sz w:val="20"/>
                <w:szCs w:val="20"/>
                <w:color w:val="auto"/>
              </w:rPr>
            </w:pPr>
            <w:r>
              <w:rPr>
                <w:rFonts w:ascii="Arial" w:cs="Arial" w:eastAsia="Arial" w:hAnsi="Arial"/>
                <w:sz w:val="18"/>
                <w:szCs w:val="18"/>
                <w:color w:val="auto"/>
                <w:w w:val="99"/>
              </w:rPr>
              <w:t>Average noninterest-bearing deposits as a percent of total</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33.6 %</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31.6 %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Total average deposits as a percent of total average liabilities</w:t>
            </w: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93.3 %</w:t>
            </w:r>
          </w:p>
        </w:tc>
        <w:tc>
          <w:tcPr>
            <w:tcW w:w="11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93.5 %</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4"/>
                <w:szCs w:val="24"/>
                <w:color w:val="auto"/>
              </w:rPr>
            </w:pPr>
          </w:p>
        </w:tc>
        <w:tc>
          <w:tcPr>
            <w:tcW w:w="236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Six Months Ended June 30,</w:t>
            </w:r>
          </w:p>
        </w:tc>
        <w:tc>
          <w:tcPr>
            <w:tcW w:w="92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24"/>
                <w:szCs w:val="24"/>
                <w:color w:val="auto"/>
              </w:rPr>
            </w:pPr>
          </w:p>
        </w:tc>
        <w:tc>
          <w:tcPr>
            <w:tcW w:w="800" w:type="dxa"/>
            <w:vAlign w:val="bottom"/>
            <w:gridSpan w:val="2"/>
            <w:vMerge w:val="restart"/>
          </w:tcPr>
          <w:p>
            <w:pPr>
              <w:jc w:val="right"/>
              <w:ind w:right="7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6"/>
        </w:trPr>
        <w:tc>
          <w:tcPr>
            <w:tcW w:w="4660" w:type="dxa"/>
            <w:vAlign w:val="bottom"/>
          </w:tcPr>
          <w:p>
            <w:pPr>
              <w:spacing w:after="0"/>
              <w:rPr>
                <w:sz w:val="13"/>
                <w:szCs w:val="13"/>
                <w:color w:val="auto"/>
              </w:rPr>
            </w:pPr>
          </w:p>
        </w:tc>
        <w:tc>
          <w:tcPr>
            <w:tcW w:w="1020" w:type="dxa"/>
            <w:vAlign w:val="bottom"/>
            <w:tcBorders>
              <w:top w:val="single" w:sz="8" w:color="auto"/>
            </w:tcBorders>
            <w:gridSpan w:val="2"/>
          </w:tcPr>
          <w:p>
            <w:pPr>
              <w:jc w:val="right"/>
              <w:ind w:right="288"/>
              <w:spacing w:after="0" w:line="155" w:lineRule="exact"/>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ind w:right="273"/>
              <w:spacing w:after="0" w:line="155" w:lineRule="exact"/>
              <w:rPr>
                <w:sz w:val="20"/>
                <w:szCs w:val="20"/>
                <w:color w:val="auto"/>
              </w:rPr>
            </w:pPr>
            <w:r>
              <w:rPr>
                <w:rFonts w:ascii="Arial" w:cs="Arial" w:eastAsia="Arial" w:hAnsi="Arial"/>
                <w:sz w:val="14"/>
                <w:szCs w:val="14"/>
                <w:b w:val="1"/>
                <w:bCs w:val="1"/>
                <w:color w:val="auto"/>
              </w:rPr>
              <w:t>2021</w:t>
            </w: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66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Average interest-earning assets</w:t>
            </w:r>
          </w:p>
        </w:tc>
        <w:tc>
          <w:tcPr>
            <w:tcW w:w="10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$ 11,577,879</w:t>
            </w:r>
          </w:p>
        </w:tc>
        <w:tc>
          <w:tcPr>
            <w:tcW w:w="16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$ 10,102,278</w:t>
            </w: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$ 1,475,601</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14.6</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Average interest-bearing liabilities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7,614,448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6,744,850</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869,598</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noninterest-bearing deposits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3,562,380</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2,830,646</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731,734</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25.9 %</w:t>
            </w:r>
          </w:p>
        </w:tc>
        <w:tc>
          <w:tcPr>
            <w:tcW w:w="0" w:type="dxa"/>
            <w:vAlign w:val="bottom"/>
          </w:tcPr>
          <w:p>
            <w:pPr>
              <w:spacing w:after="0"/>
              <w:rPr>
                <w:sz w:val="1"/>
                <w:szCs w:val="1"/>
                <w:color w:val="auto"/>
              </w:rPr>
            </w:pPr>
          </w:p>
        </w:tc>
      </w:tr>
      <w:tr>
        <w:trPr>
          <w:trHeight w:val="203"/>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average deposits</w:t>
            </w:r>
          </w:p>
        </w:tc>
        <w:tc>
          <w:tcPr>
            <w:tcW w:w="10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10,561,509</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9,064,722</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1,496,787</w:t>
            </w:r>
          </w:p>
        </w:tc>
        <w:tc>
          <w:tcPr>
            <w:tcW w:w="9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16.5 %</w:t>
            </w:r>
          </w:p>
        </w:tc>
        <w:tc>
          <w:tcPr>
            <w:tcW w:w="0" w:type="dxa"/>
            <w:vAlign w:val="bottom"/>
          </w:tcPr>
          <w:p>
            <w:pPr>
              <w:spacing w:after="0"/>
              <w:rPr>
                <w:sz w:val="1"/>
                <w:szCs w:val="1"/>
                <w:color w:val="auto"/>
              </w:rPr>
            </w:pPr>
          </w:p>
        </w:tc>
      </w:tr>
      <w:tr>
        <w:trPr>
          <w:trHeight w:val="203"/>
        </w:trPr>
        <w:tc>
          <w:tcPr>
            <w:tcW w:w="4660" w:type="dxa"/>
            <w:vAlign w:val="bottom"/>
          </w:tcPr>
          <w:p>
            <w:pPr>
              <w:ind w:left="20"/>
              <w:spacing w:after="0" w:line="202" w:lineRule="exact"/>
              <w:rPr>
                <w:sz w:val="20"/>
                <w:szCs w:val="20"/>
                <w:color w:val="auto"/>
              </w:rPr>
            </w:pPr>
            <w:r>
              <w:rPr>
                <w:rFonts w:ascii="Arial" w:cs="Arial" w:eastAsia="Arial" w:hAnsi="Arial"/>
                <w:sz w:val="18"/>
                <w:szCs w:val="18"/>
                <w:color w:val="auto"/>
              </w:rPr>
              <w:t>Total average liabilities</w:t>
            </w:r>
          </w:p>
        </w:tc>
        <w:tc>
          <w:tcPr>
            <w:tcW w:w="10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11,316,868</w:t>
            </w:r>
          </w:p>
        </w:tc>
        <w:tc>
          <w:tcPr>
            <w:tcW w:w="160" w:type="dxa"/>
            <w:vAlign w:val="bottom"/>
          </w:tcPr>
          <w:p>
            <w:pPr>
              <w:spacing w:after="0"/>
              <w:rPr>
                <w:sz w:val="17"/>
                <w:szCs w:val="17"/>
                <w:color w:val="auto"/>
              </w:rPr>
            </w:pPr>
          </w:p>
        </w:tc>
        <w:tc>
          <w:tcPr>
            <w:tcW w:w="1020" w:type="dxa"/>
            <w:vAlign w:val="bottom"/>
          </w:tcPr>
          <w:p>
            <w:pPr>
              <w:jc w:val="right"/>
              <w:spacing w:after="0" w:line="202" w:lineRule="exact"/>
              <w:rPr>
                <w:sz w:val="20"/>
                <w:szCs w:val="20"/>
                <w:color w:val="auto"/>
              </w:rPr>
            </w:pPr>
            <w:r>
              <w:rPr>
                <w:rFonts w:ascii="Arial" w:cs="Arial" w:eastAsia="Arial" w:hAnsi="Arial"/>
                <w:sz w:val="18"/>
                <w:szCs w:val="18"/>
                <w:color w:val="auto"/>
              </w:rPr>
              <w:t>9,689,254</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1,627,614</w:t>
            </w:r>
          </w:p>
        </w:tc>
        <w:tc>
          <w:tcPr>
            <w:tcW w:w="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16.8 %</w:t>
            </w:r>
          </w:p>
        </w:tc>
        <w:tc>
          <w:tcPr>
            <w:tcW w:w="0" w:type="dxa"/>
            <w:vAlign w:val="bottom"/>
          </w:tcPr>
          <w:p>
            <w:pPr>
              <w:spacing w:after="0"/>
              <w:rPr>
                <w:sz w:val="1"/>
                <w:szCs w:val="1"/>
                <w:color w:val="auto"/>
              </w:rPr>
            </w:pPr>
          </w:p>
        </w:tc>
      </w:tr>
      <w:tr>
        <w:trPr>
          <w:trHeight w:val="203"/>
        </w:trPr>
        <w:tc>
          <w:tcPr>
            <w:tcW w:w="46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4660" w:type="dxa"/>
            <w:vAlign w:val="bottom"/>
          </w:tcPr>
          <w:p>
            <w:pPr>
              <w:ind w:left="20"/>
              <w:spacing w:after="0" w:line="189" w:lineRule="exact"/>
              <w:rPr>
                <w:sz w:val="20"/>
                <w:szCs w:val="20"/>
                <w:color w:val="auto"/>
              </w:rPr>
            </w:pPr>
            <w:r>
              <w:rPr>
                <w:rFonts w:ascii="Arial" w:cs="Arial" w:eastAsia="Arial" w:hAnsi="Arial"/>
                <w:sz w:val="18"/>
                <w:szCs w:val="18"/>
                <w:color w:val="auto"/>
                <w:w w:val="99"/>
              </w:rPr>
              <w:t>Average noninterest-bearing deposits as a percent of total</w:t>
            </w:r>
          </w:p>
        </w:tc>
        <w:tc>
          <w:tcPr>
            <w:tcW w:w="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4660" w:type="dxa"/>
            <w:vAlign w:val="bottom"/>
          </w:tcPr>
          <w:p>
            <w:pPr>
              <w:ind w:left="20"/>
              <w:spacing w:after="0"/>
              <w:rPr>
                <w:sz w:val="20"/>
                <w:szCs w:val="20"/>
                <w:color w:val="auto"/>
              </w:rPr>
            </w:pPr>
            <w:r>
              <w:rPr>
                <w:rFonts w:ascii="Arial" w:cs="Arial" w:eastAsia="Arial" w:hAnsi="Arial"/>
                <w:sz w:val="18"/>
                <w:szCs w:val="18"/>
                <w:color w:val="auto"/>
              </w:rPr>
              <w:t>average deposits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33.7 %</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31.2 %</w:t>
            </w: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w w:val="94"/>
              </w:rPr>
              <w:t>Total average deposits as a percent of total average liabilities</w:t>
            </w:r>
          </w:p>
        </w:tc>
        <w:tc>
          <w:tcPr>
            <w:tcW w:w="118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93.3 %</w:t>
            </w:r>
          </w:p>
        </w:tc>
        <w:tc>
          <w:tcPr>
            <w:tcW w:w="11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93.6 %</w:t>
            </w: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78"/>
        </w:trPr>
        <w:tc>
          <w:tcPr>
            <w:tcW w:w="4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2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w w:val="92"/>
              </w:rPr>
              <w:t>Three Months Ended June 30,</w:t>
            </w:r>
          </w:p>
        </w:tc>
        <w:tc>
          <w:tcPr>
            <w:tcW w:w="92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Change</w:t>
            </w:r>
          </w:p>
        </w:tc>
        <w:tc>
          <w:tcPr>
            <w:tcW w:w="960" w:type="dxa"/>
            <w:vAlign w:val="bottom"/>
            <w:gridSpan w:val="3"/>
            <w:vMerge w:val="restart"/>
          </w:tcPr>
          <w:p>
            <w:pPr>
              <w:jc w:val="right"/>
              <w:ind w:right="1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9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-8890</wp:posOffset>
            </wp:positionV>
            <wp:extent cx="564896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p>
      <w:pPr>
        <w:ind w:left="60"/>
        <w:spacing w:after="0" w:line="218" w:lineRule="auto"/>
        <w:rPr>
          <w:sz w:val="20"/>
          <w:szCs w:val="20"/>
          <w:color w:val="auto"/>
        </w:rPr>
      </w:pPr>
      <w:r>
        <w:rPr>
          <w:rFonts w:ascii="Arial" w:cs="Arial" w:eastAsia="Arial" w:hAnsi="Arial"/>
          <w:sz w:val="18"/>
          <w:szCs w:val="18"/>
          <w:b w:val="1"/>
          <w:bCs w:val="1"/>
          <w:color w:val="auto"/>
        </w:rPr>
        <w:t>Net interest income</w:t>
      </w:r>
    </w:p>
    <w:p>
      <w:pPr>
        <w:ind w:left="260"/>
        <w:spacing w:after="0" w:line="209" w:lineRule="auto"/>
        <w:rPr>
          <w:sz w:val="20"/>
          <w:szCs w:val="20"/>
          <w:color w:val="auto"/>
        </w:rPr>
      </w:pPr>
      <w:r>
        <w:rPr>
          <w:rFonts w:ascii="Arial" w:cs="Arial" w:eastAsia="Arial" w:hAnsi="Arial"/>
          <w:sz w:val="16"/>
          <w:szCs w:val="16"/>
          <w:color w:val="auto"/>
        </w:rPr>
        <w:t xml:space="preserve">Interest income, on a tax-equivalent basis </w:t>
      </w:r>
      <w:r>
        <w:rPr>
          <w:rFonts w:ascii="Arial" w:cs="Arial" w:eastAsia="Arial" w:hAnsi="Arial"/>
          <w:sz w:val="23"/>
          <w:szCs w:val="23"/>
          <w:color w:val="auto"/>
          <w:vertAlign w:val="superscript"/>
        </w:rPr>
        <w:t>(1)</w:t>
      </w:r>
    </w:p>
    <w:p>
      <w:pPr>
        <w:ind w:left="260"/>
        <w:spacing w:after="0" w:line="234" w:lineRule="auto"/>
        <w:rPr>
          <w:sz w:val="20"/>
          <w:szCs w:val="20"/>
          <w:color w:val="auto"/>
        </w:rPr>
      </w:pPr>
      <w:r>
        <w:rPr>
          <w:rFonts w:ascii="Arial" w:cs="Arial" w:eastAsia="Arial" w:hAnsi="Arial"/>
          <w:sz w:val="18"/>
          <w:szCs w:val="18"/>
          <w:color w:val="auto"/>
        </w:rPr>
        <w:t>Interest expense</w:t>
      </w:r>
    </w:p>
    <w:p>
      <w:pPr>
        <w:ind w:left="60"/>
        <w:spacing w:after="0"/>
        <w:rPr>
          <w:sz w:val="20"/>
          <w:szCs w:val="20"/>
          <w:color w:val="auto"/>
        </w:rPr>
      </w:pPr>
      <w:r>
        <w:rPr>
          <w:rFonts w:ascii="Arial" w:cs="Arial" w:eastAsia="Arial" w:hAnsi="Arial"/>
          <w:sz w:val="15"/>
          <w:szCs w:val="15"/>
          <w:color w:val="auto"/>
        </w:rPr>
        <w:t xml:space="preserve">Net interest income, on a tax-equivalent basis </w:t>
      </w:r>
      <w:r>
        <w:rPr>
          <w:rFonts w:ascii="Arial" w:cs="Arial" w:eastAsia="Arial" w:hAnsi="Arial"/>
          <w:sz w:val="21"/>
          <w:szCs w:val="21"/>
          <w:color w:val="auto"/>
          <w:vertAlign w:val="superscript"/>
        </w:rPr>
        <w:t>(1)</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6"/>
          <w:szCs w:val="26"/>
          <w:color w:val="auto"/>
          <w:vertAlign w:val="superscript"/>
        </w:rPr>
        <w:t>(1), (2)</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83,142</w:t>
            </w:r>
          </w:p>
        </w:tc>
        <w:tc>
          <w:tcPr>
            <w:tcW w:w="16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72,267</w:t>
            </w:r>
          </w:p>
        </w:tc>
        <w:tc>
          <w:tcPr>
            <w:tcW w:w="160" w:type="dxa"/>
            <w:vAlign w:val="bottom"/>
          </w:tcPr>
          <w:p>
            <w:pPr>
              <w:spacing w:after="0"/>
              <w:rPr>
                <w:sz w:val="18"/>
                <w:szCs w:val="18"/>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10,875</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17"/>
        </w:trPr>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6,668</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7,146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(478)</w:t>
            </w:r>
          </w:p>
        </w:tc>
        <w:tc>
          <w:tcPr>
            <w:tcW w:w="8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196"/>
        </w:trPr>
        <w:tc>
          <w:tcPr>
            <w:tcW w:w="200" w:type="dxa"/>
            <w:vAlign w:val="bottom"/>
            <w:tcBorders>
              <w:top w:val="single" w:sz="8" w:color="auto"/>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76,474</w:t>
            </w:r>
          </w:p>
        </w:tc>
        <w:tc>
          <w:tcPr>
            <w:tcW w:w="16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65,121</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11,353</w:t>
            </w:r>
          </w:p>
        </w:tc>
        <w:tc>
          <w:tcPr>
            <w:tcW w:w="26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Arial" w:cs="Arial" w:eastAsia="Arial" w:hAnsi="Arial"/>
                <w:sz w:val="18"/>
                <w:szCs w:val="18"/>
                <w:color w:val="auto"/>
              </w:rPr>
              <w:t>17.4 %</w:t>
            </w:r>
          </w:p>
        </w:tc>
      </w:tr>
      <w:tr>
        <w:trPr>
          <w:trHeight w:val="20"/>
        </w:trPr>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-290830</wp:posOffset>
            </wp:positionV>
            <wp:extent cx="5648960" cy="128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48960" cy="128270"/>
                    </a:xfrm>
                    <a:prstGeom prst="rect">
                      <a:avLst/>
                    </a:prstGeom>
                    <a:noFill/>
                  </pic:spPr>
                </pic:pic>
              </a:graphicData>
            </a:graphic>
          </wp:anchor>
        </w:drawing>
        <w:drawing>
          <wp:anchor simplePos="0" relativeHeight="251657728" behindDoc="1" locked="0" layoutInCell="0" allowOverlap="1">
            <wp:simplePos x="0" y="0"/>
            <wp:positionH relativeFrom="column">
              <wp:posOffset>-3168650</wp:posOffset>
            </wp:positionH>
            <wp:positionV relativeFrom="paragraph">
              <wp:posOffset>-16510</wp:posOffset>
            </wp:positionV>
            <wp:extent cx="5648960"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100" w:type="dxa"/>
            <w:vAlign w:val="bottom"/>
          </w:tcPr>
          <w:p>
            <w:pPr>
              <w:jc w:val="right"/>
              <w:ind w:right="42"/>
              <w:spacing w:after="0"/>
              <w:rPr>
                <w:sz w:val="20"/>
                <w:szCs w:val="20"/>
                <w:color w:val="auto"/>
              </w:rPr>
            </w:pPr>
            <w:r>
              <w:rPr>
                <w:rFonts w:ascii="Arial" w:cs="Arial" w:eastAsia="Arial" w:hAnsi="Arial"/>
                <w:sz w:val="18"/>
                <w:szCs w:val="18"/>
                <w:color w:val="auto"/>
              </w:rPr>
              <w:t>2.68 %</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2.50 %</w:t>
            </w:r>
          </w:p>
        </w:tc>
        <w:tc>
          <w:tcPr>
            <w:tcW w:w="7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6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Six Months Ended June 30,</w:t>
            </w:r>
          </w:p>
        </w:tc>
        <w:tc>
          <w:tcPr>
            <w:tcW w:w="7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840" w:type="dxa"/>
            <w:vAlign w:val="bottom"/>
            <w:vMerge w:val="restart"/>
          </w:tcPr>
          <w:p>
            <w:pPr>
              <w:ind w:left="200"/>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56"/>
        </w:trPr>
        <w:tc>
          <w:tcPr>
            <w:tcW w:w="1100" w:type="dxa"/>
            <w:vAlign w:val="bottom"/>
            <w:tcBorders>
              <w:top w:val="single" w:sz="8" w:color="auto"/>
            </w:tcBorders>
          </w:tcPr>
          <w:p>
            <w:pPr>
              <w:jc w:val="right"/>
              <w:ind w:right="482"/>
              <w:spacing w:after="0" w:line="155" w:lineRule="exact"/>
              <w:rPr>
                <w:sz w:val="20"/>
                <w:szCs w:val="20"/>
                <w:color w:val="auto"/>
              </w:rPr>
            </w:pPr>
            <w:r>
              <w:rPr>
                <w:rFonts w:ascii="Arial" w:cs="Arial" w:eastAsia="Arial" w:hAnsi="Arial"/>
                <w:sz w:val="14"/>
                <w:szCs w:val="14"/>
                <w:b w:val="1"/>
                <w:bCs w:val="1"/>
                <w:color w:val="auto"/>
              </w:rPr>
              <w:t>2022</w:t>
            </w:r>
          </w:p>
        </w:tc>
        <w:tc>
          <w:tcPr>
            <w:tcW w:w="680" w:type="dxa"/>
            <w:vAlign w:val="bottom"/>
            <w:tcBorders>
              <w:top w:val="single" w:sz="8" w:color="auto"/>
            </w:tcBorders>
          </w:tcPr>
          <w:p>
            <w:pPr>
              <w:jc w:val="right"/>
              <w:ind w:right="179"/>
              <w:spacing w:after="0" w:line="155" w:lineRule="exact"/>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8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2">
            <w:col w:w="4320" w:space="720"/>
            <w:col w:w="3979"/>
          </w:cols>
          <w:pgMar w:left="1440" w:top="517" w:right="1440" w:bottom="1440" w:gutter="0" w:footer="0" w:header="0"/>
          <w:type w:val="continuous"/>
        </w:sectPr>
      </w:pPr>
    </w:p>
    <w:tbl>
      <w:tblPr>
        <w:tblLayout w:type="fixed"/>
        <w:tblInd w:w="40" w:type="dxa"/>
        <w:tblCellMar>
          <w:top w:w="0" w:type="dxa"/>
          <w:left w:w="0" w:type="dxa"/>
          <w:bottom w:w="0" w:type="dxa"/>
          <w:right w:w="0" w:type="dxa"/>
        </w:tblCellMar>
      </w:tblPr>
      <w:tr>
        <w:trPr>
          <w:trHeight w:val="196"/>
        </w:trPr>
        <w:tc>
          <w:tcPr>
            <w:tcW w:w="50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Net interest income</w:t>
            </w: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16"/>
        </w:trPr>
        <w:tc>
          <w:tcPr>
            <w:tcW w:w="5040" w:type="dxa"/>
            <w:vAlign w:val="bottom"/>
          </w:tcPr>
          <w:p>
            <w:pPr>
              <w:ind w:left="220"/>
              <w:spacing w:after="0" w:line="216" w:lineRule="exact"/>
              <w:rPr>
                <w:sz w:val="20"/>
                <w:szCs w:val="20"/>
                <w:color w:val="auto"/>
              </w:rPr>
            </w:pPr>
            <w:r>
              <w:rPr>
                <w:rFonts w:ascii="Arial" w:cs="Arial" w:eastAsia="Arial" w:hAnsi="Arial"/>
                <w:sz w:val="17"/>
                <w:szCs w:val="17"/>
                <w:color w:val="auto"/>
              </w:rPr>
              <w:t xml:space="preserve">Interest income, on a tax-equivalent basis </w:t>
            </w:r>
            <w:r>
              <w:rPr>
                <w:rFonts w:ascii="Arial" w:cs="Arial" w:eastAsia="Arial" w:hAnsi="Arial"/>
                <w:sz w:val="25"/>
                <w:szCs w:val="25"/>
                <w:color w:val="auto"/>
                <w:vertAlign w:val="superscript"/>
              </w:rPr>
              <w:t>(1)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159,779</w:t>
            </w:r>
          </w:p>
        </w:tc>
        <w:tc>
          <w:tcPr>
            <w:tcW w:w="16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2"/>
              </w:rPr>
              <w:t>145,199</w:t>
            </w:r>
          </w:p>
        </w:tc>
        <w:tc>
          <w:tcPr>
            <w:tcW w:w="160" w:type="dxa"/>
            <w:vAlign w:val="bottom"/>
          </w:tcPr>
          <w:p>
            <w:pPr>
              <w:spacing w:after="0"/>
              <w:rPr>
                <w:sz w:val="18"/>
                <w:szCs w:val="18"/>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14,580</w:t>
            </w:r>
          </w:p>
        </w:tc>
        <w:tc>
          <w:tcPr>
            <w:tcW w:w="16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10.0 %</w:t>
            </w:r>
          </w:p>
        </w:tc>
      </w:tr>
      <w:tr>
        <w:trPr>
          <w:trHeight w:val="203"/>
        </w:trPr>
        <w:tc>
          <w:tcPr>
            <w:tcW w:w="50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12,703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14,584</w:t>
            </w: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(1,881)</w:t>
            </w:r>
          </w:p>
        </w:tc>
        <w:tc>
          <w:tcPr>
            <w:tcW w:w="9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(12.9)%</w:t>
            </w:r>
          </w:p>
        </w:tc>
      </w:tr>
      <w:tr>
        <w:trPr>
          <w:trHeight w:val="236"/>
        </w:trPr>
        <w:tc>
          <w:tcPr>
            <w:tcW w:w="5040" w:type="dxa"/>
            <w:vAlign w:val="bottom"/>
            <w:tcBorders>
              <w:bottom w:val="single" w:sz="8" w:color="CCEEFF"/>
            </w:tcBorders>
          </w:tcPr>
          <w:p>
            <w:pPr>
              <w:ind w:left="20"/>
              <w:spacing w:after="0" w:line="195" w:lineRule="exact"/>
              <w:rPr>
                <w:sz w:val="20"/>
                <w:szCs w:val="20"/>
                <w:color w:val="auto"/>
              </w:rPr>
            </w:pPr>
            <w:r>
              <w:rPr>
                <w:rFonts w:ascii="Arial" w:cs="Arial" w:eastAsia="Arial" w:hAnsi="Arial"/>
                <w:sz w:val="16"/>
                <w:szCs w:val="16"/>
                <w:color w:val="auto"/>
              </w:rPr>
              <w:t xml:space="preserve">Net interest income, on a tax-equivalent basis </w:t>
            </w:r>
            <w:r>
              <w:rPr>
                <w:rFonts w:ascii="Arial" w:cs="Arial" w:eastAsia="Arial" w:hAnsi="Arial"/>
                <w:sz w:val="22"/>
                <w:szCs w:val="22"/>
                <w:color w:val="auto"/>
                <w:vertAlign w:val="superscript"/>
              </w:rPr>
              <w:t>(1)</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147,076</w:t>
            </w:r>
          </w:p>
        </w:tc>
        <w:tc>
          <w:tcPr>
            <w:tcW w:w="16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130,615</w:t>
            </w:r>
          </w:p>
        </w:tc>
        <w:tc>
          <w:tcPr>
            <w:tcW w:w="1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16,461</w:t>
            </w:r>
          </w:p>
        </w:tc>
        <w:tc>
          <w:tcPr>
            <w:tcW w:w="160" w:type="dxa"/>
            <w:vAlign w:val="bottom"/>
            <w:tcBorders>
              <w:bottom w:val="single" w:sz="8" w:color="CCEEFF"/>
            </w:tcBorders>
          </w:tcPr>
          <w:p>
            <w:pPr>
              <w:spacing w:after="0"/>
              <w:rPr>
                <w:sz w:val="20"/>
                <w:szCs w:val="20"/>
                <w:color w:val="auto"/>
              </w:rPr>
            </w:pPr>
          </w:p>
        </w:tc>
        <w:tc>
          <w:tcPr>
            <w:tcW w:w="96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12.6 %</w:t>
            </w:r>
          </w:p>
        </w:tc>
      </w:tr>
      <w:tr>
        <w:trPr>
          <w:trHeight w:val="183"/>
        </w:trPr>
        <w:tc>
          <w:tcPr>
            <w:tcW w:w="5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353"/>
        </w:trPr>
        <w:tc>
          <w:tcPr>
            <w:tcW w:w="5040" w:type="dxa"/>
            <w:vAlign w:val="bottom"/>
          </w:tcPr>
          <w:p>
            <w:pPr>
              <w:ind w:left="20"/>
              <w:spacing w:after="0"/>
              <w:rPr>
                <w:sz w:val="20"/>
                <w:szCs w:val="20"/>
                <w:color w:val="auto"/>
              </w:rPr>
            </w:pPr>
            <w:r>
              <w:rPr>
                <w:rFonts w:ascii="Arial" w:cs="Arial" w:eastAsia="Arial" w:hAnsi="Arial"/>
                <w:sz w:val="18"/>
                <w:szCs w:val="18"/>
                <w:color w:val="auto"/>
              </w:rPr>
              <w:t xml:space="preserve">Net interest margin </w:t>
            </w:r>
            <w:r>
              <w:rPr>
                <w:rFonts w:ascii="Arial" w:cs="Arial" w:eastAsia="Arial" w:hAnsi="Arial"/>
                <w:sz w:val="26"/>
                <w:szCs w:val="26"/>
                <w:color w:val="auto"/>
                <w:vertAlign w:val="superscript"/>
              </w:rPr>
              <w:t>(1), (2)</w:t>
            </w:r>
          </w:p>
        </w:tc>
        <w:tc>
          <w:tcPr>
            <w:tcW w:w="12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2.56 %</w:t>
            </w:r>
          </w:p>
        </w:tc>
        <w:tc>
          <w:tcPr>
            <w:tcW w:w="14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2.61 %</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1" w:lineRule="exact"/>
        <w:rPr>
          <w:sz w:val="20"/>
          <w:szCs w:val="20"/>
          <w:color w:val="auto"/>
        </w:rPr>
      </w:pPr>
    </w:p>
    <w:p>
      <w:pPr>
        <w:ind w:left="480" w:right="79" w:hanging="322"/>
        <w:spacing w:after="0" w:line="269" w:lineRule="auto"/>
        <w:tabs>
          <w:tab w:leader="none" w:pos="4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 xml:space="preserve">Assuming a federal income tax rate of 21.0%. For a reconciliation of non-GAAP measures to the most directly comparable GAAP financial measures, see </w:t>
      </w:r>
      <w:r>
        <w:rPr>
          <w:rFonts w:ascii="Arial" w:cs="Arial" w:eastAsia="Arial" w:hAnsi="Arial"/>
          <w:sz w:val="13"/>
          <w:szCs w:val="13"/>
          <w:i w:val="1"/>
          <w:iCs w:val="1"/>
          <w:color w:val="auto"/>
        </w:rPr>
        <w:t>“</w:t>
      </w:r>
      <w:hyperlink w:anchor="page72">
        <w:r>
          <w:rPr>
            <w:rFonts w:ascii="Arial" w:cs="Arial" w:eastAsia="Arial" w:hAnsi="Arial"/>
            <w:sz w:val="13"/>
            <w:szCs w:val="13"/>
            <w:i w:val="1"/>
            <w:iCs w:val="1"/>
            <w:u w:val="single" w:color="auto"/>
            <w:color w:val="0000EE"/>
          </w:rPr>
          <w:t>Item 2. Management’s Discussion and Analysis—Non-GAAP Financial Information</w:t>
        </w:r>
      </w:hyperlink>
      <w:r>
        <w:rPr>
          <w:rFonts w:ascii="Arial" w:cs="Arial" w:eastAsia="Arial" w:hAnsi="Arial"/>
          <w:sz w:val="13"/>
          <w:szCs w:val="13"/>
          <w:i w:val="1"/>
          <w:iCs w:val="1"/>
          <w:color w:val="auto"/>
        </w:rPr>
        <w:t>”</w:t>
      </w:r>
      <w:r>
        <w:rPr>
          <w:rFonts w:ascii="Arial" w:cs="Arial" w:eastAsia="Arial" w:hAnsi="Arial"/>
          <w:sz w:val="13"/>
          <w:szCs w:val="13"/>
          <w:color w:val="auto"/>
        </w:rPr>
        <w:t xml:space="preserve"> included in this Quarterly Report.</w:t>
      </w:r>
    </w:p>
    <w:p>
      <w:pPr>
        <w:ind w:left="480" w:hanging="322"/>
        <w:spacing w:after="0"/>
        <w:tabs>
          <w:tab w:leader="none" w:pos="480" w:val="left"/>
        </w:tabs>
        <w:numPr>
          <w:ilvl w:val="0"/>
          <w:numId w:val="15"/>
        </w:numPr>
        <w:rPr>
          <w:rFonts w:ascii="Arial" w:cs="Arial" w:eastAsia="Arial" w:hAnsi="Arial"/>
          <w:sz w:val="13"/>
          <w:szCs w:val="13"/>
          <w:color w:val="auto"/>
        </w:rPr>
      </w:pPr>
      <w:r>
        <w:rPr>
          <w:rFonts w:ascii="Arial" w:cs="Arial" w:eastAsia="Arial" w:hAnsi="Arial"/>
          <w:sz w:val="14"/>
          <w:szCs w:val="14"/>
          <w:color w:val="auto"/>
        </w:rPr>
        <w:t>Net interest income expressed as a percentage of average earning assets, stated on a tax-equivalent basis.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The FOMC raised its target benchmark rate by 25 basis points during the first quarter of 2022, the first increase in three years, and again by 50 basis points in May, and by another 75 basis points June 2022. Rising rates have a positive impact on net interest margin, as assets, in particular commercial loans, reprice more quickly and to a greater extent than liabilities. Given the timing of the FOMC meetings in May and June, the full benefit of the associated movement in rates to our net interest margin will be largely realized in subsequent quarters. Subsequent to quarter end, in July 2022 the FOMC raised the target interest rate an additional 75 basis points, which will further positively impact future quarters. In general, net interest margins have been impacted over the last two years by PPP loans, significant growth in the Company’s liquidity position, and the Company’s issuance of debt.</w:t>
      </w:r>
    </w:p>
    <w:p>
      <w:pPr>
        <w:spacing w:after="0" w:line="158" w:lineRule="exact"/>
        <w:rPr>
          <w:sz w:val="20"/>
          <w:szCs w:val="20"/>
          <w:color w:val="auto"/>
        </w:rPr>
      </w:pPr>
    </w:p>
    <w:p>
      <w:pPr>
        <w:jc w:val="both"/>
        <w:ind w:left="60" w:right="79"/>
        <w:spacing w:after="0" w:line="217" w:lineRule="auto"/>
        <w:rPr>
          <w:rFonts w:ascii="Arial" w:cs="Arial" w:eastAsia="Arial" w:hAnsi="Arial"/>
          <w:sz w:val="18"/>
          <w:szCs w:val="18"/>
          <w:color w:val="auto"/>
        </w:rPr>
      </w:pPr>
      <w:r>
        <w:rPr>
          <w:rFonts w:ascii="Arial" w:cs="Arial" w:eastAsia="Arial" w:hAnsi="Arial"/>
          <w:sz w:val="18"/>
          <w:szCs w:val="18"/>
          <w:color w:val="auto"/>
        </w:rPr>
        <w:t>First Busey remains substantially core deposit</w:t>
      </w:r>
      <w:r>
        <w:rPr>
          <w:rFonts w:ascii="Arial" w:cs="Arial" w:eastAsia="Arial" w:hAnsi="Arial"/>
          <w:sz w:val="26"/>
          <w:szCs w:val="26"/>
          <w:color w:val="auto"/>
          <w:vertAlign w:val="superscript"/>
        </w:rPr>
        <w:t>(</w:t>
      </w:r>
      <w:hyperlink w:anchor="page59">
        <w:r>
          <w:rPr>
            <w:rFonts w:ascii="Arial" w:cs="Arial" w:eastAsia="Arial" w:hAnsi="Arial"/>
            <w:sz w:val="26"/>
            <w:szCs w:val="26"/>
            <w:u w:val="single" w:color="auto"/>
            <w:color w:val="0000EE"/>
            <w:vertAlign w:val="superscript"/>
          </w:rPr>
          <w:t>1</w:t>
        </w:r>
      </w:hyperlink>
      <w:r>
        <w:rPr>
          <w:rFonts w:ascii="Arial" w:cs="Arial" w:eastAsia="Arial" w:hAnsi="Arial"/>
          <w:sz w:val="26"/>
          <w:szCs w:val="26"/>
          <w:color w:val="auto"/>
          <w:vertAlign w:val="superscript"/>
        </w:rPr>
        <w:t>)</w:t>
      </w:r>
      <w:r>
        <w:rPr>
          <w:rFonts w:ascii="Arial" w:cs="Arial" w:eastAsia="Arial" w:hAnsi="Arial"/>
          <w:sz w:val="18"/>
          <w:szCs w:val="18"/>
          <w:color w:val="auto"/>
        </w:rPr>
        <w:t xml:space="preserve"> funded, with robust liquidity and significant market share in the communities we serve. As of June 30, 2022, our loan to deposit ratio was 72.1% and core deposits represented 98.9% of total deposits.</w:t>
      </w:r>
    </w:p>
    <w:p>
      <w:pPr>
        <w:spacing w:after="0" w:line="175" w:lineRule="exact"/>
        <w:rPr>
          <w:sz w:val="20"/>
          <w:szCs w:val="20"/>
          <w:color w:val="auto"/>
        </w:rPr>
      </w:pPr>
    </w:p>
    <w:p>
      <w:pPr>
        <w:jc w:val="both"/>
        <w:ind w:left="60" w:right="79"/>
        <w:spacing w:after="0" w:line="322" w:lineRule="auto"/>
        <w:rPr>
          <w:sz w:val="20"/>
          <w:szCs w:val="20"/>
          <w:color w:val="auto"/>
        </w:rPr>
      </w:pPr>
      <w:r>
        <w:rPr>
          <w:rFonts w:ascii="Arial" w:cs="Arial" w:eastAsia="Arial" w:hAnsi="Arial"/>
          <w:sz w:val="15"/>
          <w:szCs w:val="15"/>
          <w:color w:val="auto"/>
        </w:rPr>
        <w:t>Net interest spread, which represents the difference between the average rate earned on earning assets and the average rate paid on interest-bearing liabilities, was 2.56% and 2.44% for the three and six months ended June 30, 2022, respectively, compared to 2.36% and 2.46% for the three and six months ended June 30, 2021, each on a tax-equivalent basis.</w:t>
      </w:r>
    </w:p>
    <w:p>
      <w:pPr>
        <w:spacing w:after="0" w:line="116"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net interest margin discussion above is based upon the results and average balances for the three and six months ended</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June 30, 2022 and 2021. Annualized net interest margins for the quarterly periods indicated were as follows:</w:t>
      </w:r>
    </w:p>
    <w:p>
      <w:pPr>
        <w:spacing w:after="0" w:line="18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648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3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6"/>
                <w:szCs w:val="16"/>
                <w:color w:val="auto"/>
              </w:rPr>
            </w:pPr>
          </w:p>
        </w:tc>
      </w:tr>
      <w:tr>
        <w:trPr>
          <w:trHeight w:val="196"/>
        </w:trPr>
        <w:tc>
          <w:tcPr>
            <w:tcW w:w="64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First Quarter</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2.45</w:t>
            </w:r>
          </w:p>
        </w:tc>
        <w:tc>
          <w:tcPr>
            <w:tcW w:w="340" w:type="dxa"/>
            <w:vAlign w:val="bottom"/>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87"/>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2.72</w:t>
            </w:r>
          </w:p>
        </w:tc>
        <w:tc>
          <w:tcPr>
            <w:tcW w:w="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4"/>
              </w:rPr>
              <w:t>%</w:t>
            </w:r>
          </w:p>
        </w:tc>
      </w:tr>
      <w:tr>
        <w:trPr>
          <w:trHeight w:val="203"/>
        </w:trPr>
        <w:tc>
          <w:tcPr>
            <w:tcW w:w="6480" w:type="dxa"/>
            <w:vAlign w:val="bottom"/>
          </w:tcPr>
          <w:p>
            <w:pPr>
              <w:spacing w:after="0" w:line="202" w:lineRule="exact"/>
              <w:rPr>
                <w:sz w:val="20"/>
                <w:szCs w:val="20"/>
                <w:color w:val="auto"/>
              </w:rPr>
            </w:pPr>
            <w:r>
              <w:rPr>
                <w:rFonts w:ascii="Arial" w:cs="Arial" w:eastAsia="Arial" w:hAnsi="Arial"/>
                <w:sz w:val="18"/>
                <w:szCs w:val="18"/>
                <w:color w:val="auto"/>
              </w:rPr>
              <w:t>Second Quarter</w:t>
            </w:r>
          </w:p>
        </w:tc>
        <w:tc>
          <w:tcPr>
            <w:tcW w:w="1280" w:type="dxa"/>
            <w:vAlign w:val="bottom"/>
            <w:gridSpan w:val="2"/>
          </w:tcPr>
          <w:p>
            <w:pPr>
              <w:jc w:val="right"/>
              <w:ind w:right="90"/>
              <w:spacing w:after="0" w:line="202" w:lineRule="exact"/>
              <w:rPr>
                <w:sz w:val="20"/>
                <w:szCs w:val="20"/>
                <w:color w:val="auto"/>
              </w:rPr>
            </w:pPr>
            <w:r>
              <w:rPr>
                <w:rFonts w:ascii="Arial" w:cs="Arial" w:eastAsia="Arial" w:hAnsi="Arial"/>
                <w:sz w:val="18"/>
                <w:szCs w:val="18"/>
                <w:color w:val="auto"/>
              </w:rPr>
              <w:t>2.68 %</w:t>
            </w:r>
          </w:p>
        </w:tc>
        <w:tc>
          <w:tcPr>
            <w:tcW w:w="11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2.50 %</w:t>
            </w:r>
          </w:p>
        </w:tc>
      </w:tr>
      <w:tr>
        <w:trPr>
          <w:trHeight w:val="203"/>
        </w:trPr>
        <w:tc>
          <w:tcPr>
            <w:tcW w:w="64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Third Quarter</w:t>
            </w: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2.41 %</w:t>
            </w:r>
          </w:p>
        </w:tc>
      </w:tr>
      <w:tr>
        <w:trPr>
          <w:trHeight w:val="230"/>
        </w:trPr>
        <w:tc>
          <w:tcPr>
            <w:tcW w:w="6480" w:type="dxa"/>
            <w:vAlign w:val="bottom"/>
          </w:tcPr>
          <w:p>
            <w:pPr>
              <w:spacing w:after="0"/>
              <w:rPr>
                <w:sz w:val="20"/>
                <w:szCs w:val="20"/>
                <w:color w:val="auto"/>
              </w:rPr>
            </w:pPr>
            <w:r>
              <w:rPr>
                <w:rFonts w:ascii="Arial" w:cs="Arial" w:eastAsia="Arial" w:hAnsi="Arial"/>
                <w:sz w:val="18"/>
                <w:szCs w:val="18"/>
                <w:color w:val="auto"/>
              </w:rPr>
              <w:t>Fourth Quarter</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2.36 %</w:t>
            </w:r>
          </w:p>
        </w:tc>
      </w:tr>
    </w:tbl>
    <w:p>
      <w:pPr>
        <w:spacing w:after="0" w:line="16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Management attempts to mitigate the effects of an unpredictable interest-rate environment through effective portfolio management, prudent loan underwriting and pricing discipline, and operational efficiencies. For a description of accounting policies underlying the recognition of interest income and expense, refer to the Notes to Consolidated Financial Statements in the Company’s 2021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291465</wp:posOffset>
            </wp:positionV>
            <wp:extent cx="1414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328" w:lineRule="exact"/>
        <w:rPr>
          <w:sz w:val="20"/>
          <w:szCs w:val="20"/>
          <w:color w:val="auto"/>
        </w:rPr>
      </w:pPr>
    </w:p>
    <w:p>
      <w:pPr>
        <w:ind w:left="60" w:right="559" w:hanging="10"/>
        <w:spacing w:after="0" w:line="224" w:lineRule="auto"/>
        <w:tabs>
          <w:tab w:leader="none" w:pos="222" w:val="left"/>
        </w:tabs>
        <w:numPr>
          <w:ilvl w:val="0"/>
          <w:numId w:val="16"/>
        </w:numPr>
        <w:rPr>
          <w:rFonts w:ascii="Arial" w:cs="Arial" w:eastAsia="Arial" w:hAnsi="Arial"/>
          <w:sz w:val="13"/>
          <w:szCs w:val="13"/>
          <w:color w:val="auto"/>
        </w:rPr>
      </w:pPr>
      <w:r>
        <w:rPr>
          <w:rFonts w:ascii="Arial" w:cs="Arial" w:eastAsia="Arial" w:hAnsi="Arial"/>
          <w:sz w:val="13"/>
          <w:szCs w:val="13"/>
          <w:color w:val="auto"/>
        </w:rPr>
        <w:t xml:space="preserve">Core deposits is a non-GAAP financial measure. For a reconciliation of non-GAAP measures to the most directly comparable GAAP financial measures, see </w:t>
      </w:r>
      <w:r>
        <w:rPr>
          <w:rFonts w:ascii="Arial" w:cs="Arial" w:eastAsia="Arial" w:hAnsi="Arial"/>
          <w:sz w:val="13"/>
          <w:szCs w:val="13"/>
          <w:i w:val="1"/>
          <w:iCs w:val="1"/>
          <w:color w:val="auto"/>
        </w:rPr>
        <w:t>“</w:t>
      </w:r>
      <w:hyperlink w:anchor="page72">
        <w:r>
          <w:rPr>
            <w:rFonts w:ascii="Arial" w:cs="Arial" w:eastAsia="Arial" w:hAnsi="Arial"/>
            <w:sz w:val="13"/>
            <w:szCs w:val="13"/>
            <w:i w:val="1"/>
            <w:iCs w:val="1"/>
            <w:u w:val="single" w:color="auto"/>
            <w:color w:val="0000EE"/>
          </w:rPr>
          <w:t>Item 2. Management’s Discussion and Analysis—Non-GAAP Financial Information</w:t>
        </w:r>
      </w:hyperlink>
      <w:r>
        <w:rPr>
          <w:rFonts w:ascii="Arial" w:cs="Arial" w:eastAsia="Arial" w:hAnsi="Arial"/>
          <w:sz w:val="13"/>
          <w:szCs w:val="13"/>
          <w:i w:val="1"/>
          <w:iCs w:val="1"/>
          <w:color w:val="auto"/>
        </w:rPr>
        <w:t>”</w:t>
      </w:r>
      <w:r>
        <w:rPr>
          <w:rFonts w:ascii="Arial" w:cs="Arial" w:eastAsia="Arial" w:hAnsi="Arial"/>
          <w:sz w:val="13"/>
          <w:szCs w:val="13"/>
          <w:color w:val="auto"/>
        </w:rPr>
        <w:t xml:space="preserve"> included in this Quarterly Report.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Income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income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1880" w:type="dxa"/>
            <w:vAlign w:val="bottom"/>
            <w:tcBorders>
              <w:bottom w:val="single" w:sz="8" w:color="auto"/>
            </w:tcBorders>
            <w:gridSpan w:val="9"/>
          </w:tcPr>
          <w:p>
            <w:pPr>
              <w:spacing w:after="0"/>
              <w:rPr>
                <w:sz w:val="20"/>
                <w:szCs w:val="20"/>
                <w:color w:val="auto"/>
              </w:rPr>
            </w:pPr>
            <w:r>
              <w:rPr>
                <w:rFonts w:ascii="Arial" w:cs="Arial" w:eastAsia="Arial" w:hAnsi="Arial"/>
                <w:sz w:val="14"/>
                <w:szCs w:val="14"/>
                <w:b w:val="1"/>
                <w:bCs w:val="1"/>
                <w:color w:val="auto"/>
                <w:w w:val="93"/>
              </w:rPr>
              <w:t>Three Months Ended June 30,</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132"/>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Noninterest income</w:t>
            </w:r>
          </w:p>
        </w:tc>
        <w:tc>
          <w:tcPr>
            <w:tcW w:w="4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 and payment technology income: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Wealth management fees</w:t>
            </w:r>
          </w:p>
        </w:tc>
        <w:tc>
          <w:tcPr>
            <w:tcW w:w="2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14,135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13,002</w:t>
            </w:r>
          </w:p>
        </w:tc>
        <w:tc>
          <w:tcPr>
            <w:tcW w:w="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1,133</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8.7 %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440"/>
              <w:spacing w:after="0" w:line="202" w:lineRule="exact"/>
              <w:rPr>
                <w:sz w:val="20"/>
                <w:szCs w:val="20"/>
                <w:color w:val="auto"/>
              </w:rPr>
            </w:pPr>
            <w:r>
              <w:rPr>
                <w:rFonts w:ascii="Arial" w:cs="Arial" w:eastAsia="Arial" w:hAnsi="Arial"/>
                <w:sz w:val="18"/>
                <w:szCs w:val="18"/>
                <w:color w:val="auto"/>
              </w:rPr>
              <w:t>Payment technology solutions</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4,888</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4,530</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358</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7.9 %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8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w w:val="95"/>
              </w:rPr>
              <w:t>Combined, wealth management fees and payment technology</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solutions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19,023</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17,532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Fees for customer services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9,588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8,611</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977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Mortgage revenue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284</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1,747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(1,463)</w:t>
            </w:r>
          </w:p>
        </w:tc>
        <w:tc>
          <w:tcPr>
            <w:tcW w:w="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on bank owned life insurance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1,476</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(602)</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(40.8)%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 income: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Realized net gains (losses) on securities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20</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94</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3"/>
          </w:tcPr>
          <w:p>
            <w:pPr>
              <w:jc w:val="right"/>
              <w:ind w:right="120"/>
              <w:spacing w:after="0" w:line="202" w:lineRule="exact"/>
              <w:rPr>
                <w:sz w:val="20"/>
                <w:szCs w:val="20"/>
                <w:color w:val="auto"/>
              </w:rPr>
            </w:pPr>
            <w:r>
              <w:rPr>
                <w:rFonts w:ascii="Arial" w:cs="Arial" w:eastAsia="Arial" w:hAnsi="Arial"/>
                <w:sz w:val="18"/>
                <w:szCs w:val="18"/>
                <w:color w:val="auto"/>
              </w:rPr>
              <w:t>(74)</w:t>
            </w:r>
          </w:p>
        </w:tc>
        <w:tc>
          <w:tcPr>
            <w:tcW w:w="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3"/>
              </w:rPr>
              <w:t>Unrealized net gains (losses) recognized on equity securities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jc w:val="right"/>
              <w:ind w:right="140"/>
              <w:spacing w:after="0" w:line="202" w:lineRule="exact"/>
              <w:rPr>
                <w:sz w:val="20"/>
                <w:szCs w:val="20"/>
                <w:color w:val="auto"/>
              </w:rPr>
            </w:pPr>
            <w:r>
              <w:rPr>
                <w:rFonts w:ascii="Arial" w:cs="Arial" w:eastAsia="Arial" w:hAnsi="Arial"/>
                <w:sz w:val="18"/>
                <w:szCs w:val="18"/>
                <w:color w:val="auto"/>
              </w:rPr>
              <w:t>(1,734)</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804</w:t>
            </w: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3"/>
            <w:shd w:val="clear" w:color="auto" w:fill="CCEEFF"/>
          </w:tcPr>
          <w:p>
            <w:pPr>
              <w:jc w:val="right"/>
              <w:ind w:right="120"/>
              <w:spacing w:after="0" w:line="202" w:lineRule="exact"/>
              <w:rPr>
                <w:sz w:val="20"/>
                <w:szCs w:val="20"/>
                <w:color w:val="auto"/>
              </w:rPr>
            </w:pPr>
            <w:r>
              <w:rPr>
                <w:rFonts w:ascii="Arial" w:cs="Arial" w:eastAsia="Arial" w:hAnsi="Arial"/>
                <w:sz w:val="18"/>
                <w:szCs w:val="18"/>
                <w:color w:val="auto"/>
              </w:rPr>
              <w:t>(2,538)</w:t>
            </w: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(315.7)%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20"/>
              <w:spacing w:after="0" w:line="196" w:lineRule="exact"/>
              <w:rPr>
                <w:sz w:val="20"/>
                <w:szCs w:val="20"/>
                <w:color w:val="auto"/>
              </w:rPr>
            </w:pPr>
            <w:r>
              <w:rPr>
                <w:rFonts w:ascii="Arial" w:cs="Arial" w:eastAsia="Arial" w:hAnsi="Arial"/>
                <w:sz w:val="18"/>
                <w:szCs w:val="18"/>
                <w:color w:val="auto"/>
              </w:rPr>
              <w:t>Net securities gains (losses)</w:t>
            </w:r>
          </w:p>
        </w:tc>
        <w:tc>
          <w:tcPr>
            <w:tcW w:w="4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(1,714)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gridSpan w:val="2"/>
          </w:tcPr>
          <w:p>
            <w:pPr>
              <w:jc w:val="right"/>
              <w:ind w:right="40"/>
              <w:spacing w:after="0" w:line="196" w:lineRule="exact"/>
              <w:rPr>
                <w:sz w:val="20"/>
                <w:szCs w:val="20"/>
                <w:color w:val="auto"/>
              </w:rPr>
            </w:pPr>
            <w:r>
              <w:rPr>
                <w:rFonts w:ascii="Arial" w:cs="Arial" w:eastAsia="Arial" w:hAnsi="Arial"/>
                <w:sz w:val="18"/>
                <w:szCs w:val="18"/>
                <w:color w:val="auto"/>
              </w:rPr>
              <w:t>898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gridSpan w:val="2"/>
          </w:tcPr>
          <w:p>
            <w:pPr>
              <w:jc w:val="right"/>
              <w:spacing w:after="0" w:line="196" w:lineRule="exact"/>
              <w:rPr>
                <w:sz w:val="20"/>
                <w:szCs w:val="20"/>
                <w:color w:val="auto"/>
              </w:rPr>
            </w:pPr>
            <w:r>
              <w:rPr>
                <w:rFonts w:ascii="Arial" w:cs="Arial" w:eastAsia="Arial" w:hAnsi="Arial"/>
                <w:sz w:val="18"/>
                <w:szCs w:val="18"/>
                <w:color w:val="auto"/>
              </w:rPr>
              <w:t>(2,612)</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(290.9)%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income</w:t>
            </w:r>
          </w:p>
        </w:tc>
        <w:tc>
          <w:tcPr>
            <w:tcW w:w="4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2,964</w:t>
            </w:r>
          </w:p>
        </w:tc>
        <w:tc>
          <w:tcPr>
            <w:tcW w:w="20" w:type="dxa"/>
            <w:vAlign w:val="bottom"/>
            <w:tcBorders>
              <w:bottom w:val="single" w:sz="8" w:color="auto"/>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gridSpan w:val="2"/>
          </w:tcPr>
          <w:p>
            <w:pPr>
              <w:jc w:val="right"/>
              <w:ind w:right="40"/>
              <w:spacing w:after="0" w:line="202" w:lineRule="exact"/>
              <w:rPr>
                <w:sz w:val="20"/>
                <w:szCs w:val="20"/>
                <w:color w:val="auto"/>
              </w:rPr>
            </w:pPr>
            <w:r>
              <w:rPr>
                <w:rFonts w:ascii="Arial" w:cs="Arial" w:eastAsia="Arial" w:hAnsi="Arial"/>
                <w:sz w:val="18"/>
                <w:szCs w:val="18"/>
                <w:color w:val="auto"/>
              </w:rPr>
              <w:t>2,747</w:t>
            </w: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217</w:t>
            </w:r>
          </w:p>
        </w:tc>
        <w:tc>
          <w:tcPr>
            <w:tcW w:w="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7.9 %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200" w:type="dxa"/>
            <w:vAlign w:val="bottom"/>
            <w:tcBorders>
              <w:bottom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31,019</w:t>
            </w:r>
          </w:p>
        </w:tc>
        <w:tc>
          <w:tcPr>
            <w:tcW w:w="2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33,011</w:t>
            </w:r>
          </w:p>
        </w:tc>
        <w:tc>
          <w:tcPr>
            <w:tcW w:w="10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(1,992)</w:t>
            </w: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(6.0)%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40" w:type="dxa"/>
            <w:vAlign w:val="bottom"/>
            <w:gridSpan w:val="8"/>
          </w:tcPr>
          <w:p>
            <w:pPr>
              <w:jc w:val="right"/>
              <w:ind w:right="120"/>
              <w:spacing w:after="0"/>
              <w:rPr>
                <w:sz w:val="20"/>
                <w:szCs w:val="20"/>
                <w:color w:val="auto"/>
              </w:rPr>
            </w:pPr>
            <w:r>
              <w:rPr>
                <w:rFonts w:ascii="Arial" w:cs="Arial" w:eastAsia="Arial" w:hAnsi="Arial"/>
                <w:sz w:val="14"/>
                <w:szCs w:val="14"/>
                <w:b w:val="1"/>
                <w:bCs w:val="1"/>
                <w:color w:val="auto"/>
                <w:w w:val="93"/>
              </w:rPr>
              <w:t>Six Months Ended June 30,</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94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5"/>
        </w:trPr>
        <w:tc>
          <w:tcPr>
            <w:tcW w:w="4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2022</w:t>
            </w:r>
          </w:p>
        </w:tc>
        <w:tc>
          <w:tcPr>
            <w:tcW w:w="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jc w:val="right"/>
              <w:ind w:right="172"/>
              <w:spacing w:after="0" w:line="155" w:lineRule="exact"/>
              <w:rPr>
                <w:sz w:val="20"/>
                <w:szCs w:val="20"/>
                <w:color w:val="auto"/>
              </w:rPr>
            </w:pPr>
            <w:r>
              <w:rPr>
                <w:rFonts w:ascii="Arial" w:cs="Arial" w:eastAsia="Arial" w:hAnsi="Arial"/>
                <w:sz w:val="14"/>
                <w:szCs w:val="14"/>
                <w:b w:val="1"/>
                <w:bCs w:val="1"/>
                <w:color w:val="auto"/>
              </w:rPr>
              <w:t>2021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gridSpan w:val="4"/>
            <w:vMerge w:val="continue"/>
          </w:tcPr>
          <w:p>
            <w:pPr>
              <w:spacing w:after="0"/>
              <w:rPr>
                <w:sz w:val="13"/>
                <w:szCs w:val="13"/>
                <w:color w:val="auto"/>
              </w:rPr>
            </w:pPr>
          </w:p>
        </w:tc>
        <w:tc>
          <w:tcPr>
            <w:tcW w:w="9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Noninterest income</w:t>
            </w:r>
          </w:p>
        </w:tc>
        <w:tc>
          <w:tcPr>
            <w:tcW w:w="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Wealth management and payment technology income: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Wealth management fees</w:t>
            </w:r>
          </w:p>
        </w:tc>
        <w:tc>
          <w:tcPr>
            <w:tcW w:w="20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w w:val="99"/>
              </w:rPr>
              <w:t>$</w:t>
            </w: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29,914</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0" w:type="dxa"/>
            <w:vAlign w:val="bottom"/>
            <w:gridSpan w:val="2"/>
            <w:shd w:val="clear" w:color="auto" w:fill="CCEEFF"/>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25,586</w:t>
            </w:r>
          </w:p>
        </w:tc>
        <w:tc>
          <w:tcPr>
            <w:tcW w:w="60" w:type="dxa"/>
            <w:vAlign w:val="bottom"/>
            <w:shd w:val="clear" w:color="auto" w:fill="CCEEFF"/>
          </w:tcPr>
          <w:p>
            <w:pPr>
              <w:spacing w:after="0"/>
              <w:rPr>
                <w:sz w:val="17"/>
                <w:szCs w:val="17"/>
                <w:color w:val="auto"/>
              </w:rPr>
            </w:pPr>
          </w:p>
        </w:tc>
        <w:tc>
          <w:tcPr>
            <w:tcW w:w="260" w:type="dxa"/>
            <w:vAlign w:val="bottom"/>
            <w:gridSpan w:val="3"/>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4,328</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16.9 %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440"/>
              <w:spacing w:after="0" w:line="202" w:lineRule="exact"/>
              <w:rPr>
                <w:sz w:val="20"/>
                <w:szCs w:val="20"/>
                <w:color w:val="auto"/>
              </w:rPr>
            </w:pPr>
            <w:r>
              <w:rPr>
                <w:rFonts w:ascii="Arial" w:cs="Arial" w:eastAsia="Arial" w:hAnsi="Arial"/>
                <w:sz w:val="18"/>
                <w:szCs w:val="18"/>
                <w:color w:val="auto"/>
              </w:rPr>
              <w:t>Payment technology solutions</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9,965</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9,151</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814</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8.9 %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4980" w:type="dxa"/>
            <w:vAlign w:val="bottom"/>
            <w:shd w:val="clear" w:color="auto" w:fill="CCEEFF"/>
          </w:tcPr>
          <w:p>
            <w:pPr>
              <w:ind w:left="220"/>
              <w:spacing w:after="0" w:line="168" w:lineRule="exact"/>
              <w:rPr>
                <w:sz w:val="20"/>
                <w:szCs w:val="20"/>
                <w:color w:val="auto"/>
              </w:rPr>
            </w:pPr>
            <w:r>
              <w:rPr>
                <w:rFonts w:ascii="Arial" w:cs="Arial" w:eastAsia="Arial" w:hAnsi="Arial"/>
                <w:sz w:val="18"/>
                <w:szCs w:val="18"/>
                <w:color w:val="auto"/>
                <w:w w:val="95"/>
              </w:rPr>
              <w:t>Combined, wealth management fees and payment technology</w:t>
            </w: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solutions</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39,879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34,737</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Fees for customer services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18,495</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16,648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1,847</w:t>
            </w: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Mortgage revenue</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1,259</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4,413</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(3,154)</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on bank owned life insurance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1,758</w:t>
            </w: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2,440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(682)</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(28.0)%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Securities income:</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Realized net gains (losses) on securities</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jc w:val="right"/>
              <w:spacing w:after="0" w:line="202" w:lineRule="exact"/>
              <w:rPr>
                <w:sz w:val="20"/>
                <w:szCs w:val="20"/>
                <w:color w:val="auto"/>
              </w:rPr>
            </w:pPr>
            <w:r>
              <w:rPr>
                <w:rFonts w:ascii="Arial" w:cs="Arial" w:eastAsia="Arial" w:hAnsi="Arial"/>
                <w:sz w:val="18"/>
                <w:szCs w:val="18"/>
                <w:color w:val="auto"/>
              </w:rPr>
              <w:t>126</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w w:val="93"/>
              </w:rPr>
              <w:t>Unrealized net gains (losses) recognized on equity securities</w:t>
            </w: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(2,454)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2,420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(4,874)</w:t>
            </w: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(201.4)%</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Pr>
          <w:p>
            <w:pPr>
              <w:ind w:left="220"/>
              <w:spacing w:after="0" w:line="196" w:lineRule="exact"/>
              <w:rPr>
                <w:sz w:val="20"/>
                <w:szCs w:val="20"/>
                <w:color w:val="auto"/>
              </w:rPr>
            </w:pPr>
            <w:r>
              <w:rPr>
                <w:rFonts w:ascii="Arial" w:cs="Arial" w:eastAsia="Arial" w:hAnsi="Arial"/>
                <w:sz w:val="18"/>
                <w:szCs w:val="18"/>
                <w:color w:val="auto"/>
              </w:rPr>
              <w:t>Net securities gains (losses)</w:t>
            </w:r>
          </w:p>
        </w:tc>
        <w:tc>
          <w:tcPr>
            <w:tcW w:w="4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(2,328)</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2,539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(4,867)</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(191.7)%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20" w:type="dxa"/>
            <w:vAlign w:val="bottom"/>
            <w:gridSpan w:val="2"/>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Other income</w:t>
            </w:r>
          </w:p>
        </w:tc>
        <w:tc>
          <w:tcPr>
            <w:tcW w:w="4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7,728</w:t>
            </w:r>
          </w:p>
        </w:tc>
        <w:tc>
          <w:tcPr>
            <w:tcW w:w="2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3,679</w:t>
            </w: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4,049</w:t>
            </w:r>
          </w:p>
        </w:tc>
        <w:tc>
          <w:tcPr>
            <w:tcW w:w="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40" w:type="dxa"/>
            <w:vAlign w:val="bottom"/>
            <w:tcBorders>
              <w:bottom w:val="single" w:sz="8" w:color="CCEEFF"/>
            </w:tcBorders>
          </w:tcPr>
          <w:p>
            <w:pPr>
              <w:spacing w:after="0"/>
              <w:rPr>
                <w:sz w:val="17"/>
                <w:szCs w:val="17"/>
                <w:color w:val="auto"/>
              </w:rPr>
            </w:pPr>
          </w:p>
        </w:tc>
        <w:tc>
          <w:tcPr>
            <w:tcW w:w="92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110.1 %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9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Total noninterest income</w:t>
            </w:r>
          </w:p>
        </w:tc>
        <w:tc>
          <w:tcPr>
            <w:tcW w:w="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66,791</w:t>
            </w:r>
          </w:p>
        </w:tc>
        <w:tc>
          <w:tcPr>
            <w:tcW w:w="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gridSpan w:val="2"/>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64,456</w:t>
            </w:r>
          </w:p>
        </w:tc>
        <w:tc>
          <w:tcPr>
            <w:tcW w:w="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2,335</w:t>
            </w:r>
          </w:p>
        </w:tc>
        <w:tc>
          <w:tcPr>
            <w:tcW w:w="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20" w:type="dxa"/>
            <w:vAlign w:val="bottom"/>
            <w:tcBorders>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3.6 %</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980" w:type="dxa"/>
            <w:vAlign w:val="bottom"/>
            <w:vMerge w:val="restart"/>
          </w:tcPr>
          <w:p>
            <w:pPr>
              <w:ind w:left="4380"/>
              <w:spacing w:after="0"/>
              <w:rPr>
                <w:sz w:val="20"/>
                <w:szCs w:val="20"/>
                <w:color w:val="auto"/>
              </w:rPr>
            </w:pPr>
            <w:r>
              <w:rPr>
                <w:rFonts w:ascii="Arial" w:cs="Arial" w:eastAsia="Arial" w:hAnsi="Arial"/>
                <w:sz w:val="18"/>
                <w:szCs w:val="18"/>
                <w:color w:val="auto"/>
              </w:rPr>
              <w:t>60</w:t>
            </w: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498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49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6"/>
          <w:szCs w:val="16"/>
          <w:color w:val="auto"/>
        </w:rPr>
        <w:t>Total noninterest income was $31.0 million for the three months ended June 30, 2022, a 6.0% decrease from the comparable period in 2021, and was $66.8 million for the six months ended June 30, 2022, a 3.6% increase from the comparable period in 2021. Results for the three and six months ended June 30, 2021, included one month of operating income for GSB, whereas results for the same periods in 2022 reflect the fully integrated acquisition for the complete periods. Revenues from wealth management fees and payment technology solutions represented 61.3% and 59.7% of the Company’s noninterest income for the three and six months ended June 30, 2022, respectively, providing a complement to spread-based revenue from traditional banking activities. On a combined basis, revenue from these two critical operating areas was $19.0 million for the three months ended June 30, 2022, an 8.5% increase from the comparable period in 2021, and was $39.9 million for the six months ended June 30, 2022, a 14.8% increase from the comparable period in 2021.</w:t>
      </w:r>
    </w:p>
    <w:p>
      <w:pPr>
        <w:spacing w:after="0" w:line="155"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Wealth management fees were $14.1 million for the three months ended June 30, 2022, an 8.7% increase from the comparable period in 2021, and were $29.9 million for the six months ended June 30, 2022, a 16.9% increase from the comparable period for 2021. First Busey’s Wealth Management division ended the second quarter of 2022 with $11.5 billion in assets under care, compared to $12.7 billion as of December 31, 2021. The decrease in assets under care was principally due to a reduction in market valuations, offset partially by relative outperformance from our investment management team as well as new asset under care inflows.</w:t>
      </w:r>
    </w:p>
    <w:p>
      <w:pPr>
        <w:spacing w:after="0" w:line="1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Payment technology solutions revenue relates to our payment processing company, FirsTech. Payment technology solutions revenue was $4.9 million for the three months ended June 30, 2022, a 7.9% increase from the comparable period in 2021, and was $10.0 million for the six months ended June 30, 2022, an 8.9% increase from the comparable period in 2021. FirsTech segment revenue was $5.4 million for the three months ended June 30, 2022, a 10.8% increase from the comparable period of 2021, and was $10.8 million for the six months ended June 30, 2022, a 11.1% increase from the comparable period in 2021. FirsTech operations add important diversity to our revenue stream while widening our array of service offerings to larger commercial clients both within our footprint and nationally. We are currently making strategic investments in FirsTech to enhance future growth including further upgrades to the product and engineering teams to build an Application Programming Interface (API) cloud-based platform to provide for fully integrated payment capabilities as well as the continued development of our Banking as a Service (BaaS) platform.</w:t>
      </w:r>
    </w:p>
    <w:p>
      <w:pPr>
        <w:spacing w:after="0" w:line="167"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Fees for customer services were $9.6 million for the three months ended June 30, 2022, an 11.3% increase from the comparable period in 2021, and were $18.5 million for the six months ended June 30, 2022, an 11.1% increase from the comparable period in 2021. Beginning on July 1, 2022, we became subject to the Durbin Amendment of the Dodd-Frank Act. The Durbin Amendment requires the Federal Reserve to establish a maximum permissible interchange fee for many types of debit transactions, which will negatively impact fees for customer services in the second half of 2022 and in future years.</w:t>
      </w:r>
    </w:p>
    <w:p>
      <w:pPr>
        <w:spacing w:after="0" w:line="17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Mortgage revenue was $0.3 million for the three months ended June 30, 2022, an 83.7% decrease from the comparable period in 2021, and was $1.3 million for the six months ended June 30, 2022, a 71.5% decrease from the comparable period in 2021. Decreases primarily resulted from lower sold-loan mortgage volume as a greater portion of closed loan volume was directed in adjustable-rate mortgage loans held in portfolio. General economic conditions and interest rate volatility may impact fees in future quarters.</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Income on bank owned life insurance was $0.9 million for the three months ended June 30, 2022, a 40.8% decrease from the comparable period in 2021, and was $1.8 million for the six months ended June 30, 2022, a 28.0% decrease from the comparable period in 2021. Decreases resulted from lower life insurance proceeds and a decline in earnings on the cash surrender value of the policies.</w:t>
      </w:r>
    </w:p>
    <w:p>
      <w:pPr>
        <w:spacing w:after="0" w:line="17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Other income was $3.0 million for the three months ended June 30, 2022, a $0.2 million increase from the comparable period in 2021, and was $7.7 million for the six months ended June 30, 2022, a $4.0 million increase from the comparable period in 2021. Other income benefited from higher income recognized on venture capital investments, check sales, rental income, and swap origination fees, partially offset by losses on fixed asset disposal and lower SBA loan sale gains recorded during the three and six months ended June 30, 2022.</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Noninterest Expense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noninterest expense are summarized as follows for the periods presented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80" w:type="dxa"/>
            <w:vAlign w:val="bottom"/>
          </w:tcPr>
          <w:p>
            <w:pPr>
              <w:spacing w:after="0"/>
              <w:rPr>
                <w:sz w:val="16"/>
                <w:szCs w:val="16"/>
                <w:color w:val="auto"/>
              </w:rPr>
            </w:pPr>
          </w:p>
        </w:tc>
        <w:tc>
          <w:tcPr>
            <w:tcW w:w="22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 June 30,</w:t>
            </w:r>
          </w:p>
        </w:tc>
        <w:tc>
          <w:tcPr>
            <w:tcW w:w="100" w:type="dxa"/>
            <w:vAlign w:val="bottom"/>
          </w:tcPr>
          <w:p>
            <w:pPr>
              <w:spacing w:after="0"/>
              <w:rPr>
                <w:sz w:val="16"/>
                <w:szCs w:val="16"/>
                <w:color w:val="auto"/>
              </w:rPr>
            </w:pPr>
          </w:p>
        </w:tc>
        <w:tc>
          <w:tcPr>
            <w:tcW w:w="7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w:t>
            </w:r>
          </w:p>
        </w:tc>
        <w:tc>
          <w:tcPr>
            <w:tcW w:w="8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6"/>
        </w:trPr>
        <w:tc>
          <w:tcPr>
            <w:tcW w:w="498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92"/>
              <w:spacing w:after="0" w:line="155" w:lineRule="exact"/>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8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9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Noninterest expense</w:t>
            </w:r>
          </w:p>
        </w:tc>
        <w:tc>
          <w:tcPr>
            <w:tcW w:w="18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Salaries, wages, and employee benefits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38,110</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34,889</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3,221</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9.2 %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Data processing</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5,375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4,819</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556</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11.5 %</w:t>
            </w: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Premises expenses: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440"/>
              <w:spacing w:after="0" w:line="202" w:lineRule="exact"/>
              <w:rPr>
                <w:sz w:val="20"/>
                <w:szCs w:val="20"/>
                <w:color w:val="auto"/>
              </w:rPr>
            </w:pPr>
            <w:r>
              <w:rPr>
                <w:rFonts w:ascii="Arial" w:cs="Arial" w:eastAsia="Arial" w:hAnsi="Arial"/>
                <w:sz w:val="18"/>
                <w:szCs w:val="18"/>
                <w:color w:val="auto"/>
              </w:rPr>
              <w:t>Net occupancy expense of premises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4,720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474</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Furniture and equipment expenses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2,066</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(21)</w:t>
            </w: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68"/>
        </w:trPr>
        <w:tc>
          <w:tcPr>
            <w:tcW w:w="4980" w:type="dxa"/>
            <w:vAlign w:val="bottom"/>
          </w:tcPr>
          <w:p>
            <w:pPr>
              <w:ind w:left="220"/>
              <w:spacing w:after="0" w:line="168" w:lineRule="exact"/>
              <w:rPr>
                <w:sz w:val="20"/>
                <w:szCs w:val="20"/>
                <w:color w:val="auto"/>
              </w:rPr>
            </w:pPr>
            <w:r>
              <w:rPr>
                <w:rFonts w:ascii="Arial" w:cs="Arial" w:eastAsia="Arial" w:hAnsi="Arial"/>
                <w:sz w:val="18"/>
                <w:szCs w:val="18"/>
                <w:color w:val="auto"/>
                <w:w w:val="97"/>
              </w:rPr>
              <w:t>Combined, net occupancy expense of premises and furniture</w:t>
            </w:r>
          </w:p>
        </w:tc>
        <w:tc>
          <w:tcPr>
            <w:tcW w:w="18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4980" w:type="dxa"/>
            <w:vAlign w:val="bottom"/>
          </w:tcPr>
          <w:p>
            <w:pPr>
              <w:ind w:left="220"/>
              <w:spacing w:after="0"/>
              <w:rPr>
                <w:sz w:val="20"/>
                <w:szCs w:val="20"/>
                <w:color w:val="auto"/>
              </w:rPr>
            </w:pPr>
            <w:r>
              <w:rPr>
                <w:rFonts w:ascii="Arial" w:cs="Arial" w:eastAsia="Arial" w:hAnsi="Arial"/>
                <w:sz w:val="18"/>
                <w:szCs w:val="18"/>
                <w:color w:val="auto"/>
              </w:rPr>
              <w:t>and equipment expenses</w:t>
            </w: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6,765</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6,312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453</w:t>
            </w:r>
          </w:p>
        </w:tc>
        <w:tc>
          <w:tcPr>
            <w:tcW w:w="16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7.2 %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1,607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2,311</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(704)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2,951</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2,650</w:t>
            </w:r>
          </w:p>
        </w:tc>
        <w:tc>
          <w:tcPr>
            <w:tcW w:w="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301</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203"/>
        </w:trPr>
        <w:tc>
          <w:tcPr>
            <w:tcW w:w="4980" w:type="dxa"/>
            <w:vAlign w:val="bottom"/>
          </w:tcPr>
          <w:p>
            <w:pPr>
              <w:ind w:left="220"/>
              <w:spacing w:after="0" w:line="202" w:lineRule="exact"/>
              <w:rPr>
                <w:sz w:val="20"/>
                <w:szCs w:val="20"/>
                <w:color w:val="auto"/>
              </w:rPr>
            </w:pPr>
            <w:r>
              <w:rPr>
                <w:rFonts w:ascii="Arial" w:cs="Arial" w:eastAsia="Arial" w:hAnsi="Arial"/>
                <w:sz w:val="18"/>
                <w:szCs w:val="18"/>
                <w:color w:val="auto"/>
              </w:rPr>
              <w:t>Interchange expense</w:t>
            </w:r>
          </w:p>
        </w:tc>
        <w:tc>
          <w:tcPr>
            <w:tcW w:w="18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1,487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1,442</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45</w:t>
            </w:r>
          </w:p>
        </w:tc>
        <w:tc>
          <w:tcPr>
            <w:tcW w:w="160" w:type="dxa"/>
            <w:vAlign w:val="bottom"/>
          </w:tcPr>
          <w:p>
            <w:pPr>
              <w:spacing w:after="0"/>
              <w:rPr>
                <w:sz w:val="17"/>
                <w:szCs w:val="17"/>
                <w:color w:val="auto"/>
              </w:rPr>
            </w:pP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03"/>
        </w:trPr>
        <w:tc>
          <w:tcPr>
            <w:tcW w:w="498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12,797</w:t>
            </w:r>
          </w:p>
        </w:tc>
        <w:tc>
          <w:tcPr>
            <w:tcW w:w="24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10,202</w:t>
            </w:r>
          </w:p>
        </w:tc>
        <w:tc>
          <w:tcPr>
            <w:tcW w:w="2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2,595</w:t>
            </w:r>
          </w:p>
        </w:tc>
        <w:tc>
          <w:tcPr>
            <w:tcW w:w="160" w:type="dxa"/>
            <w:vAlign w:val="bottom"/>
            <w:shd w:val="clear" w:color="auto" w:fill="CCEEFF"/>
          </w:tcPr>
          <w:p>
            <w:pPr>
              <w:spacing w:after="0"/>
              <w:rPr>
                <w:sz w:val="17"/>
                <w:szCs w:val="17"/>
                <w:color w:val="auto"/>
              </w:rPr>
            </w:pPr>
          </w:p>
        </w:tc>
        <w:tc>
          <w:tcPr>
            <w:tcW w:w="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36"/>
        </w:trPr>
        <w:tc>
          <w:tcPr>
            <w:tcW w:w="49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69,092</w:t>
            </w:r>
          </w:p>
        </w:tc>
        <w:tc>
          <w:tcPr>
            <w:tcW w:w="2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62,625</w:t>
            </w:r>
          </w:p>
        </w:tc>
        <w:tc>
          <w:tcPr>
            <w:tcW w:w="2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6,467</w:t>
            </w:r>
          </w:p>
        </w:tc>
        <w:tc>
          <w:tcPr>
            <w:tcW w:w="160" w:type="dxa"/>
            <w:vAlign w:val="bottom"/>
            <w:tcBorders>
              <w:bottom w:val="single" w:sz="8" w:color="CCEEFF"/>
            </w:tcBorders>
          </w:tcPr>
          <w:p>
            <w:pPr>
              <w:spacing w:after="0"/>
              <w:rPr>
                <w:sz w:val="20"/>
                <w:szCs w:val="20"/>
                <w:color w:val="auto"/>
              </w:rPr>
            </w:pPr>
          </w:p>
        </w:tc>
        <w:tc>
          <w:tcPr>
            <w:tcW w:w="84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10.3 %</w:t>
            </w:r>
          </w:p>
        </w:tc>
        <w:tc>
          <w:tcPr>
            <w:tcW w:w="0" w:type="dxa"/>
            <w:vAlign w:val="bottom"/>
          </w:tcPr>
          <w:p>
            <w:pPr>
              <w:spacing w:after="0"/>
              <w:rPr>
                <w:sz w:val="1"/>
                <w:szCs w:val="1"/>
                <w:color w:val="auto"/>
              </w:rPr>
            </w:pPr>
          </w:p>
        </w:tc>
      </w:tr>
      <w:tr>
        <w:trPr>
          <w:trHeight w:val="183"/>
        </w:trPr>
        <w:tc>
          <w:tcPr>
            <w:tcW w:w="4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980" w:type="dxa"/>
            <w:vAlign w:val="bottom"/>
          </w:tcPr>
          <w:p>
            <w:pPr>
              <w:ind w:left="20"/>
              <w:spacing w:after="0" w:line="202" w:lineRule="exact"/>
              <w:rPr>
                <w:sz w:val="20"/>
                <w:szCs w:val="20"/>
                <w:color w:val="auto"/>
              </w:rPr>
            </w:pPr>
            <w:r>
              <w:rPr>
                <w:rFonts w:ascii="Arial" w:cs="Arial" w:eastAsia="Arial" w:hAnsi="Arial"/>
                <w:sz w:val="18"/>
                <w:szCs w:val="18"/>
                <w:color w:val="auto"/>
              </w:rPr>
              <w:t>Income taxes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6,378</w:t>
            </w:r>
          </w:p>
        </w:tc>
        <w:tc>
          <w:tcPr>
            <w:tcW w:w="240" w:type="dxa"/>
            <w:vAlign w:val="bottom"/>
          </w:tcPr>
          <w:p>
            <w:pPr>
              <w:spacing w:after="0"/>
              <w:rPr>
                <w:sz w:val="17"/>
                <w:szCs w:val="17"/>
                <w:color w:val="auto"/>
              </w:rPr>
            </w:pPr>
          </w:p>
        </w:tc>
        <w:tc>
          <w:tcPr>
            <w:tcW w:w="200" w:type="dxa"/>
            <w:vAlign w:val="bottom"/>
          </w:tcPr>
          <w:p>
            <w:pPr>
              <w:jc w:val="right"/>
              <w:ind w:right="1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6,862</w:t>
            </w:r>
          </w:p>
        </w:tc>
        <w:tc>
          <w:tcPr>
            <w:tcW w:w="2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(484)</w:t>
            </w:r>
          </w:p>
        </w:tc>
        <w:tc>
          <w:tcPr>
            <w:tcW w:w="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37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254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17.6 %</w:t>
            </w:r>
          </w:p>
        </w:tc>
        <w:tc>
          <w:tcPr>
            <w:tcW w:w="2620" w:type="dxa"/>
            <w:vAlign w:val="bottom"/>
            <w:shd w:val="clear" w:color="auto" w:fill="CCEEFF"/>
          </w:tcPr>
          <w:p>
            <w:pPr>
              <w:jc w:val="right"/>
              <w:ind w:right="1710"/>
              <w:spacing w:after="0" w:line="202" w:lineRule="exact"/>
              <w:rPr>
                <w:sz w:val="20"/>
                <w:szCs w:val="20"/>
                <w:color w:val="auto"/>
              </w:rPr>
            </w:pPr>
            <w:r>
              <w:rPr>
                <w:rFonts w:ascii="Arial" w:cs="Arial" w:eastAsia="Arial" w:hAnsi="Arial"/>
                <w:sz w:val="18"/>
                <w:szCs w:val="18"/>
                <w:color w:val="auto"/>
              </w:rPr>
              <w:t>18.7 %</w:t>
            </w:r>
          </w:p>
        </w:tc>
      </w:tr>
      <w:tr>
        <w:trPr>
          <w:trHeight w:val="203"/>
        </w:trPr>
        <w:tc>
          <w:tcPr>
            <w:tcW w:w="374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620" w:type="dxa"/>
            <w:vAlign w:val="bottom"/>
          </w:tcPr>
          <w:p>
            <w:pPr>
              <w:spacing w:after="0"/>
              <w:rPr>
                <w:sz w:val="17"/>
                <w:szCs w:val="17"/>
                <w:color w:val="auto"/>
              </w:rPr>
            </w:pPr>
          </w:p>
        </w:tc>
      </w:tr>
      <w:tr>
        <w:trPr>
          <w:trHeight w:val="216"/>
        </w:trPr>
        <w:tc>
          <w:tcPr>
            <w:tcW w:w="374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Efficiency ratio </w:t>
            </w:r>
            <w:r>
              <w:rPr>
                <w:rFonts w:ascii="Arial" w:cs="Arial" w:eastAsia="Arial" w:hAnsi="Arial"/>
                <w:sz w:val="25"/>
                <w:szCs w:val="25"/>
                <w:color w:val="auto"/>
                <w:vertAlign w:val="superscript"/>
              </w:rPr>
              <w:t>(1)</w:t>
            </w:r>
          </w:p>
        </w:tc>
        <w:tc>
          <w:tcPr>
            <w:tcW w:w="25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60.6 %</w:t>
            </w:r>
          </w:p>
        </w:tc>
        <w:tc>
          <w:tcPr>
            <w:tcW w:w="2620" w:type="dxa"/>
            <w:vAlign w:val="bottom"/>
            <w:shd w:val="clear" w:color="auto" w:fill="CCEEFF"/>
          </w:tcPr>
          <w:p>
            <w:pPr>
              <w:jc w:val="right"/>
              <w:ind w:right="1710"/>
              <w:spacing w:after="0"/>
              <w:rPr>
                <w:sz w:val="20"/>
                <w:szCs w:val="20"/>
                <w:color w:val="auto"/>
              </w:rPr>
            </w:pPr>
            <w:r>
              <w:rPr>
                <w:rFonts w:ascii="Arial" w:cs="Arial" w:eastAsia="Arial" w:hAnsi="Arial"/>
                <w:sz w:val="18"/>
                <w:szCs w:val="18"/>
                <w:color w:val="auto"/>
              </w:rPr>
              <w:t>61.7 %</w:t>
            </w:r>
          </w:p>
        </w:tc>
      </w:tr>
      <w:tr>
        <w:trPr>
          <w:trHeight w:val="353"/>
        </w:trPr>
        <w:tc>
          <w:tcPr>
            <w:tcW w:w="3740" w:type="dxa"/>
            <w:vAlign w:val="bottom"/>
          </w:tcPr>
          <w:p>
            <w:pPr>
              <w:ind w:left="20"/>
              <w:spacing w:after="0"/>
              <w:rPr>
                <w:sz w:val="20"/>
                <w:szCs w:val="20"/>
                <w:color w:val="auto"/>
              </w:rPr>
            </w:pPr>
            <w:r>
              <w:rPr>
                <w:rFonts w:ascii="Arial" w:cs="Arial" w:eastAsia="Arial" w:hAnsi="Arial"/>
                <w:sz w:val="18"/>
                <w:szCs w:val="18"/>
                <w:color w:val="auto"/>
              </w:rPr>
              <w:t xml:space="preserve">Adjusted efficiency ratio </w:t>
            </w:r>
            <w:r>
              <w:rPr>
                <w:rFonts w:ascii="Arial" w:cs="Arial" w:eastAsia="Arial" w:hAnsi="Arial"/>
                <w:sz w:val="26"/>
                <w:szCs w:val="26"/>
                <w:color w:val="auto"/>
                <w:vertAlign w:val="superscript"/>
              </w:rPr>
              <w:t>(1)</w:t>
            </w:r>
          </w:p>
        </w:tc>
        <w:tc>
          <w:tcPr>
            <w:tcW w:w="2540" w:type="dxa"/>
            <w:vAlign w:val="bottom"/>
          </w:tcPr>
          <w:p>
            <w:pPr>
              <w:jc w:val="right"/>
              <w:ind w:right="190"/>
              <w:spacing w:after="0"/>
              <w:rPr>
                <w:sz w:val="20"/>
                <w:szCs w:val="20"/>
                <w:color w:val="auto"/>
              </w:rPr>
            </w:pPr>
            <w:r>
              <w:rPr>
                <w:rFonts w:ascii="Arial" w:cs="Arial" w:eastAsia="Arial" w:hAnsi="Arial"/>
                <w:sz w:val="18"/>
                <w:szCs w:val="18"/>
                <w:color w:val="auto"/>
              </w:rPr>
              <w:t>60.3 %</w:t>
            </w:r>
          </w:p>
        </w:tc>
        <w:tc>
          <w:tcPr>
            <w:tcW w:w="2620" w:type="dxa"/>
            <w:vAlign w:val="bottom"/>
          </w:tcPr>
          <w:p>
            <w:pPr>
              <w:jc w:val="right"/>
              <w:ind w:right="1710"/>
              <w:spacing w:after="0"/>
              <w:rPr>
                <w:sz w:val="20"/>
                <w:szCs w:val="20"/>
                <w:color w:val="auto"/>
              </w:rPr>
            </w:pPr>
            <w:r>
              <w:rPr>
                <w:rFonts w:ascii="Arial" w:cs="Arial" w:eastAsia="Arial" w:hAnsi="Arial"/>
                <w:sz w:val="18"/>
                <w:szCs w:val="18"/>
                <w:color w:val="auto"/>
              </w:rPr>
              <w:t>58.9 %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-17780</wp:posOffset>
            </wp:positionV>
            <wp:extent cx="141414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41" w:lineRule="exact"/>
        <w:rPr>
          <w:sz w:val="20"/>
          <w:szCs w:val="20"/>
          <w:color w:val="auto"/>
        </w:rPr>
      </w:pPr>
    </w:p>
    <w:p>
      <w:pPr>
        <w:jc w:val="both"/>
        <w:ind w:left="480" w:right="79" w:hanging="322"/>
        <w:spacing w:after="0" w:line="257" w:lineRule="auto"/>
        <w:tabs>
          <w:tab w:leader="none" w:pos="480" w:val="left"/>
        </w:tabs>
        <w:numPr>
          <w:ilvl w:val="0"/>
          <w:numId w:val="17"/>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hyperlink w:anchor="page72">
        <w:r>
          <w:rPr>
            <w:rFonts w:ascii="Arial" w:cs="Arial" w:eastAsia="Arial" w:hAnsi="Arial"/>
            <w:sz w:val="14"/>
            <w:szCs w:val="14"/>
            <w:i w:val="1"/>
            <w:iCs w:val="1"/>
            <w:u w:val="single" w:color="auto"/>
            <w:color w:val="0000EE"/>
          </w:rPr>
          <w:t>Item 2. Management’s Discussion and Analysis—Non-GAAP Financial Information</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000" w:type="dxa"/>
            <w:vAlign w:val="bottom"/>
          </w:tcPr>
          <w:p>
            <w:pPr>
              <w:spacing w:after="0"/>
              <w:rPr>
                <w:sz w:val="16"/>
                <w:szCs w:val="16"/>
                <w:color w:val="auto"/>
              </w:rPr>
            </w:pPr>
          </w:p>
        </w:tc>
        <w:tc>
          <w:tcPr>
            <w:tcW w:w="204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Six Months Ended June 30,</w:t>
            </w:r>
          </w:p>
        </w:tc>
        <w:tc>
          <w:tcPr>
            <w:tcW w:w="120" w:type="dxa"/>
            <w:vAlign w:val="bottom"/>
          </w:tcPr>
          <w:p>
            <w:pPr>
              <w:spacing w:after="0"/>
              <w:rPr>
                <w:sz w:val="16"/>
                <w:szCs w:val="16"/>
                <w:color w:val="auto"/>
              </w:rPr>
            </w:pP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920" w:type="dxa"/>
            <w:vAlign w:val="bottom"/>
            <w:gridSpan w:val="2"/>
            <w:vMerge w:val="restart"/>
          </w:tcPr>
          <w:p>
            <w:pPr>
              <w:jc w:val="right"/>
              <w:ind w:right="22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6"/>
        </w:trPr>
        <w:tc>
          <w:tcPr>
            <w:tcW w:w="50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ind w:right="171"/>
              <w:spacing w:after="0" w:line="155" w:lineRule="exact"/>
              <w:rPr>
                <w:sz w:val="20"/>
                <w:szCs w:val="20"/>
                <w:color w:val="auto"/>
              </w:rPr>
            </w:pPr>
            <w:r>
              <w:rPr>
                <w:rFonts w:ascii="Arial" w:cs="Arial" w:eastAsia="Arial" w:hAnsi="Arial"/>
                <w:sz w:val="14"/>
                <w:szCs w:val="14"/>
                <w:b w:val="1"/>
                <w:bCs w:val="1"/>
                <w:color w:val="auto"/>
              </w:rPr>
              <w:t>2022</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jc w:val="right"/>
              <w:ind w:right="151"/>
              <w:spacing w:after="0" w:line="155" w:lineRule="exact"/>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Noninterest expense</w:t>
            </w:r>
          </w:p>
        </w:tc>
        <w:tc>
          <w:tcPr>
            <w:tcW w:w="10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line="202" w:lineRule="exact"/>
              <w:rPr>
                <w:sz w:val="20"/>
                <w:szCs w:val="20"/>
                <w:color w:val="auto"/>
              </w:rPr>
            </w:pPr>
            <w:r>
              <w:rPr>
                <w:rFonts w:ascii="Arial" w:cs="Arial" w:eastAsia="Arial" w:hAnsi="Arial"/>
                <w:sz w:val="18"/>
                <w:szCs w:val="18"/>
                <w:color w:val="auto"/>
              </w:rPr>
              <w:t>Salaries, wages, and employee benefits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77,464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65,273</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12,191</w:t>
            </w:r>
          </w:p>
        </w:tc>
        <w:tc>
          <w:tcPr>
            <w:tcW w:w="1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18.7 %</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Data processing</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10,353</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9,099</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1,254</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Premises expenses: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440"/>
              <w:spacing w:after="0" w:line="202" w:lineRule="exact"/>
              <w:rPr>
                <w:sz w:val="20"/>
                <w:szCs w:val="20"/>
                <w:color w:val="auto"/>
              </w:rPr>
            </w:pPr>
            <w:r>
              <w:rPr>
                <w:rFonts w:ascii="Arial" w:cs="Arial" w:eastAsia="Arial" w:hAnsi="Arial"/>
                <w:sz w:val="18"/>
                <w:szCs w:val="18"/>
                <w:color w:val="auto"/>
              </w:rPr>
              <w:t>Net occupancy expense of premises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9,787</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8,809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978</w:t>
            </w:r>
          </w:p>
        </w:tc>
        <w:tc>
          <w:tcPr>
            <w:tcW w:w="1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11.1 %</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Furniture and equipment expenses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4,075</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4,092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w:t>
            </w: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168"/>
        </w:trPr>
        <w:tc>
          <w:tcPr>
            <w:tcW w:w="5000" w:type="dxa"/>
            <w:vAlign w:val="bottom"/>
          </w:tcPr>
          <w:p>
            <w:pPr>
              <w:ind w:left="220"/>
              <w:spacing w:after="0" w:line="168" w:lineRule="exact"/>
              <w:rPr>
                <w:sz w:val="20"/>
                <w:szCs w:val="20"/>
                <w:color w:val="auto"/>
              </w:rPr>
            </w:pPr>
            <w:r>
              <w:rPr>
                <w:rFonts w:ascii="Arial" w:cs="Arial" w:eastAsia="Arial" w:hAnsi="Arial"/>
                <w:sz w:val="18"/>
                <w:szCs w:val="18"/>
                <w:color w:val="auto"/>
                <w:w w:val="98"/>
              </w:rPr>
              <w:t>Combined, net occupancy expense of premises and furniture</w:t>
            </w: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5000" w:type="dxa"/>
            <w:vAlign w:val="bottom"/>
          </w:tcPr>
          <w:p>
            <w:pPr>
              <w:ind w:left="220"/>
              <w:spacing w:after="0"/>
              <w:rPr>
                <w:sz w:val="20"/>
                <w:szCs w:val="20"/>
                <w:color w:val="auto"/>
              </w:rPr>
            </w:pPr>
            <w:r>
              <w:rPr>
                <w:rFonts w:ascii="Arial" w:cs="Arial" w:eastAsia="Arial" w:hAnsi="Arial"/>
                <w:sz w:val="18"/>
                <w:szCs w:val="18"/>
                <w:color w:val="auto"/>
              </w:rPr>
              <w:t>and equipment expenses</w:t>
            </w: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13,862</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12,901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961</w:t>
            </w:r>
          </w:p>
        </w:tc>
        <w:tc>
          <w:tcPr>
            <w:tcW w:w="16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7.4 %</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line="202" w:lineRule="exact"/>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3,114</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4,256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(1,142)</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5,962</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5,051</w:t>
            </w: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911</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18.0 %</w:t>
            </w:r>
          </w:p>
        </w:tc>
        <w:tc>
          <w:tcPr>
            <w:tcW w:w="0" w:type="dxa"/>
            <w:vAlign w:val="bottom"/>
          </w:tcPr>
          <w:p>
            <w:pPr>
              <w:spacing w:after="0"/>
              <w:rPr>
                <w:sz w:val="1"/>
                <w:szCs w:val="1"/>
                <w:color w:val="auto"/>
              </w:rPr>
            </w:pPr>
          </w:p>
        </w:tc>
      </w:tr>
      <w:tr>
        <w:trPr>
          <w:trHeight w:val="203"/>
        </w:trPr>
        <w:tc>
          <w:tcPr>
            <w:tcW w:w="5000" w:type="dxa"/>
            <w:vAlign w:val="bottom"/>
          </w:tcPr>
          <w:p>
            <w:pPr>
              <w:ind w:left="220"/>
              <w:spacing w:after="0" w:line="202" w:lineRule="exact"/>
              <w:rPr>
                <w:sz w:val="20"/>
                <w:szCs w:val="20"/>
                <w:color w:val="auto"/>
              </w:rPr>
            </w:pPr>
            <w:r>
              <w:rPr>
                <w:rFonts w:ascii="Arial" w:cs="Arial" w:eastAsia="Arial" w:hAnsi="Arial"/>
                <w:sz w:val="18"/>
                <w:szCs w:val="18"/>
                <w:color w:val="auto"/>
              </w:rPr>
              <w:t>Interchange expense</w:t>
            </w: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3,032</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2,926</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106</w:t>
            </w:r>
          </w:p>
        </w:tc>
        <w:tc>
          <w:tcPr>
            <w:tcW w:w="160" w:type="dxa"/>
            <w:vAlign w:val="bottom"/>
          </w:tcPr>
          <w:p>
            <w:pPr>
              <w:spacing w:after="0"/>
              <w:rPr>
                <w:sz w:val="17"/>
                <w:szCs w:val="17"/>
                <w:color w:val="auto"/>
              </w:rPr>
            </w:pP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25,681</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17,618</w:t>
            </w:r>
          </w:p>
        </w:tc>
        <w:tc>
          <w:tcPr>
            <w:tcW w:w="2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8,063</w:t>
            </w:r>
          </w:p>
        </w:tc>
        <w:tc>
          <w:tcPr>
            <w:tcW w:w="16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45.8 %</w:t>
            </w:r>
          </w:p>
        </w:tc>
        <w:tc>
          <w:tcPr>
            <w:tcW w:w="0" w:type="dxa"/>
            <w:vAlign w:val="bottom"/>
          </w:tcPr>
          <w:p>
            <w:pPr>
              <w:spacing w:after="0"/>
              <w:rPr>
                <w:sz w:val="1"/>
                <w:szCs w:val="1"/>
                <w:color w:val="auto"/>
              </w:rPr>
            </w:pPr>
          </w:p>
        </w:tc>
      </w:tr>
      <w:tr>
        <w:trPr>
          <w:trHeight w:val="236"/>
        </w:trPr>
        <w:tc>
          <w:tcPr>
            <w:tcW w:w="500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Total noninterest expense</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139,468</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89"/>
              </w:rPr>
              <w:t>117,124</w:t>
            </w:r>
          </w:p>
        </w:tc>
        <w:tc>
          <w:tcPr>
            <w:tcW w:w="2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22,344</w:t>
            </w:r>
          </w:p>
        </w:tc>
        <w:tc>
          <w:tcPr>
            <w:tcW w:w="160" w:type="dxa"/>
            <w:vAlign w:val="bottom"/>
            <w:tcBorders>
              <w:bottom w:val="single" w:sz="8" w:color="CCEEFF"/>
            </w:tcBorders>
          </w:tcPr>
          <w:p>
            <w:pPr>
              <w:spacing w:after="0"/>
              <w:rPr>
                <w:sz w:val="20"/>
                <w:szCs w:val="20"/>
                <w:color w:val="auto"/>
              </w:rPr>
            </w:pPr>
          </w:p>
        </w:tc>
        <w:tc>
          <w:tcPr>
            <w:tcW w:w="92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19.1 %</w:t>
            </w:r>
          </w:p>
        </w:tc>
        <w:tc>
          <w:tcPr>
            <w:tcW w:w="0" w:type="dxa"/>
            <w:vAlign w:val="bottom"/>
          </w:tcPr>
          <w:p>
            <w:pPr>
              <w:spacing w:after="0"/>
              <w:rPr>
                <w:sz w:val="1"/>
                <w:szCs w:val="1"/>
                <w:color w:val="auto"/>
              </w:rPr>
            </w:pPr>
          </w:p>
        </w:tc>
      </w:tr>
      <w:tr>
        <w:trPr>
          <w:trHeight w:val="183"/>
        </w:trPr>
        <w:tc>
          <w:tcPr>
            <w:tcW w:w="5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00" w:type="dxa"/>
            <w:vAlign w:val="bottom"/>
          </w:tcPr>
          <w:p>
            <w:pPr>
              <w:ind w:left="20"/>
              <w:spacing w:after="0" w:line="202" w:lineRule="exact"/>
              <w:rPr>
                <w:sz w:val="20"/>
                <w:szCs w:val="20"/>
                <w:color w:val="auto"/>
              </w:rPr>
            </w:pPr>
            <w:r>
              <w:rPr>
                <w:rFonts w:ascii="Arial" w:cs="Arial" w:eastAsia="Arial" w:hAnsi="Arial"/>
                <w:sz w:val="18"/>
                <w:szCs w:val="18"/>
                <w:color w:val="auto"/>
              </w:rPr>
              <w:t>Income taxes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13,644</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17,681</w:t>
            </w:r>
          </w:p>
        </w:tc>
        <w:tc>
          <w:tcPr>
            <w:tcW w:w="24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(4,037)</w:t>
            </w:r>
          </w:p>
        </w:tc>
        <w:tc>
          <w:tcPr>
            <w:tcW w:w="9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Effective income tax rate</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19.0 %</w:t>
            </w:r>
          </w:p>
        </w:tc>
        <w:tc>
          <w:tcPr>
            <w:tcW w:w="1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20.7 %</w:t>
            </w: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0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Efficiency ratio </w:t>
            </w:r>
            <w:r>
              <w:rPr>
                <w:rFonts w:ascii="Arial" w:cs="Arial" w:eastAsia="Arial" w:hAnsi="Arial"/>
                <w:sz w:val="25"/>
                <w:szCs w:val="25"/>
                <w:color w:val="auto"/>
                <w:vertAlign w:val="superscript"/>
              </w:rPr>
              <w:t>(1)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61.8 %</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58.2 %</w:t>
            </w: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00" w:type="dxa"/>
            <w:vAlign w:val="bottom"/>
          </w:tcPr>
          <w:p>
            <w:pPr>
              <w:ind w:left="20"/>
              <w:spacing w:after="0" w:line="216" w:lineRule="exact"/>
              <w:rPr>
                <w:sz w:val="20"/>
                <w:szCs w:val="20"/>
                <w:color w:val="auto"/>
              </w:rPr>
            </w:pPr>
            <w:r>
              <w:rPr>
                <w:rFonts w:ascii="Arial" w:cs="Arial" w:eastAsia="Arial" w:hAnsi="Arial"/>
                <w:sz w:val="17"/>
                <w:szCs w:val="17"/>
                <w:color w:val="auto"/>
              </w:rPr>
              <w:t xml:space="preserve">Adjusted efficiency ratio </w:t>
            </w:r>
            <w:r>
              <w:rPr>
                <w:rFonts w:ascii="Arial" w:cs="Arial" w:eastAsia="Arial" w:hAnsi="Arial"/>
                <w:sz w:val="25"/>
                <w:szCs w:val="25"/>
                <w:color w:val="auto"/>
                <w:vertAlign w:val="superscript"/>
              </w:rPr>
              <w:t>(1)</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61.2 %</w:t>
            </w:r>
          </w:p>
        </w:tc>
        <w:tc>
          <w:tcPr>
            <w:tcW w:w="120" w:type="dxa"/>
            <w:vAlign w:val="bottom"/>
          </w:tcPr>
          <w:p>
            <w:pPr>
              <w:spacing w:after="0"/>
              <w:rPr>
                <w:sz w:val="18"/>
                <w:szCs w:val="18"/>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56.6 %</w:t>
            </w: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Full-time equivalent employees as of period-end</w:t>
            </w: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1,493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1,503</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50800</wp:posOffset>
            </wp:positionV>
            <wp:extent cx="141414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49" w:lineRule="exact"/>
        <w:rPr>
          <w:sz w:val="20"/>
          <w:szCs w:val="20"/>
          <w:color w:val="auto"/>
        </w:rPr>
      </w:pPr>
    </w:p>
    <w:p>
      <w:pPr>
        <w:jc w:val="both"/>
        <w:ind w:left="480" w:right="79" w:hanging="322"/>
        <w:spacing w:after="0" w:line="257" w:lineRule="auto"/>
        <w:tabs>
          <w:tab w:leader="none" w:pos="48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financial GAAP measures, see </w:t>
      </w:r>
      <w:r>
        <w:rPr>
          <w:rFonts w:ascii="Arial" w:cs="Arial" w:eastAsia="Arial" w:hAnsi="Arial"/>
          <w:sz w:val="14"/>
          <w:szCs w:val="14"/>
          <w:i w:val="1"/>
          <w:iCs w:val="1"/>
          <w:color w:val="auto"/>
        </w:rPr>
        <w:t>“</w:t>
      </w:r>
      <w:hyperlink w:anchor="page72">
        <w:r>
          <w:rPr>
            <w:rFonts w:ascii="Arial" w:cs="Arial" w:eastAsia="Arial" w:hAnsi="Arial"/>
            <w:sz w:val="14"/>
            <w:szCs w:val="14"/>
            <w:i w:val="1"/>
            <w:iCs w:val="1"/>
            <w:u w:val="single" w:color="auto"/>
            <w:color w:val="0000EE"/>
          </w:rPr>
          <w:t>Item 2. Management’s Discussion and Analysis—Non-GAAP Financial Information</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176"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Total noninterest expense was $69.1 million for the three months ended June 30, 2022, a 10.3% increase from the comparable period in 2021, and was $139.5 million for the six months ended June 30, 2022, a 19.1% increase from the comparable period in 2021. Results for the three and six months ended June 31, 2021, included one month of operating expenses for GSB, whereas results for the same periods in 2022 reflect the fully integrated acquisition for the complete periods.</w:t>
      </w:r>
    </w:p>
    <w:p>
      <w:pPr>
        <w:spacing w:after="0" w:line="176"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6"/>
          <w:szCs w:val="16"/>
          <w:color w:val="auto"/>
        </w:rPr>
        <w:t>Salaries, wages, and employee benefits were $38.1 million for the three months ended June 30, 2022, a 9.2% increase from the comparable period in 2021, and were $77.5 million for the six months ended June 30, 2022, an 18.7% increase from the comparable period in 2021. Full-time equivalents were 1,493 as of June 30, 2022, compared to 1,503 at June 30, 2021. Salaries, wages, and employee benefits increases are attributable to the Company’s acquisition of GSB as well as investments in its regional operating model, business line leadership, and risk management professionals. In addition, current labor market trends reflect a shrinking labor supply, while job growth reflects increasing demand for a skilled workforce, putting further upward pressure on salaries, wages, and employee benefits.</w:t>
      </w:r>
    </w:p>
    <w:p>
      <w:pPr>
        <w:spacing w:after="0" w:line="150"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Data processing expense was $5.4 million for the three months ended June 30, 2022, an 11.5% increase from the comparable period in 2021, and was $10.4 million for the six months ended June 30, 2022, a 13.8% increase from the comparable period in 2021. Increases were primarily attributable to higher expenses for software maintenance, web hosting, internet, and general data processing.</w:t>
      </w:r>
    </w:p>
    <w:p>
      <w:pPr>
        <w:spacing w:after="0" w:line="17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Combined, net occupancy expense of premises and furniture and equipment expense totaled $6.8 million for the three months ended June 30, 2022, a 7.2% increase from the comparable period in 2021, and $13.9 million for the six months ended June 30, 2022, a 7.4% increase from the comparable period in 2021. Increases are primarily attributable to higher maintenance costs, elevated utility costs, and increased real estate taxes.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Professional fees were $1.6 million for the three months ended June 30, 2022, a 30.5% decrease from the comparable period in 2021, and $3.1 million for the six months ended June 30, 2022, a 26.8% decrease from the comparable period in 2021. Non-operating expenses contributed $0.7 million and $1.0 of the decrease in professional fees for the three and six months ended June 30, 2022, compared to the three and six months ended June 30, 2021, respectively.</w:t>
      </w:r>
    </w:p>
    <w:p>
      <w:pPr>
        <w:spacing w:after="0" w:line="14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Amortization of intangible assets was $3.0 million for the three months ended June 30, 2022, an 11.4% increase from the comparable period in 2021, and $6.0 million for the six months ended June 30, 2022, an 18.0% increase from the comparable period for 2021. Increases primarily related to intangible assets acquired in the acquisition of CAC during the second quarter of 2021.</w:t>
      </w:r>
    </w:p>
    <w:p>
      <w:pPr>
        <w:spacing w:after="0" w:line="174"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Interchange expense was $1.5 million for the three months ended June 30, 2022, a 3.1% increase from the comparable period in 2021, and was $3.0 million for the six months ended June 30, 2022, a 3.6% increase from the comparable period in 2021. Fluctuations in interchange expense were primarily the result of increased payment and volume activity at FirsTech.</w:t>
      </w:r>
    </w:p>
    <w:p>
      <w:pPr>
        <w:spacing w:after="0" w:line="174"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Other expense was $12.8 million for the three months ended June 30, 2022, a $2.6 million increase from the comparable period in 2021, and was $25.7 million for the six months ended June 30, 2022, an $8.1 million increase from the comparable period in 2021. Increases were across multiple expense categories including business development, NMTC amortization, regulatory expenses and fluctuations in provision for unfunded commitments.</w:t>
      </w:r>
    </w:p>
    <w:p>
      <w:pPr>
        <w:spacing w:after="0" w:line="149" w:lineRule="exact"/>
        <w:rPr>
          <w:sz w:val="20"/>
          <w:szCs w:val="20"/>
          <w:color w:val="auto"/>
        </w:rPr>
      </w:pPr>
    </w:p>
    <w:p>
      <w:pPr>
        <w:jc w:val="both"/>
        <w:ind w:left="60" w:right="59"/>
        <w:spacing w:after="0" w:line="201" w:lineRule="auto"/>
        <w:rPr>
          <w:rFonts w:ascii="Arial" w:cs="Arial" w:eastAsia="Arial" w:hAnsi="Arial"/>
          <w:sz w:val="18"/>
          <w:szCs w:val="18"/>
          <w:color w:val="auto"/>
        </w:rPr>
      </w:pPr>
      <w:r>
        <w:rPr>
          <w:rFonts w:ascii="Arial" w:cs="Arial" w:eastAsia="Arial" w:hAnsi="Arial"/>
          <w:sz w:val="18"/>
          <w:szCs w:val="18"/>
          <w:color w:val="auto"/>
        </w:rPr>
        <w:t>The efficiency ratio</w:t>
      </w:r>
      <w:r>
        <w:rPr>
          <w:rFonts w:ascii="Arial" w:cs="Arial" w:eastAsia="Arial" w:hAnsi="Arial"/>
          <w:sz w:val="26"/>
          <w:szCs w:val="26"/>
          <w:color w:val="auto"/>
          <w:vertAlign w:val="superscript"/>
        </w:rPr>
        <w:t>(</w:t>
      </w:r>
      <w:hyperlink w:anchor="page64">
        <w:r>
          <w:rPr>
            <w:rFonts w:ascii="Arial" w:cs="Arial" w:eastAsia="Arial" w:hAnsi="Arial"/>
            <w:sz w:val="26"/>
            <w:szCs w:val="26"/>
            <w:u w:val="single" w:color="auto"/>
            <w:color w:val="0000EE"/>
            <w:vertAlign w:val="superscript"/>
          </w:rPr>
          <w:t>1</w:t>
        </w:r>
      </w:hyperlink>
      <w:r>
        <w:rPr>
          <w:rFonts w:ascii="Arial" w:cs="Arial" w:eastAsia="Arial" w:hAnsi="Arial"/>
          <w:sz w:val="26"/>
          <w:szCs w:val="26"/>
          <w:color w:val="auto"/>
          <w:vertAlign w:val="superscript"/>
        </w:rPr>
        <w:t>)</w:t>
      </w:r>
      <w:r>
        <w:rPr>
          <w:rFonts w:ascii="Arial" w:cs="Arial" w:eastAsia="Arial" w:hAnsi="Arial"/>
          <w:sz w:val="18"/>
          <w:szCs w:val="18"/>
          <w:color w:val="auto"/>
        </w:rPr>
        <w:t>, which is a measure commonly used by management and the banking industry, measures the amount of expense incurred to generate a dollar of revenue. The efficiency ratios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were 60.6% and 61.8% for the three and six months ended June 30, 2022, respectively, compared to 61.7% and 58.2% for the three and six months ended June 30, 2021, respectively.</w:t>
      </w:r>
    </w:p>
    <w:p>
      <w:pPr>
        <w:spacing w:after="0" w:line="165" w:lineRule="exact"/>
        <w:rPr>
          <w:sz w:val="20"/>
          <w:szCs w:val="20"/>
          <w:color w:val="auto"/>
        </w:rPr>
      </w:pPr>
    </w:p>
    <w:p>
      <w:pPr>
        <w:jc w:val="both"/>
        <w:ind w:left="60" w:right="59"/>
        <w:spacing w:after="0" w:line="221" w:lineRule="auto"/>
        <w:rPr>
          <w:sz w:val="20"/>
          <w:szCs w:val="20"/>
          <w:color w:val="auto"/>
        </w:rPr>
      </w:pPr>
      <w:r>
        <w:rPr>
          <w:rFonts w:ascii="Arial" w:cs="Arial" w:eastAsia="Arial" w:hAnsi="Arial"/>
          <w:sz w:val="18"/>
          <w:szCs w:val="18"/>
          <w:color w:val="auto"/>
        </w:rPr>
        <w:t>The adjusted efficiency ratios</w:t>
      </w:r>
      <w:r>
        <w:rPr>
          <w:rFonts w:ascii="Arial" w:cs="Arial" w:eastAsia="Arial" w:hAnsi="Arial"/>
          <w:sz w:val="26"/>
          <w:szCs w:val="26"/>
          <w:color w:val="auto"/>
          <w:vertAlign w:val="superscript"/>
        </w:rPr>
        <w:t>(1)</w:t>
      </w:r>
      <w:r>
        <w:rPr>
          <w:rFonts w:ascii="Arial" w:cs="Arial" w:eastAsia="Arial" w:hAnsi="Arial"/>
          <w:sz w:val="18"/>
          <w:szCs w:val="18"/>
          <w:color w:val="auto"/>
        </w:rPr>
        <w:t xml:space="preserve"> were 60.3% and 61.2% for the three and six months ended June 30, 2022, respectively, compared to 58.9% and 56.6% for three and six months ended June 30, 2021. The Company remains focused on expense discipline, while making necessary investments to support the organic growth of our key business lines and related support and risk management functions.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Taxes</w:t>
      </w:r>
    </w:p>
    <w:p>
      <w:pPr>
        <w:spacing w:after="0" w:line="19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Effective income tax rates of 17.6% and 19.0% for the three and six months ended June 30, 2022, respectively, were lower than the combined federal and state statutory rate of approximately 28% due to tax exempt interest income, such as municipal bond interest and bank owned life insurance income, and investments in various federal and state tax credits. We continue to monitor evolving federal and state tax legislation and its potential impact on operations on an ongoing basis. As of June 30, 2022, we were not under examination by any tax authority; however, we have received an inquiry from the State of Illinois regarding our prior franchise tax filings. In the event the Company is required to amend our prior franchise tax filings, we could incur additional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286385</wp:posOffset>
            </wp:positionV>
            <wp:extent cx="141414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0" w:right="199" w:hanging="10"/>
        <w:spacing w:after="0" w:line="220" w:lineRule="auto"/>
        <w:tabs>
          <w:tab w:leader="none" w:pos="222"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The efficiency ratio and adjusted efficiency ratio are non-GAAP financial measures. For a reconciliation of non-GAAP measures to the most directly comparable GAAP financial measures, see </w:t>
      </w:r>
      <w:r>
        <w:rPr>
          <w:rFonts w:ascii="Arial" w:cs="Arial" w:eastAsia="Arial" w:hAnsi="Arial"/>
          <w:sz w:val="14"/>
          <w:szCs w:val="14"/>
          <w:i w:val="1"/>
          <w:iCs w:val="1"/>
          <w:color w:val="auto"/>
        </w:rPr>
        <w:t>“</w:t>
      </w:r>
      <w:hyperlink w:anchor="page72">
        <w:r>
          <w:rPr>
            <w:rFonts w:ascii="Arial" w:cs="Arial" w:eastAsia="Arial" w:hAnsi="Arial"/>
            <w:sz w:val="14"/>
            <w:szCs w:val="14"/>
            <w:i w:val="1"/>
            <w:iCs w:val="1"/>
            <w:u w:val="single" w:color="auto"/>
            <w:color w:val="0000EE"/>
          </w:rPr>
          <w:t>Item 2. Management’s Discussion and Analysis—Non-GAAP Financial Information</w:t>
        </w:r>
      </w:hyperlink>
      <w:r>
        <w:rPr>
          <w:rFonts w:ascii="Arial" w:cs="Arial" w:eastAsia="Arial" w:hAnsi="Arial"/>
          <w:sz w:val="14"/>
          <w:szCs w:val="14"/>
          <w:i w:val="1"/>
          <w:iCs w:val="1"/>
          <w:color w:val="auto"/>
        </w:rPr>
        <w:t>”</w:t>
      </w:r>
      <w:r>
        <w:rPr>
          <w:rFonts w:ascii="Arial" w:cs="Arial" w:eastAsia="Arial" w:hAnsi="Arial"/>
          <w:sz w:val="14"/>
          <w:szCs w:val="14"/>
          <w:color w:val="auto"/>
        </w:rPr>
        <w:t xml:space="preserve"> included in this Quarterly Report.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FINANCIAL CONDITION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Balance Sheet</w:t>
      </w:r>
    </w:p>
    <w:p>
      <w:pPr>
        <w:spacing w:after="0" w:line="198"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 xml:space="preserve">Changes in significant items included in our unaudited Consolidated Balance Sheets are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ind w:right="194"/>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020" w:type="dxa"/>
            <w:vAlign w:val="bottom"/>
            <w:gridSpan w:val="2"/>
          </w:tcPr>
          <w:p>
            <w:pPr>
              <w:jc w:val="right"/>
              <w:ind w:right="31"/>
              <w:spacing w:after="0" w:line="133" w:lineRule="exact"/>
              <w:rPr>
                <w:sz w:val="20"/>
                <w:szCs w:val="20"/>
                <w:color w:val="auto"/>
              </w:rPr>
            </w:pPr>
            <w:r>
              <w:rPr>
                <w:rFonts w:ascii="Arial" w:cs="Arial" w:eastAsia="Arial" w:hAnsi="Arial"/>
                <w:sz w:val="14"/>
                <w:szCs w:val="14"/>
                <w:b w:val="1"/>
                <w:bCs w:val="1"/>
                <w:color w:val="auto"/>
                <w:w w:val="96"/>
              </w:rPr>
              <w:t>December 31,</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jc w:val="right"/>
              <w:ind w:right="171"/>
              <w:spacing w:after="0"/>
              <w:rPr>
                <w:sz w:val="20"/>
                <w:szCs w:val="20"/>
                <w:color w:val="auto"/>
              </w:rPr>
            </w:pPr>
            <w:r>
              <w:rPr>
                <w:rFonts w:ascii="Arial" w:cs="Arial" w:eastAsia="Arial" w:hAnsi="Arial"/>
                <w:sz w:val="14"/>
                <w:szCs w:val="14"/>
                <w:b w:val="1"/>
                <w:bCs w:val="1"/>
                <w:color w:val="auto"/>
              </w:rPr>
              <w:t>Change</w:t>
            </w:r>
          </w:p>
        </w:tc>
        <w:tc>
          <w:tcPr>
            <w:tcW w:w="9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Debt securities available for sale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2,744,646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3,981,251</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1"/>
              </w:rPr>
              <w:t>(1,236,605)</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Debt securities held to maturity</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953,012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953,012</w:t>
            </w: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Portfolio loans, net of ACL</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7,409,021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7,101,111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307,910</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Total assets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12,356,433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12,859,689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(503,256)</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360" w:type="dxa"/>
            <w:vAlign w:val="bottom"/>
          </w:tcPr>
          <w:p>
            <w:pPr>
              <w:spacing w:after="0" w:line="202" w:lineRule="exact"/>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Deposits: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400"/>
              <w:spacing w:after="0" w:line="202" w:lineRule="exact"/>
              <w:rPr>
                <w:sz w:val="20"/>
                <w:szCs w:val="20"/>
                <w:color w:val="auto"/>
              </w:rPr>
            </w:pPr>
            <w:r>
              <w:rPr>
                <w:rFonts w:ascii="Arial" w:cs="Arial" w:eastAsia="Arial" w:hAnsi="Arial"/>
                <w:sz w:val="18"/>
                <w:szCs w:val="18"/>
                <w:color w:val="auto"/>
              </w:rPr>
              <w:t>Noninterest-bearing</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3,505,299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3,670,267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(164,968)</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400"/>
              <w:spacing w:after="0" w:line="202" w:lineRule="exact"/>
              <w:rPr>
                <w:sz w:val="20"/>
                <w:szCs w:val="20"/>
                <w:color w:val="auto"/>
              </w:rPr>
            </w:pPr>
            <w:r>
              <w:rPr>
                <w:rFonts w:ascii="Arial" w:cs="Arial" w:eastAsia="Arial" w:hAnsi="Arial"/>
                <w:sz w:val="18"/>
                <w:szCs w:val="18"/>
                <w:color w:val="auto"/>
              </w:rPr>
              <w:t>Interest-bearing</w:t>
            </w:r>
          </w:p>
        </w:tc>
        <w:tc>
          <w:tcPr>
            <w:tcW w:w="2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6,891,929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7,098,310</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(206,381)</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360" w:type="dxa"/>
            <w:vAlign w:val="bottom"/>
          </w:tcPr>
          <w:p>
            <w:pPr>
              <w:ind w:left="200"/>
              <w:spacing w:after="0" w:line="196" w:lineRule="exact"/>
              <w:rPr>
                <w:sz w:val="20"/>
                <w:szCs w:val="20"/>
                <w:color w:val="auto"/>
              </w:rPr>
            </w:pPr>
            <w:r>
              <w:rPr>
                <w:rFonts w:ascii="Arial" w:cs="Arial" w:eastAsia="Arial" w:hAnsi="Arial"/>
                <w:sz w:val="18"/>
                <w:szCs w:val="18"/>
                <w:color w:val="auto"/>
              </w:rPr>
              <w:t>Total deposits</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0"/>
              </w:rPr>
              <w:t>10,397,228</w:t>
            </w:r>
          </w:p>
        </w:tc>
        <w:tc>
          <w:tcPr>
            <w:tcW w:w="1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w w:val="90"/>
              </w:rPr>
              <w:t>10,768,577</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line="196" w:lineRule="exact"/>
              <w:rPr>
                <w:sz w:val="20"/>
                <w:szCs w:val="20"/>
                <w:color w:val="auto"/>
              </w:rPr>
            </w:pPr>
            <w:r>
              <w:rPr>
                <w:rFonts w:ascii="Arial" w:cs="Arial" w:eastAsia="Arial" w:hAnsi="Arial"/>
                <w:sz w:val="18"/>
                <w:szCs w:val="18"/>
                <w:color w:val="auto"/>
              </w:rPr>
              <w:t>(371,349)</w:t>
            </w:r>
          </w:p>
        </w:tc>
        <w:tc>
          <w:tcPr>
            <w:tcW w:w="980" w:type="dxa"/>
            <w:vAlign w:val="bottom"/>
            <w:gridSpan w:val="3"/>
          </w:tcPr>
          <w:p>
            <w:pPr>
              <w:jc w:val="right"/>
              <w:ind w:right="20"/>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Securities sold under agreements to repurchase</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228,383</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270,139</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(41,756)</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w w:val="94"/>
              </w:rPr>
              <w:t>Subordinated notes, net of unamortized issuance costs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281,304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182,773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98,531</w:t>
            </w:r>
          </w:p>
        </w:tc>
        <w:tc>
          <w:tcPr>
            <w:tcW w:w="98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53.9 %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w w:val="93"/>
              </w:rPr>
              <w:t>Junior subordinated debt owed to unconsolidated trusts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71,721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71,635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86</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0.1 %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3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11,194,476</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11,540,577</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rPr>
              <w:t>(346,101)</w:t>
            </w:r>
          </w:p>
        </w:tc>
        <w:tc>
          <w:tcPr>
            <w:tcW w:w="98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vMerge w:val="continue"/>
          </w:tcPr>
          <w:p>
            <w:pPr>
              <w:spacing w:after="0"/>
              <w:rPr>
                <w:sz w:val="20"/>
                <w:szCs w:val="20"/>
                <w:color w:val="auto"/>
              </w:rPr>
            </w:pPr>
          </w:p>
        </w:tc>
        <w:tc>
          <w:tcPr>
            <w:tcW w:w="436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1,161,957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1,319,112</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(157,155)</w:t>
            </w:r>
          </w:p>
        </w:tc>
        <w:tc>
          <w:tcPr>
            <w:tcW w:w="980" w:type="dxa"/>
            <w:vAlign w:val="bottom"/>
            <w:gridSpan w:val="3"/>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Portfolio Loans</w:t>
      </w:r>
    </w:p>
    <w:p>
      <w:pPr>
        <w:spacing w:after="0" w:line="19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7"/>
          <w:szCs w:val="17"/>
          <w:color w:val="auto"/>
        </w:rPr>
        <w:t>We believe that making sound and profitable loans is a necessary and desirable means of employing funds available for investment. First Busey maintains lending policies and procedures designed to focus lending efforts on the types, locations, and duration of loans most appropriate for its business model and markets. While not specifically limited, we attempt to focus our lending on short to intermediate-term (0-10 years) loans in geographic areas within 125 miles of our lending offices. Loans originated outside of these areas are generally residential mortgage loans originated for sale in the secondary market or loans to existing customers of Busey Bank. We attempt to utilize government-assisted lending programs, such as the SBA and U.S. Department of Agriculture lending programs, when prudent. Generally, loans are collateralized by assets, primarily real estate, and guaranteed by individuals. Loans are expected to be repaid primarily from cash flows of the borrowers or from proceeds from the sale of selected assets of the borrowers.</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Management reviews and approves Busey Bank’s lending policies and procedures on a regular basis. Management routinely (at least quarterly) reviews the ACL in conjunction with reports related to loan production, loan quality, concentrations of credit, loan delinquencies, non-performing loans, and potential problem loans. Our underwriting standards are designed to encourage relationship banking rather than transactional banking. Relationship banking implies a primary banking relationship with the borrower that includes, at a minimum, an active deposit banking relationship in addition to the lending relationship. Significant underwriting factors, in addition to location, duration, a sound and profitable cash flow basis, and the borrower’s character, include the quality of the borrower’s financial history, the liquidity of the underlying collateral, and the reliability of the valuation of the underlying collateral.</w:t>
      </w:r>
    </w:p>
    <w:p>
      <w:pPr>
        <w:spacing w:after="0" w:line="167"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The Company maintains a well-diversified loan portfolio and, as a matter of policy and practice, limits concentration exposure in any particular loan segment.</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6"/>
          <w:szCs w:val="16"/>
          <w:color w:val="auto"/>
        </w:rPr>
        <w:t>At no time is a borrower’s total borrowing relationship permitted to exceed Busey Bank’s regulatory lending limit. We generally limit such relationships to amounts substantially less than the regulatory limit. Loans to related parties, including executive officers and directors of First Busey and its subsidiaries, are reviewed for compliance with regulatory guidelines.</w:t>
      </w:r>
    </w:p>
    <w:p>
      <w:pPr>
        <w:spacing w:after="0" w:line="134" w:lineRule="exact"/>
        <w:rPr>
          <w:sz w:val="20"/>
          <w:szCs w:val="20"/>
          <w:color w:val="auto"/>
        </w:rPr>
      </w:pPr>
    </w:p>
    <w:p>
      <w:pPr>
        <w:jc w:val="both"/>
        <w:ind w:left="60" w:right="79"/>
        <w:spacing w:after="0" w:line="294" w:lineRule="auto"/>
        <w:rPr>
          <w:sz w:val="20"/>
          <w:szCs w:val="20"/>
          <w:color w:val="auto"/>
        </w:rPr>
      </w:pPr>
      <w:r>
        <w:rPr>
          <w:rFonts w:ascii="Arial" w:cs="Arial" w:eastAsia="Arial" w:hAnsi="Arial"/>
          <w:sz w:val="16"/>
          <w:szCs w:val="16"/>
          <w:color w:val="auto"/>
        </w:rPr>
        <w:t>First Busey maintains an independent loan review department that reviews loans for compliance with our loan policy on a periodic basis. In addition, the loan review department reviews risk assessments made by our credit department, lenders, and loan committees. Results of these reviews are presented to management and the audit committee at least quarterly.</w:t>
      </w:r>
    </w:p>
    <w:p>
      <w:pPr>
        <w:spacing w:after="0" w:line="134"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Busey Bank’s lending activities can be summarized into five primary areas: commercial loans, commercial real estate loans, real estate construction loans, retail real estate loans, and retail other loans. A description of each of the lending areas can be found in the Company’s 2021 Annual Report. A significant majority of our portfolio lending activity occurs in the Illinois and Missouri markets, with the remainder in the Florida and Indiana markets.</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Geographic distributions of portfolio loans, based on originations, by category were as follows </w:t>
      </w:r>
      <w:r>
        <w:rPr>
          <w:rFonts w:ascii="Arial" w:cs="Arial" w:eastAsia="Arial" w:hAnsi="Arial"/>
          <w:sz w:val="17"/>
          <w:szCs w:val="17"/>
          <w:i w:val="1"/>
          <w:iCs w:val="1"/>
          <w:color w:val="auto"/>
        </w:rPr>
        <w:t>(dollars in thousands)</w:t>
      </w:r>
      <w:r>
        <w:rPr>
          <w:rFonts w:ascii="Arial" w:cs="Arial" w:eastAsia="Arial" w:hAnsi="Arial"/>
          <w:sz w:val="17"/>
          <w:szCs w:val="17"/>
          <w:color w:val="auto"/>
        </w:rPr>
        <w:t>:</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92"/>
              </w:rPr>
              <w:t>June 30, 2022</w:t>
            </w: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Missouri</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Florida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9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$ 1,352,370</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464,002</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50,997</w:t>
            </w: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52,311</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1,919,680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2,175,947</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682,013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205,289</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164,841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3,228,090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258,643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140,998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37,627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28,917</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466,185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1,197,150</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210,838</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115,543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67,382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1,590,913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287,502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1,783</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2,215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1,410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292,910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$ 5,271,612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1,499,634</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411,671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314,861</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7,497,778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ACL</w:t>
            </w: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(88,757)</w:t>
            </w:r>
          </w:p>
        </w:tc>
        <w:tc>
          <w:tcPr>
            <w:tcW w:w="0" w:type="dxa"/>
            <w:vAlign w:val="bottom"/>
          </w:tcPr>
          <w:p>
            <w:pPr>
              <w:spacing w:after="0"/>
              <w:rPr>
                <w:sz w:val="1"/>
                <w:szCs w:val="1"/>
                <w:color w:val="auto"/>
              </w:rPr>
            </w:pPr>
          </w:p>
        </w:tc>
      </w:tr>
      <w:tr>
        <w:trPr>
          <w:trHeight w:val="196"/>
        </w:trPr>
        <w:tc>
          <w:tcPr>
            <w:tcW w:w="28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7,409,021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8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1"/>
              </w:rPr>
              <w:t>December 31, 2021</w:t>
            </w: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5"/>
            <w:vMerge w:val="continue"/>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8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Illinois</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jc w:val="right"/>
              <w:ind w:right="73"/>
              <w:spacing w:after="0" w:line="155" w:lineRule="exact"/>
              <w:rPr>
                <w:sz w:val="20"/>
                <w:szCs w:val="20"/>
                <w:color w:val="auto"/>
              </w:rPr>
            </w:pPr>
            <w:r>
              <w:rPr>
                <w:rFonts w:ascii="Arial" w:cs="Arial" w:eastAsia="Arial" w:hAnsi="Arial"/>
                <w:sz w:val="14"/>
                <w:szCs w:val="14"/>
                <w:b w:val="1"/>
                <w:bCs w:val="1"/>
                <w:color w:val="auto"/>
              </w:rPr>
              <w:t>Missouri</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5" w:lineRule="exact"/>
              <w:rPr>
                <w:sz w:val="20"/>
                <w:szCs w:val="20"/>
                <w:color w:val="auto"/>
              </w:rPr>
            </w:pPr>
            <w:r>
              <w:rPr>
                <w:rFonts w:ascii="Arial" w:cs="Arial" w:eastAsia="Arial" w:hAnsi="Arial"/>
                <w:sz w:val="14"/>
                <w:szCs w:val="14"/>
                <w:b w:val="1"/>
                <w:bCs w:val="1"/>
                <w:color w:val="auto"/>
                <w:w w:val="98"/>
              </w:rPr>
              <w:t>Florida</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jc w:val="right"/>
              <w:ind w:right="113"/>
              <w:spacing w:after="0" w:line="155" w:lineRule="exact"/>
              <w:rPr>
                <w:sz w:val="20"/>
                <w:szCs w:val="20"/>
                <w:color w:val="auto"/>
              </w:rPr>
            </w:pPr>
            <w:r>
              <w:rPr>
                <w:rFonts w:ascii="Arial" w:cs="Arial" w:eastAsia="Arial" w:hAnsi="Arial"/>
                <w:sz w:val="14"/>
                <w:szCs w:val="14"/>
                <w:b w:val="1"/>
                <w:bCs w:val="1"/>
                <w:color w:val="auto"/>
              </w:rPr>
              <w:t>Indiana</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jc w:val="right"/>
              <w:ind w:right="232"/>
              <w:spacing w:after="0" w:line="155"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92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Commercial</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$ 1,372,584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463,085</w:t>
            </w:r>
          </w:p>
        </w:tc>
        <w:tc>
          <w:tcPr>
            <w:tcW w:w="32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55,180</w:t>
            </w:r>
          </w:p>
        </w:tc>
        <w:tc>
          <w:tcPr>
            <w:tcW w:w="120" w:type="dxa"/>
            <w:vAlign w:val="bottom"/>
          </w:tcPr>
          <w:p>
            <w:pPr>
              <w:spacing w:after="0"/>
              <w:rPr>
                <w:sz w:val="17"/>
                <w:szCs w:val="17"/>
                <w:color w:val="auto"/>
              </w:rPr>
            </w:pPr>
          </w:p>
        </w:tc>
        <w:tc>
          <w:tcPr>
            <w:tcW w:w="16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53,037</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w w:val="92"/>
              </w:rPr>
              <w:t>1,943,886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Commercial real estate</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2,063,681</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691,969</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191,303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172,854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3,119,807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Real estate construction</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199,471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120,785</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31,265</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34,475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385,996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Retail real estate</w:t>
            </w:r>
          </w:p>
        </w:tc>
        <w:tc>
          <w:tcPr>
            <w:tcW w:w="18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1,124,486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235,083</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96,563</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56,844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2"/>
              </w:rPr>
              <w:t>1,512,976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860" w:type="dxa"/>
            <w:vAlign w:val="bottom"/>
          </w:tcPr>
          <w:p>
            <w:pPr>
              <w:ind w:left="220"/>
              <w:spacing w:after="0" w:line="202" w:lineRule="exact"/>
              <w:rPr>
                <w:sz w:val="20"/>
                <w:szCs w:val="20"/>
                <w:color w:val="auto"/>
              </w:rPr>
            </w:pPr>
            <w:r>
              <w:rPr>
                <w:rFonts w:ascii="Arial" w:cs="Arial" w:eastAsia="Arial" w:hAnsi="Arial"/>
                <w:sz w:val="18"/>
                <w:szCs w:val="18"/>
                <w:color w:val="auto"/>
              </w:rPr>
              <w:t>Retail other</w:t>
            </w:r>
          </w:p>
        </w:tc>
        <w:tc>
          <w:tcPr>
            <w:tcW w:w="18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219,000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3,684</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2,181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jc w:val="right"/>
              <w:spacing w:after="0" w:line="202" w:lineRule="exact"/>
              <w:rPr>
                <w:sz w:val="20"/>
                <w:szCs w:val="20"/>
                <w:color w:val="auto"/>
              </w:rPr>
            </w:pPr>
            <w:r>
              <w:rPr>
                <w:rFonts w:ascii="Arial" w:cs="Arial" w:eastAsia="Arial" w:hAnsi="Arial"/>
                <w:sz w:val="18"/>
                <w:szCs w:val="18"/>
                <w:color w:val="auto"/>
              </w:rPr>
              <w:t>1,468</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jc w:val="right"/>
              <w:spacing w:after="0" w:line="202" w:lineRule="exact"/>
              <w:rPr>
                <w:sz w:val="20"/>
                <w:szCs w:val="20"/>
                <w:color w:val="auto"/>
              </w:rPr>
            </w:pPr>
            <w:r>
              <w:rPr>
                <w:rFonts w:ascii="Arial" w:cs="Arial" w:eastAsia="Arial" w:hAnsi="Arial"/>
                <w:sz w:val="18"/>
                <w:szCs w:val="18"/>
                <w:color w:val="auto"/>
              </w:rPr>
              <w:t>226,333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8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$ 4,979,222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1,514,606</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376,492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318,678</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7,188,998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ACL</w:t>
            </w:r>
          </w:p>
        </w:tc>
        <w:tc>
          <w:tcPr>
            <w:tcW w:w="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(87,887)</w:t>
            </w:r>
          </w:p>
        </w:tc>
        <w:tc>
          <w:tcPr>
            <w:tcW w:w="0" w:type="dxa"/>
            <w:vAlign w:val="bottom"/>
          </w:tcPr>
          <w:p>
            <w:pPr>
              <w:spacing w:after="0"/>
              <w:rPr>
                <w:sz w:val="1"/>
                <w:szCs w:val="1"/>
                <w:color w:val="auto"/>
              </w:rPr>
            </w:pPr>
          </w:p>
        </w:tc>
      </w:tr>
      <w:tr>
        <w:trPr>
          <w:trHeight w:val="196"/>
        </w:trPr>
        <w:tc>
          <w:tcPr>
            <w:tcW w:w="288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7,101,111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840" w:type="dxa"/>
            <w:vAlign w:val="bottom"/>
            <w:gridSpan w:val="2"/>
            <w:vMerge w:val="restart"/>
          </w:tcPr>
          <w:p>
            <w:pPr>
              <w:jc w:val="right"/>
              <w:ind w:right="79"/>
              <w:spacing w:after="0"/>
              <w:rPr>
                <w:sz w:val="20"/>
                <w:szCs w:val="20"/>
                <w:color w:val="auto"/>
              </w:rPr>
            </w:pPr>
            <w:r>
              <w:rPr>
                <w:rFonts w:ascii="Arial" w:cs="Arial" w:eastAsia="Arial" w:hAnsi="Arial"/>
                <w:sz w:val="18"/>
                <w:szCs w:val="18"/>
                <w:color w:val="auto"/>
              </w:rPr>
              <w:t>66</w:t>
            </w: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1"/>
        </w:trPr>
        <w:tc>
          <w:tcPr>
            <w:tcW w:w="2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18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color w:val="auto"/>
        </w:rPr>
        <w:t xml:space="preserve">Changes in portfolio loan balances were as follows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1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4920" w:type="dxa"/>
            <w:vAlign w:val="bottom"/>
          </w:tcPr>
          <w:p>
            <w:pPr>
              <w:spacing w:after="0"/>
              <w:rPr>
                <w:sz w:val="11"/>
                <w:szCs w:val="11"/>
                <w:color w:val="auto"/>
              </w:rPr>
            </w:pPr>
          </w:p>
        </w:tc>
        <w:tc>
          <w:tcPr>
            <w:tcW w:w="1080" w:type="dxa"/>
            <w:vAlign w:val="bottom"/>
            <w:tcBorders>
              <w:top w:val="single" w:sz="8" w:color="auto"/>
            </w:tcBorders>
            <w:gridSpan w:val="2"/>
          </w:tcPr>
          <w:p>
            <w:pPr>
              <w:jc w:val="right"/>
              <w:ind w:right="380"/>
              <w:spacing w:after="0" w:line="133" w:lineRule="exact"/>
              <w:rPr>
                <w:sz w:val="20"/>
                <w:szCs w:val="20"/>
                <w:color w:val="auto"/>
              </w:rPr>
            </w:pPr>
            <w:r>
              <w:rPr>
                <w:rFonts w:ascii="Arial" w:cs="Arial" w:eastAsia="Arial" w:hAnsi="Arial"/>
                <w:sz w:val="14"/>
                <w:szCs w:val="14"/>
                <w:b w:val="1"/>
                <w:bCs w:val="1"/>
                <w:color w:val="auto"/>
              </w:rPr>
              <w:t>June 30,</w:t>
            </w:r>
          </w:p>
        </w:tc>
        <w:tc>
          <w:tcPr>
            <w:tcW w:w="920" w:type="dxa"/>
            <w:vAlign w:val="bottom"/>
            <w:tcBorders>
              <w:top w:val="single" w:sz="8" w:color="auto"/>
            </w:tcBorders>
          </w:tcPr>
          <w:p>
            <w:pPr>
              <w:jc w:val="right"/>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5"/>
        </w:trPr>
        <w:tc>
          <w:tcPr>
            <w:tcW w:w="4920" w:type="dxa"/>
            <w:vAlign w:val="bottom"/>
          </w:tcPr>
          <w:p>
            <w:pPr>
              <w:spacing w:after="0"/>
              <w:rPr>
                <w:sz w:val="16"/>
                <w:szCs w:val="16"/>
                <w:color w:val="auto"/>
              </w:rPr>
            </w:pPr>
          </w:p>
        </w:tc>
        <w:tc>
          <w:tcPr>
            <w:tcW w:w="920" w:type="dxa"/>
            <w:vAlign w:val="bottom"/>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60" w:type="dxa"/>
            <w:vAlign w:val="bottom"/>
          </w:tcPr>
          <w:p>
            <w:pPr>
              <w:spacing w:after="0"/>
              <w:rPr>
                <w:sz w:val="16"/>
                <w:szCs w:val="16"/>
                <w:color w:val="auto"/>
              </w:rPr>
            </w:pPr>
          </w:p>
        </w:tc>
        <w:tc>
          <w:tcPr>
            <w:tcW w:w="920" w:type="dxa"/>
            <w:vAlign w:val="bottom"/>
          </w:tcPr>
          <w:p>
            <w:pPr>
              <w:jc w:val="right"/>
              <w:ind w:right="23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9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Change</w:t>
            </w:r>
          </w:p>
        </w:tc>
        <w:tc>
          <w:tcPr>
            <w:tcW w:w="8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Portfolio loans</w:t>
            </w: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r>
      <w:tr>
        <w:trPr>
          <w:trHeight w:val="203"/>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Commercial loans: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Commercial</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$ 1,919,680</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88"/>
              </w:rPr>
              <w:t>$ 1,943,886</w:t>
            </w:r>
          </w:p>
        </w:tc>
        <w:tc>
          <w:tcPr>
            <w:tcW w:w="16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w w:val="92"/>
              </w:rPr>
              <w:t>$ (24,206)</w:t>
            </w: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(1.2)%</w:t>
            </w:r>
          </w:p>
        </w:tc>
      </w:tr>
      <w:tr>
        <w:trPr>
          <w:trHeight w:val="203"/>
        </w:trPr>
        <w:tc>
          <w:tcPr>
            <w:tcW w:w="4920" w:type="dxa"/>
            <w:vAlign w:val="bottom"/>
          </w:tcPr>
          <w:p>
            <w:pPr>
              <w:ind w:left="440"/>
              <w:spacing w:after="0" w:line="202" w:lineRule="exact"/>
              <w:rPr>
                <w:sz w:val="20"/>
                <w:szCs w:val="20"/>
                <w:color w:val="auto"/>
              </w:rPr>
            </w:pPr>
            <w:r>
              <w:rPr>
                <w:rFonts w:ascii="Arial" w:cs="Arial" w:eastAsia="Arial" w:hAnsi="Arial"/>
                <w:sz w:val="18"/>
                <w:szCs w:val="18"/>
                <w:color w:val="auto"/>
              </w:rPr>
              <w:t>Commercial real estate</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3,228,090</w:t>
            </w:r>
          </w:p>
        </w:tc>
        <w:tc>
          <w:tcPr>
            <w:tcW w:w="16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3,119,807</w:t>
            </w:r>
          </w:p>
        </w:tc>
        <w:tc>
          <w:tcPr>
            <w:tcW w:w="160" w:type="dxa"/>
            <w:vAlign w:val="bottom"/>
          </w:tcPr>
          <w:p>
            <w:pPr>
              <w:spacing w:after="0"/>
              <w:rPr>
                <w:sz w:val="17"/>
                <w:szCs w:val="17"/>
                <w:color w:val="auto"/>
              </w:rPr>
            </w:pP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108,283</w:t>
            </w:r>
          </w:p>
        </w:tc>
        <w:tc>
          <w:tcPr>
            <w:tcW w:w="160" w:type="dxa"/>
            <w:vAlign w:val="bottom"/>
          </w:tcPr>
          <w:p>
            <w:pPr>
              <w:spacing w:after="0"/>
              <w:rPr>
                <w:sz w:val="17"/>
                <w:szCs w:val="17"/>
                <w:color w:val="auto"/>
              </w:rPr>
            </w:pP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3.5 %</w:t>
            </w:r>
          </w:p>
        </w:tc>
      </w:tr>
      <w:tr>
        <w:trPr>
          <w:trHeight w:val="203"/>
        </w:trPr>
        <w:tc>
          <w:tcPr>
            <w:tcW w:w="4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Real estate construction</w:t>
            </w: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466,185</w:t>
            </w:r>
          </w:p>
        </w:tc>
        <w:tc>
          <w:tcPr>
            <w:tcW w:w="160" w:type="dxa"/>
            <w:vAlign w:val="bottom"/>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385,996</w:t>
            </w:r>
          </w:p>
        </w:tc>
        <w:tc>
          <w:tcPr>
            <w:tcW w:w="160" w:type="dxa"/>
            <w:vAlign w:val="bottom"/>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80,189</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20.8 %</w:t>
            </w:r>
          </w:p>
        </w:tc>
      </w:tr>
      <w:tr>
        <w:trPr>
          <w:trHeight w:val="196"/>
        </w:trPr>
        <w:tc>
          <w:tcPr>
            <w:tcW w:w="4920" w:type="dxa"/>
            <w:vAlign w:val="bottom"/>
          </w:tcPr>
          <w:p>
            <w:pPr>
              <w:ind w:left="220"/>
              <w:spacing w:after="0" w:line="196" w:lineRule="exact"/>
              <w:rPr>
                <w:sz w:val="20"/>
                <w:szCs w:val="20"/>
                <w:color w:val="auto"/>
              </w:rPr>
            </w:pPr>
            <w:r>
              <w:rPr>
                <w:rFonts w:ascii="Arial" w:cs="Arial" w:eastAsia="Arial" w:hAnsi="Arial"/>
                <w:sz w:val="18"/>
                <w:szCs w:val="18"/>
                <w:color w:val="auto"/>
              </w:rPr>
              <w:t>Commercial loan balances</w:t>
            </w: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5,613,955</w:t>
            </w:r>
          </w:p>
        </w:tc>
        <w:tc>
          <w:tcPr>
            <w:tcW w:w="16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5,449,689</w:t>
            </w:r>
          </w:p>
        </w:tc>
        <w:tc>
          <w:tcPr>
            <w:tcW w:w="16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164,266</w:t>
            </w:r>
          </w:p>
        </w:tc>
        <w:tc>
          <w:tcPr>
            <w:tcW w:w="160" w:type="dxa"/>
            <w:vAlign w:val="bottom"/>
          </w:tcPr>
          <w:p>
            <w:pPr>
              <w:spacing w:after="0"/>
              <w:rPr>
                <w:sz w:val="17"/>
                <w:szCs w:val="17"/>
                <w:color w:val="auto"/>
              </w:rPr>
            </w:pPr>
          </w:p>
        </w:tc>
        <w:tc>
          <w:tcPr>
            <w:tcW w:w="8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3.0 %</w:t>
            </w:r>
          </w:p>
        </w:tc>
      </w:tr>
      <w:tr>
        <w:trPr>
          <w:trHeight w:val="203"/>
        </w:trPr>
        <w:tc>
          <w:tcPr>
            <w:tcW w:w="49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Retail loans:</w:t>
            </w: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2"/>
        </w:trPr>
        <w:tc>
          <w:tcPr>
            <w:tcW w:w="4920" w:type="dxa"/>
            <w:vAlign w:val="bottom"/>
            <w:shd w:val="clear" w:color="auto" w:fill="CCEEFF"/>
          </w:tcPr>
          <w:p>
            <w:pPr>
              <w:ind w:left="440"/>
              <w:spacing w:after="0" w:line="202" w:lineRule="exact"/>
              <w:rPr>
                <w:sz w:val="20"/>
                <w:szCs w:val="20"/>
                <w:color w:val="auto"/>
              </w:rPr>
            </w:pPr>
            <w:r>
              <w:rPr>
                <w:rFonts w:ascii="Arial" w:cs="Arial" w:eastAsia="Arial" w:hAnsi="Arial"/>
                <w:sz w:val="18"/>
                <w:szCs w:val="18"/>
                <w:color w:val="auto"/>
              </w:rPr>
              <w:t>Retail real estate</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1,590,913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1,512,976</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77,937</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5.2 %</w:t>
            </w:r>
          </w:p>
        </w:tc>
      </w:tr>
      <w:tr>
        <w:trPr>
          <w:trHeight w:val="203"/>
        </w:trPr>
        <w:tc>
          <w:tcPr>
            <w:tcW w:w="4920" w:type="dxa"/>
            <w:vAlign w:val="bottom"/>
            <w:tcBorders>
              <w:bottom w:val="single" w:sz="8" w:color="CCEEFF"/>
            </w:tcBorders>
          </w:tcPr>
          <w:p>
            <w:pPr>
              <w:ind w:left="440"/>
              <w:spacing w:after="0" w:line="202" w:lineRule="exact"/>
              <w:rPr>
                <w:sz w:val="20"/>
                <w:szCs w:val="20"/>
                <w:color w:val="auto"/>
              </w:rPr>
            </w:pPr>
            <w:r>
              <w:rPr>
                <w:rFonts w:ascii="Arial" w:cs="Arial" w:eastAsia="Arial" w:hAnsi="Arial"/>
                <w:sz w:val="18"/>
                <w:szCs w:val="18"/>
                <w:color w:val="auto"/>
              </w:rPr>
              <w:t>Retail other</w:t>
            </w: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292,910</w:t>
            </w: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226,333</w:t>
            </w: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66,577</w:t>
            </w:r>
          </w:p>
        </w:tc>
        <w:tc>
          <w:tcPr>
            <w:tcW w:w="16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gridSpan w:val="2"/>
          </w:tcPr>
          <w:p>
            <w:pPr>
              <w:jc w:val="right"/>
              <w:spacing w:after="0" w:line="202" w:lineRule="exact"/>
              <w:rPr>
                <w:sz w:val="20"/>
                <w:szCs w:val="20"/>
                <w:color w:val="auto"/>
              </w:rPr>
            </w:pPr>
            <w:r>
              <w:rPr>
                <w:rFonts w:ascii="Arial" w:cs="Arial" w:eastAsia="Arial" w:hAnsi="Arial"/>
                <w:sz w:val="18"/>
                <w:szCs w:val="18"/>
                <w:color w:val="auto"/>
              </w:rPr>
              <w:t>29.4 %</w:t>
            </w:r>
          </w:p>
        </w:tc>
      </w:tr>
      <w:tr>
        <w:trPr>
          <w:trHeight w:val="196"/>
        </w:trPr>
        <w:tc>
          <w:tcPr>
            <w:tcW w:w="492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Retail loan balances</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1,883,823</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1,739,309</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144,514</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8.3 %</w:t>
            </w:r>
          </w:p>
        </w:tc>
      </w:tr>
      <w:tr>
        <w:trPr>
          <w:trHeight w:val="203"/>
        </w:trPr>
        <w:tc>
          <w:tcPr>
            <w:tcW w:w="492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7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Total portfolio loans</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7,497,778</w:t>
            </w:r>
          </w:p>
        </w:tc>
        <w:tc>
          <w:tcPr>
            <w:tcW w:w="16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7,188,998</w:t>
            </w: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308,780</w:t>
            </w:r>
          </w:p>
        </w:tc>
        <w:tc>
          <w:tcPr>
            <w:tcW w:w="16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4.3 %</w:t>
            </w:r>
          </w:p>
        </w:tc>
      </w:tr>
      <w:tr>
        <w:trPr>
          <w:trHeight w:val="203"/>
        </w:trPr>
        <w:tc>
          <w:tcPr>
            <w:tcW w:w="4920" w:type="dxa"/>
            <w:vAlign w:val="bottom"/>
          </w:tcPr>
          <w:p>
            <w:pPr>
              <w:ind w:left="20"/>
              <w:spacing w:after="0" w:line="202" w:lineRule="exact"/>
              <w:rPr>
                <w:sz w:val="20"/>
                <w:szCs w:val="20"/>
                <w:color w:val="auto"/>
              </w:rPr>
            </w:pPr>
            <w:r>
              <w:rPr>
                <w:rFonts w:ascii="Arial" w:cs="Arial" w:eastAsia="Arial" w:hAnsi="Arial"/>
                <w:sz w:val="18"/>
                <w:szCs w:val="18"/>
                <w:color w:val="auto"/>
              </w:rPr>
              <w:t>ACL</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(88,757)</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(87,887)</w:t>
            </w:r>
          </w:p>
        </w:tc>
        <w:tc>
          <w:tcPr>
            <w:tcW w:w="9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(870)</w:t>
            </w:r>
          </w:p>
        </w:tc>
        <w:tc>
          <w:tcPr>
            <w:tcW w:w="8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(1.0)%</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Portfolio loans, net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$ 7,409,021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$ 7,101,111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$ 307,910</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CCEEFF"/>
              <w:bottom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4.3 %</w:t>
            </w: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color w:val="auto"/>
        </w:rPr>
        <w:t>Excluding the amortized cost of PPP loans, changes in commercial loan balances were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920" w:type="dxa"/>
            <w:vAlign w:val="bottom"/>
          </w:tcPr>
          <w:p>
            <w:pPr>
              <w:spacing w:after="0"/>
              <w:rPr>
                <w:sz w:val="16"/>
                <w:szCs w:val="16"/>
                <w:color w:val="auto"/>
              </w:rPr>
            </w:pPr>
          </w:p>
        </w:tc>
        <w:tc>
          <w:tcPr>
            <w:tcW w:w="216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As of</w:t>
            </w: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4920" w:type="dxa"/>
            <w:vAlign w:val="bottom"/>
          </w:tcPr>
          <w:p>
            <w:pPr>
              <w:spacing w:after="0"/>
              <w:rPr>
                <w:sz w:val="11"/>
                <w:szCs w:val="11"/>
                <w:color w:val="auto"/>
              </w:rPr>
            </w:pPr>
          </w:p>
        </w:tc>
        <w:tc>
          <w:tcPr>
            <w:tcW w:w="1080" w:type="dxa"/>
            <w:vAlign w:val="bottom"/>
            <w:tcBorders>
              <w:top w:val="single" w:sz="8" w:color="auto"/>
            </w:tcBorders>
            <w:gridSpan w:val="2"/>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June 30,</w:t>
            </w:r>
          </w:p>
        </w:tc>
        <w:tc>
          <w:tcPr>
            <w:tcW w:w="920" w:type="dxa"/>
            <w:vAlign w:val="bottom"/>
            <w:tcBorders>
              <w:top w:val="single" w:sz="8" w:color="auto"/>
            </w:tcBorders>
          </w:tcPr>
          <w:p>
            <w:pPr>
              <w:jc w:val="center"/>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r>
      <w:tr>
        <w:trPr>
          <w:trHeight w:val="185"/>
        </w:trPr>
        <w:tc>
          <w:tcPr>
            <w:tcW w:w="49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2022</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Pr>
          <w:p>
            <w:pPr>
              <w:spacing w:after="0"/>
              <w:rPr>
                <w:sz w:val="16"/>
                <w:szCs w:val="16"/>
                <w:color w:val="auto"/>
              </w:rPr>
            </w:pPr>
          </w:p>
        </w:tc>
        <w:tc>
          <w:tcPr>
            <w:tcW w:w="780" w:type="dxa"/>
            <w:vAlign w:val="bottom"/>
          </w:tcPr>
          <w:p>
            <w:pPr>
              <w:jc w:val="right"/>
              <w:ind w:right="55"/>
              <w:spacing w:after="0"/>
              <w:rPr>
                <w:sz w:val="20"/>
                <w:szCs w:val="20"/>
                <w:color w:val="auto"/>
              </w:rPr>
            </w:pPr>
            <w:r>
              <w:rPr>
                <w:rFonts w:ascii="Arial" w:cs="Arial" w:eastAsia="Arial" w:hAnsi="Arial"/>
                <w:sz w:val="14"/>
                <w:szCs w:val="14"/>
                <w:b w:val="1"/>
                <w:bCs w:val="1"/>
                <w:color w:val="auto"/>
              </w:rPr>
              <w:t>Change</w:t>
            </w:r>
          </w:p>
        </w:tc>
        <w:tc>
          <w:tcPr>
            <w:tcW w:w="160" w:type="dxa"/>
            <w:vAlign w:val="bottom"/>
          </w:tcPr>
          <w:p>
            <w:pPr>
              <w:spacing w:after="0"/>
              <w:rPr>
                <w:sz w:val="16"/>
                <w:szCs w:val="16"/>
                <w:color w:val="auto"/>
              </w:rPr>
            </w:pPr>
          </w:p>
        </w:tc>
        <w:tc>
          <w:tcPr>
            <w:tcW w:w="880" w:type="dxa"/>
            <w:vAlign w:val="bottom"/>
            <w:gridSpan w:val="2"/>
          </w:tcPr>
          <w:p>
            <w:pPr>
              <w:jc w:val="right"/>
              <w:ind w:right="90"/>
              <w:spacing w:after="0"/>
              <w:rPr>
                <w:sz w:val="20"/>
                <w:szCs w:val="20"/>
                <w:color w:val="auto"/>
              </w:rPr>
            </w:pPr>
            <w:r>
              <w:rPr>
                <w:rFonts w:ascii="Arial" w:cs="Arial" w:eastAsia="Arial" w:hAnsi="Arial"/>
                <w:sz w:val="14"/>
                <w:szCs w:val="14"/>
                <w:b w:val="1"/>
                <w:bCs w:val="1"/>
                <w:color w:val="auto"/>
              </w:rPr>
              <w:t>% Change</w:t>
            </w:r>
          </w:p>
        </w:tc>
      </w:tr>
      <w:tr>
        <w:trPr>
          <w:trHeight w:val="196"/>
        </w:trPr>
        <w:tc>
          <w:tcPr>
            <w:tcW w:w="492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Commercial loan balances</w:t>
            </w: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$ 5,613,955</w:t>
            </w:r>
          </w:p>
        </w:tc>
        <w:tc>
          <w:tcPr>
            <w:tcW w:w="16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94"/>
              </w:rPr>
              <w:t>$ 5,449,689</w:t>
            </w:r>
          </w:p>
        </w:tc>
        <w:tc>
          <w:tcPr>
            <w:tcW w:w="1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$ 164,266</w:t>
            </w:r>
          </w:p>
        </w:tc>
        <w:tc>
          <w:tcPr>
            <w:tcW w:w="160" w:type="dxa"/>
            <w:vAlign w:val="bottom"/>
            <w:tcBorders>
              <w:top w:val="single" w:sz="8" w:color="CCEEFF"/>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2"/>
        </w:trPr>
        <w:tc>
          <w:tcPr>
            <w:tcW w:w="4920" w:type="dxa"/>
            <w:vAlign w:val="bottom"/>
          </w:tcPr>
          <w:p>
            <w:pPr>
              <w:ind w:left="220"/>
              <w:spacing w:after="0" w:line="202" w:lineRule="exact"/>
              <w:rPr>
                <w:sz w:val="20"/>
                <w:szCs w:val="20"/>
                <w:color w:val="auto"/>
              </w:rPr>
            </w:pPr>
            <w:r>
              <w:rPr>
                <w:rFonts w:ascii="Arial" w:cs="Arial" w:eastAsia="Arial" w:hAnsi="Arial"/>
                <w:sz w:val="18"/>
                <w:szCs w:val="18"/>
                <w:color w:val="auto"/>
              </w:rPr>
              <w:t>PPP Loans amortized cost</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(7,616)</w:t>
            </w:r>
          </w:p>
        </w:tc>
        <w:tc>
          <w:tcPr>
            <w:tcW w:w="108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(74,958)</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67,342</w:t>
            </w:r>
          </w:p>
        </w:tc>
        <w:tc>
          <w:tcPr>
            <w:tcW w:w="104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(89.8)%</w:t>
            </w:r>
          </w:p>
        </w:tc>
      </w:tr>
      <w:tr>
        <w:trPr>
          <w:trHeight w:val="196"/>
        </w:trPr>
        <w:tc>
          <w:tcPr>
            <w:tcW w:w="492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Commercial loan balances, excluding PPP loans</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$ 5,606,339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8"/>
              </w:rPr>
              <w:t>$ 5,374,731</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$ 231,608</w:t>
            </w:r>
          </w:p>
        </w:tc>
        <w:tc>
          <w:tcPr>
            <w:tcW w:w="1040" w:type="dxa"/>
            <w:vAlign w:val="bottom"/>
            <w:tcBorders>
              <w:top w:val="single" w:sz="8" w:color="CCEEFF"/>
              <w:bottom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4.3 %</w:t>
            </w:r>
          </w:p>
        </w:tc>
      </w:tr>
      <w:tr>
        <w:trPr>
          <w:trHeight w:val="20"/>
        </w:trPr>
        <w:tc>
          <w:tcPr>
            <w:tcW w:w="49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Allowance and Provision for Credit Losses</w:t>
      </w:r>
    </w:p>
    <w:p>
      <w:pPr>
        <w:spacing w:after="0" w:line="198"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The ACL is a significant estimate in our unaudited consolidated financial statements, affecting both earnings and capital. The methodology adopted influences, and is influenced by, Busey Bank’s overall credit risk management processes. The ACL is recorded in accordance with GAAP to provide an adequate reserve for expected credit losses that is reflective of management’s best estimate of what is expected to be collected. All estimates of credit losses should be based on a careful consideration of all significant factors affecting the collectability as of the evaluation date. The ACL is established through the provision for credit loss expense charged to income.</w:t>
      </w:r>
    </w:p>
    <w:p>
      <w:pPr>
        <w:spacing w:after="0" w:line="16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 provision for credit loss expense increased for the three months ended June 30, 2022, due to a provision expense of $1.7 million, compared to a provision release of $1.7 million for the same period in 2021. Provision expense increased for the six months ended June 30, 2022, due to a provision expense of $1.4 million, compared to a provision release of $8.5 million for the same period in 2021.</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261" w:lineRule="auto"/>
        <w:rPr>
          <w:sz w:val="20"/>
          <w:szCs w:val="20"/>
          <w:color w:val="auto"/>
        </w:rPr>
      </w:pPr>
      <w:r>
        <w:rPr>
          <w:rFonts w:ascii="Arial" w:cs="Arial" w:eastAsia="Arial" w:hAnsi="Arial"/>
          <w:sz w:val="18"/>
          <w:szCs w:val="18"/>
          <w:color w:val="auto"/>
        </w:rPr>
        <w:t xml:space="preserve">The relationship between our portfolio loan balances and our ACL is summarized as follows,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5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25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gridSpan w:val="2"/>
          </w:tcPr>
          <w:p>
            <w:pPr>
              <w:jc w:val="right"/>
              <w:ind w:right="36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Pr>
          <w:p>
            <w:pPr>
              <w:spacing w:after="0"/>
              <w:rPr>
                <w:sz w:val="11"/>
                <w:szCs w:val="11"/>
                <w:color w:val="auto"/>
              </w:rPr>
            </w:pPr>
          </w:p>
        </w:tc>
        <w:tc>
          <w:tcPr>
            <w:tcW w:w="960" w:type="dxa"/>
            <w:vAlign w:val="bottom"/>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w w:val="99"/>
              </w:rPr>
              <w:t>March 31,</w:t>
            </w:r>
          </w:p>
        </w:tc>
        <w:tc>
          <w:tcPr>
            <w:tcW w:w="1080" w:type="dxa"/>
            <w:vAlign w:val="bottom"/>
            <w:gridSpan w:val="3"/>
          </w:tcPr>
          <w:p>
            <w:pPr>
              <w:jc w:val="center"/>
              <w:ind w:right="16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080" w:type="dxa"/>
            <w:vAlign w:val="bottom"/>
            <w:gridSpan w:val="3"/>
          </w:tcPr>
          <w:p>
            <w:pPr>
              <w:jc w:val="right"/>
              <w:ind w:right="180"/>
              <w:spacing w:after="0" w:line="133" w:lineRule="exact"/>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11"/>
                <w:szCs w:val="11"/>
                <w:color w:val="auto"/>
              </w:rPr>
            </w:pPr>
          </w:p>
        </w:tc>
        <w:tc>
          <w:tcPr>
            <w:tcW w:w="800" w:type="dxa"/>
            <w:vAlign w:val="bottom"/>
          </w:tcPr>
          <w:p>
            <w:pPr>
              <w:jc w:val="right"/>
              <w:ind w:right="116"/>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r>
      <w:tr>
        <w:trPr>
          <w:trHeight w:val="185"/>
        </w:trPr>
        <w:tc>
          <w:tcPr>
            <w:tcW w:w="2540" w:type="dxa"/>
            <w:vAlign w:val="bottom"/>
            <w:tcBorders>
              <w:bottom w:val="single" w:sz="8" w:color="CCEEFF"/>
            </w:tcBorders>
          </w:tcPr>
          <w:p>
            <w:pPr>
              <w:spacing w:after="0"/>
              <w:rPr>
                <w:sz w:val="16"/>
                <w:szCs w:val="16"/>
                <w:color w:val="auto"/>
              </w:rPr>
            </w:pPr>
          </w:p>
        </w:tc>
        <w:tc>
          <w:tcPr>
            <w:tcW w:w="9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r>
      <w:tr>
        <w:trPr>
          <w:trHeight w:val="196"/>
        </w:trPr>
        <w:tc>
          <w:tcPr>
            <w:tcW w:w="2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Portfolio loans</w:t>
            </w:r>
          </w:p>
        </w:tc>
        <w:tc>
          <w:tcPr>
            <w:tcW w:w="960" w:type="dxa"/>
            <w:vAlign w:val="bottom"/>
            <w:shd w:val="clear" w:color="auto" w:fill="CCEEFF"/>
          </w:tcPr>
          <w:p>
            <w:pPr>
              <w:ind w:left="420"/>
              <w:spacing w:after="0" w:line="196" w:lineRule="exact"/>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7,497,778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7,272,873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7,188,998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7,150,635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2"/>
              </w:rPr>
              <w:t>7,185,650</w:t>
            </w:r>
          </w:p>
        </w:tc>
        <w:tc>
          <w:tcPr>
            <w:tcW w:w="160" w:type="dxa"/>
            <w:vAlign w:val="bottom"/>
            <w:shd w:val="clear" w:color="auto" w:fill="CCEEFF"/>
          </w:tcPr>
          <w:p>
            <w:pPr>
              <w:spacing w:after="0"/>
              <w:rPr>
                <w:sz w:val="17"/>
                <w:szCs w:val="17"/>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25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PPP loans, amortized cost</w:t>
            </w: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(7,616)</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(31,769)</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(74,958)</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(178,231)</w:t>
            </w:r>
          </w:p>
        </w:tc>
        <w:tc>
          <w:tcPr>
            <w:tcW w:w="12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(390,395)</w:t>
            </w:r>
          </w:p>
        </w:tc>
      </w:tr>
      <w:tr>
        <w:trPr>
          <w:trHeight w:val="236"/>
        </w:trPr>
        <w:tc>
          <w:tcPr>
            <w:tcW w:w="254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Core loans</w:t>
            </w:r>
          </w:p>
        </w:tc>
        <w:tc>
          <w:tcPr>
            <w:tcW w:w="960" w:type="dxa"/>
            <w:vAlign w:val="bottom"/>
            <w:tcBorders>
              <w:bottom w:val="single" w:sz="8" w:color="CCEEFF"/>
            </w:tcBorders>
          </w:tcPr>
          <w:p>
            <w:pPr>
              <w:ind w:left="420"/>
              <w:spacing w:after="0" w:line="196" w:lineRule="exact"/>
              <w:rPr>
                <w:sz w:val="20"/>
                <w:szCs w:val="20"/>
                <w:color w:val="auto"/>
              </w:rPr>
            </w:pPr>
            <w:r>
              <w:rPr>
                <w:rFonts w:ascii="Arial" w:cs="Arial" w:eastAsia="Arial" w:hAnsi="Arial"/>
                <w:sz w:val="18"/>
                <w:szCs w:val="18"/>
                <w:color w:val="auto"/>
              </w:rPr>
              <w:t>[b]</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7,490,162</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7,241,104</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7,114,040</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6,972,404</w:t>
            </w:r>
          </w:p>
        </w:tc>
        <w:tc>
          <w:tcPr>
            <w:tcW w:w="1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2"/>
              </w:rPr>
              <w:t>6,795,255</w:t>
            </w:r>
          </w:p>
        </w:tc>
        <w:tc>
          <w:tcPr>
            <w:tcW w:w="160" w:type="dxa"/>
            <w:vAlign w:val="bottom"/>
            <w:tcBorders>
              <w:bottom w:val="single" w:sz="8" w:color="CCEEFF"/>
            </w:tcBorders>
          </w:tcPr>
          <w:p>
            <w:pPr>
              <w:spacing w:after="0"/>
              <w:rPr>
                <w:sz w:val="20"/>
                <w:szCs w:val="20"/>
                <w:color w:val="auto"/>
              </w:rPr>
            </w:pPr>
          </w:p>
        </w:tc>
      </w:tr>
      <w:tr>
        <w:trPr>
          <w:trHeight w:val="183"/>
        </w:trPr>
        <w:tc>
          <w:tcPr>
            <w:tcW w:w="25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03"/>
        </w:trPr>
        <w:tc>
          <w:tcPr>
            <w:tcW w:w="254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ACL</w:t>
            </w:r>
          </w:p>
        </w:tc>
        <w:tc>
          <w:tcPr>
            <w:tcW w:w="960" w:type="dxa"/>
            <w:vAlign w:val="bottom"/>
          </w:tcPr>
          <w:p>
            <w:pPr>
              <w:ind w:left="420"/>
              <w:spacing w:after="0" w:line="202" w:lineRule="exact"/>
              <w:rPr>
                <w:sz w:val="20"/>
                <w:szCs w:val="20"/>
                <w:color w:val="auto"/>
              </w:rPr>
            </w:pPr>
            <w:r>
              <w:rPr>
                <w:rFonts w:ascii="Arial" w:cs="Arial" w:eastAsia="Arial" w:hAnsi="Arial"/>
                <w:sz w:val="18"/>
                <w:szCs w:val="18"/>
                <w:color w:val="auto"/>
              </w:rPr>
              <w:t>[c]</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88,757</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88,213</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87,887</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92,802</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95,410</w:t>
            </w:r>
          </w:p>
        </w:tc>
        <w:tc>
          <w:tcPr>
            <w:tcW w:w="160" w:type="dxa"/>
            <w:vAlign w:val="bottom"/>
          </w:tcPr>
          <w:p>
            <w:pPr>
              <w:spacing w:after="0"/>
              <w:rPr>
                <w:sz w:val="17"/>
                <w:szCs w:val="17"/>
                <w:color w:val="auto"/>
              </w:rPr>
            </w:pPr>
          </w:p>
        </w:tc>
      </w:tr>
      <w:tr>
        <w:trPr>
          <w:trHeight w:val="203"/>
        </w:trPr>
        <w:tc>
          <w:tcPr>
            <w:tcW w:w="25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42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Ratios</w:t>
            </w:r>
          </w:p>
        </w:tc>
        <w:tc>
          <w:tcPr>
            <w:tcW w:w="1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ACL to portfolio loans</w:t>
            </w:r>
          </w:p>
        </w:tc>
        <w:tc>
          <w:tcPr>
            <w:tcW w:w="1280" w:type="dxa"/>
            <w:vAlign w:val="bottom"/>
            <w:shd w:val="clear" w:color="auto" w:fill="CCEEFF"/>
          </w:tcPr>
          <w:p>
            <w:pPr>
              <w:ind w:left="540"/>
              <w:spacing w:after="0" w:line="202" w:lineRule="exact"/>
              <w:rPr>
                <w:sz w:val="20"/>
                <w:szCs w:val="20"/>
                <w:color w:val="auto"/>
              </w:rPr>
            </w:pPr>
            <w:r>
              <w:rPr>
                <w:rFonts w:ascii="Arial" w:cs="Arial" w:eastAsia="Arial" w:hAnsi="Arial"/>
                <w:sz w:val="18"/>
                <w:szCs w:val="18"/>
                <w:color w:val="auto"/>
              </w:rPr>
              <w:t>[c÷a]</w:t>
            </w:r>
          </w:p>
        </w:tc>
        <w:tc>
          <w:tcPr>
            <w:tcW w:w="116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1.18 %</w:t>
            </w:r>
          </w:p>
        </w:tc>
        <w:tc>
          <w:tcPr>
            <w:tcW w:w="1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1.21 %</w:t>
            </w:r>
          </w:p>
        </w:tc>
        <w:tc>
          <w:tcPr>
            <w:tcW w:w="1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1.22 %</w:t>
            </w:r>
          </w:p>
        </w:tc>
        <w:tc>
          <w:tcPr>
            <w:tcW w:w="1080" w:type="dxa"/>
            <w:vAlign w:val="bottom"/>
            <w:shd w:val="clear" w:color="auto" w:fill="CCEEFF"/>
          </w:tcPr>
          <w:p>
            <w:pPr>
              <w:jc w:val="right"/>
              <w:ind w:right="190"/>
              <w:spacing w:after="0" w:line="202" w:lineRule="exact"/>
              <w:rPr>
                <w:sz w:val="20"/>
                <w:szCs w:val="20"/>
                <w:color w:val="auto"/>
              </w:rPr>
            </w:pPr>
            <w:r>
              <w:rPr>
                <w:rFonts w:ascii="Arial" w:cs="Arial" w:eastAsia="Arial" w:hAnsi="Arial"/>
                <w:sz w:val="18"/>
                <w:szCs w:val="18"/>
                <w:color w:val="auto"/>
              </w:rPr>
              <w:t>1.30 %</w:t>
            </w: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1.33 %</w:t>
            </w:r>
          </w:p>
        </w:tc>
      </w:tr>
      <w:tr>
        <w:trPr>
          <w:trHeight w:val="230"/>
        </w:trPr>
        <w:tc>
          <w:tcPr>
            <w:tcW w:w="2420" w:type="dxa"/>
            <w:vAlign w:val="bottom"/>
          </w:tcPr>
          <w:p>
            <w:pPr>
              <w:ind w:left="220"/>
              <w:spacing w:after="0"/>
              <w:rPr>
                <w:sz w:val="20"/>
                <w:szCs w:val="20"/>
                <w:color w:val="auto"/>
              </w:rPr>
            </w:pPr>
            <w:r>
              <w:rPr>
                <w:rFonts w:ascii="Arial" w:cs="Arial" w:eastAsia="Arial" w:hAnsi="Arial"/>
                <w:sz w:val="18"/>
                <w:szCs w:val="18"/>
                <w:color w:val="auto"/>
              </w:rPr>
              <w:t>ACL to core loans</w:t>
            </w:r>
          </w:p>
        </w:tc>
        <w:tc>
          <w:tcPr>
            <w:tcW w:w="1280" w:type="dxa"/>
            <w:vAlign w:val="bottom"/>
          </w:tcPr>
          <w:p>
            <w:pPr>
              <w:ind w:left="540"/>
              <w:spacing w:after="0"/>
              <w:rPr>
                <w:sz w:val="20"/>
                <w:szCs w:val="20"/>
                <w:color w:val="auto"/>
              </w:rPr>
            </w:pPr>
            <w:r>
              <w:rPr>
                <w:rFonts w:ascii="Arial" w:cs="Arial" w:eastAsia="Arial" w:hAnsi="Arial"/>
                <w:sz w:val="18"/>
                <w:szCs w:val="18"/>
                <w:color w:val="auto"/>
              </w:rPr>
              <w:t>[c÷b]</w:t>
            </w:r>
          </w:p>
        </w:tc>
        <w:tc>
          <w:tcPr>
            <w:tcW w:w="1160" w:type="dxa"/>
            <w:vAlign w:val="bottom"/>
          </w:tcPr>
          <w:p>
            <w:pPr>
              <w:jc w:val="right"/>
              <w:ind w:right="190"/>
              <w:spacing w:after="0"/>
              <w:rPr>
                <w:sz w:val="20"/>
                <w:szCs w:val="20"/>
                <w:color w:val="auto"/>
              </w:rPr>
            </w:pPr>
            <w:r>
              <w:rPr>
                <w:rFonts w:ascii="Arial" w:cs="Arial" w:eastAsia="Arial" w:hAnsi="Arial"/>
                <w:sz w:val="18"/>
                <w:szCs w:val="18"/>
                <w:color w:val="auto"/>
              </w:rPr>
              <w:t>1.18 %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1.22 %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1.24 %</w:t>
            </w:r>
          </w:p>
        </w:tc>
        <w:tc>
          <w:tcPr>
            <w:tcW w:w="1080" w:type="dxa"/>
            <w:vAlign w:val="bottom"/>
          </w:tcPr>
          <w:p>
            <w:pPr>
              <w:jc w:val="right"/>
              <w:ind w:right="190"/>
              <w:spacing w:after="0"/>
              <w:rPr>
                <w:sz w:val="20"/>
                <w:szCs w:val="20"/>
                <w:color w:val="auto"/>
              </w:rPr>
            </w:pPr>
            <w:r>
              <w:rPr>
                <w:rFonts w:ascii="Arial" w:cs="Arial" w:eastAsia="Arial" w:hAnsi="Arial"/>
                <w:sz w:val="18"/>
                <w:szCs w:val="18"/>
                <w:color w:val="auto"/>
              </w:rPr>
              <w:t>1.33 %</w:t>
            </w:r>
          </w:p>
        </w:tc>
        <w:tc>
          <w:tcPr>
            <w:tcW w:w="800" w:type="dxa"/>
            <w:vAlign w:val="bottom"/>
          </w:tcPr>
          <w:p>
            <w:pPr>
              <w:jc w:val="right"/>
              <w:spacing w:after="0"/>
              <w:rPr>
                <w:sz w:val="20"/>
                <w:szCs w:val="20"/>
                <w:color w:val="auto"/>
              </w:rPr>
            </w:pPr>
            <w:r>
              <w:rPr>
                <w:rFonts w:ascii="Arial" w:cs="Arial" w:eastAsia="Arial" w:hAnsi="Arial"/>
                <w:sz w:val="18"/>
                <w:szCs w:val="18"/>
                <w:color w:val="auto"/>
              </w:rPr>
              <w:t>1.40 %</w:t>
            </w:r>
          </w:p>
        </w:tc>
      </w:tr>
    </w:tbl>
    <w:p>
      <w:pPr>
        <w:spacing w:after="0" w:line="160" w:lineRule="exact"/>
        <w:rPr>
          <w:sz w:val="20"/>
          <w:szCs w:val="20"/>
          <w:color w:val="auto"/>
        </w:rPr>
      </w:pPr>
    </w:p>
    <w:p>
      <w:pPr>
        <w:jc w:val="both"/>
        <w:ind w:left="60" w:right="79"/>
        <w:spacing w:after="0" w:line="243" w:lineRule="auto"/>
        <w:rPr>
          <w:sz w:val="20"/>
          <w:szCs w:val="20"/>
          <w:color w:val="auto"/>
        </w:rPr>
      </w:pPr>
      <w:r>
        <w:rPr>
          <w:rFonts w:ascii="Arial" w:cs="Arial" w:eastAsia="Arial" w:hAnsi="Arial"/>
          <w:sz w:val="18"/>
          <w:szCs w:val="18"/>
          <w:color w:val="auto"/>
        </w:rPr>
        <w:t>As of June 30, 2022, management believed the level of the ACL to be appropriate based upon the information available. However, additional losses may be identified in our loan portfolio as new information is obtained. The ongoing impacts of CECL will be dependent upon changes in economic conditions and forecasts, originated and acquired loan portfolio composition, credit performance trends, portfolio duration, and other factors.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Non-performing Loans and Non-performing Assets</w:t>
      </w:r>
    </w:p>
    <w:p>
      <w:pPr>
        <w:spacing w:after="0" w:line="19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6"/>
          <w:szCs w:val="16"/>
          <w:color w:val="auto"/>
        </w:rPr>
        <w:t>Loans are considered past due if the required principal and interest payments have not been received as of the date such payments were due. Loans are placed on non-accrual status when, in management’s opinion, the borrower may be unable to meet payment obligations as they become due, as well as when required by regulatory guidelines. Loans may be placed on non-accrual status regardless of whether or not such loans are considered past due. Loans are returned to accrual status when all principal and interest amounts contractually due are brought current and future payments are reasonably assured.</w:t>
      </w:r>
    </w:p>
    <w:p>
      <w:pPr>
        <w:spacing w:after="0" w:line="14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Typically, loans are secured by collateral. When a loan is classified as non-accrual and determined to be collateral dependent, it is appropriately reserved or charged down through the ACL to the fair value of our interest in the underlying collateral less estimated costs to sell. Our loan portfolio is collateralized primarily by real estate.</w:t>
      </w: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right="79"/>
        <w:spacing w:after="0" w:line="261" w:lineRule="auto"/>
        <w:rPr>
          <w:sz w:val="20"/>
          <w:szCs w:val="20"/>
          <w:color w:val="auto"/>
        </w:rPr>
      </w:pPr>
      <w:r>
        <w:rPr>
          <w:rFonts w:ascii="Arial" w:cs="Arial" w:eastAsia="Arial" w:hAnsi="Arial"/>
          <w:sz w:val="18"/>
          <w:szCs w:val="18"/>
          <w:color w:val="auto"/>
        </w:rPr>
        <w:t xml:space="preserve">The following table sets forth information concerning non-performing loans and performing restructured loans, as of each of the dates indicated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As of</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jc w:val="right"/>
              <w:ind w:right="340"/>
              <w:spacing w:after="0" w:line="133"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240"/>
              <w:spacing w:after="0" w:line="133" w:lineRule="exact"/>
              <w:rPr>
                <w:sz w:val="20"/>
                <w:szCs w:val="20"/>
                <w:color w:val="auto"/>
              </w:rPr>
            </w:pPr>
            <w:r>
              <w:rPr>
                <w:rFonts w:ascii="Arial" w:cs="Arial" w:eastAsia="Arial" w:hAnsi="Arial"/>
                <w:sz w:val="14"/>
                <w:szCs w:val="14"/>
                <w:b w:val="1"/>
                <w:bCs w:val="1"/>
                <w:color w:val="auto"/>
                <w:w w:val="92"/>
              </w:rPr>
              <w:t>December 31,</w:t>
            </w:r>
          </w:p>
        </w:tc>
        <w:tc>
          <w:tcPr>
            <w:tcW w:w="1180" w:type="dxa"/>
            <w:vAlign w:val="bottom"/>
            <w:gridSpan w:val="3"/>
          </w:tcPr>
          <w:p>
            <w:pPr>
              <w:jc w:val="right"/>
              <w:ind w:right="240"/>
              <w:spacing w:after="0" w:line="133" w:lineRule="exact"/>
              <w:rPr>
                <w:sz w:val="20"/>
                <w:szCs w:val="20"/>
                <w:color w:val="auto"/>
              </w:rPr>
            </w:pPr>
            <w:r>
              <w:rPr>
                <w:rFonts w:ascii="Arial" w:cs="Arial" w:eastAsia="Arial" w:hAnsi="Arial"/>
                <w:sz w:val="14"/>
                <w:szCs w:val="14"/>
                <w:b w:val="1"/>
                <w:bCs w:val="1"/>
                <w:color w:val="auto"/>
                <w:w w:val="96"/>
              </w:rPr>
              <w:t>September 30,</w:t>
            </w:r>
          </w:p>
        </w:tc>
        <w:tc>
          <w:tcPr>
            <w:tcW w:w="120" w:type="dxa"/>
            <w:vAlign w:val="bottom"/>
          </w:tcPr>
          <w:p>
            <w:pPr>
              <w:spacing w:after="0"/>
              <w:rPr>
                <w:sz w:val="11"/>
                <w:szCs w:val="11"/>
                <w:color w:val="auto"/>
              </w:rPr>
            </w:pPr>
          </w:p>
        </w:tc>
        <w:tc>
          <w:tcPr>
            <w:tcW w:w="900" w:type="dxa"/>
            <w:vAlign w:val="bottom"/>
          </w:tcPr>
          <w:p>
            <w:pPr>
              <w:jc w:val="right"/>
              <w:ind w:right="171"/>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340" w:type="dxa"/>
            <w:vAlign w:val="bottom"/>
            <w:tcBorders>
              <w:bottom w:val="single" w:sz="8" w:color="CCEEFF"/>
            </w:tcBorders>
          </w:tcPr>
          <w:p>
            <w:pPr>
              <w:spacing w:after="0"/>
              <w:rPr>
                <w:sz w:val="16"/>
                <w:szCs w:val="16"/>
                <w:color w:val="auto"/>
              </w:rPr>
            </w:pPr>
          </w:p>
        </w:tc>
        <w:tc>
          <w:tcPr>
            <w:tcW w:w="6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Portfolio loans</w:t>
            </w:r>
          </w:p>
        </w:tc>
        <w:tc>
          <w:tcPr>
            <w:tcW w:w="6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7,497,778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7,272,873</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7,188,998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7,150,635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7,185,650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Non-GAAP adjustments: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w w:val="99"/>
              </w:rPr>
              <w:t>PPP loans, amortized cost</w:t>
            </w:r>
          </w:p>
        </w:tc>
        <w:tc>
          <w:tcPr>
            <w:tcW w:w="6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(7,616)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(31,769)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(74,958)</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(178,231)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(390,395)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36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Core loans</w:t>
            </w:r>
          </w:p>
        </w:tc>
        <w:tc>
          <w:tcPr>
            <w:tcW w:w="680" w:type="dxa"/>
            <w:vAlign w:val="bottom"/>
          </w:tcPr>
          <w:p>
            <w:pPr>
              <w:spacing w:after="0" w:line="196" w:lineRule="exact"/>
              <w:rPr>
                <w:sz w:val="20"/>
                <w:szCs w:val="20"/>
                <w:color w:val="auto"/>
              </w:rPr>
            </w:pPr>
            <w:r>
              <w:rPr>
                <w:rFonts w:ascii="Arial" w:cs="Arial" w:eastAsia="Arial" w:hAnsi="Arial"/>
                <w:sz w:val="18"/>
                <w:szCs w:val="18"/>
                <w:color w:val="auto"/>
              </w:rPr>
              <w:t>[b]</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7,490,162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7,241,104</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7,114,040</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6,972,404</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6,795,255</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3"/>
        </w:trPr>
        <w:tc>
          <w:tcPr>
            <w:tcW w:w="20" w:type="dxa"/>
            <w:vAlign w:val="bottom"/>
            <w:vMerge w:val="restart"/>
          </w:tcPr>
          <w:p>
            <w:pPr>
              <w:spacing w:after="0"/>
              <w:rPr>
                <w:sz w:val="12"/>
                <w:szCs w:val="12"/>
                <w:color w:val="auto"/>
              </w:rPr>
            </w:pPr>
          </w:p>
        </w:tc>
        <w:tc>
          <w:tcPr>
            <w:tcW w:w="2340" w:type="dxa"/>
            <w:vAlign w:val="bottom"/>
            <w:tcBorders>
              <w:top w:val="single" w:sz="8" w:color="CCEEFF"/>
            </w:tcBorders>
            <w:shd w:val="clear" w:color="auto" w:fill="CCEEFF"/>
          </w:tcPr>
          <w:p>
            <w:pPr>
              <w:spacing w:after="0"/>
              <w:rPr>
                <w:sz w:val="12"/>
                <w:szCs w:val="12"/>
                <w:color w:val="auto"/>
              </w:rPr>
            </w:pPr>
          </w:p>
        </w:tc>
        <w:tc>
          <w:tcPr>
            <w:tcW w:w="6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Loans 30 – 89 days past due</w:t>
            </w:r>
          </w:p>
        </w:tc>
        <w:tc>
          <w:tcPr>
            <w:tcW w:w="6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5,157</w:t>
            </w:r>
          </w:p>
        </w:tc>
        <w:tc>
          <w:tcPr>
            <w:tcW w:w="140" w:type="dxa"/>
            <w:vAlign w:val="bottom"/>
          </w:tcPr>
          <w:p>
            <w:pPr>
              <w:spacing w:after="0"/>
              <w:rPr>
                <w:sz w:val="17"/>
                <w:szCs w:val="17"/>
                <w:color w:val="auto"/>
              </w:rPr>
            </w:pPr>
          </w:p>
        </w:tc>
        <w:tc>
          <w:tcPr>
            <w:tcW w:w="14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3,916</w:t>
            </w:r>
          </w:p>
        </w:tc>
        <w:tc>
          <w:tcPr>
            <w:tcW w:w="140" w:type="dxa"/>
            <w:vAlign w:val="bottom"/>
          </w:tcPr>
          <w:p>
            <w:pPr>
              <w:spacing w:after="0"/>
              <w:rPr>
                <w:sz w:val="17"/>
                <w:szCs w:val="17"/>
                <w:color w:val="auto"/>
              </w:rPr>
            </w:pPr>
          </w:p>
        </w:tc>
        <w:tc>
          <w:tcPr>
            <w:tcW w:w="10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6,261</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6,446</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3,888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b w:val="1"/>
                <w:bCs w:val="1"/>
                <w:color w:val="auto"/>
              </w:rPr>
              <w:t>Total assets</w:t>
            </w:r>
          </w:p>
        </w:tc>
        <w:tc>
          <w:tcPr>
            <w:tcW w:w="680" w:type="dxa"/>
            <w:vAlign w:val="bottom"/>
          </w:tcPr>
          <w:p>
            <w:pPr>
              <w:spacing w:after="0" w:line="202" w:lineRule="exact"/>
              <w:rPr>
                <w:sz w:val="20"/>
                <w:szCs w:val="20"/>
                <w:color w:val="auto"/>
              </w:rPr>
            </w:pPr>
            <w:r>
              <w:rPr>
                <w:rFonts w:ascii="Arial" w:cs="Arial" w:eastAsia="Arial" w:hAnsi="Arial"/>
                <w:sz w:val="18"/>
                <w:szCs w:val="18"/>
                <w:color w:val="auto"/>
              </w:rPr>
              <w:t>[c]</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12,356,433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12,567,509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3"/>
              </w:rPr>
              <w:t>12,859,689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12,899,330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12,415,449</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b w:val="1"/>
                <w:bCs w:val="1"/>
                <w:color w:val="auto"/>
              </w:rPr>
              <w:t>Non-performing assets</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Non-performing loans: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340" w:type="dxa"/>
            <w:vAlign w:val="bottom"/>
          </w:tcPr>
          <w:p>
            <w:pPr>
              <w:ind w:left="420"/>
              <w:spacing w:after="0" w:line="202" w:lineRule="exact"/>
              <w:rPr>
                <w:sz w:val="20"/>
                <w:szCs w:val="20"/>
                <w:color w:val="auto"/>
              </w:rPr>
            </w:pPr>
            <w:r>
              <w:rPr>
                <w:rFonts w:ascii="Arial" w:cs="Arial" w:eastAsia="Arial" w:hAnsi="Arial"/>
                <w:sz w:val="18"/>
                <w:szCs w:val="18"/>
                <w:color w:val="auto"/>
              </w:rPr>
              <w:t>Non-accrual loans</w:t>
            </w:r>
          </w:p>
        </w:tc>
        <w:tc>
          <w:tcPr>
            <w:tcW w:w="680" w:type="dxa"/>
            <w:vAlign w:val="bottom"/>
          </w:tcPr>
          <w:p>
            <w:pPr>
              <w:spacing w:after="0" w:line="202" w:lineRule="exact"/>
              <w:rPr>
                <w:sz w:val="20"/>
                <w:szCs w:val="20"/>
                <w:color w:val="auto"/>
              </w:rPr>
            </w:pPr>
            <w:r>
              <w:rPr>
                <w:rFonts w:ascii="Arial" w:cs="Arial" w:eastAsia="Arial" w:hAnsi="Arial"/>
                <w:sz w:val="18"/>
                <w:szCs w:val="18"/>
                <w:color w:val="auto"/>
              </w:rPr>
              <w:t>[d]</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15,840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12,488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15,946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25,369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27,725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w w:val="94"/>
              </w:rPr>
              <w:t>Loans 90+ days past due</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and still accruing</w:t>
            </w:r>
          </w:p>
        </w:tc>
        <w:tc>
          <w:tcPr>
            <w:tcW w:w="6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Pr>
          <w:p>
            <w:pPr>
              <w:ind w:left="220"/>
              <w:spacing w:after="0" w:line="196" w:lineRule="exact"/>
              <w:rPr>
                <w:sz w:val="20"/>
                <w:szCs w:val="20"/>
                <w:color w:val="auto"/>
              </w:rPr>
            </w:pPr>
            <w:r>
              <w:rPr>
                <w:rFonts w:ascii="Arial" w:cs="Arial" w:eastAsia="Arial" w:hAnsi="Arial"/>
                <w:sz w:val="18"/>
                <w:szCs w:val="18"/>
                <w:color w:val="auto"/>
                <w:w w:val="97"/>
              </w:rPr>
              <w:t>Total non-performing loans</w:t>
            </w:r>
          </w:p>
        </w:tc>
        <w:tc>
          <w:tcPr>
            <w:tcW w:w="680" w:type="dxa"/>
            <w:vAlign w:val="bottom"/>
          </w:tcPr>
          <w:p>
            <w:pPr>
              <w:spacing w:after="0" w:line="196" w:lineRule="exact"/>
              <w:rPr>
                <w:sz w:val="20"/>
                <w:szCs w:val="20"/>
                <w:color w:val="auto"/>
              </w:rPr>
            </w:pPr>
            <w:r>
              <w:rPr>
                <w:rFonts w:ascii="Arial" w:cs="Arial" w:eastAsia="Arial" w:hAnsi="Arial"/>
                <w:sz w:val="18"/>
                <w:szCs w:val="18"/>
                <w:color w:val="auto"/>
              </w:rPr>
              <w:t>[e]</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17,494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12,685</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16,852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25,860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28,315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w w:val="87"/>
              </w:rPr>
              <w:t>OREO and other repossessed</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assets</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Pr>
          <w:p>
            <w:pPr>
              <w:spacing w:after="0" w:line="196" w:lineRule="exact"/>
              <w:rPr>
                <w:sz w:val="20"/>
                <w:szCs w:val="20"/>
                <w:color w:val="auto"/>
              </w:rPr>
            </w:pPr>
            <w:r>
              <w:rPr>
                <w:rFonts w:ascii="Arial" w:cs="Arial" w:eastAsia="Arial" w:hAnsi="Arial"/>
                <w:sz w:val="18"/>
                <w:szCs w:val="18"/>
                <w:color w:val="auto"/>
              </w:rPr>
              <w:t>Total non-performing assets</w:t>
            </w:r>
          </w:p>
        </w:tc>
        <w:tc>
          <w:tcPr>
            <w:tcW w:w="680" w:type="dxa"/>
            <w:vAlign w:val="bottom"/>
          </w:tcPr>
          <w:p>
            <w:pPr>
              <w:spacing w:after="0" w:line="196" w:lineRule="exact"/>
              <w:rPr>
                <w:sz w:val="20"/>
                <w:szCs w:val="20"/>
                <w:color w:val="auto"/>
              </w:rPr>
            </w:pPr>
            <w:r>
              <w:rPr>
                <w:rFonts w:ascii="Arial" w:cs="Arial" w:eastAsia="Arial" w:hAnsi="Arial"/>
                <w:sz w:val="18"/>
                <w:szCs w:val="18"/>
                <w:color w:val="auto"/>
              </w:rPr>
              <w:t>[g]</w:t>
            </w: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18,923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16,291</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Arial" w:cs="Arial" w:eastAsia="Arial" w:hAnsi="Arial"/>
                <w:sz w:val="18"/>
                <w:szCs w:val="18"/>
                <w:color w:val="auto"/>
              </w:rPr>
              <w:t>21,268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29,044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31,452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40" w:type="dxa"/>
            <w:vAlign w:val="bottom"/>
          </w:tcPr>
          <w:p>
            <w:pPr>
              <w:spacing w:after="0" w:line="189" w:lineRule="exact"/>
              <w:rPr>
                <w:sz w:val="20"/>
                <w:szCs w:val="20"/>
                <w:color w:val="auto"/>
              </w:rPr>
            </w:pPr>
            <w:r>
              <w:rPr>
                <w:rFonts w:ascii="Arial" w:cs="Arial" w:eastAsia="Arial" w:hAnsi="Arial"/>
                <w:sz w:val="18"/>
                <w:szCs w:val="18"/>
                <w:color w:val="auto"/>
                <w:w w:val="88"/>
              </w:rPr>
              <w:t>Substandard (excludes 90+ days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360" w:type="dxa"/>
            <w:vAlign w:val="bottom"/>
            <w:gridSpan w:val="2"/>
          </w:tcPr>
          <w:p>
            <w:pPr>
              <w:ind w:left="20"/>
              <w:spacing w:after="0"/>
              <w:rPr>
                <w:sz w:val="20"/>
                <w:szCs w:val="20"/>
                <w:color w:val="auto"/>
              </w:rPr>
            </w:pPr>
            <w:r>
              <w:rPr>
                <w:rFonts w:ascii="Arial" w:cs="Arial" w:eastAsia="Arial" w:hAnsi="Arial"/>
                <w:sz w:val="18"/>
                <w:szCs w:val="18"/>
                <w:color w:val="auto"/>
              </w:rPr>
              <w:t>past due)</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84,411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79,962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70,565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51,740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44,877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34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Classified assets</w:t>
            </w:r>
          </w:p>
        </w:tc>
        <w:tc>
          <w:tcPr>
            <w:tcW w:w="6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[h]</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103,334</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96,253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91,833</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80,784</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76,329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2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6"/>
              </w:rPr>
              <w:t>Performing TDRs (includes 30</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spacing w:after="0"/>
              <w:rPr>
                <w:sz w:val="20"/>
                <w:szCs w:val="20"/>
                <w:color w:val="auto"/>
              </w:rPr>
            </w:pPr>
            <w:r>
              <w:rPr>
                <w:rFonts w:ascii="Arial" w:cs="Arial" w:eastAsia="Arial" w:hAnsi="Arial"/>
                <w:sz w:val="18"/>
                <w:szCs w:val="18"/>
                <w:color w:val="auto"/>
              </w:rPr>
              <w:t>– 89 days past due)</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w:t>
            </w:r>
          </w:p>
        </w:tc>
        <w:tc>
          <w:tcPr>
            <w:tcW w:w="1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1,771</w:t>
            </w:r>
          </w:p>
        </w:tc>
        <w:tc>
          <w:tcPr>
            <w:tcW w:w="14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spacing w:after="0" w:line="202" w:lineRule="exact"/>
              <w:rPr>
                <w:sz w:val="20"/>
                <w:szCs w:val="20"/>
                <w:color w:val="auto"/>
              </w:rPr>
            </w:pPr>
            <w:r>
              <w:rPr>
                <w:rFonts w:ascii="Arial" w:cs="Arial" w:eastAsia="Arial" w:hAnsi="Arial"/>
                <w:sz w:val="18"/>
                <w:szCs w:val="18"/>
                <w:color w:val="auto"/>
              </w:rPr>
              <w:t>ACL</w:t>
            </w:r>
          </w:p>
        </w:tc>
        <w:tc>
          <w:tcPr>
            <w:tcW w:w="680" w:type="dxa"/>
            <w:vAlign w:val="bottom"/>
          </w:tcPr>
          <w:p>
            <w:pPr>
              <w:spacing w:after="0" w:line="202" w:lineRule="exact"/>
              <w:rPr>
                <w:sz w:val="20"/>
                <w:szCs w:val="20"/>
                <w:color w:val="auto"/>
              </w:rPr>
            </w:pPr>
            <w:r>
              <w:rPr>
                <w:rFonts w:ascii="Arial" w:cs="Arial" w:eastAsia="Arial" w:hAnsi="Arial"/>
                <w:sz w:val="18"/>
                <w:szCs w:val="18"/>
                <w:color w:val="auto"/>
              </w:rPr>
              <w:t>[i]</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88,757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88,213</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rPr>
              <w:t>87,887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92,802</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95,410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Bank Tier 1 Capital</w:t>
            </w:r>
          </w:p>
        </w:tc>
        <w:tc>
          <w:tcPr>
            <w:tcW w:w="68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[j]</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1,265,418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1,247,370</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1,241,303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1,238,060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1,238,685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3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234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Ratios</w:t>
            </w:r>
          </w:p>
        </w:tc>
        <w:tc>
          <w:tcPr>
            <w:tcW w:w="6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340" w:type="dxa"/>
            <w:vAlign w:val="bottom"/>
          </w:tcPr>
          <w:p>
            <w:pPr>
              <w:ind w:left="220"/>
              <w:spacing w:after="0" w:line="202" w:lineRule="exact"/>
              <w:rPr>
                <w:sz w:val="20"/>
                <w:szCs w:val="20"/>
                <w:color w:val="auto"/>
              </w:rPr>
            </w:pPr>
            <w:r>
              <w:rPr>
                <w:rFonts w:ascii="Arial" w:cs="Arial" w:eastAsia="Arial" w:hAnsi="Arial"/>
                <w:sz w:val="18"/>
                <w:szCs w:val="18"/>
                <w:color w:val="auto"/>
              </w:rPr>
              <w:t>ACL to non-accrual loans</w:t>
            </w:r>
          </w:p>
        </w:tc>
        <w:tc>
          <w:tcPr>
            <w:tcW w:w="680" w:type="dxa"/>
            <w:vAlign w:val="bottom"/>
          </w:tcPr>
          <w:p>
            <w:pPr>
              <w:spacing w:after="0" w:line="202" w:lineRule="exact"/>
              <w:rPr>
                <w:sz w:val="20"/>
                <w:szCs w:val="20"/>
                <w:color w:val="auto"/>
              </w:rPr>
            </w:pPr>
            <w:r>
              <w:rPr>
                <w:rFonts w:ascii="Arial" w:cs="Arial" w:eastAsia="Arial" w:hAnsi="Arial"/>
                <w:sz w:val="18"/>
                <w:szCs w:val="18"/>
                <w:color w:val="auto"/>
              </w:rPr>
              <w:t>[i÷d]</w:t>
            </w: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560.33 %</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706.38 %</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551.15 %</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365.81 %</w:t>
            </w:r>
          </w:p>
        </w:tc>
        <w:tc>
          <w:tcPr>
            <w:tcW w:w="120" w:type="dxa"/>
            <w:vAlign w:val="bottom"/>
          </w:tcPr>
          <w:p>
            <w:pPr>
              <w:spacing w:after="0"/>
              <w:rPr>
                <w:sz w:val="17"/>
                <w:szCs w:val="17"/>
                <w:color w:val="auto"/>
              </w:rPr>
            </w:pPr>
          </w:p>
        </w:tc>
        <w:tc>
          <w:tcPr>
            <w:tcW w:w="1060" w:type="dxa"/>
            <w:vAlign w:val="bottom"/>
            <w:gridSpan w:val="2"/>
          </w:tcPr>
          <w:p>
            <w:pPr>
              <w:jc w:val="right"/>
              <w:ind w:right="20"/>
              <w:spacing w:after="0" w:line="202" w:lineRule="exact"/>
              <w:rPr>
                <w:sz w:val="20"/>
                <w:szCs w:val="20"/>
                <w:color w:val="auto"/>
              </w:rPr>
            </w:pPr>
            <w:r>
              <w:rPr>
                <w:rFonts w:ascii="Arial" w:cs="Arial" w:eastAsia="Arial" w:hAnsi="Arial"/>
                <w:sz w:val="18"/>
                <w:szCs w:val="18"/>
                <w:color w:val="auto"/>
              </w:rPr>
              <w:t>344.13 %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ACL to non-performing</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loans</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[i÷e]</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507.36 %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695.41 %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521.52 %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358.86 %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336.96 %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ind w:left="220"/>
              <w:spacing w:after="0" w:line="189" w:lineRule="exact"/>
              <w:rPr>
                <w:sz w:val="20"/>
                <w:szCs w:val="20"/>
                <w:color w:val="auto"/>
              </w:rPr>
            </w:pPr>
            <w:r>
              <w:rPr>
                <w:rFonts w:ascii="Arial" w:cs="Arial" w:eastAsia="Arial" w:hAnsi="Arial"/>
                <w:sz w:val="18"/>
                <w:szCs w:val="18"/>
                <w:color w:val="auto"/>
              </w:rPr>
              <w:t>ACL to non-performing</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assets</w:t>
            </w:r>
          </w:p>
        </w:tc>
        <w:tc>
          <w:tcPr>
            <w:tcW w:w="680" w:type="dxa"/>
            <w:vAlign w:val="bottom"/>
          </w:tcPr>
          <w:p>
            <w:pPr>
              <w:spacing w:after="0"/>
              <w:rPr>
                <w:sz w:val="20"/>
                <w:szCs w:val="20"/>
                <w:color w:val="auto"/>
              </w:rPr>
            </w:pPr>
            <w:r>
              <w:rPr>
                <w:rFonts w:ascii="Arial" w:cs="Arial" w:eastAsia="Arial" w:hAnsi="Arial"/>
                <w:sz w:val="18"/>
                <w:szCs w:val="18"/>
                <w:color w:val="auto"/>
              </w:rPr>
              <w:t>[i÷g]</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469.04 %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541.48 %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413.24 %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319.52 %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303.35 %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Non-accrual loans to</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portfolio loans</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[d÷a]</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0.21 %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0.17 %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0.35 %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ind w:left="220"/>
              <w:spacing w:after="0" w:line="189" w:lineRule="exact"/>
              <w:rPr>
                <w:sz w:val="20"/>
                <w:szCs w:val="20"/>
                <w:color w:val="auto"/>
              </w:rPr>
            </w:pPr>
            <w:r>
              <w:rPr>
                <w:rFonts w:ascii="Arial" w:cs="Arial" w:eastAsia="Arial" w:hAnsi="Arial"/>
                <w:sz w:val="18"/>
                <w:szCs w:val="18"/>
                <w:color w:val="auto"/>
              </w:rPr>
              <w:t>Non-performing loans to</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portfolio loans</w:t>
            </w:r>
          </w:p>
        </w:tc>
        <w:tc>
          <w:tcPr>
            <w:tcW w:w="680" w:type="dxa"/>
            <w:vAlign w:val="bottom"/>
          </w:tcPr>
          <w:p>
            <w:pPr>
              <w:spacing w:after="0"/>
              <w:rPr>
                <w:sz w:val="20"/>
                <w:szCs w:val="20"/>
                <w:color w:val="auto"/>
              </w:rPr>
            </w:pPr>
            <w:r>
              <w:rPr>
                <w:rFonts w:ascii="Arial" w:cs="Arial" w:eastAsia="Arial" w:hAnsi="Arial"/>
                <w:sz w:val="18"/>
                <w:szCs w:val="18"/>
                <w:color w:val="auto"/>
              </w:rPr>
              <w:t>[e÷a]</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0.23 %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0.17 %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0.23 %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0.36 %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0.39 %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Non-performing loans to</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core loans</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[e÷b]</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0.23 %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0.18 %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0.24 %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0.37 %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0.42 %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ind w:left="220"/>
              <w:spacing w:after="0" w:line="189" w:lineRule="exact"/>
              <w:rPr>
                <w:sz w:val="20"/>
                <w:szCs w:val="20"/>
                <w:color w:val="auto"/>
              </w:rPr>
            </w:pPr>
            <w:r>
              <w:rPr>
                <w:rFonts w:ascii="Arial" w:cs="Arial" w:eastAsia="Arial" w:hAnsi="Arial"/>
                <w:sz w:val="18"/>
                <w:szCs w:val="18"/>
                <w:color w:val="auto"/>
              </w:rPr>
              <w:t>Non-performing assets to</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total assets</w:t>
            </w:r>
          </w:p>
        </w:tc>
        <w:tc>
          <w:tcPr>
            <w:tcW w:w="680" w:type="dxa"/>
            <w:vAlign w:val="bottom"/>
          </w:tcPr>
          <w:p>
            <w:pPr>
              <w:spacing w:after="0"/>
              <w:rPr>
                <w:sz w:val="20"/>
                <w:szCs w:val="20"/>
                <w:color w:val="auto"/>
              </w:rPr>
            </w:pPr>
            <w:r>
              <w:rPr>
                <w:rFonts w:ascii="Arial" w:cs="Arial" w:eastAsia="Arial" w:hAnsi="Arial"/>
                <w:sz w:val="18"/>
                <w:szCs w:val="18"/>
                <w:color w:val="auto"/>
              </w:rPr>
              <w:t>[g÷c]</w:t>
            </w: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0.15 %</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0.13 %</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0.17 %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0.23 %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0.25 %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Non-performing assets to</w:t>
            </w: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portfolio loans and OREO</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w w:val="97"/>
              </w:rPr>
              <w:t>[g÷(a+f)]</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0.25 %</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0.22 %</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0.30 %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0.41 %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0.44 %</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340" w:type="dxa"/>
            <w:vAlign w:val="bottom"/>
          </w:tcPr>
          <w:p>
            <w:pPr>
              <w:ind w:left="220"/>
              <w:spacing w:after="0" w:line="189" w:lineRule="exact"/>
              <w:rPr>
                <w:sz w:val="20"/>
                <w:szCs w:val="20"/>
                <w:color w:val="auto"/>
              </w:rPr>
            </w:pPr>
            <w:r>
              <w:rPr>
                <w:rFonts w:ascii="Arial" w:cs="Arial" w:eastAsia="Arial" w:hAnsi="Arial"/>
                <w:sz w:val="18"/>
                <w:szCs w:val="18"/>
                <w:color w:val="auto"/>
                <w:w w:val="88"/>
              </w:rPr>
              <w:t>Classified assets to Bank Tier</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340" w:type="dxa"/>
            <w:vAlign w:val="bottom"/>
          </w:tcPr>
          <w:p>
            <w:pPr>
              <w:ind w:left="220"/>
              <w:spacing w:after="0"/>
              <w:rPr>
                <w:sz w:val="20"/>
                <w:szCs w:val="20"/>
                <w:color w:val="auto"/>
              </w:rPr>
            </w:pPr>
            <w:r>
              <w:rPr>
                <w:rFonts w:ascii="Arial" w:cs="Arial" w:eastAsia="Arial" w:hAnsi="Arial"/>
                <w:sz w:val="18"/>
                <w:szCs w:val="18"/>
                <w:color w:val="auto"/>
              </w:rPr>
              <w:t>1 Capital and ACL</w:t>
            </w:r>
          </w:p>
        </w:tc>
        <w:tc>
          <w:tcPr>
            <w:tcW w:w="680" w:type="dxa"/>
            <w:vAlign w:val="bottom"/>
          </w:tcPr>
          <w:p>
            <w:pPr>
              <w:spacing w:after="0"/>
              <w:rPr>
                <w:sz w:val="20"/>
                <w:szCs w:val="20"/>
                <w:color w:val="auto"/>
              </w:rPr>
            </w:pPr>
            <w:r>
              <w:rPr>
                <w:rFonts w:ascii="Arial" w:cs="Arial" w:eastAsia="Arial" w:hAnsi="Arial"/>
                <w:sz w:val="18"/>
                <w:szCs w:val="18"/>
                <w:color w:val="auto"/>
              </w:rPr>
              <w:t>[h÷(i+j)]</w:t>
            </w: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7.63 %</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7.21 %</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6.91 %</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6.07 %</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5.72 %</w:t>
            </w: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591"/>
              <w:spacing w:after="0"/>
              <w:rPr>
                <w:sz w:val="20"/>
                <w:szCs w:val="20"/>
                <w:color w:val="auto"/>
              </w:rPr>
            </w:pPr>
            <w:r>
              <w:rPr>
                <w:rFonts w:ascii="Arial" w:cs="Arial" w:eastAsia="Arial" w:hAnsi="Arial"/>
                <w:sz w:val="18"/>
                <w:szCs w:val="18"/>
                <w:color w:val="auto"/>
                <w:w w:val="99"/>
              </w:rPr>
              <w:t>69</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Non-performing loan balances increased by 3.8% to $17.5 million as of June 30, 2022, compared with $16.9 million as of December 31, 2021. The increase in non-performing loans in the second quarter of 2022 is largely attributable to a single borrower in the skilled nursing industry. Continued disciplined credit management resulted in non-performing loans as a percentage of portfolio loans of 0.23% as of both June 30, 2022, and December 31, 2021. Excluding the amortized cost of</w:t>
      </w:r>
    </w:p>
    <w:p>
      <w:pPr>
        <w:spacing w:after="0" w:line="1" w:lineRule="exact"/>
        <w:rPr>
          <w:sz w:val="20"/>
          <w:szCs w:val="20"/>
          <w:color w:val="auto"/>
        </w:rPr>
      </w:pPr>
    </w:p>
    <w:p>
      <w:pPr>
        <w:ind w:left="60" w:right="59" w:hanging="10"/>
        <w:spacing w:after="0" w:line="243" w:lineRule="auto"/>
        <w:tabs>
          <w:tab w:leader="none" w:pos="434" w:val="left"/>
        </w:tabs>
        <w:numPr>
          <w:ilvl w:val="0"/>
          <w:numId w:val="20"/>
        </w:numPr>
        <w:rPr>
          <w:rFonts w:ascii="Arial" w:cs="Arial" w:eastAsia="Arial" w:hAnsi="Arial"/>
          <w:sz w:val="18"/>
          <w:szCs w:val="18"/>
          <w:color w:val="auto"/>
        </w:rPr>
      </w:pPr>
      <w:r>
        <w:rPr>
          <w:rFonts w:ascii="Arial" w:cs="Arial" w:eastAsia="Arial" w:hAnsi="Arial"/>
          <w:sz w:val="18"/>
          <w:szCs w:val="18"/>
          <w:color w:val="auto"/>
        </w:rPr>
        <w:t>loans, non-performing loans as a percentage of portfolio loans was 0.23% as of June 30, 2022, and 0.24% as of December 31, 2021.</w:t>
      </w:r>
    </w:p>
    <w:p>
      <w:pPr>
        <w:spacing w:after="0" w:line="17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Asset quality metrics remain dependent upon market-specific economic conditions, which may fluctuate from period to period. If economic conditions were to deteriorate, we would expect the credit quality of our loan portfolio to decline and loan defaults to increase.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Potential Problem Loans</w:t>
      </w:r>
    </w:p>
    <w:p>
      <w:pPr>
        <w:spacing w:after="0" w:line="198"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6"/>
          <w:szCs w:val="16"/>
          <w:color w:val="auto"/>
        </w:rPr>
        <w:t>Potential problem loans are loans classified as substandard which are not individually evaluated, restructured, non-accrual, or 90+ days past due, but where current information indicates that the borrower may not be able to comply with loan repayment terms. Management assesses the potential for loss on such loans and considers the effect of any potential loss in determining its provision for expected credit losses. Potential problem loans increased to $83.9 million as of June 30, 2022, compared to $70.5 million as of December 31, 2021. Management continues to monitor these credits and anticipates that restructurings, guarantees, additional collateral, or other planned actions will result in full repayment of the debts. As of June 30, 2022, management identified no other loans that represent or result from trends or uncertainties which would be expected to materially impact future operating results, liquidity, or capital resources.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COVID-19 Modifications</w:t>
      </w:r>
    </w:p>
    <w:p>
      <w:pPr>
        <w:spacing w:after="0" w:line="198"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7"/>
          <w:szCs w:val="17"/>
          <w:color w:val="auto"/>
        </w:rPr>
        <w:t>To alleviate some of the financial hardships faced as a result of COVID-19, the Company offered a Financial Relief Program to qualifying customers. The program included options for short-term loan payment deferrals and certain fee waivers. As of June 30, 2022, the Company had no loans remaining on full payment deferral, 11 commercial loans on interest-only payment deferral representing $31.9 million in loans, and one payment deferred retail loan representing $0.1 million in loans. In comparison, the Company had 32 commercial loans on interest-only payment deferral representing $128.7 million in loans, and two payment deferred retail loans representing $0.1 million as of December 31, 2021. As these deferrals expire, the Company will continue to monitor credits for potential problem loans.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Deposits</w:t>
      </w:r>
    </w:p>
    <w:p>
      <w:pPr>
        <w:spacing w:after="0" w:line="198" w:lineRule="exact"/>
        <w:rPr>
          <w:sz w:val="20"/>
          <w:szCs w:val="20"/>
          <w:color w:val="auto"/>
        </w:rPr>
      </w:pPr>
    </w:p>
    <w:p>
      <w:pPr>
        <w:jc w:val="both"/>
        <w:ind w:left="60" w:right="59"/>
        <w:spacing w:after="0" w:line="235" w:lineRule="auto"/>
        <w:rPr>
          <w:rFonts w:ascii="Arial" w:cs="Arial" w:eastAsia="Arial" w:hAnsi="Arial"/>
          <w:sz w:val="17"/>
          <w:szCs w:val="17"/>
          <w:color w:val="auto"/>
        </w:rPr>
      </w:pPr>
      <w:r>
        <w:rPr>
          <w:rFonts w:ascii="Arial" w:cs="Arial" w:eastAsia="Arial" w:hAnsi="Arial"/>
          <w:sz w:val="17"/>
          <w:szCs w:val="17"/>
          <w:color w:val="auto"/>
        </w:rPr>
        <w:t>Total deposits decreased by 3.4% to $10.4 billion as of June 30, 2022, compared to $10.8 billion as of December 31, 2021. We focus on deepening our relationships with customers to foster core deposit</w:t>
      </w:r>
      <w:r>
        <w:rPr>
          <w:rFonts w:ascii="Arial" w:cs="Arial" w:eastAsia="Arial" w:hAnsi="Arial"/>
          <w:sz w:val="25"/>
          <w:szCs w:val="25"/>
          <w:color w:val="auto"/>
          <w:vertAlign w:val="superscript"/>
        </w:rPr>
        <w:t>(</w:t>
      </w:r>
      <w:hyperlink w:anchor="page70">
        <w:r>
          <w:rPr>
            <w:rFonts w:ascii="Arial" w:cs="Arial" w:eastAsia="Arial" w:hAnsi="Arial"/>
            <w:sz w:val="25"/>
            <w:szCs w:val="25"/>
            <w:u w:val="single" w:color="auto"/>
            <w:color w:val="0000EE"/>
            <w:vertAlign w:val="superscript"/>
          </w:rPr>
          <w:t>1</w:t>
        </w:r>
      </w:hyperlink>
      <w:r>
        <w:rPr>
          <w:rFonts w:ascii="Arial" w:cs="Arial" w:eastAsia="Arial" w:hAnsi="Arial"/>
          <w:sz w:val="25"/>
          <w:szCs w:val="25"/>
          <w:color w:val="auto"/>
          <w:vertAlign w:val="superscript"/>
        </w:rPr>
        <w:t>)</w:t>
      </w:r>
      <w:r>
        <w:rPr>
          <w:rFonts w:ascii="Arial" w:cs="Arial" w:eastAsia="Arial" w:hAnsi="Arial"/>
          <w:sz w:val="17"/>
          <w:szCs w:val="17"/>
          <w:color w:val="auto"/>
        </w:rPr>
        <w:t xml:space="preserve"> growth, allowing us to reduce our reliance on wholesale funding. Core deposits include non-brokered transaction accounts, money market deposit accounts, and time deposits of $250,000 or less. Fluctuations in deposit balances can be attributed to the retention of PPP loan funding in customer deposit accounts, the impacts of economic stimulus, transfer of funds from bank deposits to assets under care, time deposit attrition, other core deposit growth, and the seasonality of public funds.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w:t>
      </w:r>
    </w:p>
    <w:p>
      <w:pPr>
        <w:spacing w:after="0" w:line="20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7"/>
          <w:szCs w:val="17"/>
          <w:color w:val="auto"/>
        </w:rPr>
        <w:t>Liquidity management is the process by which we ensure that adequate liquid funds are available to meet the present and future cash flow obligations arising in the daily operations of our business. These financial obligations consist of needs for funds to meet commitments to borrowers for extensions of credit, fund capital expenditures, honor withdrawals by customers, pay dividends to stockholders, and pay operating expenses. Our most liquid assets are cash and due from banks, interest-bearing bank deposits, and federal funds sold. Balances of these assets are dependent on our operating, investing, lending, and financing activities during any given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283210</wp:posOffset>
            </wp:positionV>
            <wp:extent cx="141414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60" w:right="559" w:hanging="10"/>
        <w:spacing w:after="0" w:line="224" w:lineRule="auto"/>
        <w:tabs>
          <w:tab w:leader="none" w:pos="222" w:val="left"/>
        </w:tabs>
        <w:numPr>
          <w:ilvl w:val="0"/>
          <w:numId w:val="21"/>
        </w:numPr>
        <w:rPr>
          <w:rFonts w:ascii="Arial" w:cs="Arial" w:eastAsia="Arial" w:hAnsi="Arial"/>
          <w:sz w:val="13"/>
          <w:szCs w:val="13"/>
          <w:color w:val="auto"/>
        </w:rPr>
      </w:pPr>
      <w:r>
        <w:rPr>
          <w:rFonts w:ascii="Arial" w:cs="Arial" w:eastAsia="Arial" w:hAnsi="Arial"/>
          <w:sz w:val="13"/>
          <w:szCs w:val="13"/>
          <w:color w:val="auto"/>
        </w:rPr>
        <w:t xml:space="preserve">Core deposits is a non-GAAP financial measure. For a reconciliation of non-GAAP measures to the most directly comparable GAAP financial measures, see </w:t>
      </w:r>
      <w:r>
        <w:rPr>
          <w:rFonts w:ascii="Arial" w:cs="Arial" w:eastAsia="Arial" w:hAnsi="Arial"/>
          <w:sz w:val="13"/>
          <w:szCs w:val="13"/>
          <w:i w:val="1"/>
          <w:iCs w:val="1"/>
          <w:color w:val="auto"/>
        </w:rPr>
        <w:t>“</w:t>
      </w:r>
      <w:hyperlink w:anchor="page72">
        <w:r>
          <w:rPr>
            <w:rFonts w:ascii="Arial" w:cs="Arial" w:eastAsia="Arial" w:hAnsi="Arial"/>
            <w:sz w:val="13"/>
            <w:szCs w:val="13"/>
            <w:i w:val="1"/>
            <w:iCs w:val="1"/>
            <w:u w:val="single" w:color="auto"/>
            <w:color w:val="0000EE"/>
          </w:rPr>
          <w:t>Item 2. Management’s Discussion and Analysis—Non-GAAP Financial Information</w:t>
        </w:r>
      </w:hyperlink>
      <w:r>
        <w:rPr>
          <w:rFonts w:ascii="Arial" w:cs="Arial" w:eastAsia="Arial" w:hAnsi="Arial"/>
          <w:sz w:val="13"/>
          <w:szCs w:val="13"/>
          <w:i w:val="1"/>
          <w:iCs w:val="1"/>
          <w:color w:val="auto"/>
        </w:rPr>
        <w:t>”</w:t>
      </w:r>
      <w:r>
        <w:rPr>
          <w:rFonts w:ascii="Arial" w:cs="Arial" w:eastAsia="Arial" w:hAnsi="Arial"/>
          <w:sz w:val="13"/>
          <w:szCs w:val="13"/>
          <w:color w:val="auto"/>
        </w:rPr>
        <w:t xml:space="preserve"> included in this Quarterly Report.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94" w:lineRule="auto"/>
        <w:rPr>
          <w:sz w:val="20"/>
          <w:szCs w:val="20"/>
          <w:color w:val="auto"/>
        </w:rPr>
      </w:pPr>
      <w:r>
        <w:rPr>
          <w:rFonts w:ascii="Arial" w:cs="Arial" w:eastAsia="Arial" w:hAnsi="Arial"/>
          <w:sz w:val="16"/>
          <w:szCs w:val="16"/>
          <w:color w:val="auto"/>
        </w:rPr>
        <w:t xml:space="preserve">First Busey’s primary sources of funds consist of deposits, investment maturities and sales, loan principal repayments, and capital funds. Additional liquidity is provided by the ability to borrow from the FHLB, the Federal Reserve, First Busey’s revolving credit facility, or to utilize brokered deposits, as summarized in the table below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39"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6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6"/>
                <w:szCs w:val="16"/>
                <w:color w:val="auto"/>
              </w:rPr>
            </w:pPr>
          </w:p>
        </w:tc>
      </w:tr>
      <w:tr>
        <w:trPr>
          <w:trHeight w:val="133"/>
        </w:trPr>
        <w:tc>
          <w:tcPr>
            <w:tcW w:w="6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60" w:type="dxa"/>
            <w:vAlign w:val="bottom"/>
            <w:gridSpan w:val="2"/>
          </w:tcPr>
          <w:p>
            <w:pPr>
              <w:ind w:left="8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40" w:type="dxa"/>
            <w:vAlign w:val="bottom"/>
          </w:tcPr>
          <w:p>
            <w:pPr>
              <w:jc w:val="right"/>
              <w:ind w:right="16"/>
              <w:spacing w:after="0" w:line="133" w:lineRule="exact"/>
              <w:rPr>
                <w:sz w:val="20"/>
                <w:szCs w:val="20"/>
                <w:color w:val="auto"/>
              </w:rPr>
            </w:pPr>
            <w:r>
              <w:rPr>
                <w:rFonts w:ascii="Arial" w:cs="Arial" w:eastAsia="Arial" w:hAnsi="Arial"/>
                <w:sz w:val="14"/>
                <w:szCs w:val="14"/>
                <w:b w:val="1"/>
                <w:bCs w:val="1"/>
                <w:color w:val="auto"/>
                <w:w w:val="90"/>
              </w:rPr>
              <w:t>December 31,</w:t>
            </w:r>
          </w:p>
        </w:tc>
      </w:tr>
      <w:tr>
        <w:trPr>
          <w:trHeight w:val="185"/>
        </w:trPr>
        <w:tc>
          <w:tcPr>
            <w:tcW w:w="6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2021</w:t>
            </w:r>
          </w:p>
        </w:tc>
      </w:tr>
      <w:tr>
        <w:trPr>
          <w:trHeight w:val="183"/>
        </w:trPr>
        <w:tc>
          <w:tcPr>
            <w:tcW w:w="66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Additional borrowing capacity available from:</w:t>
            </w: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03"/>
        </w:trPr>
        <w:tc>
          <w:tcPr>
            <w:tcW w:w="6620" w:type="dxa"/>
            <w:vAlign w:val="bottom"/>
          </w:tcPr>
          <w:p>
            <w:pPr>
              <w:ind w:left="220"/>
              <w:spacing w:after="0" w:line="202" w:lineRule="exact"/>
              <w:rPr>
                <w:sz w:val="20"/>
                <w:szCs w:val="20"/>
                <w:color w:val="auto"/>
              </w:rPr>
            </w:pPr>
            <w:r>
              <w:rPr>
                <w:rFonts w:ascii="Arial" w:cs="Arial" w:eastAsia="Arial" w:hAnsi="Arial"/>
                <w:sz w:val="18"/>
                <w:szCs w:val="18"/>
                <w:color w:val="auto"/>
              </w:rPr>
              <w:t>FHLB</w:t>
            </w:r>
          </w:p>
        </w:tc>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line="202" w:lineRule="exact"/>
              <w:rPr>
                <w:sz w:val="20"/>
                <w:szCs w:val="20"/>
                <w:color w:val="auto"/>
              </w:rPr>
            </w:pPr>
            <w:r>
              <w:rPr>
                <w:rFonts w:ascii="Arial" w:cs="Arial" w:eastAsia="Arial" w:hAnsi="Arial"/>
                <w:sz w:val="18"/>
                <w:szCs w:val="18"/>
                <w:color w:val="auto"/>
                <w:w w:val="99"/>
              </w:rPr>
              <w:t>1,761,890</w:t>
            </w:r>
          </w:p>
        </w:tc>
        <w:tc>
          <w:tcPr>
            <w:tcW w:w="2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1,536,019</w:t>
            </w:r>
          </w:p>
        </w:tc>
      </w:tr>
      <w:tr>
        <w:trPr>
          <w:trHeight w:val="203"/>
        </w:trPr>
        <w:tc>
          <w:tcPr>
            <w:tcW w:w="66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Federal Reserve</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778,335</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624,627</w:t>
            </w:r>
          </w:p>
        </w:tc>
      </w:tr>
      <w:tr>
        <w:trPr>
          <w:trHeight w:val="203"/>
        </w:trPr>
        <w:tc>
          <w:tcPr>
            <w:tcW w:w="662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Revolving credit facility</w:t>
            </w: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40,000</w:t>
            </w:r>
          </w:p>
        </w:tc>
        <w:tc>
          <w:tcPr>
            <w:tcW w:w="20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40,000</w:t>
            </w:r>
          </w:p>
        </w:tc>
      </w:tr>
      <w:tr>
        <w:trPr>
          <w:trHeight w:val="196"/>
        </w:trPr>
        <w:tc>
          <w:tcPr>
            <w:tcW w:w="662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Additional borrowing capacity</w:t>
            </w:r>
          </w:p>
        </w:tc>
        <w:tc>
          <w:tcPr>
            <w:tcW w:w="1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2,580,225</w:t>
            </w: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2,200,646</w:t>
            </w:r>
          </w:p>
        </w:tc>
      </w:tr>
      <w:tr>
        <w:trPr>
          <w:trHeight w:val="20"/>
        </w:trPr>
        <w:tc>
          <w:tcPr>
            <w:tcW w:w="6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As of June 30, 2022, management believed that adequate liquidity existed to meet all projected cash flow obligations. We seek to achieve a satisfactory degree of liquidity by actively managing both assets and liabilities. Asset management guides the proportion of liquid assets to total assets, while liability management monitors future funding requirements and prices liabilities accordingly.</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OFF-BALANCE-SHEET ARRANGEMENTS</w:t>
      </w:r>
    </w:p>
    <w:p>
      <w:pPr>
        <w:spacing w:after="0" w:line="202"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Busey Bank routinely enters into commitments to extend credit and standby letters of credit in the normal course of business to meet the financing needs of its customers. We had outstanding loan commitments and standby letters of credit of $2.0 billion as of both June 30, 2022, and December 31, 2021. The balance of commitments to extend credit represents future cash requirements and some of these commitments may expire without being drawn upon. We anticipate we will have sufficient funds available to meet current loan commitments, including loan applications received and in process prior to the issuance of firm commitments.</w:t>
      </w:r>
    </w:p>
    <w:p>
      <w:pPr>
        <w:spacing w:after="0" w:line="1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As of June 30, 2022, our reserve for unfunded commitments was $7.4 million, compared to $6.5 million as of December 31, 2021. The Company recorded a $0.3 million release of the provision for unfunded commitments for the three months ended June 30, 2022, compared with a provision release of $0.5 million for the same period in 2021. We recorded $0.8 million of expenses for the provision for unfunded commitments for the six months ended June 30, 2022, compared to provision releases totaling $0.1 million of for the same period in 2021.</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CAPITAL RESOURCES</w:t>
      </w:r>
    </w:p>
    <w:p>
      <w:pPr>
        <w:spacing w:after="0" w:line="202"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7"/>
          <w:szCs w:val="17"/>
          <w:color w:val="auto"/>
        </w:rPr>
        <w:t>Our capital ratios are in excess of those required to be considered “well-capitalized” pursuant to applicable regulatory guidelines. The Federal Reserve Board uses capital adequacy guidelines in its examination and regulation of bank holding companies and their subsidiary banks. Risk-based capital ratios are established by allocating assets and certain off-balance-sheet commitments into risk-weighted categories. These balances are then multiplied by the factor appropriate for that risk-weighted category. In order to refrain from restrictions on dividends, equity repurchases, and discretionary bonus payments, banking institutions must maintain capital in excess of regulatory minimum capital requirements. The table below presents minimum capital ratios that include the capital conservation buffer in comparison to the capital ratios for First Busey and Busey Bank as of June 30, 2022:</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40" w:type="dxa"/>
            <w:vAlign w:val="bottom"/>
          </w:tcPr>
          <w:p>
            <w:pPr>
              <w:spacing w:after="0"/>
              <w:rPr>
                <w:sz w:val="16"/>
                <w:szCs w:val="16"/>
                <w:color w:val="auto"/>
              </w:rPr>
            </w:pPr>
          </w:p>
        </w:tc>
        <w:tc>
          <w:tcPr>
            <w:tcW w:w="14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Minimum Capital</w:t>
            </w:r>
          </w:p>
        </w:tc>
        <w:tc>
          <w:tcPr>
            <w:tcW w:w="2280" w:type="dxa"/>
            <w:vAlign w:val="bottom"/>
            <w:gridSpan w:val="4"/>
          </w:tcPr>
          <w:p>
            <w:pPr>
              <w:jc w:val="right"/>
              <w:ind w:right="530"/>
              <w:spacing w:after="0"/>
              <w:rPr>
                <w:sz w:val="20"/>
                <w:szCs w:val="20"/>
                <w:color w:val="auto"/>
              </w:rPr>
            </w:pPr>
            <w:r>
              <w:rPr>
                <w:rFonts w:ascii="Arial" w:cs="Arial" w:eastAsia="Arial" w:hAnsi="Arial"/>
                <w:sz w:val="14"/>
                <w:szCs w:val="14"/>
                <w:b w:val="1"/>
                <w:bCs w:val="1"/>
                <w:color w:val="auto"/>
              </w:rPr>
              <w:t>As of June 30, 2022</w:t>
            </w:r>
          </w:p>
        </w:tc>
      </w:tr>
      <w:tr>
        <w:trPr>
          <w:trHeight w:val="133"/>
        </w:trPr>
        <w:tc>
          <w:tcPr>
            <w:tcW w:w="5140" w:type="dxa"/>
            <w:vAlign w:val="bottom"/>
          </w:tcPr>
          <w:p>
            <w:pPr>
              <w:spacing w:after="0"/>
              <w:rPr>
                <w:sz w:val="11"/>
                <w:szCs w:val="11"/>
                <w:color w:val="auto"/>
              </w:rPr>
            </w:pPr>
          </w:p>
        </w:tc>
        <w:tc>
          <w:tcPr>
            <w:tcW w:w="1480" w:type="dxa"/>
            <w:vAlign w:val="bottom"/>
            <w:gridSpan w:val="2"/>
          </w:tcPr>
          <w:p>
            <w:pPr>
              <w:jc w:val="center"/>
              <w:ind w:right="190"/>
              <w:spacing w:after="0" w:line="133" w:lineRule="exact"/>
              <w:rPr>
                <w:sz w:val="20"/>
                <w:szCs w:val="20"/>
                <w:color w:val="auto"/>
              </w:rPr>
            </w:pPr>
            <w:r>
              <w:rPr>
                <w:rFonts w:ascii="Arial" w:cs="Arial" w:eastAsia="Arial" w:hAnsi="Arial"/>
                <w:sz w:val="14"/>
                <w:szCs w:val="14"/>
                <w:b w:val="1"/>
                <w:bCs w:val="1"/>
                <w:color w:val="auto"/>
                <w:w w:val="92"/>
              </w:rPr>
              <w:t>Requirements with</w:t>
            </w:r>
          </w:p>
        </w:tc>
        <w:tc>
          <w:tcPr>
            <w:tcW w:w="1200" w:type="dxa"/>
            <w:vAlign w:val="bottom"/>
            <w:tcBorders>
              <w:top w:val="single" w:sz="8" w:color="auto"/>
            </w:tcBorders>
            <w:gridSpan w:val="2"/>
          </w:tcPr>
          <w:p>
            <w:pPr>
              <w:jc w:val="right"/>
              <w:ind w:right="310"/>
              <w:spacing w:after="0" w:line="133" w:lineRule="exact"/>
              <w:rPr>
                <w:sz w:val="20"/>
                <w:szCs w:val="20"/>
                <w:color w:val="auto"/>
              </w:rPr>
            </w:pPr>
            <w:r>
              <w:rPr>
                <w:rFonts w:ascii="Arial" w:cs="Arial" w:eastAsia="Arial" w:hAnsi="Arial"/>
                <w:sz w:val="14"/>
                <w:szCs w:val="14"/>
                <w:b w:val="1"/>
                <w:bCs w:val="1"/>
                <w:color w:val="auto"/>
              </w:rPr>
              <w:t>First Busey</w:t>
            </w:r>
          </w:p>
        </w:tc>
        <w:tc>
          <w:tcPr>
            <w:tcW w:w="920" w:type="dxa"/>
            <w:vAlign w:val="bottom"/>
            <w:tcBorders>
              <w:top w:val="single" w:sz="8" w:color="auto"/>
            </w:tcBorders>
          </w:tcPr>
          <w:p>
            <w:pPr>
              <w:jc w:val="right"/>
              <w:ind w:right="196"/>
              <w:spacing w:after="0" w:line="133" w:lineRule="exact"/>
              <w:rPr>
                <w:sz w:val="20"/>
                <w:szCs w:val="20"/>
                <w:color w:val="auto"/>
              </w:rPr>
            </w:pPr>
            <w:r>
              <w:rPr>
                <w:rFonts w:ascii="Arial" w:cs="Arial" w:eastAsia="Arial" w:hAnsi="Arial"/>
                <w:sz w:val="14"/>
                <w:szCs w:val="14"/>
                <w:b w:val="1"/>
                <w:bCs w:val="1"/>
                <w:color w:val="auto"/>
              </w:rPr>
              <w:t>Busey</w:t>
            </w:r>
          </w:p>
        </w:tc>
        <w:tc>
          <w:tcPr>
            <w:tcW w:w="160" w:type="dxa"/>
            <w:vAlign w:val="bottom"/>
          </w:tcPr>
          <w:p>
            <w:pPr>
              <w:spacing w:after="0"/>
              <w:rPr>
                <w:sz w:val="11"/>
                <w:szCs w:val="11"/>
                <w:color w:val="auto"/>
              </w:rPr>
            </w:pPr>
          </w:p>
        </w:tc>
      </w:tr>
      <w:tr>
        <w:trPr>
          <w:trHeight w:val="185"/>
        </w:trPr>
        <w:tc>
          <w:tcPr>
            <w:tcW w:w="5140" w:type="dxa"/>
            <w:vAlign w:val="bottom"/>
          </w:tcPr>
          <w:p>
            <w:pPr>
              <w:spacing w:after="0"/>
              <w:rPr>
                <w:sz w:val="16"/>
                <w:szCs w:val="16"/>
                <w:color w:val="auto"/>
              </w:rPr>
            </w:pPr>
          </w:p>
        </w:tc>
        <w:tc>
          <w:tcPr>
            <w:tcW w:w="14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8"/>
              </w:rPr>
              <w:t>Capital Buffer</w:t>
            </w:r>
          </w:p>
        </w:tc>
        <w:tc>
          <w:tcPr>
            <w:tcW w:w="1200" w:type="dxa"/>
            <w:vAlign w:val="bottom"/>
            <w:gridSpan w:val="2"/>
          </w:tcPr>
          <w:p>
            <w:pPr>
              <w:jc w:val="right"/>
              <w:ind w:right="270"/>
              <w:spacing w:after="0"/>
              <w:rPr>
                <w:sz w:val="20"/>
                <w:szCs w:val="20"/>
                <w:color w:val="auto"/>
              </w:rPr>
            </w:pPr>
            <w:r>
              <w:rPr>
                <w:rFonts w:ascii="Arial" w:cs="Arial" w:eastAsia="Arial" w:hAnsi="Arial"/>
                <w:sz w:val="14"/>
                <w:szCs w:val="14"/>
                <w:b w:val="1"/>
                <w:bCs w:val="1"/>
                <w:color w:val="auto"/>
              </w:rPr>
              <w:t>Corporation</w:t>
            </w:r>
          </w:p>
        </w:tc>
        <w:tc>
          <w:tcPr>
            <w:tcW w:w="1080" w:type="dxa"/>
            <w:vAlign w:val="bottom"/>
            <w:gridSpan w:val="2"/>
          </w:tcPr>
          <w:p>
            <w:pPr>
              <w:jc w:val="right"/>
              <w:ind w:right="350"/>
              <w:spacing w:after="0"/>
              <w:rPr>
                <w:sz w:val="20"/>
                <w:szCs w:val="20"/>
                <w:color w:val="auto"/>
              </w:rPr>
            </w:pPr>
            <w:r>
              <w:rPr>
                <w:rFonts w:ascii="Arial" w:cs="Arial" w:eastAsia="Arial" w:hAnsi="Arial"/>
                <w:sz w:val="14"/>
                <w:szCs w:val="14"/>
                <w:b w:val="1"/>
                <w:bCs w:val="1"/>
                <w:color w:val="auto"/>
              </w:rPr>
              <w:t>Bank</w:t>
            </w:r>
          </w:p>
        </w:tc>
      </w:tr>
      <w:tr>
        <w:trPr>
          <w:trHeight w:val="196"/>
        </w:trPr>
        <w:tc>
          <w:tcPr>
            <w:tcW w:w="514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Common Equity Tier 1 Capital to Risk Weighted Assets</w:t>
            </w:r>
          </w:p>
        </w:tc>
        <w:tc>
          <w:tcPr>
            <w:tcW w:w="1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w:t>
            </w:r>
          </w:p>
        </w:tc>
        <w:tc>
          <w:tcPr>
            <w:tcW w:w="30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9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11.77</w:t>
            </w:r>
          </w:p>
        </w:tc>
        <w:tc>
          <w:tcPr>
            <w:tcW w:w="300" w:type="dxa"/>
            <w:vAlign w:val="bottom"/>
            <w:tcBorders>
              <w:top w:val="single" w:sz="8" w:color="CCEEFF"/>
            </w:tcBorders>
            <w:shd w:val="clear" w:color="auto" w:fill="CCEEFF"/>
          </w:tcPr>
          <w:p>
            <w:pPr>
              <w:jc w:val="right"/>
              <w:ind w:right="50"/>
              <w:spacing w:after="0" w:line="196" w:lineRule="exact"/>
              <w:rPr>
                <w:sz w:val="20"/>
                <w:szCs w:val="20"/>
                <w:color w:val="auto"/>
              </w:rPr>
            </w:pPr>
            <w:r>
              <w:rPr>
                <w:rFonts w:ascii="Arial" w:cs="Arial" w:eastAsia="Arial" w:hAnsi="Arial"/>
                <w:sz w:val="18"/>
                <w:szCs w:val="18"/>
                <w:color w:val="auto"/>
                <w:w w:val="87"/>
              </w:rPr>
              <w:t>%</w:t>
            </w:r>
          </w:p>
        </w:tc>
        <w:tc>
          <w:tcPr>
            <w:tcW w:w="9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14.50</w:t>
            </w:r>
          </w:p>
        </w:tc>
        <w:tc>
          <w:tcPr>
            <w:tcW w:w="16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03"/>
        </w:trPr>
        <w:tc>
          <w:tcPr>
            <w:tcW w:w="5140" w:type="dxa"/>
            <w:vAlign w:val="bottom"/>
          </w:tcPr>
          <w:p>
            <w:pPr>
              <w:ind w:left="20"/>
              <w:spacing w:after="0" w:line="202" w:lineRule="exact"/>
              <w:rPr>
                <w:sz w:val="20"/>
                <w:szCs w:val="20"/>
                <w:color w:val="auto"/>
              </w:rPr>
            </w:pPr>
            <w:r>
              <w:rPr>
                <w:rFonts w:ascii="Arial" w:cs="Arial" w:eastAsia="Arial" w:hAnsi="Arial"/>
                <w:sz w:val="18"/>
                <w:szCs w:val="18"/>
                <w:color w:val="auto"/>
              </w:rPr>
              <w:t>Tier 1 Capital to Risk Weighted Assets</w:t>
            </w:r>
          </w:p>
        </w:tc>
        <w:tc>
          <w:tcPr>
            <w:tcW w:w="148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8.50 %</w:t>
            </w:r>
          </w:p>
        </w:tc>
        <w:tc>
          <w:tcPr>
            <w:tcW w:w="1200" w:type="dxa"/>
            <w:vAlign w:val="bottom"/>
            <w:gridSpan w:val="2"/>
          </w:tcPr>
          <w:p>
            <w:pPr>
              <w:jc w:val="right"/>
              <w:ind w:right="50"/>
              <w:spacing w:after="0" w:line="202" w:lineRule="exact"/>
              <w:rPr>
                <w:sz w:val="20"/>
                <w:szCs w:val="20"/>
                <w:color w:val="auto"/>
              </w:rPr>
            </w:pPr>
            <w:r>
              <w:rPr>
                <w:rFonts w:ascii="Arial" w:cs="Arial" w:eastAsia="Arial" w:hAnsi="Arial"/>
                <w:sz w:val="18"/>
                <w:szCs w:val="18"/>
                <w:color w:val="auto"/>
              </w:rPr>
              <w:t>12.62 %</w:t>
            </w:r>
          </w:p>
        </w:tc>
        <w:tc>
          <w:tcPr>
            <w:tcW w:w="10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14.50 %</w:t>
            </w:r>
          </w:p>
        </w:tc>
      </w:tr>
      <w:tr>
        <w:trPr>
          <w:trHeight w:val="203"/>
        </w:trPr>
        <w:tc>
          <w:tcPr>
            <w:tcW w:w="51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Total Capital to Risk Weighted Assets</w:t>
            </w:r>
          </w:p>
        </w:tc>
        <w:tc>
          <w:tcPr>
            <w:tcW w:w="148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10.50 %</w:t>
            </w:r>
          </w:p>
        </w:tc>
        <w:tc>
          <w:tcPr>
            <w:tcW w:w="1200" w:type="dxa"/>
            <w:vAlign w:val="bottom"/>
            <w:gridSpan w:val="2"/>
            <w:shd w:val="clear" w:color="auto" w:fill="CCEEFF"/>
          </w:tcPr>
          <w:p>
            <w:pPr>
              <w:jc w:val="right"/>
              <w:ind w:right="50"/>
              <w:spacing w:after="0" w:line="202" w:lineRule="exact"/>
              <w:rPr>
                <w:sz w:val="20"/>
                <w:szCs w:val="20"/>
                <w:color w:val="auto"/>
              </w:rPr>
            </w:pPr>
            <w:r>
              <w:rPr>
                <w:rFonts w:ascii="Arial" w:cs="Arial" w:eastAsia="Arial" w:hAnsi="Arial"/>
                <w:sz w:val="18"/>
                <w:szCs w:val="18"/>
                <w:color w:val="auto"/>
              </w:rPr>
              <w:t>16.58 %</w:t>
            </w:r>
          </w:p>
        </w:tc>
        <w:tc>
          <w:tcPr>
            <w:tcW w:w="10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15.36 %</w:t>
            </w:r>
          </w:p>
        </w:tc>
      </w:tr>
      <w:tr>
        <w:trPr>
          <w:trHeight w:val="230"/>
        </w:trPr>
        <w:tc>
          <w:tcPr>
            <w:tcW w:w="5140" w:type="dxa"/>
            <w:vAlign w:val="bottom"/>
          </w:tcPr>
          <w:p>
            <w:pPr>
              <w:ind w:left="20"/>
              <w:spacing w:after="0"/>
              <w:rPr>
                <w:sz w:val="20"/>
                <w:szCs w:val="20"/>
                <w:color w:val="auto"/>
              </w:rPr>
            </w:pPr>
            <w:r>
              <w:rPr>
                <w:rFonts w:ascii="Arial" w:cs="Arial" w:eastAsia="Arial" w:hAnsi="Arial"/>
                <w:sz w:val="18"/>
                <w:szCs w:val="18"/>
                <w:color w:val="auto"/>
              </w:rPr>
              <w:t>Leverage Ratio of Tier 1 Capital to Average Assets</w:t>
            </w:r>
          </w:p>
        </w:tc>
        <w:tc>
          <w:tcPr>
            <w:tcW w:w="1480" w:type="dxa"/>
            <w:vAlign w:val="bottom"/>
            <w:gridSpan w:val="2"/>
          </w:tcPr>
          <w:p>
            <w:pPr>
              <w:jc w:val="right"/>
              <w:ind w:right="50"/>
              <w:spacing w:after="0"/>
              <w:rPr>
                <w:sz w:val="20"/>
                <w:szCs w:val="20"/>
                <w:color w:val="auto"/>
              </w:rPr>
            </w:pPr>
            <w:r>
              <w:rPr>
                <w:rFonts w:ascii="Arial" w:cs="Arial" w:eastAsia="Arial" w:hAnsi="Arial"/>
                <w:sz w:val="18"/>
                <w:szCs w:val="18"/>
                <w:color w:val="auto"/>
              </w:rPr>
              <w:t>6.50 %</w:t>
            </w:r>
          </w:p>
        </w:tc>
        <w:tc>
          <w:tcPr>
            <w:tcW w:w="1200" w:type="dxa"/>
            <w:vAlign w:val="bottom"/>
            <w:gridSpan w:val="2"/>
          </w:tcPr>
          <w:p>
            <w:pPr>
              <w:jc w:val="right"/>
              <w:ind w:right="50"/>
              <w:spacing w:after="0"/>
              <w:rPr>
                <w:sz w:val="20"/>
                <w:szCs w:val="20"/>
                <w:color w:val="auto"/>
              </w:rPr>
            </w:pPr>
            <w:r>
              <w:rPr>
                <w:rFonts w:ascii="Arial" w:cs="Arial" w:eastAsia="Arial" w:hAnsi="Arial"/>
                <w:sz w:val="18"/>
                <w:szCs w:val="18"/>
                <w:color w:val="auto"/>
              </w:rPr>
              <w:t>9.03 %</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10.37 %</w:t>
            </w:r>
          </w:p>
        </w:tc>
      </w:tr>
    </w:tbl>
    <w:p>
      <w:pPr>
        <w:spacing w:after="0" w:line="160" w:lineRule="exact"/>
        <w:rPr>
          <w:sz w:val="20"/>
          <w:szCs w:val="20"/>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For further discussion of capital resources and requirements, see “</w:t>
      </w:r>
      <w:hyperlink w:anchor="page33">
        <w:r>
          <w:rPr>
            <w:rFonts w:ascii="Arial" w:cs="Arial" w:eastAsia="Arial" w:hAnsi="Arial"/>
            <w:sz w:val="18"/>
            <w:szCs w:val="18"/>
            <w:i w:val="1"/>
            <w:iCs w:val="1"/>
            <w:u w:val="single" w:color="auto"/>
            <w:color w:val="0000EE"/>
          </w:rPr>
          <w:t>Note 7: Regulatory Capital</w:t>
        </w:r>
      </w:hyperlink>
      <w:r>
        <w:rPr>
          <w:rFonts w:ascii="Arial" w:cs="Arial" w:eastAsia="Arial" w:hAnsi="Arial"/>
          <w:sz w:val="18"/>
          <w:szCs w:val="18"/>
          <w:i w:val="1"/>
          <w:iCs w:val="1"/>
          <w:color w:val="auto"/>
        </w:rPr>
        <w: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INFORMATION</w:t>
      </w:r>
    </w:p>
    <w:p>
      <w:pPr>
        <w:spacing w:after="0" w:line="202"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This Quarterly Report contains certain financial information determined by methods other than GAAP. Management uses these non-GAAP measures, together with the related GAAP measures, in analysis of the Company’s performance and in making business decisions, as well as for comparison to the Company’s peers. The Company believes the adjusted measures are useful for investors and management to understand the effects of certain non-recurring noninterest items and provide additional perspective on the Company’s performance over time.</w:t>
      </w:r>
    </w:p>
    <w:p>
      <w:pPr>
        <w:spacing w:after="0" w:line="160"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6"/>
          <w:szCs w:val="16"/>
          <w:color w:val="auto"/>
        </w:rPr>
        <w:t>A reconciliation of non-GAAP financial measures to what management believes to be the most directly comparable GAAP financial measures—specifically, net interest income, total noninterest income, net security gains and losses, and total noninterest expense in the case of pre-provision net revenue, adjusted pre-provision net revenue, pre-provision net revenue to average assets, and adjusted pre-provision net revenue to average assets; net income in the case of adjusted net income, adjusted diluted earnings per share, adjusted return on average assets, return on average tangible common equity, and adjusted return on average tangible common equity; net interest income in the case of adjusted net interest income and adjusted net interest margin; net interest income, total noninterest income, and total noninterest expense in the case of adjusted noninterest expense, adjusted core expense, efficiency ratio, adjusted efficiency ratio, and adjusted core efficiency ratio; total stockholders’ equity in the case of tangible book value per common share; total assets and total stockholders’ equity in the case of tangible common equity and tangible common equity to tangible assets; portfolio loans in the case of core loans and core loans to portfolio loans; total deposits in the case of core deposits and core deposits to total deposits; and portfolio loans and total deposits in the case of core loans to core deposits—appears below.</w:t>
      </w:r>
    </w:p>
    <w:p>
      <w:pPr>
        <w:spacing w:after="0" w:line="158" w:lineRule="exact"/>
        <w:rPr>
          <w:sz w:val="20"/>
          <w:szCs w:val="20"/>
          <w:color w:val="auto"/>
        </w:rPr>
      </w:pPr>
    </w:p>
    <w:p>
      <w:pPr>
        <w:jc w:val="both"/>
        <w:ind w:left="60" w:right="59"/>
        <w:spacing w:after="0" w:line="262" w:lineRule="auto"/>
        <w:rPr>
          <w:sz w:val="20"/>
          <w:szCs w:val="20"/>
          <w:color w:val="auto"/>
        </w:rPr>
      </w:pPr>
      <w:r>
        <w:rPr>
          <w:rFonts w:ascii="Arial" w:cs="Arial" w:eastAsia="Arial" w:hAnsi="Arial"/>
          <w:sz w:val="17"/>
          <w:szCs w:val="17"/>
          <w:color w:val="auto"/>
        </w:rPr>
        <w:t>These non-GAAP disclosures have inherent limitations and are not audited. They should not be considered in isolation or as a substitute for operating results reported in accordance with GAAP, nor are they necessarily comparable to non-GAAP performance measures that may be presented by other companies. Tax effected numbers included in these non-GAAP disclosures are based on estimated statutory rates or effective rates as appropriate.</w:t>
      </w: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RECONCILIAITON OF NON-GAAP FINANCIAL MEASURES </w:t>
      </w:r>
      <w:r>
        <w:rPr>
          <w:rFonts w:ascii="Arial" w:cs="Arial" w:eastAsia="Arial" w:hAnsi="Arial"/>
          <w:sz w:val="18"/>
          <w:szCs w:val="18"/>
          <w:b w:val="1"/>
          <w:bCs w:val="1"/>
          <w:i w:val="1"/>
          <w:iCs w:val="1"/>
          <w:color w:val="auto"/>
        </w:rPr>
        <w:t>(unaudited)</w:t>
      </w:r>
    </w:p>
    <w:p>
      <w:pPr>
        <w:spacing w:after="0" w:line="131" w:lineRule="exact"/>
        <w:rPr>
          <w:sz w:val="20"/>
          <w:szCs w:val="20"/>
          <w:color w:val="auto"/>
        </w:rPr>
      </w:pPr>
    </w:p>
    <w:p>
      <w:pPr>
        <w:jc w:val="center"/>
        <w:ind w:left="1520" w:right="380"/>
        <w:spacing w:after="0" w:line="250" w:lineRule="auto"/>
        <w:rPr>
          <w:sz w:val="20"/>
          <w:szCs w:val="20"/>
          <w:color w:val="auto"/>
        </w:rPr>
      </w:pPr>
      <w:r>
        <w:rPr>
          <w:rFonts w:ascii="Arial" w:cs="Arial" w:eastAsia="Arial" w:hAnsi="Arial"/>
          <w:sz w:val="18"/>
          <w:szCs w:val="18"/>
          <w:b w:val="1"/>
          <w:bCs w:val="1"/>
          <w:color w:val="auto"/>
        </w:rPr>
        <w:t xml:space="preserve">Pre-Provision Net Revenue, Adjusted Pre-Provision Net Revenue, Pre-Provision Net Revenue to Average Assets, and Adjusted Pre-Provision Net Revenue to Average Assets </w:t>
      </w:r>
      <w:r>
        <w:rPr>
          <w:rFonts w:ascii="Arial" w:cs="Arial" w:eastAsia="Arial" w:hAnsi="Arial"/>
          <w:sz w:val="18"/>
          <w:szCs w:val="18"/>
          <w:i w:val="1"/>
          <w:iCs w:val="1"/>
          <w:color w:val="auto"/>
        </w:rPr>
        <w:t>(dollars in thousands)</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33"/>
        </w:trPr>
        <w:tc>
          <w:tcPr>
            <w:tcW w:w="3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r>
      <w:tr>
        <w:trPr>
          <w:trHeight w:val="185"/>
        </w:trPr>
        <w:tc>
          <w:tcPr>
            <w:tcW w:w="360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r>
      <w:tr>
        <w:trPr>
          <w:trHeight w:val="196"/>
        </w:trPr>
        <w:tc>
          <w:tcPr>
            <w:tcW w:w="36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PRE-PROVISION NET REVENUE</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rPr>
              <w:t>Net interest income</w:t>
            </w:r>
          </w:p>
        </w:tc>
        <w:tc>
          <w:tcPr>
            <w:tcW w:w="60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75,928</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64,542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145,984</w:t>
            </w:r>
          </w:p>
        </w:tc>
        <w:tc>
          <w:tcPr>
            <w:tcW w:w="1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129,435</w:t>
            </w:r>
          </w:p>
        </w:tc>
        <w:tc>
          <w:tcPr>
            <w:tcW w:w="160" w:type="dxa"/>
            <w:vAlign w:val="bottom"/>
          </w:tcPr>
          <w:p>
            <w:pPr>
              <w:spacing w:after="0"/>
              <w:rPr>
                <w:sz w:val="17"/>
                <w:szCs w:val="17"/>
                <w:color w:val="auto"/>
              </w:rPr>
            </w:pPr>
          </w:p>
        </w:tc>
      </w:tr>
      <w:tr>
        <w:trPr>
          <w:trHeight w:val="203"/>
        </w:trPr>
        <w:tc>
          <w:tcPr>
            <w:tcW w:w="3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noninterest income</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31,019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33,011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66,791</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64,456</w:t>
            </w:r>
          </w:p>
        </w:tc>
        <w:tc>
          <w:tcPr>
            <w:tcW w:w="160" w:type="dxa"/>
            <w:vAlign w:val="bottom"/>
            <w:shd w:val="clear" w:color="auto" w:fill="CCEEFF"/>
          </w:tcPr>
          <w:p>
            <w:pPr>
              <w:spacing w:after="0"/>
              <w:rPr>
                <w:sz w:val="17"/>
                <w:szCs w:val="17"/>
                <w:color w:val="auto"/>
              </w:rPr>
            </w:pPr>
          </w:p>
        </w:tc>
      </w:tr>
      <w:tr>
        <w:trPr>
          <w:trHeight w:val="188"/>
        </w:trPr>
        <w:tc>
          <w:tcPr>
            <w:tcW w:w="3600" w:type="dxa"/>
            <w:vAlign w:val="bottom"/>
          </w:tcPr>
          <w:p>
            <w:pPr>
              <w:ind w:left="220"/>
              <w:spacing w:after="0" w:line="189" w:lineRule="exact"/>
              <w:rPr>
                <w:sz w:val="20"/>
                <w:szCs w:val="20"/>
                <w:color w:val="auto"/>
              </w:rPr>
            </w:pPr>
            <w:r>
              <w:rPr>
                <w:rFonts w:ascii="Arial" w:cs="Arial" w:eastAsia="Arial" w:hAnsi="Arial"/>
                <w:sz w:val="18"/>
                <w:szCs w:val="18"/>
                <w:color w:val="auto"/>
                <w:w w:val="95"/>
              </w:rPr>
              <w:t>Net (gains) losses on sales of securities and</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202"/>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w w:val="90"/>
              </w:rPr>
              <w:t>unrealized (gains) losses recognized on equity</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7"/>
        </w:trPr>
        <w:tc>
          <w:tcPr>
            <w:tcW w:w="3600" w:type="dxa"/>
            <w:vAlign w:val="bottom"/>
          </w:tcPr>
          <w:p>
            <w:pPr>
              <w:ind w:left="220"/>
              <w:spacing w:after="0"/>
              <w:rPr>
                <w:sz w:val="20"/>
                <w:szCs w:val="20"/>
                <w:color w:val="auto"/>
              </w:rPr>
            </w:pPr>
            <w:r>
              <w:rPr>
                <w:rFonts w:ascii="Arial" w:cs="Arial" w:eastAsia="Arial" w:hAnsi="Arial"/>
                <w:sz w:val="18"/>
                <w:szCs w:val="18"/>
                <w:color w:val="auto"/>
              </w:rPr>
              <w:t>securities</w:t>
            </w: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1,714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(898)</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2,328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(2,539)</w:t>
            </w:r>
          </w:p>
        </w:tc>
      </w:tr>
      <w:tr>
        <w:trPr>
          <w:trHeight w:val="203"/>
        </w:trPr>
        <w:tc>
          <w:tcPr>
            <w:tcW w:w="3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Total noninterest expense</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(69,092)</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(62,625)</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(139,468)</w:t>
            </w: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(117,124)</w:t>
            </w:r>
          </w:p>
        </w:tc>
      </w:tr>
      <w:tr>
        <w:trPr>
          <w:trHeight w:val="196"/>
        </w:trPr>
        <w:tc>
          <w:tcPr>
            <w:tcW w:w="3600" w:type="dxa"/>
            <w:vAlign w:val="bottom"/>
          </w:tcPr>
          <w:p>
            <w:pPr>
              <w:ind w:left="20"/>
              <w:spacing w:after="0" w:line="196" w:lineRule="exact"/>
              <w:rPr>
                <w:sz w:val="20"/>
                <w:szCs w:val="20"/>
                <w:color w:val="auto"/>
              </w:rPr>
            </w:pPr>
            <w:r>
              <w:rPr>
                <w:rFonts w:ascii="Arial" w:cs="Arial" w:eastAsia="Arial" w:hAnsi="Arial"/>
                <w:sz w:val="18"/>
                <w:szCs w:val="18"/>
                <w:color w:val="auto"/>
              </w:rPr>
              <w:t>Pre-provision net revenue</w:t>
            </w:r>
          </w:p>
        </w:tc>
        <w:tc>
          <w:tcPr>
            <w:tcW w:w="6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39,569</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34,030</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75,635</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74,228</w:t>
            </w:r>
          </w:p>
        </w:tc>
        <w:tc>
          <w:tcPr>
            <w:tcW w:w="160" w:type="dxa"/>
            <w:vAlign w:val="bottom"/>
          </w:tcPr>
          <w:p>
            <w:pPr>
              <w:spacing w:after="0"/>
              <w:rPr>
                <w:sz w:val="17"/>
                <w:szCs w:val="17"/>
                <w:color w:val="auto"/>
              </w:rPr>
            </w:pP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3"/>
        </w:trPr>
        <w:tc>
          <w:tcPr>
            <w:tcW w:w="3600" w:type="dxa"/>
            <w:vAlign w:val="bottom"/>
          </w:tcPr>
          <w:p>
            <w:pPr>
              <w:ind w:left="220"/>
              <w:spacing w:after="0" w:line="202" w:lineRule="exact"/>
              <w:rPr>
                <w:sz w:val="20"/>
                <w:szCs w:val="20"/>
                <w:color w:val="auto"/>
              </w:rPr>
            </w:pPr>
            <w:r>
              <w:rPr>
                <w:rFonts w:ascii="Arial" w:cs="Arial" w:eastAsia="Arial" w:hAnsi="Arial"/>
                <w:sz w:val="18"/>
                <w:szCs w:val="18"/>
                <w:color w:val="auto"/>
                <w:w w:val="94"/>
              </w:rPr>
              <w:t>Acquisition and other restructuring expenses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2,713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1,138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3,033</w:t>
            </w:r>
          </w:p>
        </w:tc>
        <w:tc>
          <w:tcPr>
            <w:tcW w:w="160" w:type="dxa"/>
            <w:vAlign w:val="bottom"/>
          </w:tcPr>
          <w:p>
            <w:pPr>
              <w:spacing w:after="0"/>
              <w:rPr>
                <w:sz w:val="17"/>
                <w:szCs w:val="17"/>
                <w:color w:val="auto"/>
              </w:rPr>
            </w:pPr>
          </w:p>
        </w:tc>
      </w:tr>
      <w:tr>
        <w:trPr>
          <w:trHeight w:val="203"/>
        </w:trPr>
        <w:tc>
          <w:tcPr>
            <w:tcW w:w="36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unfunded commitments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(267)</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(496)</w:t>
            </w: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(90)</w:t>
            </w:r>
          </w:p>
        </w:tc>
      </w:tr>
      <w:tr>
        <w:trPr>
          <w:trHeight w:val="203"/>
        </w:trPr>
        <w:tc>
          <w:tcPr>
            <w:tcW w:w="36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Amortization of NMTC</w:t>
            </w:r>
          </w:p>
        </w:tc>
        <w:tc>
          <w:tcPr>
            <w:tcW w:w="6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1,662</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1,239</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3,003</w:t>
            </w:r>
          </w:p>
        </w:tc>
        <w:tc>
          <w:tcPr>
            <w:tcW w:w="1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3,068</w:t>
            </w:r>
          </w:p>
        </w:tc>
        <w:tc>
          <w:tcPr>
            <w:tcW w:w="160" w:type="dxa"/>
            <w:vAlign w:val="bottom"/>
            <w:tcBorders>
              <w:bottom w:val="single" w:sz="8" w:color="CCEEFF"/>
            </w:tcBorders>
          </w:tcPr>
          <w:p>
            <w:pPr>
              <w:spacing w:after="0"/>
              <w:rPr>
                <w:sz w:val="17"/>
                <w:szCs w:val="17"/>
                <w:color w:val="auto"/>
              </w:rPr>
            </w:pPr>
          </w:p>
        </w:tc>
      </w:tr>
      <w:tr>
        <w:trPr>
          <w:trHeight w:val="196"/>
        </w:trPr>
        <w:tc>
          <w:tcPr>
            <w:tcW w:w="360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Adjusted pre-provision net revenue</w:t>
            </w:r>
          </w:p>
        </w:tc>
        <w:tc>
          <w:tcPr>
            <w:tcW w:w="6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41,267</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37,486</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80,621</w:t>
            </w:r>
          </w:p>
        </w:tc>
        <w:tc>
          <w:tcPr>
            <w:tcW w:w="1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80,239</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3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3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Pre-provision net revenue, annualized</w:t>
            </w: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158,711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136,494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152,524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149,686</w:t>
            </w:r>
          </w:p>
        </w:tc>
        <w:tc>
          <w:tcPr>
            <w:tcW w:w="160" w:type="dxa"/>
            <w:vAlign w:val="bottom"/>
            <w:shd w:val="clear" w:color="auto" w:fill="CCEEFF"/>
          </w:tcPr>
          <w:p>
            <w:pPr>
              <w:spacing w:after="0"/>
              <w:rPr>
                <w:sz w:val="17"/>
                <w:szCs w:val="17"/>
                <w:color w:val="auto"/>
              </w:rPr>
            </w:pPr>
          </w:p>
        </w:tc>
      </w:tr>
      <w:tr>
        <w:trPr>
          <w:trHeight w:val="203"/>
        </w:trPr>
        <w:tc>
          <w:tcPr>
            <w:tcW w:w="3600" w:type="dxa"/>
            <w:vAlign w:val="bottom"/>
          </w:tcPr>
          <w:p>
            <w:pPr>
              <w:ind w:left="20"/>
              <w:spacing w:after="0" w:line="202" w:lineRule="exact"/>
              <w:rPr>
                <w:sz w:val="20"/>
                <w:szCs w:val="20"/>
                <w:color w:val="auto"/>
              </w:rPr>
            </w:pPr>
            <w:r>
              <w:rPr>
                <w:rFonts w:ascii="Arial" w:cs="Arial" w:eastAsia="Arial" w:hAnsi="Arial"/>
                <w:sz w:val="18"/>
                <w:szCs w:val="18"/>
                <w:color w:val="auto"/>
                <w:w w:val="94"/>
              </w:rPr>
              <w:t>Adjusted pre-provision net revenue, annualized</w:t>
            </w:r>
          </w:p>
        </w:tc>
        <w:tc>
          <w:tcPr>
            <w:tcW w:w="600" w:type="dxa"/>
            <w:vAlign w:val="bottom"/>
          </w:tcPr>
          <w:p>
            <w:pPr>
              <w:ind w:left="60"/>
              <w:spacing w:after="0" w:line="202" w:lineRule="exact"/>
              <w:rPr>
                <w:sz w:val="20"/>
                <w:szCs w:val="20"/>
                <w:color w:val="auto"/>
              </w:rPr>
            </w:pPr>
            <w:r>
              <w:rPr>
                <w:rFonts w:ascii="Arial" w:cs="Arial" w:eastAsia="Arial" w:hAnsi="Arial"/>
                <w:sz w:val="18"/>
                <w:szCs w:val="18"/>
                <w:color w:val="auto"/>
              </w:rPr>
              <w:t>[b]</w:t>
            </w: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165,521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150,356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162,578</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rPr>
              <w:t>161,808</w:t>
            </w:r>
          </w:p>
        </w:tc>
        <w:tc>
          <w:tcPr>
            <w:tcW w:w="160" w:type="dxa"/>
            <w:vAlign w:val="bottom"/>
          </w:tcPr>
          <w:p>
            <w:pPr>
              <w:spacing w:after="0"/>
              <w:rPr>
                <w:sz w:val="17"/>
                <w:szCs w:val="17"/>
                <w:color w:val="auto"/>
              </w:rPr>
            </w:pPr>
          </w:p>
        </w:tc>
      </w:tr>
      <w:tr>
        <w:trPr>
          <w:trHeight w:val="203"/>
        </w:trPr>
        <w:tc>
          <w:tcPr>
            <w:tcW w:w="36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Average total assets</w:t>
            </w:r>
          </w:p>
        </w:tc>
        <w:tc>
          <w:tcPr>
            <w:tcW w:w="6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[c]</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12,452,070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11,398,655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12,555,928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10,998,672</w:t>
            </w:r>
          </w:p>
        </w:tc>
        <w:tc>
          <w:tcPr>
            <w:tcW w:w="160" w:type="dxa"/>
            <w:vAlign w:val="bottom"/>
            <w:shd w:val="clear" w:color="auto" w:fill="CCEEFF"/>
          </w:tcPr>
          <w:p>
            <w:pPr>
              <w:spacing w:after="0"/>
              <w:rPr>
                <w:sz w:val="17"/>
                <w:szCs w:val="17"/>
                <w:color w:val="auto"/>
              </w:rPr>
            </w:pPr>
          </w:p>
        </w:tc>
      </w:tr>
      <w:tr>
        <w:trPr>
          <w:trHeight w:val="203"/>
        </w:trPr>
        <w:tc>
          <w:tcPr>
            <w:tcW w:w="36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192"/>
        </w:trPr>
        <w:tc>
          <w:tcPr>
            <w:tcW w:w="3600" w:type="dxa"/>
            <w:vAlign w:val="bottom"/>
            <w:shd w:val="clear" w:color="auto" w:fill="CCEEFF"/>
          </w:tcPr>
          <w:p>
            <w:pPr>
              <w:ind w:left="20"/>
              <w:spacing w:after="0" w:line="192" w:lineRule="exact"/>
              <w:rPr>
                <w:sz w:val="20"/>
                <w:szCs w:val="20"/>
                <w:color w:val="auto"/>
              </w:rPr>
            </w:pPr>
            <w:r>
              <w:rPr>
                <w:rFonts w:ascii="Arial" w:cs="Arial" w:eastAsia="Arial" w:hAnsi="Arial"/>
                <w:sz w:val="18"/>
                <w:szCs w:val="18"/>
                <w:b w:val="1"/>
                <w:bCs w:val="1"/>
                <w:color w:val="auto"/>
                <w:w w:val="92"/>
              </w:rPr>
              <w:t xml:space="preserve">Reported: </w:t>
            </w:r>
            <w:r>
              <w:rPr>
                <w:rFonts w:ascii="Arial" w:cs="Arial" w:eastAsia="Arial" w:hAnsi="Arial"/>
                <w:sz w:val="18"/>
                <w:szCs w:val="18"/>
                <w:color w:val="auto"/>
                <w:w w:val="92"/>
              </w:rPr>
              <w:t>Pre-provision net revenue to average</w:t>
            </w: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r>
      <w:tr>
        <w:trPr>
          <w:trHeight w:val="240"/>
        </w:trPr>
        <w:tc>
          <w:tcPr>
            <w:tcW w:w="3600" w:type="dxa"/>
            <w:vAlign w:val="bottom"/>
            <w:shd w:val="clear" w:color="auto" w:fill="CCEEFF"/>
          </w:tcPr>
          <w:p>
            <w:pPr>
              <w:ind w:left="20"/>
              <w:spacing w:after="0" w:line="240"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6"/>
                <w:szCs w:val="26"/>
                <w:color w:val="auto"/>
                <w:vertAlign w:val="superscript"/>
              </w:rPr>
              <w:t>(1)</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[a÷c]</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1.27 %</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1.20 %</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1.21 %</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1.36 %</w:t>
            </w:r>
          </w:p>
        </w:tc>
      </w:tr>
      <w:tr>
        <w:trPr>
          <w:trHeight w:val="192"/>
        </w:trPr>
        <w:tc>
          <w:tcPr>
            <w:tcW w:w="3600" w:type="dxa"/>
            <w:vAlign w:val="bottom"/>
          </w:tcPr>
          <w:p>
            <w:pPr>
              <w:ind w:left="20"/>
              <w:spacing w:after="0" w:line="192" w:lineRule="exact"/>
              <w:rPr>
                <w:sz w:val="20"/>
                <w:szCs w:val="20"/>
                <w:color w:val="auto"/>
              </w:rPr>
            </w:pPr>
            <w:r>
              <w:rPr>
                <w:rFonts w:ascii="Arial" w:cs="Arial" w:eastAsia="Arial" w:hAnsi="Arial"/>
                <w:sz w:val="18"/>
                <w:szCs w:val="18"/>
                <w:b w:val="1"/>
                <w:bCs w:val="1"/>
                <w:color w:val="auto"/>
                <w:w w:val="92"/>
              </w:rPr>
              <w:t xml:space="preserve">Adjusted: </w:t>
            </w:r>
            <w:r>
              <w:rPr>
                <w:rFonts w:ascii="Arial" w:cs="Arial" w:eastAsia="Arial" w:hAnsi="Arial"/>
                <w:sz w:val="18"/>
                <w:szCs w:val="18"/>
                <w:color w:val="auto"/>
                <w:w w:val="92"/>
              </w:rPr>
              <w:t>Pre-provision net revenue to average</w:t>
            </w: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353"/>
        </w:trPr>
        <w:tc>
          <w:tcPr>
            <w:tcW w:w="3600" w:type="dxa"/>
            <w:vAlign w:val="bottom"/>
          </w:tcPr>
          <w:p>
            <w:pPr>
              <w:ind w:left="20"/>
              <w:spacing w:after="0"/>
              <w:rPr>
                <w:sz w:val="20"/>
                <w:szCs w:val="20"/>
                <w:color w:val="auto"/>
              </w:rPr>
            </w:pPr>
            <w:r>
              <w:rPr>
                <w:rFonts w:ascii="Arial" w:cs="Arial" w:eastAsia="Arial" w:hAnsi="Arial"/>
                <w:sz w:val="18"/>
                <w:szCs w:val="18"/>
                <w:color w:val="auto"/>
              </w:rPr>
              <w:t xml:space="preserve">assets </w:t>
            </w:r>
            <w:r>
              <w:rPr>
                <w:rFonts w:ascii="Arial" w:cs="Arial" w:eastAsia="Arial" w:hAnsi="Arial"/>
                <w:sz w:val="26"/>
                <w:szCs w:val="26"/>
                <w:color w:val="auto"/>
                <w:vertAlign w:val="superscript"/>
              </w:rPr>
              <w:t>(1)</w:t>
            </w:r>
          </w:p>
        </w:tc>
        <w:tc>
          <w:tcPr>
            <w:tcW w:w="600" w:type="dxa"/>
            <w:vAlign w:val="bottom"/>
          </w:tcPr>
          <w:p>
            <w:pPr>
              <w:ind w:left="60"/>
              <w:spacing w:after="0"/>
              <w:rPr>
                <w:sz w:val="20"/>
                <w:szCs w:val="20"/>
                <w:color w:val="auto"/>
              </w:rPr>
            </w:pPr>
            <w:r>
              <w:rPr>
                <w:rFonts w:ascii="Arial" w:cs="Arial" w:eastAsia="Arial" w:hAnsi="Arial"/>
                <w:sz w:val="18"/>
                <w:szCs w:val="18"/>
                <w:color w:val="auto"/>
              </w:rPr>
              <w:t>[b÷c]</w:t>
            </w:r>
          </w:p>
        </w:tc>
        <w:tc>
          <w:tcPr>
            <w:tcW w:w="120" w:type="dxa"/>
            <w:vAlign w:val="bottom"/>
          </w:tcPr>
          <w:p>
            <w:pPr>
              <w:spacing w:after="0"/>
              <w:rPr>
                <w:sz w:val="24"/>
                <w:szCs w:val="24"/>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1.33 %</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1.32 %</w:t>
            </w:r>
          </w:p>
        </w:tc>
        <w:tc>
          <w:tcPr>
            <w:tcW w:w="12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1.29 %</w:t>
            </w:r>
          </w:p>
        </w:tc>
        <w:tc>
          <w:tcPr>
            <w:tcW w:w="120" w:type="dxa"/>
            <w:vAlign w:val="bottom"/>
          </w:tcPr>
          <w:p>
            <w:pPr>
              <w:spacing w:after="0"/>
              <w:rPr>
                <w:sz w:val="24"/>
                <w:szCs w:val="24"/>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-1905</wp:posOffset>
            </wp:positionV>
            <wp:extent cx="141414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65" w:lineRule="exact"/>
        <w:rPr>
          <w:sz w:val="20"/>
          <w:szCs w:val="20"/>
          <w:color w:val="auto"/>
        </w:rPr>
      </w:pPr>
    </w:p>
    <w:p>
      <w:pPr>
        <w:ind w:left="480" w:hanging="322"/>
        <w:spacing w:after="0"/>
        <w:tabs>
          <w:tab w:leader="none" w:pos="480" w:val="left"/>
        </w:tabs>
        <w:numPr>
          <w:ilvl w:val="0"/>
          <w:numId w:val="22"/>
        </w:numPr>
        <w:rPr>
          <w:rFonts w:ascii="Arial" w:cs="Arial" w:eastAsia="Arial" w:hAnsi="Arial"/>
          <w:sz w:val="11"/>
          <w:szCs w:val="11"/>
          <w:color w:val="auto"/>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RECONCILIAITON OF NON-GAAP FINANCIAL MEASURES </w:t>
      </w:r>
      <w:r>
        <w:rPr>
          <w:rFonts w:ascii="Arial" w:cs="Arial" w:eastAsia="Arial" w:hAnsi="Arial"/>
          <w:sz w:val="18"/>
          <w:szCs w:val="18"/>
          <w:b w:val="1"/>
          <w:bCs w:val="1"/>
          <w:i w:val="1"/>
          <w:iCs w:val="1"/>
          <w:color w:val="auto"/>
        </w:rPr>
        <w:t>(unaudited)</w:t>
      </w:r>
    </w:p>
    <w:p>
      <w:pPr>
        <w:spacing w:after="0" w:line="131" w:lineRule="exact"/>
        <w:rPr>
          <w:sz w:val="20"/>
          <w:szCs w:val="20"/>
          <w:color w:val="auto"/>
        </w:rPr>
      </w:pPr>
    </w:p>
    <w:p>
      <w:pPr>
        <w:ind w:left="800"/>
        <w:spacing w:after="0"/>
        <w:rPr>
          <w:sz w:val="20"/>
          <w:szCs w:val="20"/>
          <w:color w:val="auto"/>
        </w:rPr>
      </w:pPr>
      <w:r>
        <w:rPr>
          <w:rFonts w:ascii="Arial" w:cs="Arial" w:eastAsia="Arial" w:hAnsi="Arial"/>
          <w:sz w:val="17"/>
          <w:szCs w:val="17"/>
          <w:b w:val="1"/>
          <w:bCs w:val="1"/>
          <w:color w:val="auto"/>
        </w:rPr>
        <w:t>Adjusted Net Income, Adjusted Diluted Earnings Per Share, Adjusted Return on Average Assets</w:t>
      </w:r>
    </w:p>
    <w:p>
      <w:pPr>
        <w:spacing w:after="0" w:line="27" w:lineRule="exact"/>
        <w:rPr>
          <w:sz w:val="20"/>
          <w:szCs w:val="20"/>
          <w:color w:val="auto"/>
        </w:rPr>
      </w:pPr>
    </w:p>
    <w:p>
      <w:pPr>
        <w:jc w:val="center"/>
        <w:ind w:left="40" w:right="59"/>
        <w:spacing w:after="0" w:line="243" w:lineRule="auto"/>
        <w:rPr>
          <w:sz w:val="20"/>
          <w:szCs w:val="20"/>
          <w:color w:val="auto"/>
        </w:rPr>
      </w:pPr>
      <w:r>
        <w:rPr>
          <w:rFonts w:ascii="Arial" w:cs="Arial" w:eastAsia="Arial" w:hAnsi="Arial"/>
          <w:sz w:val="18"/>
          <w:szCs w:val="18"/>
          <w:b w:val="1"/>
          <w:bCs w:val="1"/>
          <w:color w:val="auto"/>
        </w:rPr>
        <w:t xml:space="preserve">Return on Average Tangible Common Equity, and Adjusted Return on Average Tangible Common Equity </w:t>
      </w:r>
      <w:r>
        <w:rPr>
          <w:rFonts w:ascii="Arial" w:cs="Arial" w:eastAsia="Arial" w:hAnsi="Arial"/>
          <w:sz w:val="18"/>
          <w:szCs w:val="18"/>
          <w:i w:val="1"/>
          <w:iCs w:val="1"/>
          <w:color w:val="auto"/>
        </w:rPr>
        <w:t>(dollars in thousands, except per share amounts)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5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2"/>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34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00" w:type="dxa"/>
            <w:vAlign w:val="bottom"/>
            <w:gridSpan w:val="4"/>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NET INCOME ADJUSTED FOR NON-OPERATING</w:t>
            </w:r>
          </w:p>
        </w:tc>
        <w:tc>
          <w:tcPr>
            <w:tcW w:w="102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ITEMS</w:t>
            </w: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Net income</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[a]</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29,824</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29,766</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58,263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67,582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Non-GAAP adjustments: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Acquisition expenses: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8"/>
              </w:rPr>
              <w:t>Salaries, wages, and employee benefits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587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Data processing</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368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214</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w w:val="97"/>
              </w:rPr>
              <w:t>Professional fees, occupancy, and other</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Other restructuring costs:</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ind w:left="420"/>
              <w:spacing w:after="0" w:line="202" w:lineRule="exact"/>
              <w:rPr>
                <w:sz w:val="20"/>
                <w:szCs w:val="20"/>
                <w:color w:val="auto"/>
              </w:rPr>
            </w:pPr>
            <w:r>
              <w:rPr>
                <w:rFonts w:ascii="Arial" w:cs="Arial" w:eastAsia="Arial" w:hAnsi="Arial"/>
                <w:sz w:val="18"/>
                <w:szCs w:val="18"/>
                <w:color w:val="auto"/>
              </w:rPr>
              <w:t>Lease or fixed asset impairment</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99</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tcBorders>
              <w:bottom w:val="single" w:sz="8" w:color="CCEEFF"/>
            </w:tcBorders>
            <w:gridSpan w:val="2"/>
          </w:tcPr>
          <w:p>
            <w:pPr>
              <w:ind w:left="220"/>
              <w:spacing w:after="0" w:line="202" w:lineRule="exact"/>
              <w:rPr>
                <w:sz w:val="20"/>
                <w:szCs w:val="20"/>
                <w:color w:val="auto"/>
              </w:rPr>
            </w:pPr>
            <w:r>
              <w:rPr>
                <w:rFonts w:ascii="Arial" w:cs="Arial" w:eastAsia="Arial" w:hAnsi="Arial"/>
                <w:sz w:val="18"/>
                <w:szCs w:val="18"/>
                <w:color w:val="auto"/>
              </w:rPr>
              <w:t>Related tax benefit</w:t>
            </w:r>
          </w:p>
        </w:tc>
        <w:tc>
          <w:tcPr>
            <w:tcW w:w="5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(558)</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(216)</w:t>
            </w:r>
          </w:p>
        </w:tc>
        <w:tc>
          <w:tcPr>
            <w:tcW w:w="1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(629)</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60" w:type="dxa"/>
            <w:vAlign w:val="bottom"/>
            <w:tcBorders>
              <w:bottom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Adjusted net income</w:t>
            </w:r>
          </w:p>
        </w:tc>
        <w:tc>
          <w:tcPr>
            <w:tcW w:w="540" w:type="dxa"/>
            <w:vAlign w:val="bottom"/>
            <w:tcBorders>
              <w:bottom w:val="single" w:sz="8" w:color="CCEEFF"/>
            </w:tcBorders>
            <w:shd w:val="clear" w:color="auto" w:fill="CCEEFF"/>
          </w:tcPr>
          <w:p>
            <w:pPr>
              <w:ind w:left="60"/>
              <w:spacing w:after="0" w:line="196" w:lineRule="exact"/>
              <w:rPr>
                <w:sz w:val="20"/>
                <w:szCs w:val="20"/>
                <w:color w:val="auto"/>
              </w:rPr>
            </w:pPr>
            <w:r>
              <w:rPr>
                <w:rFonts w:ascii="Arial" w:cs="Arial" w:eastAsia="Arial" w:hAnsi="Arial"/>
                <w:sz w:val="18"/>
                <w:szCs w:val="18"/>
                <w:color w:val="auto"/>
              </w:rPr>
              <w:t>[b]</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30,081</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31,921</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59,185</w:t>
            </w:r>
          </w:p>
        </w:tc>
        <w:tc>
          <w:tcPr>
            <w:tcW w:w="16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69,986</w:t>
            </w:r>
          </w:p>
        </w:tc>
        <w:tc>
          <w:tcPr>
            <w:tcW w:w="1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DILUTED EARNINGS PER SHARE</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w w:val="98"/>
              </w:rPr>
              <w:t>Dilutive average common shares outstanding</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[c]</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56,104,017</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55,730,883</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56,149,466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55,384,942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tcPr>
          <w:p>
            <w:pPr>
              <w:spacing w:after="0" w:line="202" w:lineRule="exact"/>
              <w:rPr>
                <w:sz w:val="20"/>
                <w:szCs w:val="20"/>
                <w:color w:val="auto"/>
              </w:rPr>
            </w:pPr>
            <w:r>
              <w:rPr>
                <w:rFonts w:ascii="Arial" w:cs="Arial" w:eastAsia="Arial" w:hAnsi="Arial"/>
                <w:sz w:val="18"/>
                <w:szCs w:val="18"/>
                <w:b w:val="1"/>
                <w:bCs w:val="1"/>
                <w:color w:val="auto"/>
              </w:rPr>
              <w:t>Reported</w:t>
            </w:r>
            <w:r>
              <w:rPr>
                <w:rFonts w:ascii="Arial" w:cs="Arial" w:eastAsia="Arial" w:hAnsi="Arial"/>
                <w:sz w:val="18"/>
                <w:szCs w:val="18"/>
                <w:color w:val="auto"/>
              </w:rPr>
              <w:t>: Diluted earnings per share</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[a÷c]</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0.53</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1.04</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Adjusted</w:t>
            </w:r>
            <w:r>
              <w:rPr>
                <w:rFonts w:ascii="Arial" w:cs="Arial" w:eastAsia="Arial" w:hAnsi="Arial"/>
                <w:sz w:val="18"/>
                <w:szCs w:val="18"/>
                <w:color w:val="auto"/>
              </w:rPr>
              <w:t>: Diluted earnings per share</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[b÷c]</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1.26</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RETURN ON AVERAGE ASSETS</w:t>
            </w: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Net income, annualized</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[d]</w:t>
            </w: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119,624</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119,391</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117,492</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136,284</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net income, annualized</w:t>
            </w:r>
          </w:p>
        </w:tc>
        <w:tc>
          <w:tcPr>
            <w:tcW w:w="5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[e]</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120,655</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128,035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119,351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141,132</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Average total assets</w:t>
            </w:r>
          </w:p>
        </w:tc>
        <w:tc>
          <w:tcPr>
            <w:tcW w:w="540" w:type="dxa"/>
            <w:vAlign w:val="bottom"/>
          </w:tcPr>
          <w:p>
            <w:pPr>
              <w:ind w:left="60"/>
              <w:spacing w:after="0" w:line="202" w:lineRule="exact"/>
              <w:rPr>
                <w:sz w:val="20"/>
                <w:szCs w:val="20"/>
                <w:color w:val="auto"/>
              </w:rPr>
            </w:pPr>
            <w:r>
              <w:rPr>
                <w:rFonts w:ascii="Arial" w:cs="Arial" w:eastAsia="Arial" w:hAnsi="Arial"/>
                <w:sz w:val="18"/>
                <w:szCs w:val="18"/>
                <w:color w:val="auto"/>
              </w:rPr>
              <w:t>[f]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12,452,070</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11,398,655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12,555,928</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10,998,672</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6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Reported</w:t>
            </w:r>
            <w:r>
              <w:rPr>
                <w:rFonts w:ascii="Arial" w:cs="Arial" w:eastAsia="Arial" w:hAnsi="Arial"/>
                <w:sz w:val="17"/>
                <w:szCs w:val="17"/>
                <w:color w:val="auto"/>
              </w:rPr>
              <w:t>: Return on average assets</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540" w:type="dxa"/>
            <w:vAlign w:val="bottom"/>
          </w:tcPr>
          <w:p>
            <w:pPr>
              <w:ind w:left="60"/>
              <w:spacing w:after="0"/>
              <w:rPr>
                <w:sz w:val="20"/>
                <w:szCs w:val="20"/>
                <w:color w:val="auto"/>
              </w:rPr>
            </w:pPr>
            <w:r>
              <w:rPr>
                <w:rFonts w:ascii="Arial" w:cs="Arial" w:eastAsia="Arial" w:hAnsi="Arial"/>
                <w:sz w:val="18"/>
                <w:szCs w:val="18"/>
                <w:color w:val="auto"/>
              </w:rPr>
              <w:t>[d÷f]</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0.96 %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1.05 %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0.94 %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6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Adjusted</w:t>
            </w:r>
            <w:r>
              <w:rPr>
                <w:rFonts w:ascii="Arial" w:cs="Arial" w:eastAsia="Arial" w:hAnsi="Arial"/>
                <w:sz w:val="17"/>
                <w:szCs w:val="17"/>
                <w:color w:val="auto"/>
              </w:rPr>
              <w:t>: Return on average assets</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[e÷f]</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0.97 %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0.95 %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1.28 %</w:t>
            </w: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2220" w:type="dxa"/>
            <w:vAlign w:val="bottom"/>
          </w:tcPr>
          <w:p>
            <w:pPr>
              <w:spacing w:after="0"/>
              <w:rPr>
                <w:sz w:val="17"/>
                <w:szCs w:val="17"/>
                <w:color w:val="auto"/>
              </w:rPr>
            </w:pPr>
          </w:p>
        </w:tc>
        <w:tc>
          <w:tcPr>
            <w:tcW w:w="1980" w:type="dxa"/>
            <w:vAlign w:val="bottom"/>
            <w:gridSpan w:val="3"/>
          </w:tcPr>
          <w:p>
            <w:pPr>
              <w:spacing w:after="0"/>
              <w:rPr>
                <w:sz w:val="17"/>
                <w:szCs w:val="17"/>
                <w:color w:val="auto"/>
              </w:rPr>
            </w:pPr>
          </w:p>
        </w:tc>
        <w:tc>
          <w:tcPr>
            <w:tcW w:w="1020" w:type="dxa"/>
            <w:vAlign w:val="bottom"/>
            <w:gridSpan w:val="2"/>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360" w:type="dxa"/>
            <w:vAlign w:val="bottom"/>
            <w:gridSpan w:val="7"/>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RETURN ON AVERAGE TANGIBLE COMMON EQUITY</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Average common equity</w:t>
            </w:r>
          </w:p>
        </w:tc>
        <w:tc>
          <w:tcPr>
            <w:tcW w:w="540" w:type="dxa"/>
            <w:vAlign w:val="bottom"/>
          </w:tcPr>
          <w:p>
            <w:pPr>
              <w:spacing w:after="0"/>
              <w:rPr>
                <w:sz w:val="17"/>
                <w:szCs w:val="17"/>
                <w:color w:val="auto"/>
              </w:rPr>
            </w:pPr>
          </w:p>
        </w:tc>
        <w:tc>
          <w:tcPr>
            <w:tcW w:w="220" w:type="dxa"/>
            <w:vAlign w:val="bottom"/>
            <w:gridSpan w:val="2"/>
          </w:tcPr>
          <w:p>
            <w:pPr>
              <w:ind w:left="100"/>
              <w:spacing w:after="0" w:line="202" w:lineRule="exact"/>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1,197,052</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1,342,771</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1,239,060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1,309,418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6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w w:val="91"/>
              </w:rPr>
              <w:t>Average goodwill and other intangible assets,</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net</w:t>
            </w: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(371,890)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(368,709)</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(373,342)</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(365,718)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8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Average tangible common equity</w:t>
            </w:r>
          </w:p>
        </w:tc>
        <w:tc>
          <w:tcPr>
            <w:tcW w:w="540" w:type="dxa"/>
            <w:vAlign w:val="bottom"/>
          </w:tcPr>
          <w:p>
            <w:pPr>
              <w:ind w:left="60"/>
              <w:spacing w:after="0" w:line="196" w:lineRule="exact"/>
              <w:rPr>
                <w:sz w:val="20"/>
                <w:szCs w:val="20"/>
                <w:color w:val="auto"/>
              </w:rPr>
            </w:pPr>
            <w:r>
              <w:rPr>
                <w:rFonts w:ascii="Arial" w:cs="Arial" w:eastAsia="Arial" w:hAnsi="Arial"/>
                <w:sz w:val="18"/>
                <w:szCs w:val="18"/>
                <w:color w:val="auto"/>
              </w:rPr>
              <w:t>[g]</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825,162</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974,062</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865,718</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943,700</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134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560" w:type="dxa"/>
            <w:vAlign w:val="bottom"/>
            <w:gridSpan w:val="2"/>
          </w:tcPr>
          <w:p>
            <w:pPr>
              <w:spacing w:after="0" w:line="192" w:lineRule="exact"/>
              <w:rPr>
                <w:sz w:val="20"/>
                <w:szCs w:val="20"/>
                <w:color w:val="auto"/>
              </w:rPr>
            </w:pPr>
            <w:r>
              <w:rPr>
                <w:rFonts w:ascii="Arial" w:cs="Arial" w:eastAsia="Arial" w:hAnsi="Arial"/>
                <w:sz w:val="18"/>
                <w:szCs w:val="18"/>
                <w:b w:val="1"/>
                <w:bCs w:val="1"/>
                <w:color w:val="auto"/>
                <w:w w:val="92"/>
              </w:rPr>
              <w:t xml:space="preserve">Reported: </w:t>
            </w:r>
            <w:r>
              <w:rPr>
                <w:rFonts w:ascii="Arial" w:cs="Arial" w:eastAsia="Arial" w:hAnsi="Arial"/>
                <w:sz w:val="18"/>
                <w:szCs w:val="18"/>
                <w:color w:val="auto"/>
                <w:w w:val="92"/>
              </w:rPr>
              <w:t>Return on average tangible common</w:t>
            </w: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3580" w:type="dxa"/>
            <w:vAlign w:val="bottom"/>
            <w:gridSpan w:val="3"/>
          </w:tcPr>
          <w:p>
            <w:pPr>
              <w:ind w:left="20"/>
              <w:spacing w:after="0" w:line="240"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6"/>
                <w:szCs w:val="26"/>
                <w:color w:val="auto"/>
                <w:vertAlign w:val="superscript"/>
              </w:rPr>
              <w:t>(1)</w:t>
            </w:r>
          </w:p>
        </w:tc>
        <w:tc>
          <w:tcPr>
            <w:tcW w:w="540" w:type="dxa"/>
            <w:vAlign w:val="bottom"/>
          </w:tcPr>
          <w:p>
            <w:pPr>
              <w:ind w:left="60"/>
              <w:spacing w:after="0"/>
              <w:rPr>
                <w:sz w:val="20"/>
                <w:szCs w:val="20"/>
                <w:color w:val="auto"/>
              </w:rPr>
            </w:pPr>
            <w:r>
              <w:rPr>
                <w:rFonts w:ascii="Arial" w:cs="Arial" w:eastAsia="Arial" w:hAnsi="Arial"/>
                <w:sz w:val="18"/>
                <w:szCs w:val="18"/>
                <w:color w:val="auto"/>
              </w:rPr>
              <w:t>[d÷g]</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14.50 %</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12.26 %</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13.57 %</w:t>
            </w:r>
          </w:p>
        </w:tc>
        <w:tc>
          <w:tcPr>
            <w:tcW w:w="12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14.44 %</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560" w:type="dxa"/>
            <w:vAlign w:val="bottom"/>
            <w:gridSpan w:val="2"/>
            <w:shd w:val="clear" w:color="auto" w:fill="CCEEFF"/>
          </w:tcPr>
          <w:p>
            <w:pPr>
              <w:spacing w:after="0" w:line="192" w:lineRule="exact"/>
              <w:rPr>
                <w:sz w:val="20"/>
                <w:szCs w:val="20"/>
                <w:color w:val="auto"/>
              </w:rPr>
            </w:pPr>
            <w:r>
              <w:rPr>
                <w:rFonts w:ascii="Arial" w:cs="Arial" w:eastAsia="Arial" w:hAnsi="Arial"/>
                <w:sz w:val="18"/>
                <w:szCs w:val="18"/>
                <w:b w:val="1"/>
                <w:bCs w:val="1"/>
                <w:color w:val="auto"/>
                <w:w w:val="93"/>
              </w:rPr>
              <w:t xml:space="preserve">Adjusted: </w:t>
            </w:r>
            <w:r>
              <w:rPr>
                <w:rFonts w:ascii="Arial" w:cs="Arial" w:eastAsia="Arial" w:hAnsi="Arial"/>
                <w:sz w:val="18"/>
                <w:szCs w:val="18"/>
                <w:color w:val="auto"/>
                <w:w w:val="93"/>
              </w:rPr>
              <w:t>Return on average tangible common</w:t>
            </w: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560" w:type="dxa"/>
            <w:vAlign w:val="bottom"/>
            <w:gridSpan w:val="2"/>
            <w:shd w:val="clear" w:color="auto" w:fill="CCEEFF"/>
          </w:tcPr>
          <w:p>
            <w:pPr>
              <w:spacing w:after="0" w:line="240" w:lineRule="exact"/>
              <w:rPr>
                <w:sz w:val="20"/>
                <w:szCs w:val="20"/>
                <w:color w:val="auto"/>
              </w:rPr>
            </w:pPr>
            <w:r>
              <w:rPr>
                <w:rFonts w:ascii="Arial" w:cs="Arial" w:eastAsia="Arial" w:hAnsi="Arial"/>
                <w:sz w:val="18"/>
                <w:szCs w:val="18"/>
                <w:color w:val="auto"/>
              </w:rPr>
              <w:t xml:space="preserve">equity </w:t>
            </w:r>
            <w:r>
              <w:rPr>
                <w:rFonts w:ascii="Arial" w:cs="Arial" w:eastAsia="Arial" w:hAnsi="Arial"/>
                <w:sz w:val="26"/>
                <w:szCs w:val="26"/>
                <w:color w:val="auto"/>
                <w:vertAlign w:val="superscript"/>
              </w:rPr>
              <w:t>(1)</w:t>
            </w:r>
          </w:p>
        </w:tc>
        <w:tc>
          <w:tcPr>
            <w:tcW w:w="540" w:type="dxa"/>
            <w:vAlign w:val="bottom"/>
            <w:shd w:val="clear" w:color="auto" w:fill="CCEEFF"/>
          </w:tcPr>
          <w:p>
            <w:pPr>
              <w:ind w:left="60"/>
              <w:spacing w:after="0"/>
              <w:rPr>
                <w:sz w:val="20"/>
                <w:szCs w:val="20"/>
                <w:color w:val="auto"/>
              </w:rPr>
            </w:pPr>
            <w:r>
              <w:rPr>
                <w:rFonts w:ascii="Arial" w:cs="Arial" w:eastAsia="Arial" w:hAnsi="Arial"/>
                <w:sz w:val="18"/>
                <w:szCs w:val="18"/>
                <w:color w:val="auto"/>
              </w:rPr>
              <w:t>[e÷g]</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14.62 %</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13.14 %</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13.79 %</w:t>
            </w:r>
          </w:p>
        </w:tc>
        <w:tc>
          <w:tcPr>
            <w:tcW w:w="12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14.96 %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23"/>
        </w:numPr>
        <w:rPr>
          <w:rFonts w:ascii="Arial" w:cs="Arial" w:eastAsia="Arial" w:hAnsi="Arial"/>
          <w:sz w:val="11"/>
          <w:szCs w:val="11"/>
          <w:color w:val="auto"/>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RECONCILIAITON OF NON-GAAP FINANCIAL MEASURES </w:t>
      </w:r>
      <w:r>
        <w:rPr>
          <w:rFonts w:ascii="Arial" w:cs="Arial" w:eastAsia="Arial" w:hAnsi="Arial"/>
          <w:sz w:val="18"/>
          <w:szCs w:val="18"/>
          <w:b w:val="1"/>
          <w:bCs w:val="1"/>
          <w:i w:val="1"/>
          <w:iCs w:val="1"/>
          <w:color w:val="auto"/>
        </w:rPr>
        <w:t>(unaudited)</w:t>
      </w:r>
    </w:p>
    <w:p>
      <w:pPr>
        <w:spacing w:after="0" w:line="131" w:lineRule="exact"/>
        <w:rPr>
          <w:sz w:val="20"/>
          <w:szCs w:val="20"/>
          <w:color w:val="auto"/>
        </w:rPr>
      </w:pPr>
    </w:p>
    <w:p>
      <w:pPr>
        <w:ind w:left="2040"/>
        <w:spacing w:after="0"/>
        <w:rPr>
          <w:sz w:val="20"/>
          <w:szCs w:val="20"/>
          <w:color w:val="auto"/>
        </w:rPr>
      </w:pPr>
      <w:r>
        <w:rPr>
          <w:rFonts w:ascii="Arial" w:cs="Arial" w:eastAsia="Arial" w:hAnsi="Arial"/>
          <w:sz w:val="18"/>
          <w:szCs w:val="18"/>
          <w:b w:val="1"/>
          <w:bCs w:val="1"/>
          <w:color w:val="auto"/>
        </w:rPr>
        <w:t>Adjusted Net Interest Income and Adjusted Net Interest Margin</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6"/>
                <w:szCs w:val="16"/>
                <w:color w:val="auto"/>
              </w:rPr>
            </w:pPr>
          </w:p>
        </w:tc>
        <w:tc>
          <w:tcPr>
            <w:tcW w:w="22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gridSpan w:val="2"/>
          </w:tcPr>
          <w:p>
            <w:pPr>
              <w:jc w:val="right"/>
              <w:ind w:right="40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53"/>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2"/>
          </w:tcPr>
          <w:p>
            <w:pPr>
              <w:jc w:val="right"/>
              <w:ind w:right="420"/>
              <w:spacing w:after="0" w:line="133" w:lineRule="exact"/>
              <w:rPr>
                <w:sz w:val="20"/>
                <w:szCs w:val="20"/>
                <w:color w:val="auto"/>
              </w:rPr>
            </w:pPr>
            <w:r>
              <w:rPr>
                <w:rFonts w:ascii="Arial" w:cs="Arial" w:eastAsia="Arial" w:hAnsi="Arial"/>
                <w:sz w:val="14"/>
                <w:szCs w:val="14"/>
                <w:b w:val="1"/>
                <w:bCs w:val="1"/>
                <w:color w:val="auto"/>
              </w:rPr>
              <w:t>June 30,</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ind w:right="173"/>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22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75,928</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64,542</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145,984</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129,435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gridSpan w:val="2"/>
          </w:tcPr>
          <w:p>
            <w:pPr>
              <w:spacing w:after="0" w:line="202" w:lineRule="exact"/>
              <w:rPr>
                <w:sz w:val="20"/>
                <w:szCs w:val="20"/>
                <w:color w:val="auto"/>
              </w:rPr>
            </w:pPr>
            <w:r>
              <w:rPr>
                <w:rFonts w:ascii="Arial" w:cs="Arial" w:eastAsia="Arial" w:hAnsi="Arial"/>
                <w:sz w:val="18"/>
                <w:szCs w:val="18"/>
                <w:color w:val="auto"/>
              </w:rPr>
              <w:t>Non-GAAP adjustments:</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Tax-equivalent adjustment</w:t>
            </w: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1,092</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500" w:type="dxa"/>
            <w:vAlign w:val="bottom"/>
            <w:gridSpan w:val="2"/>
          </w:tcPr>
          <w:p>
            <w:pPr>
              <w:ind w:left="220"/>
              <w:spacing w:after="0" w:line="196" w:lineRule="exact"/>
              <w:rPr>
                <w:sz w:val="20"/>
                <w:szCs w:val="20"/>
                <w:color w:val="auto"/>
              </w:rPr>
            </w:pPr>
            <w:r>
              <w:rPr>
                <w:rFonts w:ascii="Arial" w:cs="Arial" w:eastAsia="Arial" w:hAnsi="Arial"/>
                <w:sz w:val="18"/>
                <w:szCs w:val="18"/>
                <w:color w:val="auto"/>
              </w:rPr>
              <w:t>Tax-equivalent net interest income</w:t>
            </w: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76,474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65,121</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147,076</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Arial" w:cs="Arial" w:eastAsia="Arial" w:hAnsi="Arial"/>
                <w:sz w:val="18"/>
                <w:szCs w:val="18"/>
                <w:color w:val="auto"/>
              </w:rPr>
              <w:t>130,615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500" w:type="dxa"/>
            <w:vAlign w:val="bottom"/>
            <w:gridSpan w:val="2"/>
            <w:shd w:val="clear" w:color="auto" w:fill="CCEEFF"/>
          </w:tcPr>
          <w:p>
            <w:pPr>
              <w:ind w:left="220"/>
              <w:spacing w:after="0" w:line="189" w:lineRule="exact"/>
              <w:rPr>
                <w:sz w:val="20"/>
                <w:szCs w:val="20"/>
                <w:color w:val="auto"/>
              </w:rPr>
            </w:pPr>
            <w:r>
              <w:rPr>
                <w:rFonts w:ascii="Arial" w:cs="Arial" w:eastAsia="Arial" w:hAnsi="Arial"/>
                <w:sz w:val="18"/>
                <w:szCs w:val="18"/>
                <w:color w:val="auto"/>
              </w:rPr>
              <w:t>Acquisition-related purchase accounting</w:t>
            </w: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accretion</w:t>
            </w:r>
          </w:p>
        </w:tc>
        <w:tc>
          <w:tcPr>
            <w:tcW w:w="6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(1,758)</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520" w:type="dxa"/>
            <w:vAlign w:val="bottom"/>
            <w:gridSpan w:val="3"/>
          </w:tcPr>
          <w:p>
            <w:pPr>
              <w:ind w:left="20"/>
              <w:spacing w:after="0" w:line="196" w:lineRule="exact"/>
              <w:rPr>
                <w:sz w:val="20"/>
                <w:szCs w:val="20"/>
                <w:color w:val="auto"/>
              </w:rPr>
            </w:pPr>
            <w:r>
              <w:rPr>
                <w:rFonts w:ascii="Arial" w:cs="Arial" w:eastAsia="Arial" w:hAnsi="Arial"/>
                <w:sz w:val="18"/>
                <w:szCs w:val="18"/>
                <w:color w:val="auto"/>
              </w:rPr>
              <w:t>Adjusted net interest income</w:t>
            </w: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75,875</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63,395</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145,318</w:t>
            </w:r>
          </w:p>
        </w:tc>
        <w:tc>
          <w:tcPr>
            <w:tcW w:w="16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126,732</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222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CCEEFF"/>
            </w:tcBorders>
            <w:shd w:val="clear" w:color="auto" w:fill="CCEEFF"/>
          </w:tcPr>
          <w:p>
            <w:pPr>
              <w:spacing w:after="0"/>
              <w:rPr>
                <w:sz w:val="15"/>
                <w:szCs w:val="15"/>
                <w:color w:val="auto"/>
              </w:rPr>
            </w:pPr>
          </w:p>
        </w:tc>
        <w:tc>
          <w:tcPr>
            <w:tcW w:w="6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00" w:type="dxa"/>
            <w:vAlign w:val="bottom"/>
            <w:gridSpan w:val="2"/>
          </w:tcPr>
          <w:p>
            <w:pPr>
              <w:spacing w:after="0" w:line="202" w:lineRule="exact"/>
              <w:rPr>
                <w:sz w:val="20"/>
                <w:szCs w:val="20"/>
                <w:color w:val="auto"/>
              </w:rPr>
            </w:pPr>
            <w:r>
              <w:rPr>
                <w:rFonts w:ascii="Arial" w:cs="Arial" w:eastAsia="Arial" w:hAnsi="Arial"/>
                <w:sz w:val="18"/>
                <w:szCs w:val="18"/>
                <w:color w:val="auto"/>
                <w:w w:val="93"/>
              </w:rPr>
              <w:t>Tax-equivalent net interest income, annualized</w:t>
            </w:r>
          </w:p>
        </w:tc>
        <w:tc>
          <w:tcPr>
            <w:tcW w:w="620" w:type="dxa"/>
            <w:vAlign w:val="bottom"/>
          </w:tcPr>
          <w:p>
            <w:pPr>
              <w:ind w:left="160"/>
              <w:spacing w:after="0" w:line="202" w:lineRule="exact"/>
              <w:rPr>
                <w:sz w:val="20"/>
                <w:szCs w:val="20"/>
                <w:color w:val="auto"/>
              </w:rPr>
            </w:pPr>
            <w:r>
              <w:rPr>
                <w:rFonts w:ascii="Arial" w:cs="Arial" w:eastAsia="Arial" w:hAnsi="Arial"/>
                <w:sz w:val="18"/>
                <w:szCs w:val="18"/>
                <w:color w:val="auto"/>
              </w:rPr>
              <w:t>[a]</w:t>
            </w:r>
          </w:p>
        </w:tc>
        <w:tc>
          <w:tcPr>
            <w:tcW w:w="2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306,736</w:t>
            </w:r>
          </w:p>
        </w:tc>
        <w:tc>
          <w:tcPr>
            <w:tcW w:w="140" w:type="dxa"/>
            <w:vAlign w:val="bottom"/>
          </w:tcPr>
          <w:p>
            <w:pPr>
              <w:spacing w:after="0"/>
              <w:rPr>
                <w:sz w:val="17"/>
                <w:szCs w:val="17"/>
                <w:color w:val="auto"/>
              </w:rPr>
            </w:pPr>
          </w:p>
        </w:tc>
        <w:tc>
          <w:tcPr>
            <w:tcW w:w="120" w:type="dxa"/>
            <w:vAlign w:val="bottom"/>
            <w:gridSpan w:val="2"/>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261,200</w:t>
            </w:r>
          </w:p>
        </w:tc>
        <w:tc>
          <w:tcPr>
            <w:tcW w:w="160" w:type="dxa"/>
            <w:vAlign w:val="bottom"/>
          </w:tcPr>
          <w:p>
            <w:pPr>
              <w:spacing w:after="0"/>
              <w:rPr>
                <w:sz w:val="17"/>
                <w:szCs w:val="17"/>
                <w:color w:val="auto"/>
              </w:rPr>
            </w:pP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296,590</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rPr>
              <w:t>263,395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Adjusted net interest income, annualized</w:t>
            </w:r>
          </w:p>
        </w:tc>
        <w:tc>
          <w:tcPr>
            <w:tcW w:w="620" w:type="dxa"/>
            <w:vAlign w:val="bottom"/>
            <w:shd w:val="clear" w:color="auto" w:fill="CCEEFF"/>
          </w:tcPr>
          <w:p>
            <w:pPr>
              <w:ind w:left="160"/>
              <w:spacing w:after="0" w:line="202" w:lineRule="exact"/>
              <w:rPr>
                <w:sz w:val="20"/>
                <w:szCs w:val="20"/>
                <w:color w:val="auto"/>
              </w:rPr>
            </w:pPr>
            <w:r>
              <w:rPr>
                <w:rFonts w:ascii="Arial" w:cs="Arial" w:eastAsia="Arial" w:hAnsi="Arial"/>
                <w:sz w:val="18"/>
                <w:szCs w:val="18"/>
                <w:color w:val="auto"/>
              </w:rPr>
              <w:t>[b]</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304,334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254,277</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293,045</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255,565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gridSpan w:val="2"/>
          </w:tcPr>
          <w:p>
            <w:pPr>
              <w:spacing w:after="0" w:line="202" w:lineRule="exact"/>
              <w:rPr>
                <w:sz w:val="20"/>
                <w:szCs w:val="20"/>
                <w:color w:val="auto"/>
              </w:rPr>
            </w:pPr>
            <w:r>
              <w:rPr>
                <w:rFonts w:ascii="Arial" w:cs="Arial" w:eastAsia="Arial" w:hAnsi="Arial"/>
                <w:sz w:val="18"/>
                <w:szCs w:val="18"/>
                <w:color w:val="auto"/>
              </w:rPr>
              <w:t>Average interest-earning assets</w:t>
            </w:r>
          </w:p>
        </w:tc>
        <w:tc>
          <w:tcPr>
            <w:tcW w:w="620" w:type="dxa"/>
            <w:vAlign w:val="bottom"/>
          </w:tcPr>
          <w:p>
            <w:pPr>
              <w:ind w:left="160"/>
              <w:spacing w:after="0" w:line="202" w:lineRule="exact"/>
              <w:rPr>
                <w:sz w:val="20"/>
                <w:szCs w:val="20"/>
                <w:color w:val="auto"/>
              </w:rPr>
            </w:pPr>
            <w:r>
              <w:rPr>
                <w:rFonts w:ascii="Arial" w:cs="Arial" w:eastAsia="Arial" w:hAnsi="Arial"/>
                <w:sz w:val="18"/>
                <w:szCs w:val="18"/>
                <w:color w:val="auto"/>
              </w:rPr>
              <w:t>[c]</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11,453,198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10,448,417</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11,577,879</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jc w:val="right"/>
              <w:spacing w:after="0" w:line="202" w:lineRule="exact"/>
              <w:rPr>
                <w:sz w:val="20"/>
                <w:szCs w:val="20"/>
                <w:color w:val="auto"/>
              </w:rPr>
            </w:pPr>
            <w:r>
              <w:rPr>
                <w:rFonts w:ascii="Arial" w:cs="Arial" w:eastAsia="Arial" w:hAnsi="Arial"/>
                <w:sz w:val="18"/>
                <w:szCs w:val="18"/>
                <w:color w:val="auto"/>
                <w:w w:val="90"/>
              </w:rPr>
              <w:t>10,102,278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500" w:type="dxa"/>
            <w:vAlign w:val="bottom"/>
            <w:gridSpan w:val="2"/>
          </w:tcPr>
          <w:p>
            <w:pPr>
              <w:spacing w:after="0" w:line="216" w:lineRule="exact"/>
              <w:rPr>
                <w:sz w:val="20"/>
                <w:szCs w:val="20"/>
                <w:color w:val="auto"/>
              </w:rPr>
            </w:pPr>
            <w:r>
              <w:rPr>
                <w:rFonts w:ascii="Arial" w:cs="Arial" w:eastAsia="Arial" w:hAnsi="Arial"/>
                <w:sz w:val="17"/>
                <w:szCs w:val="17"/>
                <w:b w:val="1"/>
                <w:bCs w:val="1"/>
                <w:color w:val="auto"/>
              </w:rPr>
              <w:t xml:space="preserve">Reported: </w:t>
            </w:r>
            <w:r>
              <w:rPr>
                <w:rFonts w:ascii="Arial" w:cs="Arial" w:eastAsia="Arial" w:hAnsi="Arial"/>
                <w:sz w:val="17"/>
                <w:szCs w:val="17"/>
                <w:color w:val="auto"/>
              </w:rPr>
              <w:t>Net interest margin</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620" w:type="dxa"/>
            <w:vAlign w:val="bottom"/>
          </w:tcPr>
          <w:p>
            <w:pPr>
              <w:ind w:left="160"/>
              <w:spacing w:after="0"/>
              <w:rPr>
                <w:sz w:val="20"/>
                <w:szCs w:val="20"/>
                <w:color w:val="auto"/>
              </w:rPr>
            </w:pPr>
            <w:r>
              <w:rPr>
                <w:rFonts w:ascii="Arial" w:cs="Arial" w:eastAsia="Arial" w:hAnsi="Arial"/>
                <w:sz w:val="18"/>
                <w:szCs w:val="18"/>
                <w:color w:val="auto"/>
              </w:rPr>
              <w:t>[a÷c]</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2.68 %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2.50 %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2.56 %</w:t>
            </w:r>
          </w:p>
        </w:tc>
        <w:tc>
          <w:tcPr>
            <w:tcW w:w="12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0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b w:val="1"/>
                <w:bCs w:val="1"/>
                <w:color w:val="auto"/>
              </w:rPr>
              <w:t xml:space="preserve">Adjusted: </w:t>
            </w:r>
            <w:r>
              <w:rPr>
                <w:rFonts w:ascii="Arial" w:cs="Arial" w:eastAsia="Arial" w:hAnsi="Arial"/>
                <w:sz w:val="17"/>
                <w:szCs w:val="17"/>
                <w:color w:val="auto"/>
              </w:rPr>
              <w:t>Net Interest margin</w:t>
            </w:r>
            <w:r>
              <w:rPr>
                <w:rFonts w:ascii="Arial" w:cs="Arial" w:eastAsia="Arial" w:hAnsi="Arial"/>
                <w:sz w:val="17"/>
                <w:szCs w:val="17"/>
                <w:b w:val="1"/>
                <w:bCs w:val="1"/>
                <w:color w:val="auto"/>
              </w:rPr>
              <w:t xml:space="preserve"> </w:t>
            </w:r>
            <w:r>
              <w:rPr>
                <w:rFonts w:ascii="Arial" w:cs="Arial" w:eastAsia="Arial" w:hAnsi="Arial"/>
                <w:sz w:val="25"/>
                <w:szCs w:val="25"/>
                <w:color w:val="auto"/>
                <w:vertAlign w:val="superscript"/>
              </w:rPr>
              <w:t>(1)</w:t>
            </w:r>
          </w:p>
        </w:tc>
        <w:tc>
          <w:tcPr>
            <w:tcW w:w="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[b÷c]</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2.66 %</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2.43 %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2.53 %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12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2" w:lineRule="exact"/>
        <w:rPr>
          <w:sz w:val="20"/>
          <w:szCs w:val="20"/>
          <w:color w:val="auto"/>
        </w:rPr>
      </w:pPr>
    </w:p>
    <w:p>
      <w:pPr>
        <w:ind w:left="480" w:hanging="322"/>
        <w:spacing w:after="0"/>
        <w:tabs>
          <w:tab w:leader="none" w:pos="480" w:val="left"/>
        </w:tabs>
        <w:numPr>
          <w:ilvl w:val="0"/>
          <w:numId w:val="24"/>
        </w:numPr>
        <w:rPr>
          <w:rFonts w:ascii="Arial" w:cs="Arial" w:eastAsia="Arial" w:hAnsi="Arial"/>
          <w:sz w:val="11"/>
          <w:szCs w:val="11"/>
          <w:color w:val="auto"/>
        </w:rPr>
      </w:pPr>
      <w:r>
        <w:rPr>
          <w:rFonts w:ascii="Arial" w:cs="Arial" w:eastAsia="Arial" w:hAnsi="Arial"/>
          <w:sz w:val="14"/>
          <w:szCs w:val="14"/>
          <w:color w:val="auto"/>
        </w:rPr>
        <w:t>Annualized measure.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RECONCILIAITON OF NON-GAAP FINANCIAL MEASURES </w:t>
      </w:r>
      <w:r>
        <w:rPr>
          <w:rFonts w:ascii="Arial" w:cs="Arial" w:eastAsia="Arial" w:hAnsi="Arial"/>
          <w:sz w:val="18"/>
          <w:szCs w:val="18"/>
          <w:b w:val="1"/>
          <w:bCs w:val="1"/>
          <w:i w:val="1"/>
          <w:iCs w:val="1"/>
          <w:color w:val="auto"/>
        </w:rPr>
        <w:t>(unaudited)</w:t>
      </w:r>
    </w:p>
    <w:p>
      <w:pPr>
        <w:spacing w:after="0" w:line="131"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Adjusted Noninterest Expense, Adjusted Core Expense,</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Efficiency Ratio, Adjusted Efficiency Ratio, and Adjusted Core Efficiency Ratio</w:t>
      </w: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Three Months Ended</w:t>
            </w:r>
          </w:p>
        </w:tc>
        <w:tc>
          <w:tcPr>
            <w:tcW w:w="19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280"/>
              <w:spacing w:after="0" w:line="133" w:lineRule="exact"/>
              <w:rPr>
                <w:sz w:val="20"/>
                <w:szCs w:val="20"/>
                <w:color w:val="auto"/>
              </w:rPr>
            </w:pPr>
            <w:r>
              <w:rPr>
                <w:rFonts w:ascii="Arial" w:cs="Arial" w:eastAsia="Arial" w:hAnsi="Arial"/>
                <w:sz w:val="14"/>
                <w:szCs w:val="14"/>
                <w:b w:val="1"/>
                <w:bCs w:val="1"/>
                <w:color w:val="auto"/>
                <w:w w:val="92"/>
              </w:rPr>
              <w:t>June 30,</w:t>
            </w: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12"/>
              <w:spacing w:after="0" w:line="133" w:lineRule="exact"/>
              <w:rPr>
                <w:sz w:val="20"/>
                <w:szCs w:val="20"/>
                <w:color w:val="auto"/>
              </w:rPr>
            </w:pPr>
            <w:r>
              <w:rPr>
                <w:rFonts w:ascii="Arial" w:cs="Arial" w:eastAsia="Arial" w:hAnsi="Arial"/>
                <w:sz w:val="14"/>
                <w:szCs w:val="14"/>
                <w:b w:val="1"/>
                <w:bCs w:val="1"/>
                <w:color w:val="auto"/>
                <w:w w:val="89"/>
              </w:rPr>
              <w:t>June 30,</w:t>
            </w:r>
          </w:p>
        </w:tc>
        <w:tc>
          <w:tcPr>
            <w:tcW w:w="16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300"/>
              <w:spacing w:after="0" w:line="133" w:lineRule="exact"/>
              <w:rPr>
                <w:sz w:val="20"/>
                <w:szCs w:val="20"/>
                <w:color w:val="auto"/>
              </w:rPr>
            </w:pPr>
            <w:r>
              <w:rPr>
                <w:rFonts w:ascii="Arial" w:cs="Arial" w:eastAsia="Arial" w:hAnsi="Arial"/>
                <w:sz w:val="14"/>
                <w:szCs w:val="14"/>
                <w:b w:val="1"/>
                <w:bCs w:val="1"/>
                <w:color w:val="auto"/>
              </w:rPr>
              <w:t>June 30,</w:t>
            </w:r>
          </w:p>
        </w:tc>
        <w:tc>
          <w:tcPr>
            <w:tcW w:w="2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jc w:val="right"/>
              <w:ind w:right="53"/>
              <w:spacing w:after="0" w:line="133" w:lineRule="exact"/>
              <w:rPr>
                <w:sz w:val="20"/>
                <w:szCs w:val="20"/>
                <w:color w:val="auto"/>
              </w:rPr>
            </w:pPr>
            <w:r>
              <w:rPr>
                <w:rFonts w:ascii="Arial" w:cs="Arial" w:eastAsia="Arial" w:hAnsi="Arial"/>
                <w:sz w:val="14"/>
                <w:szCs w:val="14"/>
                <w:b w:val="1"/>
                <w:bCs w:val="1"/>
                <w:color w:val="auto"/>
              </w:rPr>
              <w:t>June 30,</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4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800" w:type="dxa"/>
            <w:vAlign w:val="bottom"/>
          </w:tcPr>
          <w:p>
            <w:pPr>
              <w:jc w:val="right"/>
              <w:ind w:right="172"/>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800" w:type="dxa"/>
            <w:vAlign w:val="bottom"/>
            <w:gridSpan w:val="2"/>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Net interest income</w:t>
            </w: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75,928</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64,542</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$ 145,984</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$ 129,435</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Non-GAAP adjustments: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Tax-equivalent adjustment</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546</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579</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1,092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1,180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color w:val="auto"/>
              </w:rPr>
              <w:t>Tax-equivalent net interest income</w:t>
            </w:r>
          </w:p>
        </w:tc>
        <w:tc>
          <w:tcPr>
            <w:tcW w:w="56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76,474</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6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65,121</w:t>
            </w:r>
          </w:p>
        </w:tc>
        <w:tc>
          <w:tcPr>
            <w:tcW w:w="16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147,076</w:t>
            </w:r>
          </w:p>
        </w:tc>
        <w:tc>
          <w:tcPr>
            <w:tcW w:w="14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130,615</w:t>
            </w:r>
          </w:p>
        </w:tc>
        <w:tc>
          <w:tcPr>
            <w:tcW w:w="16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b w:val="1"/>
                <w:bCs w:val="1"/>
                <w:color w:val="auto"/>
              </w:rPr>
              <w:t>Total noninterest income</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31,019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w w:val="98"/>
              </w:rPr>
              <w:t>33,011</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66,791</w:t>
            </w: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64,456</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Non-GAAP adjustments: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420" w:type="dxa"/>
            <w:vAlign w:val="bottom"/>
          </w:tcPr>
          <w:p>
            <w:pPr>
              <w:ind w:left="220"/>
              <w:spacing w:after="0" w:line="189" w:lineRule="exact"/>
              <w:rPr>
                <w:sz w:val="20"/>
                <w:szCs w:val="20"/>
                <w:color w:val="auto"/>
              </w:rPr>
            </w:pPr>
            <w:r>
              <w:rPr>
                <w:rFonts w:ascii="Arial" w:cs="Arial" w:eastAsia="Arial" w:hAnsi="Arial"/>
                <w:sz w:val="18"/>
                <w:szCs w:val="18"/>
                <w:color w:val="auto"/>
                <w:w w:val="94"/>
              </w:rPr>
              <w:t>Net (gains) losses on sales of securities and unrealized</w:t>
            </w: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(gains) losses recognized on equity securities</w:t>
            </w: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1,714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(898)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2,328</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(2,539)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w w:val="90"/>
              </w:rPr>
              <w:t>Noninterest income excluding net securities gains and losses</w:t>
            </w:r>
          </w:p>
        </w:tc>
        <w:tc>
          <w:tcPr>
            <w:tcW w:w="56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32,733</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32,113</w:t>
            </w:r>
          </w:p>
        </w:tc>
        <w:tc>
          <w:tcPr>
            <w:tcW w:w="1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69,119</w:t>
            </w:r>
          </w:p>
        </w:tc>
        <w:tc>
          <w:tcPr>
            <w:tcW w:w="1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61,917</w:t>
            </w:r>
          </w:p>
        </w:tc>
        <w:tc>
          <w:tcPr>
            <w:tcW w:w="1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vMerge w:val="continue"/>
          </w:tcPr>
          <w:p>
            <w:pPr>
              <w:spacing w:after="0"/>
              <w:rPr>
                <w:sz w:val="16"/>
                <w:szCs w:val="16"/>
                <w:color w:val="auto"/>
              </w:rPr>
            </w:pPr>
          </w:p>
        </w:tc>
        <w:tc>
          <w:tcPr>
            <w:tcW w:w="442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3"/>
              </w:rPr>
              <w:t>Tax-equivalent net interest income plus noninterest income</w:t>
            </w:r>
          </w:p>
        </w:tc>
        <w:tc>
          <w:tcPr>
            <w:tcW w:w="560" w:type="dxa"/>
            <w:vAlign w:val="bottom"/>
            <w:shd w:val="clear" w:color="auto" w:fill="CCEEFF"/>
          </w:tcPr>
          <w:p>
            <w:pPr>
              <w:spacing w:after="0"/>
              <w:rPr>
                <w:sz w:val="16"/>
                <w:szCs w:val="16"/>
                <w:color w:val="auto"/>
              </w:rPr>
            </w:pPr>
          </w:p>
        </w:tc>
        <w:tc>
          <w:tcPr>
            <w:tcW w:w="3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2"/>
              </w:rPr>
              <w:t>109,207</w:t>
            </w:r>
          </w:p>
        </w:tc>
        <w:tc>
          <w:tcPr>
            <w:tcW w:w="140" w:type="dxa"/>
            <w:vAlign w:val="bottom"/>
            <w:shd w:val="clear" w:color="auto" w:fill="CCEEFF"/>
          </w:tcPr>
          <w:p>
            <w:pPr>
              <w:spacing w:after="0"/>
              <w:rPr>
                <w:sz w:val="16"/>
                <w:szCs w:val="16"/>
                <w:color w:val="auto"/>
              </w:rPr>
            </w:pPr>
          </w:p>
        </w:tc>
        <w:tc>
          <w:tcPr>
            <w:tcW w:w="1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8"/>
              </w:rPr>
              <w:t>97,234</w:t>
            </w:r>
          </w:p>
        </w:tc>
        <w:tc>
          <w:tcPr>
            <w:tcW w:w="16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$ 216,195</w:t>
            </w:r>
          </w:p>
        </w:tc>
        <w:tc>
          <w:tcPr>
            <w:tcW w:w="140" w:type="dxa"/>
            <w:vAlign w:val="bottom"/>
            <w:shd w:val="clear" w:color="auto" w:fill="CCEEFF"/>
          </w:tcPr>
          <w:p>
            <w:pPr>
              <w:spacing w:after="0"/>
              <w:rPr>
                <w:sz w:val="16"/>
                <w:szCs w:val="16"/>
                <w:color w:val="auto"/>
              </w:rPr>
            </w:pP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$ 192,532</w:t>
            </w: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excluding net securities gains and losses</w:t>
            </w:r>
          </w:p>
        </w:tc>
        <w:tc>
          <w:tcPr>
            <w:tcW w:w="5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[a]</w:t>
            </w:r>
          </w:p>
        </w:tc>
        <w:tc>
          <w:tcPr>
            <w:tcW w:w="300" w:type="dxa"/>
            <w:vAlign w:val="bottom"/>
            <w:gridSpan w:val="2"/>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gridSpan w:val="2"/>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Total noninterest expense</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69,092</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62,625</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139,468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117,124</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color w:val="auto"/>
              </w:rPr>
              <w:t>Non-GAAP adjustments: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Amortization of intangible assets</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[b]</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(2,951)</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(2,650)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(5,962)</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(5,051)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Arial" w:cs="Arial" w:eastAsia="Arial" w:hAnsi="Arial"/>
                <w:sz w:val="18"/>
                <w:szCs w:val="18"/>
                <w:color w:val="auto"/>
                <w:w w:val="91"/>
              </w:rPr>
              <w:t>Non-interest expense excluding amortization of intangible</w:t>
            </w: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420" w:type="dxa"/>
            <w:vAlign w:val="bottom"/>
          </w:tcPr>
          <w:p>
            <w:pPr>
              <w:ind w:left="220"/>
              <w:spacing w:after="0"/>
              <w:rPr>
                <w:sz w:val="20"/>
                <w:szCs w:val="20"/>
                <w:color w:val="auto"/>
              </w:rPr>
            </w:pPr>
            <w:r>
              <w:rPr>
                <w:rFonts w:ascii="Arial" w:cs="Arial" w:eastAsia="Arial" w:hAnsi="Arial"/>
                <w:sz w:val="18"/>
                <w:szCs w:val="18"/>
                <w:color w:val="auto"/>
              </w:rPr>
              <w:t>assets</w:t>
            </w:r>
          </w:p>
        </w:tc>
        <w:tc>
          <w:tcPr>
            <w:tcW w:w="560" w:type="dxa"/>
            <w:vAlign w:val="bottom"/>
          </w:tcPr>
          <w:p>
            <w:pPr>
              <w:spacing w:after="0"/>
              <w:rPr>
                <w:sz w:val="20"/>
                <w:szCs w:val="20"/>
                <w:color w:val="auto"/>
              </w:rPr>
            </w:pPr>
            <w:r>
              <w:rPr>
                <w:rFonts w:ascii="Arial" w:cs="Arial" w:eastAsia="Arial" w:hAnsi="Arial"/>
                <w:sz w:val="18"/>
                <w:szCs w:val="18"/>
                <w:color w:val="auto"/>
              </w:rPr>
              <w:t>[c]</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66,141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59,975</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133,506</w:t>
            </w:r>
          </w:p>
        </w:tc>
        <w:tc>
          <w:tcPr>
            <w:tcW w:w="14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112,073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Non-operating adjustments: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320"/>
              <w:spacing w:after="0" w:line="202" w:lineRule="exact"/>
              <w:rPr>
                <w:sz w:val="20"/>
                <w:szCs w:val="20"/>
                <w:color w:val="auto"/>
              </w:rPr>
            </w:pPr>
            <w:r>
              <w:rPr>
                <w:rFonts w:ascii="Arial" w:cs="Arial" w:eastAsia="Arial" w:hAnsi="Arial"/>
                <w:sz w:val="18"/>
                <w:szCs w:val="18"/>
                <w:color w:val="auto"/>
              </w:rPr>
              <w:t>Salaries, wages, and employee benefits</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(587)</w:t>
            </w: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(1,125)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Data processing</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(368)</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(214)</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(375)</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320"/>
              <w:spacing w:after="0" w:line="202" w:lineRule="exact"/>
              <w:rPr>
                <w:sz w:val="20"/>
                <w:szCs w:val="20"/>
                <w:color w:val="auto"/>
              </w:rPr>
            </w:pPr>
            <w:r>
              <w:rPr>
                <w:rFonts w:ascii="Arial" w:cs="Arial" w:eastAsia="Arial" w:hAnsi="Arial"/>
                <w:sz w:val="18"/>
                <w:szCs w:val="18"/>
                <w:color w:val="auto"/>
              </w:rPr>
              <w:t>Lease or fixed asset impairment</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(99)</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gridSpan w:val="2"/>
          </w:tcPr>
          <w:p>
            <w:pPr>
              <w:jc w:val="right"/>
              <w:ind w:right="22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Professional fees and other</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(204)</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(1,220)</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(238)</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Pr>
          <w:p>
            <w:pPr>
              <w:spacing w:after="0" w:line="196" w:lineRule="exact"/>
              <w:rPr>
                <w:sz w:val="20"/>
                <w:szCs w:val="20"/>
                <w:color w:val="auto"/>
              </w:rPr>
            </w:pPr>
            <w:r>
              <w:rPr>
                <w:rFonts w:ascii="Arial" w:cs="Arial" w:eastAsia="Arial" w:hAnsi="Arial"/>
                <w:sz w:val="18"/>
                <w:szCs w:val="18"/>
                <w:color w:val="auto"/>
              </w:rPr>
              <w:t>Adjusted noninterest expense</w:t>
            </w:r>
          </w:p>
        </w:tc>
        <w:tc>
          <w:tcPr>
            <w:tcW w:w="560" w:type="dxa"/>
            <w:vAlign w:val="bottom"/>
          </w:tcPr>
          <w:p>
            <w:pPr>
              <w:spacing w:after="0" w:line="196" w:lineRule="exact"/>
              <w:rPr>
                <w:sz w:val="20"/>
                <w:szCs w:val="20"/>
                <w:color w:val="auto"/>
              </w:rPr>
            </w:pPr>
            <w:r>
              <w:rPr>
                <w:rFonts w:ascii="Arial" w:cs="Arial" w:eastAsia="Arial" w:hAnsi="Arial"/>
                <w:sz w:val="18"/>
                <w:szCs w:val="18"/>
                <w:color w:val="auto"/>
              </w:rPr>
              <w:t>[d]</w:t>
            </w:r>
          </w:p>
        </w:tc>
        <w:tc>
          <w:tcPr>
            <w:tcW w:w="2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65,838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8"/>
              </w:rPr>
              <w:t>57,262</w:t>
            </w:r>
          </w:p>
        </w:tc>
        <w:tc>
          <w:tcPr>
            <w:tcW w:w="160" w:type="dxa"/>
            <w:vAlign w:val="bottom"/>
          </w:tcPr>
          <w:p>
            <w:pPr>
              <w:spacing w:after="0"/>
              <w:rPr>
                <w:sz w:val="17"/>
                <w:szCs w:val="17"/>
                <w:color w:val="auto"/>
              </w:rPr>
            </w:pPr>
          </w:p>
        </w:tc>
        <w:tc>
          <w:tcPr>
            <w:tcW w:w="80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132,368</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109,040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Provision for unfunded commitments</w:t>
            </w:r>
          </w:p>
        </w:tc>
        <w:tc>
          <w:tcPr>
            <w:tcW w:w="5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267</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(845)</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90</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ind w:left="220"/>
              <w:spacing w:after="0" w:line="202" w:lineRule="exact"/>
              <w:rPr>
                <w:sz w:val="20"/>
                <w:szCs w:val="20"/>
                <w:color w:val="auto"/>
              </w:rPr>
            </w:pPr>
            <w:r>
              <w:rPr>
                <w:rFonts w:ascii="Arial" w:cs="Arial" w:eastAsia="Arial" w:hAnsi="Arial"/>
                <w:sz w:val="18"/>
                <w:szCs w:val="18"/>
                <w:color w:val="auto"/>
              </w:rPr>
              <w:t>Amortization of NMTC</w:t>
            </w: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(1,662)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jc w:val="right"/>
              <w:spacing w:after="0" w:line="202" w:lineRule="exact"/>
              <w:rPr>
                <w:sz w:val="20"/>
                <w:szCs w:val="20"/>
                <w:color w:val="auto"/>
              </w:rPr>
            </w:pPr>
            <w:r>
              <w:rPr>
                <w:rFonts w:ascii="Arial" w:cs="Arial" w:eastAsia="Arial" w:hAnsi="Arial"/>
                <w:sz w:val="18"/>
                <w:szCs w:val="18"/>
                <w:color w:val="auto"/>
              </w:rPr>
              <w:t>(1,239)</w:t>
            </w:r>
          </w:p>
        </w:tc>
        <w:tc>
          <w:tcPr>
            <w:tcW w:w="160" w:type="dxa"/>
            <w:vAlign w:val="bottom"/>
          </w:tcPr>
          <w:p>
            <w:pPr>
              <w:spacing w:after="0"/>
              <w:rPr>
                <w:sz w:val="17"/>
                <w:szCs w:val="17"/>
                <w:color w:val="auto"/>
              </w:rPr>
            </w:pPr>
          </w:p>
        </w:tc>
        <w:tc>
          <w:tcPr>
            <w:tcW w:w="800" w:type="dxa"/>
            <w:vAlign w:val="bottom"/>
          </w:tcPr>
          <w:p>
            <w:pPr>
              <w:jc w:val="right"/>
              <w:spacing w:after="0" w:line="202" w:lineRule="exact"/>
              <w:rPr>
                <w:sz w:val="20"/>
                <w:szCs w:val="20"/>
                <w:color w:val="auto"/>
              </w:rPr>
            </w:pPr>
            <w:r>
              <w:rPr>
                <w:rFonts w:ascii="Arial" w:cs="Arial" w:eastAsia="Arial" w:hAnsi="Arial"/>
                <w:sz w:val="18"/>
                <w:szCs w:val="18"/>
                <w:color w:val="auto"/>
              </w:rPr>
              <w:t>(3,003)</w:t>
            </w:r>
          </w:p>
        </w:tc>
        <w:tc>
          <w:tcPr>
            <w:tcW w:w="140" w:type="dxa"/>
            <w:vAlign w:val="bottom"/>
          </w:tcPr>
          <w:p>
            <w:pPr>
              <w:spacing w:after="0"/>
              <w:rPr>
                <w:sz w:val="17"/>
                <w:szCs w:val="17"/>
                <w:color w:val="auto"/>
              </w:rPr>
            </w:pPr>
          </w:p>
        </w:tc>
        <w:tc>
          <w:tcPr>
            <w:tcW w:w="80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(3,068)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42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Adjusted core expense</w:t>
            </w:r>
          </w:p>
        </w:tc>
        <w:tc>
          <w:tcPr>
            <w:tcW w:w="56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[e]</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64,443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56,519</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8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9"/>
              </w:rPr>
              <w:t>$ 128,520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$ 106,062</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vMerge w:val="restart"/>
          </w:tcPr>
          <w:p>
            <w:pPr>
              <w:spacing w:after="0"/>
              <w:rPr>
                <w:sz w:val="15"/>
                <w:szCs w:val="15"/>
                <w:color w:val="auto"/>
              </w:rPr>
            </w:pPr>
          </w:p>
        </w:tc>
        <w:tc>
          <w:tcPr>
            <w:tcW w:w="4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93"/>
              </w:rPr>
              <w:t>Noninterest expense, excluding non-operating adjustments</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[d-b]</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68,789</w:t>
            </w: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8"/>
              </w:rPr>
              <w:t>59,912</w:t>
            </w: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138,330</w:t>
            </w:r>
          </w:p>
        </w:tc>
        <w:tc>
          <w:tcPr>
            <w:tcW w:w="14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114,091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44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Reported: </w:t>
            </w:r>
            <w:r>
              <w:rPr>
                <w:rFonts w:ascii="Arial" w:cs="Arial" w:eastAsia="Arial" w:hAnsi="Arial"/>
                <w:sz w:val="18"/>
                <w:szCs w:val="18"/>
                <w:color w:val="auto"/>
              </w:rPr>
              <w:t>Efficiency ratio</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60.56 %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61.68 %</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61.75 %</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58.21 %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Efficiency ratio</w:t>
            </w:r>
          </w:p>
        </w:tc>
        <w:tc>
          <w:tcPr>
            <w:tcW w:w="560" w:type="dxa"/>
            <w:vAlign w:val="bottom"/>
          </w:tcPr>
          <w:p>
            <w:pPr>
              <w:spacing w:after="0" w:line="202" w:lineRule="exact"/>
              <w:rPr>
                <w:sz w:val="20"/>
                <w:szCs w:val="20"/>
                <w:color w:val="auto"/>
              </w:rPr>
            </w:pPr>
            <w:r>
              <w:rPr>
                <w:rFonts w:ascii="Arial" w:cs="Arial" w:eastAsia="Arial" w:hAnsi="Arial"/>
                <w:sz w:val="18"/>
                <w:szCs w:val="18"/>
                <w:color w:val="auto"/>
              </w:rPr>
              <w:t>[d÷a]</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60.29 %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58.89 %</w:t>
            </w:r>
          </w:p>
        </w:tc>
        <w:tc>
          <w:tcPr>
            <w:tcW w:w="9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61.23 %</w:t>
            </w:r>
          </w:p>
        </w:tc>
        <w:tc>
          <w:tcPr>
            <w:tcW w:w="960" w:type="dxa"/>
            <w:vAlign w:val="bottom"/>
            <w:gridSpan w:val="3"/>
          </w:tcPr>
          <w:p>
            <w:pPr>
              <w:jc w:val="right"/>
              <w:ind w:right="20"/>
              <w:spacing w:after="0" w:line="202" w:lineRule="exact"/>
              <w:rPr>
                <w:sz w:val="20"/>
                <w:szCs w:val="20"/>
                <w:color w:val="auto"/>
              </w:rPr>
            </w:pPr>
            <w:r>
              <w:rPr>
                <w:rFonts w:ascii="Arial" w:cs="Arial" w:eastAsia="Arial" w:hAnsi="Arial"/>
                <w:sz w:val="18"/>
                <w:szCs w:val="18"/>
                <w:color w:val="auto"/>
              </w:rPr>
              <w:t>56.63 %</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420" w:type="dxa"/>
            <w:vAlign w:val="bottom"/>
            <w:shd w:val="clear" w:color="auto" w:fill="CCEEFF"/>
          </w:tcPr>
          <w:p>
            <w:pPr>
              <w:spacing w:after="0" w:line="202" w:lineRule="exact"/>
              <w:rPr>
                <w:sz w:val="20"/>
                <w:szCs w:val="20"/>
                <w:color w:val="auto"/>
              </w:rPr>
            </w:pPr>
            <w:r>
              <w:rPr>
                <w:rFonts w:ascii="Arial" w:cs="Arial" w:eastAsia="Arial" w:hAnsi="Arial"/>
                <w:sz w:val="18"/>
                <w:szCs w:val="18"/>
                <w:b w:val="1"/>
                <w:bCs w:val="1"/>
                <w:color w:val="auto"/>
              </w:rPr>
              <w:t xml:space="preserve">Adjusted: </w:t>
            </w:r>
            <w:r>
              <w:rPr>
                <w:rFonts w:ascii="Arial" w:cs="Arial" w:eastAsia="Arial" w:hAnsi="Arial"/>
                <w:sz w:val="18"/>
                <w:szCs w:val="18"/>
                <w:color w:val="auto"/>
              </w:rPr>
              <w:t>Core efficiency ratio</w:t>
            </w:r>
          </w:p>
        </w:tc>
        <w:tc>
          <w:tcPr>
            <w:tcW w:w="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[e÷a]</w:t>
            </w: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59.01 %</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58.13 %</w:t>
            </w:r>
          </w:p>
        </w:tc>
        <w:tc>
          <w:tcPr>
            <w:tcW w:w="9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59.45 %</w:t>
            </w:r>
          </w:p>
        </w:tc>
        <w:tc>
          <w:tcPr>
            <w:tcW w:w="960" w:type="dxa"/>
            <w:vAlign w:val="bottom"/>
            <w:gridSpan w:val="3"/>
            <w:shd w:val="clear" w:color="auto" w:fill="CCEEFF"/>
          </w:tcPr>
          <w:p>
            <w:pPr>
              <w:jc w:val="right"/>
              <w:ind w:right="20"/>
              <w:spacing w:after="0" w:line="202" w:lineRule="exact"/>
              <w:rPr>
                <w:sz w:val="20"/>
                <w:szCs w:val="20"/>
                <w:color w:val="auto"/>
              </w:rPr>
            </w:pPr>
            <w:r>
              <w:rPr>
                <w:rFonts w:ascii="Arial" w:cs="Arial" w:eastAsia="Arial" w:hAnsi="Arial"/>
                <w:sz w:val="18"/>
                <w:szCs w:val="18"/>
                <w:color w:val="auto"/>
              </w:rPr>
              <w:t>55.09 %</w:t>
            </w:r>
          </w:p>
        </w:tc>
        <w:tc>
          <w:tcPr>
            <w:tcW w:w="0" w:type="dxa"/>
            <w:vAlign w:val="bottom"/>
          </w:tcPr>
          <w:p>
            <w:pPr>
              <w:spacing w:after="0"/>
              <w:rPr>
                <w:sz w:val="1"/>
                <w:szCs w:val="1"/>
                <w:color w:val="auto"/>
              </w:rPr>
            </w:pPr>
          </w:p>
        </w:tc>
      </w:tr>
      <w:tr>
        <w:trPr>
          <w:trHeight w:val="850"/>
        </w:trPr>
        <w:tc>
          <w:tcPr>
            <w:tcW w:w="5000" w:type="dxa"/>
            <w:vAlign w:val="bottom"/>
            <w:gridSpan w:val="3"/>
          </w:tcPr>
          <w:p>
            <w:pPr>
              <w:jc w:val="right"/>
              <w:ind w:right="350"/>
              <w:spacing w:after="0"/>
              <w:rPr>
                <w:sz w:val="20"/>
                <w:szCs w:val="20"/>
                <w:color w:val="auto"/>
              </w:rPr>
            </w:pPr>
            <w:r>
              <w:rPr>
                <w:rFonts w:ascii="Arial" w:cs="Arial" w:eastAsia="Arial" w:hAnsi="Arial"/>
                <w:sz w:val="18"/>
                <w:szCs w:val="18"/>
                <w:color w:val="auto"/>
              </w:rPr>
              <w:t>76</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44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RECONCILIAITON OF NON-GAAP FINANCIAL MEASURES </w:t>
      </w:r>
      <w:r>
        <w:rPr>
          <w:rFonts w:ascii="Arial" w:cs="Arial" w:eastAsia="Arial" w:hAnsi="Arial"/>
          <w:sz w:val="18"/>
          <w:szCs w:val="18"/>
          <w:b w:val="1"/>
          <w:bCs w:val="1"/>
          <w:i w:val="1"/>
          <w:iCs w:val="1"/>
          <w:color w:val="auto"/>
        </w:rPr>
        <w:t>(unaudited)</w:t>
      </w:r>
    </w:p>
    <w:p>
      <w:pPr>
        <w:spacing w:after="0" w:line="131"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Tangible Book Value Per Common Share</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 except per share amounts)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4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454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ind w:left="12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40" w:type="dxa"/>
            <w:vAlign w:val="bottom"/>
          </w:tcPr>
          <w:p>
            <w:pPr>
              <w:jc w:val="right"/>
              <w:ind w:right="15"/>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0" w:type="dxa"/>
            <w:vAlign w:val="bottom"/>
          </w:tcPr>
          <w:p>
            <w:pPr>
              <w:spacing w:after="0"/>
              <w:rPr>
                <w:sz w:val="11"/>
                <w:szCs w:val="11"/>
                <w:color w:val="auto"/>
              </w:rPr>
            </w:pPr>
          </w:p>
        </w:tc>
      </w:tr>
      <w:tr>
        <w:trPr>
          <w:trHeight w:val="185"/>
        </w:trPr>
        <w:tc>
          <w:tcPr>
            <w:tcW w:w="4540" w:type="dxa"/>
            <w:vAlign w:val="bottom"/>
            <w:tcBorders>
              <w:bottom w:val="single" w:sz="8" w:color="CCEEFF"/>
            </w:tcBorders>
          </w:tcPr>
          <w:p>
            <w:pPr>
              <w:spacing w:after="0"/>
              <w:rPr>
                <w:sz w:val="16"/>
                <w:szCs w:val="16"/>
                <w:color w:val="auto"/>
              </w:rPr>
            </w:pPr>
          </w:p>
        </w:tc>
        <w:tc>
          <w:tcPr>
            <w:tcW w:w="2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r>
      <w:tr>
        <w:trPr>
          <w:trHeight w:val="196"/>
        </w:trPr>
        <w:tc>
          <w:tcPr>
            <w:tcW w:w="45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1,161,957</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1,319,112</w:t>
            </w:r>
          </w:p>
        </w:tc>
        <w:tc>
          <w:tcPr>
            <w:tcW w:w="20" w:type="dxa"/>
            <w:vAlign w:val="bottom"/>
          </w:tcPr>
          <w:p>
            <w:pPr>
              <w:spacing w:after="0"/>
              <w:rPr>
                <w:sz w:val="17"/>
                <w:szCs w:val="17"/>
                <w:color w:val="auto"/>
              </w:rPr>
            </w:pPr>
          </w:p>
        </w:tc>
      </w:tr>
      <w:tr>
        <w:trPr>
          <w:trHeight w:val="203"/>
        </w:trPr>
        <w:tc>
          <w:tcPr>
            <w:tcW w:w="4540" w:type="dxa"/>
            <w:vAlign w:val="bottom"/>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(369,962)</w:t>
            </w:r>
          </w:p>
        </w:tc>
        <w:tc>
          <w:tcPr>
            <w:tcW w:w="100" w:type="dxa"/>
            <w:vAlign w:val="bottom"/>
          </w:tcPr>
          <w:p>
            <w:pPr>
              <w:spacing w:after="0"/>
              <w:rPr>
                <w:sz w:val="17"/>
                <w:szCs w:val="17"/>
                <w:color w:val="auto"/>
              </w:rPr>
            </w:pPr>
          </w:p>
        </w:tc>
        <w:tc>
          <w:tcPr>
            <w:tcW w:w="940" w:type="dxa"/>
            <w:vAlign w:val="bottom"/>
          </w:tcPr>
          <w:p>
            <w:pPr>
              <w:jc w:val="right"/>
              <w:spacing w:after="0" w:line="202" w:lineRule="exact"/>
              <w:rPr>
                <w:sz w:val="20"/>
                <w:szCs w:val="20"/>
                <w:color w:val="auto"/>
              </w:rPr>
            </w:pPr>
            <w:r>
              <w:rPr>
                <w:rFonts w:ascii="Arial" w:cs="Arial" w:eastAsia="Arial" w:hAnsi="Arial"/>
                <w:sz w:val="18"/>
                <w:szCs w:val="18"/>
                <w:color w:val="auto"/>
              </w:rPr>
              <w:t>(375,924)</w:t>
            </w:r>
          </w:p>
        </w:tc>
        <w:tc>
          <w:tcPr>
            <w:tcW w:w="20" w:type="dxa"/>
            <w:vAlign w:val="bottom"/>
          </w:tcPr>
          <w:p>
            <w:pPr>
              <w:spacing w:after="0"/>
              <w:rPr>
                <w:sz w:val="17"/>
                <w:szCs w:val="17"/>
                <w:color w:val="auto"/>
              </w:rPr>
            </w:pPr>
          </w:p>
        </w:tc>
      </w:tr>
      <w:tr>
        <w:trPr>
          <w:trHeight w:val="196"/>
        </w:trPr>
        <w:tc>
          <w:tcPr>
            <w:tcW w:w="4540" w:type="dxa"/>
            <w:vAlign w:val="bottom"/>
            <w:tcBorders>
              <w:top w:val="single" w:sz="8" w:color="CCEEFF"/>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Tangible book value</w:t>
            </w:r>
          </w:p>
        </w:tc>
        <w:tc>
          <w:tcPr>
            <w:tcW w:w="2120" w:type="dxa"/>
            <w:vAlign w:val="bottom"/>
            <w:tcBorders>
              <w:top w:val="single" w:sz="8" w:color="CCEEFF"/>
              <w:bottom w:val="single" w:sz="8" w:color="CCEEFF"/>
            </w:tcBorders>
            <w:shd w:val="clear" w:color="auto" w:fill="CCEEFF"/>
          </w:tcPr>
          <w:p>
            <w:pPr>
              <w:ind w:left="1160"/>
              <w:spacing w:after="0" w:line="196" w:lineRule="exact"/>
              <w:rPr>
                <w:sz w:val="20"/>
                <w:szCs w:val="20"/>
                <w:color w:val="auto"/>
              </w:rPr>
            </w:pPr>
            <w:r>
              <w:rPr>
                <w:rFonts w:ascii="Arial" w:cs="Arial" w:eastAsia="Arial" w:hAnsi="Arial"/>
                <w:sz w:val="18"/>
                <w:szCs w:val="18"/>
                <w:color w:val="auto"/>
              </w:rPr>
              <w:t>[a]</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791,995</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943,188</w:t>
            </w:r>
          </w:p>
        </w:tc>
        <w:tc>
          <w:tcPr>
            <w:tcW w:w="20" w:type="dxa"/>
            <w:vAlign w:val="bottom"/>
          </w:tcPr>
          <w:p>
            <w:pPr>
              <w:spacing w:after="0"/>
              <w:rPr>
                <w:sz w:val="17"/>
                <w:szCs w:val="17"/>
                <w:color w:val="auto"/>
              </w:rPr>
            </w:pPr>
          </w:p>
        </w:tc>
      </w:tr>
      <w:tr>
        <w:trPr>
          <w:trHeight w:val="20"/>
        </w:trPr>
        <w:tc>
          <w:tcPr>
            <w:tcW w:w="4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3"/>
        </w:trPr>
        <w:tc>
          <w:tcPr>
            <w:tcW w:w="45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2"/>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Ending number of common shares outstanding</w:t>
            </w:r>
          </w:p>
        </w:tc>
        <w:tc>
          <w:tcPr>
            <w:tcW w:w="2120" w:type="dxa"/>
            <w:vAlign w:val="bottom"/>
            <w:shd w:val="clear" w:color="auto" w:fill="CCEEFF"/>
          </w:tcPr>
          <w:p>
            <w:pPr>
              <w:ind w:left="1160"/>
              <w:spacing w:after="0" w:line="202" w:lineRule="exact"/>
              <w:rPr>
                <w:sz w:val="20"/>
                <w:szCs w:val="20"/>
                <w:color w:val="auto"/>
              </w:rPr>
            </w:pPr>
            <w:r>
              <w:rPr>
                <w:rFonts w:ascii="Arial" w:cs="Arial" w:eastAsia="Arial" w:hAnsi="Arial"/>
                <w:sz w:val="18"/>
                <w:szCs w:val="18"/>
                <w:color w:val="auto"/>
              </w:rPr>
              <w:t>[b]</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0"/>
              </w:rPr>
              <w:t>55,335,703</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97"/>
              </w:rPr>
              <w:t>55,434,910</w:t>
            </w:r>
          </w:p>
        </w:tc>
        <w:tc>
          <w:tcPr>
            <w:tcW w:w="20" w:type="dxa"/>
            <w:vAlign w:val="bottom"/>
          </w:tcPr>
          <w:p>
            <w:pPr>
              <w:spacing w:after="0"/>
              <w:rPr>
                <w:sz w:val="17"/>
                <w:szCs w:val="17"/>
                <w:color w:val="auto"/>
              </w:rPr>
            </w:pPr>
          </w:p>
        </w:tc>
      </w:tr>
      <w:tr>
        <w:trPr>
          <w:trHeight w:val="203"/>
        </w:trPr>
        <w:tc>
          <w:tcPr>
            <w:tcW w:w="454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454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Tangible book value per common share</w:t>
            </w:r>
          </w:p>
        </w:tc>
        <w:tc>
          <w:tcPr>
            <w:tcW w:w="2120" w:type="dxa"/>
            <w:vAlign w:val="bottom"/>
            <w:shd w:val="clear" w:color="auto" w:fill="CCEEFF"/>
          </w:tcPr>
          <w:p>
            <w:pPr>
              <w:ind w:left="1160"/>
              <w:spacing w:after="0" w:line="202" w:lineRule="exact"/>
              <w:rPr>
                <w:sz w:val="20"/>
                <w:szCs w:val="20"/>
                <w:color w:val="auto"/>
              </w:rPr>
            </w:pPr>
            <w:r>
              <w:rPr>
                <w:rFonts w:ascii="Arial" w:cs="Arial" w:eastAsia="Arial" w:hAnsi="Arial"/>
                <w:sz w:val="18"/>
                <w:szCs w:val="18"/>
                <w:color w:val="auto"/>
              </w:rPr>
              <w:t>[a÷b]</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14.31</w:t>
            </w: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17.01</w:t>
            </w:r>
          </w:p>
        </w:tc>
        <w:tc>
          <w:tcPr>
            <w:tcW w:w="20" w:type="dxa"/>
            <w:vAlign w:val="bottom"/>
          </w:tcPr>
          <w:p>
            <w:pPr>
              <w:spacing w:after="0"/>
              <w:rPr>
                <w:sz w:val="17"/>
                <w:szCs w:val="17"/>
                <w:color w:val="auto"/>
              </w:rPr>
            </w:pPr>
          </w:p>
        </w:tc>
      </w:tr>
    </w:tbl>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Tangible Common Equity and Tangible Common Equity to Tangible Assets</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22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3"/>
        </w:trPr>
        <w:tc>
          <w:tcPr>
            <w:tcW w:w="224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tcPr>
          <w:p>
            <w:pPr>
              <w:jc w:val="right"/>
              <w:ind w:right="50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160" w:type="dxa"/>
            <w:vAlign w:val="bottom"/>
          </w:tcPr>
          <w:p>
            <w:pPr>
              <w:spacing w:after="0"/>
              <w:rPr>
                <w:sz w:val="11"/>
                <w:szCs w:val="11"/>
                <w:color w:val="auto"/>
              </w:rPr>
            </w:pPr>
          </w:p>
        </w:tc>
      </w:tr>
      <w:tr>
        <w:trPr>
          <w:trHeight w:val="185"/>
        </w:trPr>
        <w:tc>
          <w:tcPr>
            <w:tcW w:w="2240" w:type="dxa"/>
            <w:vAlign w:val="bottom"/>
            <w:tcBorders>
              <w:bottom w:val="single" w:sz="8" w:color="CCEEFF"/>
            </w:tcBorders>
          </w:tcPr>
          <w:p>
            <w:pPr>
              <w:spacing w:after="0"/>
              <w:rPr>
                <w:sz w:val="16"/>
                <w:szCs w:val="16"/>
                <w:color w:val="auto"/>
              </w:rPr>
            </w:pPr>
          </w:p>
        </w:tc>
        <w:tc>
          <w:tcPr>
            <w:tcW w:w="2180" w:type="dxa"/>
            <w:vAlign w:val="bottom"/>
            <w:tcBorders>
              <w:bottom w:val="single" w:sz="8" w:color="CCEEFF"/>
            </w:tcBorders>
          </w:tcPr>
          <w:p>
            <w:pPr>
              <w:spacing w:after="0"/>
              <w:rPr>
                <w:sz w:val="16"/>
                <w:szCs w:val="16"/>
                <w:color w:val="auto"/>
              </w:rPr>
            </w:pPr>
          </w:p>
        </w:tc>
        <w:tc>
          <w:tcPr>
            <w:tcW w:w="20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6"/>
                <w:szCs w:val="16"/>
                <w:color w:val="auto"/>
              </w:rPr>
            </w:pPr>
          </w:p>
        </w:tc>
      </w:tr>
      <w:tr>
        <w:trPr>
          <w:trHeight w:val="196"/>
        </w:trPr>
        <w:tc>
          <w:tcPr>
            <w:tcW w:w="442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Total assets</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12,356,433</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12,859,689</w:t>
            </w:r>
          </w:p>
        </w:tc>
        <w:tc>
          <w:tcPr>
            <w:tcW w:w="160" w:type="dxa"/>
            <w:vAlign w:val="bottom"/>
            <w:shd w:val="clear" w:color="auto" w:fill="CCEEFF"/>
          </w:tcPr>
          <w:p>
            <w:pPr>
              <w:spacing w:after="0"/>
              <w:rPr>
                <w:sz w:val="17"/>
                <w:szCs w:val="17"/>
                <w:color w:val="auto"/>
              </w:rPr>
            </w:pPr>
          </w:p>
        </w:tc>
      </w:tr>
      <w:tr>
        <w:trPr>
          <w:trHeight w:val="203"/>
        </w:trPr>
        <w:tc>
          <w:tcPr>
            <w:tcW w:w="4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4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(369,962)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(375,924)</w:t>
            </w:r>
          </w:p>
        </w:tc>
      </w:tr>
      <w:tr>
        <w:trPr>
          <w:trHeight w:val="216"/>
        </w:trPr>
        <w:tc>
          <w:tcPr>
            <w:tcW w:w="4420" w:type="dxa"/>
            <w:vAlign w:val="bottom"/>
            <w:tcBorders>
              <w:bottom w:val="single" w:sz="8" w:color="CCEEFF"/>
            </w:tcBorders>
            <w:gridSpan w:val="2"/>
          </w:tcPr>
          <w:p>
            <w:pPr>
              <w:ind w:left="220"/>
              <w:spacing w:after="0" w:line="216" w:lineRule="exact"/>
              <w:rPr>
                <w:sz w:val="20"/>
                <w:szCs w:val="20"/>
                <w:color w:val="auto"/>
              </w:rPr>
            </w:pPr>
            <w:r>
              <w:rPr>
                <w:rFonts w:ascii="Arial" w:cs="Arial" w:eastAsia="Arial" w:hAnsi="Arial"/>
                <w:sz w:val="17"/>
                <w:szCs w:val="17"/>
                <w:color w:val="auto"/>
              </w:rPr>
              <w:t xml:space="preserve">Tax effect of other intangible assets </w:t>
            </w:r>
            <w:r>
              <w:rPr>
                <w:rFonts w:ascii="Arial" w:cs="Arial" w:eastAsia="Arial" w:hAnsi="Arial"/>
                <w:sz w:val="25"/>
                <w:szCs w:val="25"/>
                <w:color w:val="auto"/>
                <w:vertAlign w:val="superscript"/>
              </w:rPr>
              <w:t>(1)</w:t>
            </w:r>
          </w:p>
        </w:tc>
        <w:tc>
          <w:tcPr>
            <w:tcW w:w="2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16,254</w:t>
            </w:r>
          </w:p>
        </w:tc>
        <w:tc>
          <w:tcPr>
            <w:tcW w:w="160" w:type="dxa"/>
            <w:vAlign w:val="bottom"/>
            <w:tcBorders>
              <w:bottom w:val="single" w:sz="8" w:color="CCEEFF"/>
            </w:tcBorders>
          </w:tcPr>
          <w:p>
            <w:pPr>
              <w:spacing w:after="0"/>
              <w:rPr>
                <w:sz w:val="18"/>
                <w:szCs w:val="18"/>
                <w:color w:val="auto"/>
              </w:rPr>
            </w:pPr>
          </w:p>
        </w:tc>
      </w:tr>
      <w:tr>
        <w:trPr>
          <w:trHeight w:val="196"/>
        </w:trPr>
        <w:tc>
          <w:tcPr>
            <w:tcW w:w="44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Tangible assets</w:t>
            </w:r>
          </w:p>
        </w:tc>
        <w:tc>
          <w:tcPr>
            <w:tcW w:w="2040" w:type="dxa"/>
            <w:vAlign w:val="bottom"/>
            <w:tcBorders>
              <w:bottom w:val="single" w:sz="8" w:color="CCEEFF"/>
            </w:tcBorders>
            <w:shd w:val="clear" w:color="auto" w:fill="CCEEFF"/>
          </w:tcPr>
          <w:p>
            <w:pPr>
              <w:ind w:left="1140"/>
              <w:spacing w:after="0" w:line="196" w:lineRule="exact"/>
              <w:rPr>
                <w:sz w:val="20"/>
                <w:szCs w:val="20"/>
                <w:color w:val="auto"/>
              </w:rPr>
            </w:pPr>
            <w:r>
              <w:rPr>
                <w:rFonts w:ascii="Arial" w:cs="Arial" w:eastAsia="Arial" w:hAnsi="Arial"/>
                <w:sz w:val="18"/>
                <w:szCs w:val="18"/>
                <w:color w:val="auto"/>
              </w:rPr>
              <w:t>[a]</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0"/>
              </w:rPr>
              <w:t>11,996,376</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5"/>
              </w:rPr>
              <w:t>12,500,019</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03"/>
        </w:trPr>
        <w:tc>
          <w:tcPr>
            <w:tcW w:w="442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Total stockholders’ equity</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1,161,957</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1,319,112</w:t>
            </w:r>
          </w:p>
        </w:tc>
        <w:tc>
          <w:tcPr>
            <w:tcW w:w="160" w:type="dxa"/>
            <w:vAlign w:val="bottom"/>
            <w:shd w:val="clear" w:color="auto" w:fill="CCEEFF"/>
          </w:tcPr>
          <w:p>
            <w:pPr>
              <w:spacing w:after="0"/>
              <w:rPr>
                <w:sz w:val="17"/>
                <w:szCs w:val="17"/>
                <w:color w:val="auto"/>
              </w:rPr>
            </w:pPr>
          </w:p>
        </w:tc>
      </w:tr>
      <w:tr>
        <w:trPr>
          <w:trHeight w:val="203"/>
        </w:trPr>
        <w:tc>
          <w:tcPr>
            <w:tcW w:w="442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3"/>
        </w:trPr>
        <w:tc>
          <w:tcPr>
            <w:tcW w:w="4420" w:type="dxa"/>
            <w:vAlign w:val="bottom"/>
            <w:gridSpan w:val="2"/>
            <w:shd w:val="clear" w:color="auto" w:fill="CCEEFF"/>
          </w:tcPr>
          <w:p>
            <w:pPr>
              <w:ind w:left="220"/>
              <w:spacing w:after="0" w:line="202" w:lineRule="exact"/>
              <w:rPr>
                <w:sz w:val="20"/>
                <w:szCs w:val="20"/>
                <w:color w:val="auto"/>
              </w:rPr>
            </w:pPr>
            <w:r>
              <w:rPr>
                <w:rFonts w:ascii="Arial" w:cs="Arial" w:eastAsia="Arial" w:hAnsi="Arial"/>
                <w:sz w:val="18"/>
                <w:szCs w:val="18"/>
                <w:color w:val="auto"/>
              </w:rPr>
              <w:t>Goodwill and other intangible assets, net</w:t>
            </w:r>
          </w:p>
        </w:tc>
        <w:tc>
          <w:tcPr>
            <w:tcW w:w="2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(369,962)</w:t>
            </w:r>
          </w:p>
        </w:tc>
        <w:tc>
          <w:tcPr>
            <w:tcW w:w="1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line="202" w:lineRule="exact"/>
              <w:rPr>
                <w:sz w:val="20"/>
                <w:szCs w:val="20"/>
                <w:color w:val="auto"/>
              </w:rPr>
            </w:pPr>
            <w:r>
              <w:rPr>
                <w:rFonts w:ascii="Arial" w:cs="Arial" w:eastAsia="Arial" w:hAnsi="Arial"/>
                <w:sz w:val="18"/>
                <w:szCs w:val="18"/>
                <w:color w:val="auto"/>
              </w:rPr>
              <w:t>(375,924)</w:t>
            </w:r>
          </w:p>
        </w:tc>
      </w:tr>
      <w:tr>
        <w:trPr>
          <w:trHeight w:val="216"/>
        </w:trPr>
        <w:tc>
          <w:tcPr>
            <w:tcW w:w="4420" w:type="dxa"/>
            <w:vAlign w:val="bottom"/>
            <w:tcBorders>
              <w:bottom w:val="single" w:sz="8" w:color="CCEEFF"/>
            </w:tcBorders>
            <w:gridSpan w:val="2"/>
          </w:tcPr>
          <w:p>
            <w:pPr>
              <w:ind w:left="220"/>
              <w:spacing w:after="0" w:line="216" w:lineRule="exact"/>
              <w:rPr>
                <w:sz w:val="20"/>
                <w:szCs w:val="20"/>
                <w:color w:val="auto"/>
              </w:rPr>
            </w:pPr>
            <w:r>
              <w:rPr>
                <w:rFonts w:ascii="Arial" w:cs="Arial" w:eastAsia="Arial" w:hAnsi="Arial"/>
                <w:sz w:val="17"/>
                <w:szCs w:val="17"/>
                <w:color w:val="auto"/>
              </w:rPr>
              <w:t xml:space="preserve">Tax effect of other intangible assets </w:t>
            </w:r>
            <w:r>
              <w:rPr>
                <w:rFonts w:ascii="Arial" w:cs="Arial" w:eastAsia="Arial" w:hAnsi="Arial"/>
                <w:sz w:val="25"/>
                <w:szCs w:val="25"/>
                <w:color w:val="auto"/>
                <w:vertAlign w:val="superscript"/>
              </w:rPr>
              <w:t>(1)</w:t>
            </w:r>
          </w:p>
        </w:tc>
        <w:tc>
          <w:tcPr>
            <w:tcW w:w="20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9,905</w:t>
            </w:r>
          </w:p>
        </w:tc>
        <w:tc>
          <w:tcPr>
            <w:tcW w:w="24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16,254</w:t>
            </w:r>
          </w:p>
        </w:tc>
        <w:tc>
          <w:tcPr>
            <w:tcW w:w="160" w:type="dxa"/>
            <w:vAlign w:val="bottom"/>
            <w:tcBorders>
              <w:bottom w:val="single" w:sz="8" w:color="CCEEFF"/>
            </w:tcBorders>
          </w:tcPr>
          <w:p>
            <w:pPr>
              <w:spacing w:after="0"/>
              <w:rPr>
                <w:sz w:val="18"/>
                <w:szCs w:val="18"/>
                <w:color w:val="auto"/>
              </w:rPr>
            </w:pPr>
          </w:p>
        </w:tc>
      </w:tr>
      <w:tr>
        <w:trPr>
          <w:trHeight w:val="196"/>
        </w:trPr>
        <w:tc>
          <w:tcPr>
            <w:tcW w:w="4420" w:type="dxa"/>
            <w:vAlign w:val="bottom"/>
            <w:tcBorders>
              <w:bottom w:val="single" w:sz="8" w:color="CCEEFF"/>
            </w:tcBorders>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Tangible common equity</w:t>
            </w:r>
          </w:p>
        </w:tc>
        <w:tc>
          <w:tcPr>
            <w:tcW w:w="2040" w:type="dxa"/>
            <w:vAlign w:val="bottom"/>
            <w:tcBorders>
              <w:bottom w:val="single" w:sz="8" w:color="CCEEFF"/>
            </w:tcBorders>
            <w:shd w:val="clear" w:color="auto" w:fill="CCEEFF"/>
          </w:tcPr>
          <w:p>
            <w:pPr>
              <w:ind w:left="1140"/>
              <w:spacing w:after="0" w:line="196" w:lineRule="exact"/>
              <w:rPr>
                <w:sz w:val="20"/>
                <w:szCs w:val="20"/>
                <w:color w:val="auto"/>
              </w:rPr>
            </w:pPr>
            <w:r>
              <w:rPr>
                <w:rFonts w:ascii="Arial" w:cs="Arial" w:eastAsia="Arial" w:hAnsi="Arial"/>
                <w:sz w:val="18"/>
                <w:szCs w:val="18"/>
                <w:color w:val="auto"/>
              </w:rPr>
              <w:t>[b]</w:t>
            </w:r>
          </w:p>
        </w:tc>
        <w:tc>
          <w:tcPr>
            <w:tcW w:w="1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801,900</w:t>
            </w:r>
          </w:p>
        </w:tc>
        <w:tc>
          <w:tcPr>
            <w:tcW w:w="2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959,442</w:t>
            </w:r>
          </w:p>
        </w:tc>
        <w:tc>
          <w:tcPr>
            <w:tcW w:w="160" w:type="dxa"/>
            <w:vAlign w:val="bottom"/>
            <w:tcBorders>
              <w:bottom w:val="single" w:sz="8" w:color="CCEEFF"/>
            </w:tcBorders>
            <w:shd w:val="clear" w:color="auto" w:fill="CCEEFF"/>
          </w:tcPr>
          <w:p>
            <w:pPr>
              <w:spacing w:after="0"/>
              <w:rPr>
                <w:sz w:val="17"/>
                <w:szCs w:val="17"/>
                <w:color w:val="auto"/>
              </w:rPr>
            </w:pPr>
          </w:p>
        </w:tc>
      </w:tr>
      <w:tr>
        <w:trPr>
          <w:trHeight w:val="20"/>
        </w:trPr>
        <w:tc>
          <w:tcPr>
            <w:tcW w:w="22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2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16"/>
        </w:trPr>
        <w:tc>
          <w:tcPr>
            <w:tcW w:w="442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7"/>
                <w:szCs w:val="17"/>
                <w:color w:val="auto"/>
              </w:rPr>
              <w:t xml:space="preserve">Tangible common equity to tangible assets </w:t>
            </w:r>
            <w:r>
              <w:rPr>
                <w:rFonts w:ascii="Arial" w:cs="Arial" w:eastAsia="Arial" w:hAnsi="Arial"/>
                <w:sz w:val="25"/>
                <w:szCs w:val="25"/>
                <w:color w:val="auto"/>
                <w:vertAlign w:val="superscript"/>
              </w:rPr>
              <w:t>(2)</w:t>
            </w:r>
          </w:p>
        </w:tc>
        <w:tc>
          <w:tcPr>
            <w:tcW w:w="2040" w:type="dxa"/>
            <w:vAlign w:val="bottom"/>
            <w:shd w:val="clear" w:color="auto" w:fill="CCEEFF"/>
          </w:tcPr>
          <w:p>
            <w:pPr>
              <w:ind w:left="1140"/>
              <w:spacing w:after="0"/>
              <w:rPr>
                <w:sz w:val="20"/>
                <w:szCs w:val="20"/>
                <w:color w:val="auto"/>
              </w:rPr>
            </w:pPr>
            <w:r>
              <w:rPr>
                <w:rFonts w:ascii="Arial" w:cs="Arial" w:eastAsia="Arial" w:hAnsi="Arial"/>
                <w:sz w:val="18"/>
                <w:szCs w:val="18"/>
                <w:color w:val="auto"/>
              </w:rPr>
              <w:t>[b÷a]</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6.68 %</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7.68 %</w:t>
            </w:r>
          </w:p>
        </w:tc>
      </w:tr>
      <w:tr>
        <w:trPr>
          <w:trHeight w:val="115"/>
        </w:trPr>
        <w:tc>
          <w:tcPr>
            <w:tcW w:w="2240" w:type="dxa"/>
            <w:vAlign w:val="bottom"/>
            <w:tcBorders>
              <w:bottom w:val="single" w:sz="8" w:color="auto"/>
            </w:tcBorders>
          </w:tcPr>
          <w:p>
            <w:pPr>
              <w:spacing w:after="0"/>
              <w:rPr>
                <w:sz w:val="10"/>
                <w:szCs w:val="10"/>
                <w:color w:val="auto"/>
              </w:rPr>
            </w:pPr>
          </w:p>
        </w:tc>
        <w:tc>
          <w:tcPr>
            <w:tcW w:w="2180" w:type="dxa"/>
            <w:vAlign w:val="bottom"/>
          </w:tcPr>
          <w:p>
            <w:pPr>
              <w:spacing w:after="0"/>
              <w:rPr>
                <w:sz w:val="10"/>
                <w:szCs w:val="10"/>
                <w:color w:val="auto"/>
              </w:rPr>
            </w:pPr>
          </w:p>
        </w:tc>
        <w:tc>
          <w:tcPr>
            <w:tcW w:w="2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r>
    </w:tbl>
    <w:p>
      <w:pPr>
        <w:spacing w:after="0" w:line="62" w:lineRule="exact"/>
        <w:rPr>
          <w:sz w:val="20"/>
          <w:szCs w:val="20"/>
          <w:color w:val="auto"/>
        </w:rPr>
      </w:pPr>
    </w:p>
    <w:p>
      <w:pPr>
        <w:ind w:left="480" w:hanging="322"/>
        <w:spacing w:after="0"/>
        <w:tabs>
          <w:tab w:leader="none" w:pos="480" w:val="left"/>
        </w:tabs>
        <w:numPr>
          <w:ilvl w:val="0"/>
          <w:numId w:val="25"/>
        </w:numPr>
        <w:rPr>
          <w:rFonts w:ascii="Arial" w:cs="Arial" w:eastAsia="Arial" w:hAnsi="Arial"/>
          <w:sz w:val="11"/>
          <w:szCs w:val="11"/>
          <w:color w:val="auto"/>
        </w:rPr>
      </w:pPr>
      <w:r>
        <w:rPr>
          <w:rFonts w:ascii="Arial" w:cs="Arial" w:eastAsia="Arial" w:hAnsi="Arial"/>
          <w:sz w:val="14"/>
          <w:szCs w:val="14"/>
          <w:color w:val="auto"/>
        </w:rPr>
        <w:t>Net of estimated deferred tax liability.</w:t>
      </w:r>
    </w:p>
    <w:p>
      <w:pPr>
        <w:spacing w:after="0" w:line="13" w:lineRule="exact"/>
        <w:rPr>
          <w:rFonts w:ascii="Arial" w:cs="Arial" w:eastAsia="Arial" w:hAnsi="Arial"/>
          <w:sz w:val="11"/>
          <w:szCs w:val="11"/>
          <w:color w:val="auto"/>
        </w:rPr>
      </w:pPr>
    </w:p>
    <w:p>
      <w:pPr>
        <w:ind w:left="480" w:hanging="322"/>
        <w:spacing w:after="0"/>
        <w:tabs>
          <w:tab w:leader="none" w:pos="480" w:val="left"/>
        </w:tabs>
        <w:numPr>
          <w:ilvl w:val="0"/>
          <w:numId w:val="25"/>
        </w:numPr>
        <w:rPr>
          <w:rFonts w:ascii="Arial" w:cs="Arial" w:eastAsia="Arial" w:hAnsi="Arial"/>
          <w:sz w:val="11"/>
          <w:szCs w:val="11"/>
          <w:color w:val="auto"/>
        </w:rPr>
      </w:pPr>
      <w:r>
        <w:rPr>
          <w:rFonts w:ascii="Arial" w:cs="Arial" w:eastAsia="Arial" w:hAnsi="Arial"/>
          <w:sz w:val="14"/>
          <w:szCs w:val="14"/>
          <w:color w:val="auto"/>
        </w:rPr>
        <w:t>Tax-effected measure.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194" w:lineRule="exact"/>
        <w:rPr>
          <w:sz w:val="20"/>
          <w:szCs w:val="20"/>
          <w:color w:val="auto"/>
        </w:rPr>
      </w:pPr>
    </w:p>
    <w:p>
      <w:pPr>
        <w:ind w:left="1520"/>
        <w:spacing w:after="0"/>
        <w:rPr>
          <w:sz w:val="20"/>
          <w:szCs w:val="20"/>
          <w:color w:val="auto"/>
        </w:rPr>
      </w:pPr>
      <w:r>
        <w:rPr>
          <w:rFonts w:ascii="Arial" w:cs="Arial" w:eastAsia="Arial" w:hAnsi="Arial"/>
          <w:sz w:val="18"/>
          <w:szCs w:val="18"/>
          <w:b w:val="1"/>
          <w:bCs w:val="1"/>
          <w:color w:val="auto"/>
        </w:rPr>
        <w:t xml:space="preserve">RECONCILIAITON OF NON-GAAP FINANCIAL MEASURES </w:t>
      </w:r>
      <w:r>
        <w:rPr>
          <w:rFonts w:ascii="Arial" w:cs="Arial" w:eastAsia="Arial" w:hAnsi="Arial"/>
          <w:sz w:val="18"/>
          <w:szCs w:val="18"/>
          <w:b w:val="1"/>
          <w:bCs w:val="1"/>
          <w:i w:val="1"/>
          <w:iCs w:val="1"/>
          <w:color w:val="auto"/>
        </w:rPr>
        <w:t>(unaudited)</w:t>
      </w:r>
    </w:p>
    <w:p>
      <w:pPr>
        <w:spacing w:after="0" w:line="131" w:lineRule="exact"/>
        <w:rPr>
          <w:sz w:val="20"/>
          <w:szCs w:val="20"/>
          <w:color w:val="auto"/>
        </w:rPr>
      </w:pPr>
    </w:p>
    <w:p>
      <w:pPr>
        <w:ind w:left="2820"/>
        <w:spacing w:after="0"/>
        <w:rPr>
          <w:sz w:val="20"/>
          <w:szCs w:val="20"/>
          <w:color w:val="auto"/>
        </w:rPr>
      </w:pPr>
      <w:r>
        <w:rPr>
          <w:rFonts w:ascii="Arial" w:cs="Arial" w:eastAsia="Arial" w:hAnsi="Arial"/>
          <w:sz w:val="18"/>
          <w:szCs w:val="18"/>
          <w:b w:val="1"/>
          <w:bCs w:val="1"/>
          <w:color w:val="auto"/>
        </w:rPr>
        <w:t>Core Loans, Core Loans to Portfolio Loans,</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Core Deposits, Core Deposits to Total Deposits, and Core Loans to Core Deposits</w:t>
      </w:r>
    </w:p>
    <w:p>
      <w:pPr>
        <w:jc w:val="center"/>
        <w:ind w:right="19"/>
        <w:spacing w:after="0"/>
        <w:rPr>
          <w:sz w:val="20"/>
          <w:szCs w:val="20"/>
          <w:color w:val="auto"/>
        </w:rPr>
      </w:pPr>
      <w:r>
        <w:rPr>
          <w:rFonts w:ascii="Arial" w:cs="Arial" w:eastAsia="Arial" w:hAnsi="Arial"/>
          <w:sz w:val="18"/>
          <w:szCs w:val="18"/>
          <w:i w:val="1"/>
          <w:iCs w:val="1"/>
          <w:color w:val="auto"/>
        </w:rPr>
        <w:t>(dollars in thousands)</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356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w:t>
            </w:r>
          </w:p>
        </w:tc>
        <w:tc>
          <w:tcPr>
            <w:tcW w:w="9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33"/>
        </w:trPr>
        <w:tc>
          <w:tcPr>
            <w:tcW w:w="356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gridSpan w:val="2"/>
          </w:tcPr>
          <w:p>
            <w:pPr>
              <w:jc w:val="right"/>
              <w:ind w:right="480"/>
              <w:spacing w:after="0" w:line="133" w:lineRule="exact"/>
              <w:rPr>
                <w:sz w:val="20"/>
                <w:szCs w:val="20"/>
                <w:color w:val="auto"/>
              </w:rPr>
            </w:pPr>
            <w:r>
              <w:rPr>
                <w:rFonts w:ascii="Arial" w:cs="Arial" w:eastAsia="Arial" w:hAnsi="Arial"/>
                <w:sz w:val="14"/>
                <w:szCs w:val="14"/>
                <w:b w:val="1"/>
                <w:bCs w:val="1"/>
                <w:color w:val="auto"/>
              </w:rPr>
              <w:t>June 30,</w:t>
            </w:r>
          </w:p>
        </w:tc>
        <w:tc>
          <w:tcPr>
            <w:tcW w:w="100" w:type="dxa"/>
            <w:vAlign w:val="bottom"/>
          </w:tcPr>
          <w:p>
            <w:pPr>
              <w:spacing w:after="0"/>
              <w:rPr>
                <w:sz w:val="11"/>
                <w:szCs w:val="11"/>
                <w:color w:val="auto"/>
              </w:rPr>
            </w:pPr>
          </w:p>
        </w:tc>
        <w:tc>
          <w:tcPr>
            <w:tcW w:w="920" w:type="dxa"/>
            <w:vAlign w:val="bottom"/>
          </w:tcPr>
          <w:p>
            <w:pPr>
              <w:jc w:val="right"/>
              <w:spacing w:after="0" w:line="133" w:lineRule="exact"/>
              <w:rPr>
                <w:sz w:val="20"/>
                <w:szCs w:val="20"/>
                <w:color w:val="auto"/>
              </w:rPr>
            </w:pPr>
            <w:r>
              <w:rPr>
                <w:rFonts w:ascii="Arial" w:cs="Arial" w:eastAsia="Arial" w:hAnsi="Arial"/>
                <w:sz w:val="14"/>
                <w:szCs w:val="14"/>
                <w:b w:val="1"/>
                <w:bCs w:val="1"/>
                <w:color w:val="auto"/>
                <w:w w:val="90"/>
              </w:rPr>
              <w:t>December 31,</w:t>
            </w:r>
          </w:p>
        </w:tc>
        <w:tc>
          <w:tcPr>
            <w:tcW w:w="260" w:type="dxa"/>
            <w:vAlign w:val="bottom"/>
            <w:gridSpan w:val="2"/>
          </w:tcPr>
          <w:p>
            <w:pPr>
              <w:spacing w:after="0"/>
              <w:rPr>
                <w:sz w:val="11"/>
                <w:szCs w:val="11"/>
                <w:color w:val="auto"/>
              </w:rPr>
            </w:pPr>
          </w:p>
        </w:tc>
      </w:tr>
      <w:tr>
        <w:trPr>
          <w:trHeight w:val="185"/>
        </w:trPr>
        <w:tc>
          <w:tcPr>
            <w:tcW w:w="3560" w:type="dxa"/>
            <w:vAlign w:val="bottom"/>
            <w:tcBorders>
              <w:bottom w:val="single" w:sz="8" w:color="CCEEFF"/>
            </w:tcBorders>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0" w:type="dxa"/>
            <w:vAlign w:val="bottom"/>
          </w:tcPr>
          <w:p>
            <w:pPr>
              <w:spacing w:after="0"/>
              <w:rPr>
                <w:sz w:val="16"/>
                <w:szCs w:val="16"/>
                <w:color w:val="auto"/>
              </w:rPr>
            </w:pPr>
          </w:p>
        </w:tc>
      </w:tr>
      <w:tr>
        <w:trPr>
          <w:trHeight w:val="196"/>
        </w:trPr>
        <w:tc>
          <w:tcPr>
            <w:tcW w:w="356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Portfolio loans</w:t>
            </w:r>
          </w:p>
        </w:tc>
        <w:tc>
          <w:tcPr>
            <w:tcW w:w="2840" w:type="dxa"/>
            <w:vAlign w:val="bottom"/>
            <w:shd w:val="clear" w:color="auto" w:fill="CCEEFF"/>
          </w:tcPr>
          <w:p>
            <w:pPr>
              <w:ind w:left="1940"/>
              <w:spacing w:after="0" w:line="196" w:lineRule="exact"/>
              <w:rPr>
                <w:sz w:val="20"/>
                <w:szCs w:val="20"/>
                <w:color w:val="auto"/>
              </w:rPr>
            </w:pPr>
            <w:r>
              <w:rPr>
                <w:rFonts w:ascii="Arial" w:cs="Arial" w:eastAsia="Arial" w:hAnsi="Arial"/>
                <w:sz w:val="18"/>
                <w:szCs w:val="18"/>
                <w:color w:val="auto"/>
              </w:rPr>
              <w:t>[a]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7,497,778</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7,188,998</w:t>
            </w: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Non-GAAP adjustments:</w:t>
            </w:r>
          </w:p>
        </w:tc>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3"/>
        </w:trPr>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PPP Loans amortized cost</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(7,616)</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(74,958)</w:t>
            </w:r>
          </w:p>
        </w:tc>
        <w:tc>
          <w:tcPr>
            <w:tcW w:w="20" w:type="dxa"/>
            <w:vAlign w:val="bottom"/>
          </w:tcPr>
          <w:p>
            <w:pPr>
              <w:spacing w:after="0"/>
              <w:rPr>
                <w:sz w:val="17"/>
                <w:szCs w:val="17"/>
                <w:color w:val="auto"/>
              </w:rPr>
            </w:pPr>
          </w:p>
        </w:tc>
      </w:tr>
      <w:tr>
        <w:trPr>
          <w:trHeight w:val="236"/>
        </w:trPr>
        <w:tc>
          <w:tcPr>
            <w:tcW w:w="35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Core loans</w:t>
            </w:r>
          </w:p>
        </w:tc>
        <w:tc>
          <w:tcPr>
            <w:tcW w:w="2840" w:type="dxa"/>
            <w:vAlign w:val="bottom"/>
            <w:tcBorders>
              <w:bottom w:val="single" w:sz="8" w:color="CCEEFF"/>
            </w:tcBorders>
          </w:tcPr>
          <w:p>
            <w:pPr>
              <w:ind w:left="1940"/>
              <w:spacing w:after="0" w:line="196" w:lineRule="exact"/>
              <w:rPr>
                <w:sz w:val="20"/>
                <w:szCs w:val="20"/>
                <w:color w:val="auto"/>
              </w:rPr>
            </w:pPr>
            <w:r>
              <w:rPr>
                <w:rFonts w:ascii="Arial" w:cs="Arial" w:eastAsia="Arial" w:hAnsi="Arial"/>
                <w:sz w:val="18"/>
                <w:szCs w:val="18"/>
                <w:color w:val="auto"/>
              </w:rPr>
              <w:t>[b]</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7,490,162</w:t>
            </w:r>
          </w:p>
        </w:tc>
        <w:tc>
          <w:tcPr>
            <w:tcW w:w="2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7,114,040</w:t>
            </w:r>
          </w:p>
        </w:tc>
        <w:tc>
          <w:tcPr>
            <w:tcW w:w="24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210"/>
        </w:trPr>
        <w:tc>
          <w:tcPr>
            <w:tcW w:w="3560" w:type="dxa"/>
            <w:vAlign w:val="bottom"/>
            <w:shd w:val="clear" w:color="auto" w:fill="CCEEFF"/>
          </w:tcPr>
          <w:p>
            <w:pPr>
              <w:spacing w:after="0"/>
              <w:rPr>
                <w:sz w:val="18"/>
                <w:szCs w:val="18"/>
                <w:color w:val="auto"/>
              </w:rPr>
            </w:pPr>
          </w:p>
        </w:tc>
        <w:tc>
          <w:tcPr>
            <w:tcW w:w="2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Total deposits</w:t>
            </w:r>
          </w:p>
        </w:tc>
        <w:tc>
          <w:tcPr>
            <w:tcW w:w="2840" w:type="dxa"/>
            <w:vAlign w:val="bottom"/>
          </w:tcPr>
          <w:p>
            <w:pPr>
              <w:ind w:left="1940"/>
              <w:spacing w:after="0" w:line="202" w:lineRule="exact"/>
              <w:rPr>
                <w:sz w:val="20"/>
                <w:szCs w:val="20"/>
                <w:color w:val="auto"/>
              </w:rPr>
            </w:pPr>
            <w:r>
              <w:rPr>
                <w:rFonts w:ascii="Arial" w:cs="Arial" w:eastAsia="Arial" w:hAnsi="Arial"/>
                <w:sz w:val="18"/>
                <w:szCs w:val="18"/>
                <w:color w:val="auto"/>
              </w:rPr>
              <w:t>[c]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line="202" w:lineRule="exact"/>
              <w:rPr>
                <w:sz w:val="20"/>
                <w:szCs w:val="20"/>
                <w:color w:val="auto"/>
              </w:rPr>
            </w:pPr>
            <w:r>
              <w:rPr>
                <w:rFonts w:ascii="Arial" w:cs="Arial" w:eastAsia="Arial" w:hAnsi="Arial"/>
                <w:sz w:val="18"/>
                <w:szCs w:val="18"/>
                <w:color w:val="auto"/>
                <w:w w:val="90"/>
              </w:rPr>
              <w:t>10,397,228</w:t>
            </w:r>
          </w:p>
        </w:tc>
        <w:tc>
          <w:tcPr>
            <w:tcW w:w="240" w:type="dxa"/>
            <w:vAlign w:val="bottom"/>
          </w:tcPr>
          <w:p>
            <w:pPr>
              <w:spacing w:after="0"/>
              <w:rPr>
                <w:sz w:val="17"/>
                <w:szCs w:val="17"/>
                <w:color w:val="auto"/>
              </w:rPr>
            </w:pPr>
          </w:p>
        </w:tc>
        <w:tc>
          <w:tcPr>
            <w:tcW w:w="10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line="202" w:lineRule="exact"/>
              <w:rPr>
                <w:sz w:val="20"/>
                <w:szCs w:val="20"/>
                <w:color w:val="auto"/>
              </w:rPr>
            </w:pPr>
            <w:r>
              <w:rPr>
                <w:rFonts w:ascii="Arial" w:cs="Arial" w:eastAsia="Arial" w:hAnsi="Arial"/>
                <w:sz w:val="18"/>
                <w:szCs w:val="18"/>
                <w:color w:val="auto"/>
                <w:w w:val="95"/>
              </w:rPr>
              <w:t>10,768,577</w:t>
            </w: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Non-GAAP adjustments:</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60" w:type="dxa"/>
            <w:vAlign w:val="bottom"/>
          </w:tcPr>
          <w:p>
            <w:pPr>
              <w:ind w:left="220"/>
              <w:spacing w:after="0" w:line="202" w:lineRule="exact"/>
              <w:rPr>
                <w:sz w:val="20"/>
                <w:szCs w:val="20"/>
                <w:color w:val="auto"/>
              </w:rPr>
            </w:pPr>
            <w:r>
              <w:rPr>
                <w:rFonts w:ascii="Arial" w:cs="Arial" w:eastAsia="Arial" w:hAnsi="Arial"/>
                <w:sz w:val="18"/>
                <w:szCs w:val="18"/>
                <w:color w:val="auto"/>
              </w:rPr>
              <w:t>Brokered transaction accounts</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(2,002)</w:t>
            </w:r>
          </w:p>
        </w:tc>
        <w:tc>
          <w:tcPr>
            <w:tcW w:w="100" w:type="dxa"/>
            <w:vAlign w:val="bottom"/>
          </w:tcPr>
          <w:p>
            <w:pPr>
              <w:spacing w:after="0"/>
              <w:rPr>
                <w:sz w:val="17"/>
                <w:szCs w:val="17"/>
                <w:color w:val="auto"/>
              </w:rPr>
            </w:pPr>
          </w:p>
        </w:tc>
        <w:tc>
          <w:tcPr>
            <w:tcW w:w="1160" w:type="dxa"/>
            <w:vAlign w:val="bottom"/>
            <w:gridSpan w:val="2"/>
          </w:tcPr>
          <w:p>
            <w:pPr>
              <w:jc w:val="right"/>
              <w:ind w:right="240"/>
              <w:spacing w:after="0" w:line="202" w:lineRule="exact"/>
              <w:rPr>
                <w:sz w:val="20"/>
                <w:szCs w:val="20"/>
                <w:color w:val="auto"/>
              </w:rPr>
            </w:pPr>
            <w:r>
              <w:rPr>
                <w:rFonts w:ascii="Arial" w:cs="Arial" w:eastAsia="Arial" w:hAnsi="Arial"/>
                <w:sz w:val="18"/>
                <w:szCs w:val="18"/>
                <w:color w:val="auto"/>
              </w:rPr>
              <w:t>(2,248)</w:t>
            </w:r>
          </w:p>
        </w:tc>
        <w:tc>
          <w:tcPr>
            <w:tcW w:w="20" w:type="dxa"/>
            <w:vAlign w:val="bottom"/>
          </w:tcPr>
          <w:p>
            <w:pPr>
              <w:spacing w:after="0"/>
              <w:rPr>
                <w:sz w:val="17"/>
                <w:szCs w:val="17"/>
                <w:color w:val="auto"/>
              </w:rPr>
            </w:pPr>
          </w:p>
        </w:tc>
      </w:tr>
      <w:tr>
        <w:trPr>
          <w:trHeight w:val="203"/>
        </w:trPr>
        <w:tc>
          <w:tcPr>
            <w:tcW w:w="356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Time deposits of $250,000 or more</w:t>
            </w:r>
          </w:p>
        </w:tc>
        <w:tc>
          <w:tcPr>
            <w:tcW w:w="28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(117,957)</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line="202" w:lineRule="exact"/>
              <w:rPr>
                <w:sz w:val="20"/>
                <w:szCs w:val="20"/>
                <w:color w:val="auto"/>
              </w:rPr>
            </w:pPr>
            <w:r>
              <w:rPr>
                <w:rFonts w:ascii="Arial" w:cs="Arial" w:eastAsia="Arial" w:hAnsi="Arial"/>
                <w:sz w:val="18"/>
                <w:szCs w:val="18"/>
                <w:color w:val="auto"/>
              </w:rPr>
              <w:t>(137,449)</w:t>
            </w:r>
          </w:p>
        </w:tc>
        <w:tc>
          <w:tcPr>
            <w:tcW w:w="20" w:type="dxa"/>
            <w:vAlign w:val="bottom"/>
          </w:tcPr>
          <w:p>
            <w:pPr>
              <w:spacing w:after="0"/>
              <w:rPr>
                <w:sz w:val="17"/>
                <w:szCs w:val="17"/>
                <w:color w:val="auto"/>
              </w:rPr>
            </w:pPr>
          </w:p>
        </w:tc>
      </w:tr>
      <w:tr>
        <w:trPr>
          <w:trHeight w:val="236"/>
        </w:trPr>
        <w:tc>
          <w:tcPr>
            <w:tcW w:w="356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Core deposits</w:t>
            </w:r>
          </w:p>
        </w:tc>
        <w:tc>
          <w:tcPr>
            <w:tcW w:w="2840" w:type="dxa"/>
            <w:vAlign w:val="bottom"/>
            <w:tcBorders>
              <w:bottom w:val="single" w:sz="8" w:color="CCEEFF"/>
            </w:tcBorders>
          </w:tcPr>
          <w:p>
            <w:pPr>
              <w:ind w:left="1940"/>
              <w:spacing w:after="0" w:line="196" w:lineRule="exact"/>
              <w:rPr>
                <w:sz w:val="20"/>
                <w:szCs w:val="20"/>
                <w:color w:val="auto"/>
              </w:rPr>
            </w:pPr>
            <w:r>
              <w:rPr>
                <w:rFonts w:ascii="Arial" w:cs="Arial" w:eastAsia="Arial" w:hAnsi="Arial"/>
                <w:sz w:val="18"/>
                <w:szCs w:val="18"/>
                <w:color w:val="auto"/>
              </w:rPr>
              <w:t>[d]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0"/>
              </w:rPr>
              <w:t>10,277,269</w:t>
            </w:r>
          </w:p>
        </w:tc>
        <w:tc>
          <w:tcPr>
            <w:tcW w:w="24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5"/>
              </w:rPr>
              <w:t>10,628,880</w:t>
            </w:r>
          </w:p>
        </w:tc>
        <w:tc>
          <w:tcPr>
            <w:tcW w:w="240" w:type="dxa"/>
            <w:vAlign w:val="bottom"/>
            <w:tcBorders>
              <w:bottom w:val="single" w:sz="8" w:color="CCEEFF"/>
            </w:tcBorders>
          </w:tcPr>
          <w:p>
            <w:pPr>
              <w:spacing w:after="0"/>
              <w:rPr>
                <w:sz w:val="20"/>
                <w:szCs w:val="20"/>
                <w:color w:val="auto"/>
              </w:rPr>
            </w:pPr>
          </w:p>
        </w:tc>
        <w:tc>
          <w:tcPr>
            <w:tcW w:w="20" w:type="dxa"/>
            <w:vAlign w:val="bottom"/>
          </w:tcPr>
          <w:p>
            <w:pPr>
              <w:spacing w:after="0"/>
              <w:rPr>
                <w:sz w:val="20"/>
                <w:szCs w:val="20"/>
                <w:color w:val="auto"/>
              </w:rPr>
            </w:pPr>
          </w:p>
        </w:tc>
      </w:tr>
      <w:tr>
        <w:trPr>
          <w:trHeight w:val="183"/>
        </w:trPr>
        <w:tc>
          <w:tcPr>
            <w:tcW w:w="3560" w:type="dxa"/>
            <w:vAlign w:val="bottom"/>
            <w:shd w:val="clear" w:color="auto" w:fill="CCEEFF"/>
          </w:tcPr>
          <w:p>
            <w:pPr>
              <w:spacing w:after="0"/>
              <w:rPr>
                <w:sz w:val="15"/>
                <w:szCs w:val="15"/>
                <w:color w:val="auto"/>
              </w:rPr>
            </w:pPr>
          </w:p>
        </w:tc>
        <w:tc>
          <w:tcPr>
            <w:tcW w:w="2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b w:val="1"/>
                <w:bCs w:val="1"/>
                <w:color w:val="auto"/>
              </w:rPr>
              <w:t>RATIOS</w:t>
            </w:r>
          </w:p>
        </w:tc>
        <w:tc>
          <w:tcPr>
            <w:tcW w:w="2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3"/>
        </w:trPr>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Core loans to portfolio loans</w:t>
            </w:r>
          </w:p>
        </w:tc>
        <w:tc>
          <w:tcPr>
            <w:tcW w:w="2840" w:type="dxa"/>
            <w:vAlign w:val="bottom"/>
            <w:shd w:val="clear" w:color="auto" w:fill="CCEEFF"/>
          </w:tcPr>
          <w:p>
            <w:pPr>
              <w:ind w:left="1940"/>
              <w:spacing w:after="0" w:line="202" w:lineRule="exact"/>
              <w:rPr>
                <w:sz w:val="20"/>
                <w:szCs w:val="20"/>
                <w:color w:val="auto"/>
              </w:rPr>
            </w:pPr>
            <w:r>
              <w:rPr>
                <w:rFonts w:ascii="Arial" w:cs="Arial" w:eastAsia="Arial" w:hAnsi="Arial"/>
                <w:sz w:val="18"/>
                <w:szCs w:val="18"/>
                <w:color w:val="auto"/>
              </w:rPr>
              <w:t>[b÷a]</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99.90 %</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98.96 %</w:t>
            </w:r>
          </w:p>
        </w:tc>
        <w:tc>
          <w:tcPr>
            <w:tcW w:w="20" w:type="dxa"/>
            <w:vAlign w:val="bottom"/>
          </w:tcPr>
          <w:p>
            <w:pPr>
              <w:spacing w:after="0"/>
              <w:rPr>
                <w:sz w:val="17"/>
                <w:szCs w:val="17"/>
                <w:color w:val="auto"/>
              </w:rPr>
            </w:pPr>
          </w:p>
        </w:tc>
      </w:tr>
      <w:tr>
        <w:trPr>
          <w:trHeight w:val="203"/>
        </w:trPr>
        <w:tc>
          <w:tcPr>
            <w:tcW w:w="3560" w:type="dxa"/>
            <w:vAlign w:val="bottom"/>
          </w:tcPr>
          <w:p>
            <w:pPr>
              <w:ind w:left="20"/>
              <w:spacing w:after="0" w:line="202" w:lineRule="exact"/>
              <w:rPr>
                <w:sz w:val="20"/>
                <w:szCs w:val="20"/>
                <w:color w:val="auto"/>
              </w:rPr>
            </w:pPr>
            <w:r>
              <w:rPr>
                <w:rFonts w:ascii="Arial" w:cs="Arial" w:eastAsia="Arial" w:hAnsi="Arial"/>
                <w:sz w:val="18"/>
                <w:szCs w:val="18"/>
                <w:color w:val="auto"/>
              </w:rPr>
              <w:t>Core deposits to total deposits</w:t>
            </w:r>
          </w:p>
        </w:tc>
        <w:tc>
          <w:tcPr>
            <w:tcW w:w="2840" w:type="dxa"/>
            <w:vAlign w:val="bottom"/>
          </w:tcPr>
          <w:p>
            <w:pPr>
              <w:ind w:left="1940"/>
              <w:spacing w:after="0" w:line="202" w:lineRule="exact"/>
              <w:rPr>
                <w:sz w:val="20"/>
                <w:szCs w:val="20"/>
                <w:color w:val="auto"/>
              </w:rPr>
            </w:pPr>
            <w:r>
              <w:rPr>
                <w:rFonts w:ascii="Arial" w:cs="Arial" w:eastAsia="Arial" w:hAnsi="Arial"/>
                <w:sz w:val="18"/>
                <w:szCs w:val="18"/>
                <w:color w:val="auto"/>
              </w:rPr>
              <w:t>[d÷c]</w:t>
            </w:r>
          </w:p>
        </w:tc>
        <w:tc>
          <w:tcPr>
            <w:tcW w:w="120" w:type="dxa"/>
            <w:vAlign w:val="bottom"/>
          </w:tcPr>
          <w:p>
            <w:pPr>
              <w:spacing w:after="0"/>
              <w:rPr>
                <w:sz w:val="17"/>
                <w:szCs w:val="17"/>
                <w:color w:val="auto"/>
              </w:rPr>
            </w:pPr>
          </w:p>
        </w:tc>
        <w:tc>
          <w:tcPr>
            <w:tcW w:w="11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98.85 %</w:t>
            </w:r>
          </w:p>
        </w:tc>
        <w:tc>
          <w:tcPr>
            <w:tcW w:w="100" w:type="dxa"/>
            <w:vAlign w:val="bottom"/>
          </w:tcPr>
          <w:p>
            <w:pPr>
              <w:spacing w:after="0"/>
              <w:rPr>
                <w:sz w:val="17"/>
                <w:szCs w:val="17"/>
                <w:color w:val="auto"/>
              </w:rPr>
            </w:pPr>
          </w:p>
        </w:tc>
        <w:tc>
          <w:tcPr>
            <w:tcW w:w="116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98.70 %</w:t>
            </w:r>
          </w:p>
        </w:tc>
        <w:tc>
          <w:tcPr>
            <w:tcW w:w="20" w:type="dxa"/>
            <w:vAlign w:val="bottom"/>
          </w:tcPr>
          <w:p>
            <w:pPr>
              <w:spacing w:after="0"/>
              <w:rPr>
                <w:sz w:val="17"/>
                <w:szCs w:val="17"/>
                <w:color w:val="auto"/>
              </w:rPr>
            </w:pPr>
          </w:p>
        </w:tc>
      </w:tr>
      <w:tr>
        <w:trPr>
          <w:trHeight w:val="203"/>
        </w:trPr>
        <w:tc>
          <w:tcPr>
            <w:tcW w:w="356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Core loans to core deposits</w:t>
            </w:r>
          </w:p>
        </w:tc>
        <w:tc>
          <w:tcPr>
            <w:tcW w:w="2840" w:type="dxa"/>
            <w:vAlign w:val="bottom"/>
            <w:shd w:val="clear" w:color="auto" w:fill="CCEEFF"/>
          </w:tcPr>
          <w:p>
            <w:pPr>
              <w:ind w:left="1940"/>
              <w:spacing w:after="0" w:line="202" w:lineRule="exact"/>
              <w:rPr>
                <w:sz w:val="20"/>
                <w:szCs w:val="20"/>
                <w:color w:val="auto"/>
              </w:rPr>
            </w:pPr>
            <w:r>
              <w:rPr>
                <w:rFonts w:ascii="Arial" w:cs="Arial" w:eastAsia="Arial" w:hAnsi="Arial"/>
                <w:sz w:val="18"/>
                <w:szCs w:val="18"/>
                <w:color w:val="auto"/>
              </w:rPr>
              <w:t>[b÷d]</w:t>
            </w:r>
          </w:p>
        </w:tc>
        <w:tc>
          <w:tcPr>
            <w:tcW w:w="12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72.88 %</w:t>
            </w:r>
          </w:p>
        </w:tc>
        <w:tc>
          <w:tcPr>
            <w:tcW w:w="10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66.93 %</w:t>
            </w:r>
          </w:p>
        </w:tc>
        <w:tc>
          <w:tcPr>
            <w:tcW w:w="20" w:type="dxa"/>
            <w:vAlign w:val="bottom"/>
          </w:tcPr>
          <w:p>
            <w:pPr>
              <w:spacing w:after="0"/>
              <w:rPr>
                <w:sz w:val="17"/>
                <w:szCs w:val="17"/>
                <w:color w:val="auto"/>
              </w:rPr>
            </w:pPr>
          </w:p>
        </w:tc>
      </w:tr>
      <w:tr>
        <w:trPr>
          <w:trHeight w:val="864"/>
        </w:trPr>
        <w:tc>
          <w:tcPr>
            <w:tcW w:w="3560" w:type="dxa"/>
            <w:vAlign w:val="bottom"/>
          </w:tcPr>
          <w:p>
            <w:pPr>
              <w:spacing w:after="0"/>
              <w:rPr>
                <w:sz w:val="24"/>
                <w:szCs w:val="24"/>
                <w:color w:val="auto"/>
              </w:rPr>
            </w:pPr>
          </w:p>
        </w:tc>
        <w:tc>
          <w:tcPr>
            <w:tcW w:w="2840" w:type="dxa"/>
            <w:vAlign w:val="bottom"/>
          </w:tcPr>
          <w:p>
            <w:pPr>
              <w:ind w:left="82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47"/>
        </w:trPr>
        <w:tc>
          <w:tcPr>
            <w:tcW w:w="356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02" w:lineRule="exact"/>
        <w:rPr>
          <w:sz w:val="20"/>
          <w:szCs w:val="20"/>
          <w:color w:val="auto"/>
        </w:rPr>
      </w:pPr>
    </w:p>
    <w:p>
      <w:pPr>
        <w:jc w:val="both"/>
        <w:ind w:left="60" w:right="59"/>
        <w:spacing w:after="0" w:line="266" w:lineRule="auto"/>
        <w:rPr>
          <w:sz w:val="20"/>
          <w:szCs w:val="20"/>
          <w:color w:val="auto"/>
        </w:rPr>
      </w:pPr>
      <w:r>
        <w:rPr>
          <w:rFonts w:ascii="Arial" w:cs="Arial" w:eastAsia="Arial" w:hAnsi="Arial"/>
          <w:sz w:val="16"/>
          <w:szCs w:val="16"/>
          <w:color w:val="auto"/>
        </w:rPr>
        <w:t>Statements made in this document, other than those concerning historical financial information, may be considered forward-looking statements within the meaning of the Private Securities Litigation Reform Act of 1995 with respect to First Busey’s financial condition, results of operations, plans, objectives, future performance, and business. Forward-looking statements, which may be based upon beliefs, expectations, and assumptions of the Company’s management, and on information currently available to management, are generally identifiable by the use of words such as “believe,” “expect,” “anticipate,” “plan,” “intend,” “estimate,” “may,” “will,” “would,” “could,” “should,” or other similar expressions. Additionally, all statements in this document, including forward-looking statements, speak only as of the date they are made, and we undertake no obligation to update any statement in light of new information or future events. A number of factors, many of which are beyond our ability to control or predict, could cause actual results to differ materially from those in our forward-looking statements. These factors include, among others, the following: (i) the strength of the local, state, national, and international economy (including effects of inflationary pressures and supply chain constraints);</w:t>
      </w:r>
    </w:p>
    <w:p>
      <w:pPr>
        <w:ind w:left="320" w:hanging="270"/>
        <w:spacing w:after="0"/>
        <w:tabs>
          <w:tab w:leader="none" w:pos="3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economic impact of any future terrorist threats or attacks, widespread disease or pandemics (including the COVID-</w:t>
      </w:r>
    </w:p>
    <w:p>
      <w:pPr>
        <w:spacing w:after="0" w:line="18" w:lineRule="exact"/>
        <w:rPr>
          <w:rFonts w:ascii="Arial" w:cs="Arial" w:eastAsia="Arial" w:hAnsi="Arial"/>
          <w:sz w:val="16"/>
          <w:szCs w:val="16"/>
          <w:color w:val="auto"/>
        </w:rPr>
      </w:pPr>
    </w:p>
    <w:p>
      <w:pPr>
        <w:jc w:val="both"/>
        <w:ind w:left="60" w:right="59"/>
        <w:spacing w:after="0" w:line="250" w:lineRule="auto"/>
        <w:rPr>
          <w:rFonts w:ascii="Arial" w:cs="Arial" w:eastAsia="Arial" w:hAnsi="Arial"/>
          <w:sz w:val="16"/>
          <w:szCs w:val="16"/>
          <w:color w:val="auto"/>
        </w:rPr>
      </w:pPr>
      <w:r>
        <w:rPr>
          <w:rFonts w:ascii="Arial" w:cs="Arial" w:eastAsia="Arial" w:hAnsi="Arial"/>
          <w:sz w:val="17"/>
          <w:szCs w:val="17"/>
          <w:color w:val="auto"/>
        </w:rPr>
        <w:t>19 pandemic), or other adverse external events that could cause economic deterioration or instability in credit markets (including Russia’s invasion of Ukraine); (iii) changes in state and federal laws, regulations, and governmental policies concerning First Busey’s general business; (iv) changes in interest rates and prepayment rates of First Busey’s assets (including the impact of the LIBOR phase-out) (v) increased competition in the financial services sector and the inability to attract new customers; (vi) changes in technology and the ability to develop and maintain secure and reliable electronic systems; (vii) the loss of key executives or associates; (viii) changes in consumer spending; (ix) unexpected results of current and/or future acquisitions, which may include failure to realize the anticipated benefits of any acquisition and the possibility that transaction costs may be greater than anticipated; (x) unexpected outcomes of existing or new litigation involving First Busey; (xi) the economic impact of exceptional weather occurrences such as tornadoes, hurricanes, floods, and blizzards; and (xii) changes in accounting policies and practices. These risks and uncertainties should be considered in evaluating forward-looking statements and undue reliance should not be placed on such statements. Additional information concerning First Busey and our business, including additional factors that could materially affect our financial results, is included in our filings with the SEC.</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0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 xml:space="preserve">First Busey has established various accounting policies that govern the application of GAAP in the preparation of its unaudited consolidated financial statements. Significant accounting policies are described in </w:t>
      </w:r>
      <w:r>
        <w:rPr>
          <w:rFonts w:ascii="Arial" w:cs="Arial" w:eastAsia="Arial" w:hAnsi="Arial"/>
          <w:sz w:val="18"/>
          <w:szCs w:val="18"/>
          <w:i w:val="1"/>
          <w:iCs w:val="1"/>
          <w:color w:val="auto"/>
        </w:rPr>
        <w:t>“Note 1. Significant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Policies” </w:t>
      </w:r>
      <w:r>
        <w:rPr>
          <w:rFonts w:ascii="Arial" w:cs="Arial" w:eastAsia="Arial" w:hAnsi="Arial"/>
          <w:sz w:val="18"/>
          <w:szCs w:val="18"/>
          <w:color w:val="auto"/>
        </w:rPr>
        <w:t>of the Company’s 2021 Annual Report.</w:t>
      </w:r>
    </w:p>
    <w:p>
      <w:pPr>
        <w:spacing w:after="0" w:line="16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Critical accounting estimates are those that are critical to the portrayal and understanding of First Busey’s financial condition and results of operations and require management to make assumptions that are difficult, subjective, or complex. These estimates involve judgments, assumptions, and uncertainties that are susceptible to change. In the event that different assumptions or conditions were to prevail, and depending on the severity of such changes, the possibility of a materially different financial condition or materially different results of operations is a reasonable likelihood. Further, changes in accounting standards could impact our critical accounting estimates. Management has reviewed these critical accounting estimates and related disclosures with our Audit Committee. The following accounting policies could be deemed critical:</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Debt Securities Available for Sale</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The fair values of debt securities available for sale are measurements from an independent pricing service and are based on observable data that may include dealer quotes, market spreads, cash flows, the U.S. Treasury yield curve, live trading levels, trade execution data, market consensus prepayment speeds, credit information, and the security’s terms and conditions, among other things. The use of different judgments and estimates to determine the fair value of securities could result in a different fair value estimate.</w:t>
      </w:r>
    </w:p>
    <w:p>
      <w:pPr>
        <w:spacing w:after="0" w:line="176"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Realized securities gains or losses are reported in the Consolidated Statements of Income. The cost of securities sold is based on the specific identification method.</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6"/>
          <w:szCs w:val="16"/>
          <w:color w:val="auto"/>
        </w:rPr>
        <w:t>A debt security available for sale is impaired if the fair value of the security declines below its amortized cost basis. To determine the appropriate accounting, we must first determine if we intend to sell the security or if it is more likely than not that we will be required to sell the security before the fair value increases to at least the amortized cost basis. If either of those selling events is expected, we will write down the amortized cost basis of the security to its fair value. This is achieved by writing off any previously recorded ACL balance related to the debt security, if applicable, and recognizing any incremental impairment through earnings. If we do not intend to sell the security, nor believe it more likely than not that we will be required to sell the security before the fair value recovers to the amortized cost basis, we must determine whether any of the decline in fair value has resulted from a credit loss, or if it is entirely the result of noncredit factors.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consider the following factors in assessing whether the decline is due to a credit loss:</w:t>
      </w:r>
    </w:p>
    <w:p>
      <w:pPr>
        <w:spacing w:after="0" w:line="198" w:lineRule="exact"/>
        <w:rPr>
          <w:sz w:val="20"/>
          <w:szCs w:val="20"/>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Extent to which the fair value is less than the amortized cost basis;</w:t>
      </w:r>
    </w:p>
    <w:p>
      <w:pPr>
        <w:spacing w:after="0" w:line="11" w:lineRule="exact"/>
        <w:rPr>
          <w:rFonts w:ascii="Arial" w:cs="Arial" w:eastAsia="Arial" w:hAnsi="Arial"/>
          <w:sz w:val="18"/>
          <w:szCs w:val="18"/>
          <w:color w:val="auto"/>
        </w:rPr>
      </w:pPr>
    </w:p>
    <w:p>
      <w:pPr>
        <w:jc w:val="both"/>
        <w:ind w:left="720" w:right="79" w:hanging="319"/>
        <w:spacing w:after="0" w:line="23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conditions specifically related to the security, an industry, or a geographic area (for example, changes in the financial condition of the issuer of the security, or in the case of an asset-backed debt security, in the financial condition of the underlying loan obligors);</w:t>
      </w:r>
    </w:p>
    <w:p>
      <w:pPr>
        <w:spacing w:after="0" w:line="2" w:lineRule="exact"/>
        <w:rPr>
          <w:rFonts w:ascii="Arial" w:cs="Arial" w:eastAsia="Arial" w:hAnsi="Arial"/>
          <w:sz w:val="18"/>
          <w:szCs w:val="18"/>
          <w:color w:val="auto"/>
        </w:rPr>
      </w:pPr>
    </w:p>
    <w:p>
      <w:pPr>
        <w:ind w:left="720" w:right="79" w:hanging="319"/>
        <w:spacing w:after="0" w:line="23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Payment structure of the debt security and the likelihood of the issuer being able to make payments that increase in the future;</w:t>
      </w:r>
    </w:p>
    <w:p>
      <w:pPr>
        <w:spacing w:after="0" w:line="1" w:lineRule="exact"/>
        <w:rPr>
          <w:rFonts w:ascii="Arial" w:cs="Arial" w:eastAsia="Arial" w:hAnsi="Arial"/>
          <w:sz w:val="18"/>
          <w:szCs w:val="18"/>
          <w:color w:val="auto"/>
        </w:rPr>
      </w:pPr>
    </w:p>
    <w:p>
      <w:pPr>
        <w:ind w:left="720" w:hanging="319"/>
        <w:spacing w:after="0" w:line="234"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of the issuer of the security to make scheduled interest or principal payments; and</w:t>
      </w: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changes to the rating of the security by a rating agency.</w:t>
      </w:r>
    </w:p>
    <w:p>
      <w:pPr>
        <w:spacing w:after="0" w:line="182"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Impairment related to a credit loss must be measured using the discounted cash flow method. Credit loss recognition is limited to the fair value of the security. The impairment is recognized by establishing an ACL balance for the debt security through the provision for credit losses. Impairment related to noncredit factors is recognized in AOCI, net of applicable taxes.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Assets Acquired and Liabilities Assumed in Business Combinations</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 xml:space="preserve">Business combinations are accounted for using the acquisition method of accounting. Under the acquisition method of accounting, assets acquired and liabilities assumed are recorded at their estimated fair value on the date of acquisition. Fair values are determined based on the definition of “fair value” defined in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 “the price that would be received to sell an asset or paid to transfer a liability in an orderly transaction between market participants at the measurement date.”</w:t>
      </w:r>
    </w:p>
    <w:p>
      <w:pPr>
        <w:spacing w:after="0" w:line="176"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The fair value of a loan portfolio acquired in a business combination generally requires greater levels of management estimates and judgment than other assets acquired or liabilities assumed. Acquired loans are in the scope of ASC Topic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xml:space="preserve"> However, the offset to record the ACL on acquired loans at the date of acquisition depends on whether or not the loan is classified as PCD. The ACL for PCD loans is recorded through a gross-up effect, while the ACL for acquired non-PCD loans is recorded through provision expense, consistent with originated loans. Thus, the determination of which loans are PCD and non-PCD can have a significant effect on the accounting for these loans.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Goodwill</w:t>
      </w:r>
    </w:p>
    <w:p>
      <w:pPr>
        <w:spacing w:after="0" w:line="198"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Goodwill represents the excess of purchase price over the fair value of net assets acquired using the acquisition method of accounting. Determining the fair value often involves estimates based on third-party valuations, such as appraisals, or internal valuations based on discounted cash flow analyses or other valuation techniques. Goodwill is not amortized. Instead, we assess the potential for impairment on an annual basis or more frequently if events and circumstances indicate that goodwill might be impaired.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Income Taxes</w:t>
      </w:r>
    </w:p>
    <w:p>
      <w:pPr>
        <w:spacing w:after="0" w:line="198" w:lineRule="exact"/>
        <w:rPr>
          <w:sz w:val="20"/>
          <w:szCs w:val="20"/>
          <w:color w:val="auto"/>
        </w:rPr>
      </w:pPr>
    </w:p>
    <w:p>
      <w:pPr>
        <w:jc w:val="both"/>
        <w:ind w:left="60" w:right="59"/>
        <w:spacing w:after="0" w:line="238" w:lineRule="auto"/>
        <w:rPr>
          <w:sz w:val="20"/>
          <w:szCs w:val="20"/>
          <w:color w:val="auto"/>
        </w:rPr>
      </w:pPr>
      <w:r>
        <w:rPr>
          <w:rFonts w:ascii="Arial" w:cs="Arial" w:eastAsia="Arial" w:hAnsi="Arial"/>
          <w:sz w:val="18"/>
          <w:szCs w:val="18"/>
          <w:color w:val="auto"/>
        </w:rPr>
        <w:t>First Busey estimates income tax expense based on amounts expected to be owed to federal and state tax jurisdictions. Estimated income tax expense is reported in the unaudited Consolidated Statements of Income. Accrued and deferred taxes, as reported in other assets or other liabilities in the unaudited Consolidated Balance Sheets, represent the net estimated amount due to or to be received from taxing jurisdictions either currently or in the future. Management judgment is involved in estimating accrued and deferred taxes, as it may be necessary to evaluate the risks and merits of the tax treatment of transactions, filing positions, and taxable income calculations after considering tax-related statutes, regulations, and other relevant factors. Because of the complexity of tax laws and interpretations, interpretation is subject to judgment.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198" w:lineRule="exact"/>
        <w:rPr>
          <w:sz w:val="20"/>
          <w:szCs w:val="20"/>
          <w:color w:val="auto"/>
        </w:rPr>
      </w:pPr>
    </w:p>
    <w:p>
      <w:pPr>
        <w:jc w:val="both"/>
        <w:ind w:left="60" w:right="59"/>
        <w:spacing w:after="0"/>
        <w:rPr>
          <w:sz w:val="20"/>
          <w:szCs w:val="20"/>
          <w:color w:val="auto"/>
        </w:rPr>
      </w:pPr>
      <w:r>
        <w:rPr>
          <w:rFonts w:ascii="Arial" w:cs="Arial" w:eastAsia="Arial" w:hAnsi="Arial"/>
          <w:sz w:val="18"/>
          <w:szCs w:val="18"/>
          <w:color w:val="auto"/>
        </w:rPr>
        <w:t>First Busey calculates the ACL at each reporting date. We recognize an allowance for the lifetime expected credit losses for the amount the Company does not expect to collect. Measurement of expected credit losses is based on relevant information about past events, including historical experience, current conditions, and reasonable and supportable forecasts that affect the collectability of the reported book value. The calculation also contemplates that First Busey may not be able to make or obtain such forecasts for the entire life of the financial assets and requires a reversion to historical credit loss information.</w:t>
      </w:r>
    </w:p>
    <w:p>
      <w:pPr>
        <w:spacing w:after="0" w:line="176"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In determining the ACL, management relies predominantly on a disciplined credit review and approval process that extends to the full range of First Busey’s credit exposure. The ACL must be determined on a collective (pool) basis when similar risk characteristics exist. On a case-by-case basis, we may conclude a loan should be evaluated on an individual basis based on disparate risk characteristics.</w:t>
      </w:r>
    </w:p>
    <w:p>
      <w:pPr>
        <w:spacing w:after="0" w:line="174"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Loans deemed uncollectible are charged against and reduce the ACL. A provision for credit losses is charged to current expense and acts to replenish the ACL in order to maintain the ACL at a level that management deems adequate. Determining the ACL involves significant judgments and assumptions by management. Because of the nature of the judgments and assumptions made by management, actual results may differ from these judgments and assumptions.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2"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Market risk is the risk of changes in asset values due to movements in underlying market rates and prices. Interest rate risk is a type of market risk to earnings and capital arising from movements in interest rates. Interest rate risk is the most significant market risk affecting First Busey as other types of market risk, such as foreign currency exchange rate risk and commodity price risk, have minimal impact or do not arise in the normal course of First Busey’s business activities.</w:t>
      </w:r>
    </w:p>
    <w:p>
      <w:pPr>
        <w:spacing w:after="0" w:line="142" w:lineRule="exact"/>
        <w:rPr>
          <w:sz w:val="20"/>
          <w:szCs w:val="20"/>
          <w:color w:val="auto"/>
        </w:rPr>
      </w:pPr>
    </w:p>
    <w:p>
      <w:pPr>
        <w:jc w:val="both"/>
        <w:ind w:left="60" w:right="59"/>
        <w:spacing w:after="0" w:line="248" w:lineRule="auto"/>
        <w:rPr>
          <w:sz w:val="20"/>
          <w:szCs w:val="20"/>
          <w:color w:val="auto"/>
        </w:rPr>
      </w:pPr>
      <w:r>
        <w:rPr>
          <w:rFonts w:ascii="Arial" w:cs="Arial" w:eastAsia="Arial" w:hAnsi="Arial"/>
          <w:sz w:val="18"/>
          <w:szCs w:val="18"/>
          <w:color w:val="auto"/>
        </w:rPr>
        <w:t>First Busey has an asset-liability committee, whose policy is to meet at least quarterly, to review current market conditions and to structure the Consolidated Balance Sheets to optimize stability in net interest income in consideration of projected future changes in interest rates.</w:t>
      </w:r>
    </w:p>
    <w:p>
      <w:pPr>
        <w:spacing w:after="0" w:line="16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6"/>
          <w:szCs w:val="16"/>
          <w:color w:val="auto"/>
        </w:rPr>
        <w:t>As interest rate changes do not impact all categories of assets and liabilities equally or simultaneously, the asset-liability committee primarily relies on balance sheet and income simulation analysis to determine the potential impact of changes in market interest rates on net interest income. In these standard simulation models, the balance sheet is projected over a one-year and a two-year time horizon and net interest income is calculated under current market rates and assuming permanent instantaneous shifts of +/-100, +200 and +300 basis points. Due to the low interest rate environment, a downward adjustment in federal fund rates was not meaningful as of December 31, 2021. The model assumes immediate and sustained shifts in the federal funds rate and other market rate indices and corresponding shifts in other non-market rate indices based on their historical changes relative to changes in the federal funds rate and other market indices. Assets and liabilities are assumed to remain constant as of the measurement date; variable-rate assets and liabilities are repriced based on repricing frequency; and prepayment speeds on loans are projected for both declining and rising rate environments.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6" w:lineRule="exact"/>
        <w:rPr>
          <w:sz w:val="20"/>
          <w:szCs w:val="20"/>
          <w:color w:val="auto"/>
        </w:rPr>
      </w:pPr>
    </w:p>
    <w:p>
      <w:pPr>
        <w:jc w:val="both"/>
        <w:ind w:left="60" w:right="79"/>
        <w:spacing w:after="0" w:line="324" w:lineRule="auto"/>
        <w:rPr>
          <w:sz w:val="20"/>
          <w:szCs w:val="20"/>
          <w:color w:val="auto"/>
        </w:rPr>
      </w:pPr>
      <w:r>
        <w:rPr>
          <w:rFonts w:ascii="Arial" w:cs="Arial" w:eastAsia="Arial" w:hAnsi="Arial"/>
          <w:sz w:val="16"/>
          <w:szCs w:val="16"/>
          <w:color w:val="auto"/>
        </w:rPr>
        <w:t>The interest rate risk of First Busey as a result of immediate and sustained changes in interest rates, expressed as a change in net interest income as a percentage of the net interest income calculated in the constant base model, was as follows:</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85"/>
        </w:trPr>
        <w:tc>
          <w:tcPr>
            <w:tcW w:w="5100" w:type="dxa"/>
            <w:vAlign w:val="bottom"/>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Year-One: Basis Point Changes</w:t>
            </w:r>
          </w:p>
        </w:tc>
        <w:tc>
          <w:tcPr>
            <w:tcW w:w="74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55"/>
        </w:trPr>
        <w:tc>
          <w:tcPr>
            <w:tcW w:w="5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- 100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+200</w:t>
            </w: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+300</w:t>
            </w:r>
          </w:p>
        </w:tc>
        <w:tc>
          <w:tcPr>
            <w:tcW w:w="240" w:type="dxa"/>
            <w:vAlign w:val="bottom"/>
            <w:tcBorders>
              <w:bottom w:val="single" w:sz="8" w:color="CCEEFF"/>
            </w:tcBorders>
          </w:tcPr>
          <w:p>
            <w:pPr>
              <w:spacing w:after="0"/>
              <w:rPr>
                <w:sz w:val="13"/>
                <w:szCs w:val="13"/>
                <w:color w:val="auto"/>
              </w:rPr>
            </w:pP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June 30, 2022</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(7.15)%</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4.33</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8.57</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12.79</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8.77 %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17.19 %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25.64 %</w:t>
            </w:r>
          </w:p>
        </w:tc>
      </w:tr>
      <w:tr>
        <w:trPr>
          <w:trHeight w:val="337"/>
        </w:trPr>
        <w:tc>
          <w:tcPr>
            <w:tcW w:w="5100" w:type="dxa"/>
            <w:vAlign w:val="bottom"/>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0"/>
              </w:rPr>
              <w:t>Year-Two: Basis Point Changes</w:t>
            </w: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r>
      <w:tr>
        <w:trPr>
          <w:trHeight w:val="155"/>
        </w:trPr>
        <w:tc>
          <w:tcPr>
            <w:tcW w:w="5100" w:type="dxa"/>
            <w:vAlign w:val="bottom"/>
            <w:tcBorders>
              <w:bottom w:val="single" w:sz="8" w:color="CCEEFF"/>
            </w:tcBorders>
          </w:tcPr>
          <w:p>
            <w:pPr>
              <w:spacing w:after="0"/>
              <w:rPr>
                <w:sz w:val="13"/>
                <w:szCs w:val="13"/>
                <w:color w:val="auto"/>
              </w:rPr>
            </w:pPr>
          </w:p>
        </w:tc>
        <w:tc>
          <w:tcPr>
            <w:tcW w:w="660" w:type="dxa"/>
            <w:vAlign w:val="bottom"/>
            <w:tcBorders>
              <w:bottom w:val="single" w:sz="8" w:color="auto"/>
            </w:tcBorders>
          </w:tcPr>
          <w:p>
            <w:pPr>
              <w:jc w:val="right"/>
              <w:ind w:right="96"/>
              <w:spacing w:after="0" w:line="155" w:lineRule="exact"/>
              <w:rPr>
                <w:sz w:val="20"/>
                <w:szCs w:val="20"/>
                <w:color w:val="auto"/>
              </w:rPr>
            </w:pPr>
            <w:r>
              <w:rPr>
                <w:rFonts w:ascii="Arial" w:cs="Arial" w:eastAsia="Arial" w:hAnsi="Arial"/>
                <w:sz w:val="14"/>
                <w:szCs w:val="14"/>
                <w:b w:val="1"/>
                <w:bCs w:val="1"/>
                <w:color w:val="auto"/>
              </w:rPr>
              <w:t>- 100</w:t>
            </w:r>
          </w:p>
        </w:tc>
        <w:tc>
          <w:tcPr>
            <w:tcW w:w="16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19"/>
              <w:spacing w:after="0" w:line="155" w:lineRule="exact"/>
              <w:rPr>
                <w:sz w:val="20"/>
                <w:szCs w:val="20"/>
                <w:color w:val="auto"/>
              </w:rPr>
            </w:pPr>
            <w:r>
              <w:rPr>
                <w:rFonts w:ascii="Arial" w:cs="Arial" w:eastAsia="Arial" w:hAnsi="Arial"/>
                <w:sz w:val="14"/>
                <w:szCs w:val="14"/>
                <w:b w:val="1"/>
                <w:bCs w:val="1"/>
                <w:color w:val="auto"/>
              </w:rPr>
              <w:t>+100</w:t>
            </w:r>
          </w:p>
        </w:tc>
        <w:tc>
          <w:tcPr>
            <w:tcW w:w="240" w:type="dxa"/>
            <w:vAlign w:val="bottom"/>
            <w:tcBorders>
              <w:bottom w:val="single" w:sz="8" w:color="CCEEFF"/>
            </w:tcBorders>
          </w:tcPr>
          <w:p>
            <w:pPr>
              <w:spacing w:after="0"/>
              <w:rPr>
                <w:sz w:val="13"/>
                <w:szCs w:val="13"/>
                <w:color w:val="auto"/>
              </w:rPr>
            </w:pPr>
          </w:p>
        </w:tc>
        <w:tc>
          <w:tcPr>
            <w:tcW w:w="72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+200</w:t>
            </w:r>
          </w:p>
        </w:tc>
        <w:tc>
          <w:tcPr>
            <w:tcW w:w="24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ind w:right="136"/>
              <w:spacing w:after="0" w:line="155" w:lineRule="exact"/>
              <w:rPr>
                <w:sz w:val="20"/>
                <w:szCs w:val="20"/>
                <w:color w:val="auto"/>
              </w:rPr>
            </w:pPr>
            <w:r>
              <w:rPr>
                <w:rFonts w:ascii="Arial" w:cs="Arial" w:eastAsia="Arial" w:hAnsi="Arial"/>
                <w:sz w:val="14"/>
                <w:szCs w:val="14"/>
                <w:b w:val="1"/>
                <w:bCs w:val="1"/>
                <w:color w:val="auto"/>
              </w:rPr>
              <w:t>+300</w:t>
            </w:r>
          </w:p>
        </w:tc>
        <w:tc>
          <w:tcPr>
            <w:tcW w:w="240" w:type="dxa"/>
            <w:vAlign w:val="bottom"/>
            <w:tcBorders>
              <w:bottom w:val="single" w:sz="8" w:color="CCEEFF"/>
            </w:tcBorders>
          </w:tcPr>
          <w:p>
            <w:pPr>
              <w:spacing w:after="0"/>
              <w:rPr>
                <w:sz w:val="13"/>
                <w:szCs w:val="13"/>
                <w:color w:val="auto"/>
              </w:rPr>
            </w:pPr>
          </w:p>
        </w:tc>
      </w:tr>
      <w:tr>
        <w:trPr>
          <w:trHeight w:val="196"/>
        </w:trPr>
        <w:tc>
          <w:tcPr>
            <w:tcW w:w="5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June 30, 2022</w:t>
            </w:r>
          </w:p>
        </w:tc>
        <w:tc>
          <w:tcPr>
            <w:tcW w:w="82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(8.93)%</w:t>
            </w:r>
          </w:p>
        </w:tc>
        <w:tc>
          <w:tcPr>
            <w:tcW w:w="8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5.23</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7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10.48</w:t>
            </w:r>
          </w:p>
        </w:tc>
        <w:tc>
          <w:tcPr>
            <w:tcW w:w="24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4"/>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15.75</w:t>
            </w:r>
          </w:p>
        </w:tc>
        <w:tc>
          <w:tcPr>
            <w:tcW w:w="2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87"/>
              </w:rPr>
              <w:t>%</w:t>
            </w:r>
          </w:p>
        </w:tc>
      </w:tr>
      <w:tr>
        <w:trPr>
          <w:trHeight w:val="230"/>
        </w:trPr>
        <w:tc>
          <w:tcPr>
            <w:tcW w:w="5100" w:type="dxa"/>
            <w:vAlign w:val="bottom"/>
          </w:tcPr>
          <w:p>
            <w:pPr>
              <w:ind w:left="20"/>
              <w:spacing w:after="0"/>
              <w:rPr>
                <w:sz w:val="20"/>
                <w:szCs w:val="20"/>
                <w:color w:val="auto"/>
              </w:rPr>
            </w:pPr>
            <w:r>
              <w:rPr>
                <w:rFonts w:ascii="Arial" w:cs="Arial" w:eastAsia="Arial" w:hAnsi="Arial"/>
                <w:sz w:val="18"/>
                <w:szCs w:val="18"/>
                <w:color w:val="auto"/>
              </w:rPr>
              <w:t>December 31, 2021</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1040" w:type="dxa"/>
            <w:vAlign w:val="bottom"/>
            <w:gridSpan w:val="3"/>
          </w:tcPr>
          <w:p>
            <w:pPr>
              <w:jc w:val="right"/>
              <w:ind w:right="10"/>
              <w:spacing w:after="0"/>
              <w:rPr>
                <w:sz w:val="20"/>
                <w:szCs w:val="20"/>
                <w:color w:val="auto"/>
              </w:rPr>
            </w:pPr>
            <w:r>
              <w:rPr>
                <w:rFonts w:ascii="Arial" w:cs="Arial" w:eastAsia="Arial" w:hAnsi="Arial"/>
                <w:sz w:val="18"/>
                <w:szCs w:val="18"/>
                <w:color w:val="auto"/>
              </w:rPr>
              <w:t>9.51 %</w:t>
            </w:r>
          </w:p>
        </w:tc>
        <w:tc>
          <w:tcPr>
            <w:tcW w:w="960" w:type="dxa"/>
            <w:vAlign w:val="bottom"/>
            <w:gridSpan w:val="2"/>
          </w:tcPr>
          <w:p>
            <w:pPr>
              <w:jc w:val="right"/>
              <w:ind w:right="10"/>
              <w:spacing w:after="0"/>
              <w:rPr>
                <w:sz w:val="20"/>
                <w:szCs w:val="20"/>
                <w:color w:val="auto"/>
              </w:rPr>
            </w:pPr>
            <w:r>
              <w:rPr>
                <w:rFonts w:ascii="Arial" w:cs="Arial" w:eastAsia="Arial" w:hAnsi="Arial"/>
                <w:sz w:val="18"/>
                <w:szCs w:val="18"/>
                <w:color w:val="auto"/>
              </w:rPr>
              <w:t>18.22 %</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26.84 %</w:t>
            </w:r>
          </w:p>
        </w:tc>
      </w:tr>
    </w:tbl>
    <w:p>
      <w:pPr>
        <w:spacing w:after="0" w:line="160" w:lineRule="exact"/>
        <w:rPr>
          <w:sz w:val="20"/>
          <w:szCs w:val="20"/>
          <w:color w:val="auto"/>
        </w:rPr>
      </w:pPr>
    </w:p>
    <w:p>
      <w:pPr>
        <w:jc w:val="both"/>
        <w:ind w:left="60" w:right="59"/>
        <w:spacing w:after="0" w:line="241" w:lineRule="auto"/>
        <w:rPr>
          <w:sz w:val="20"/>
          <w:szCs w:val="20"/>
          <w:color w:val="auto"/>
        </w:rPr>
      </w:pPr>
      <w:r>
        <w:rPr>
          <w:rFonts w:ascii="Arial" w:cs="Arial" w:eastAsia="Arial" w:hAnsi="Arial"/>
          <w:sz w:val="18"/>
          <w:szCs w:val="18"/>
          <w:color w:val="auto"/>
        </w:rPr>
        <w:t>Interest rate risk is monitored and managed within approved policy limits and any temporary exceptions to policy in periods of rapid rate movement are approved and documented. The calculation of potential effects of hypothetical interest rate changes is based on numerous assumptions and should not be relied upon as indicative of actual results. Actual results would likely differ from simulated results due to the timing, magnitude, and frequency of interest rate changes as well as changes in market conditions and management strategies.</w:t>
      </w:r>
    </w:p>
    <w:p>
      <w:pPr>
        <w:spacing w:after="0" w:line="172"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02"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6"/>
          <w:szCs w:val="16"/>
          <w:color w:val="auto"/>
        </w:rPr>
        <w:t>An evaluation of our disclosure controls and procedures, as defined in Rule 13a-15(e) under the Exchange Act, was carried out as of June 30, 2022, under the supervision and with the participation of our Chief Executive Officer, Chief Financial Officer, and several other members of our senior management. Based on this evaluation, our Chief Executive Officer and Chief Financial Officer concluded that, as of June 30, 2022, our disclosure controls and procedures were effective in ensuring that the information we are required to disclose in the reports we file or submit under the Exchange Act was</w:t>
      </w:r>
    </w:p>
    <w:p>
      <w:pPr>
        <w:spacing w:after="0" w:line="1" w:lineRule="exact"/>
        <w:rPr>
          <w:sz w:val="20"/>
          <w:szCs w:val="20"/>
          <w:color w:val="auto"/>
        </w:rPr>
      </w:pPr>
    </w:p>
    <w:p>
      <w:pPr>
        <w:jc w:val="both"/>
        <w:ind w:left="60" w:right="59" w:hanging="10"/>
        <w:spacing w:after="0" w:line="239" w:lineRule="auto"/>
        <w:tabs>
          <w:tab w:leader="none" w:pos="277"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accumulated and communicated to our management (including the Chief Executive Officer and Chief Financial Officer) to allow timely decisions regarding required disclosure, and (ii) recorded, processed, summarized, and reported within the time periods specified in the SEC’s rules and forms.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02"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7"/>
          <w:szCs w:val="17"/>
          <w:color w:val="auto"/>
        </w:rPr>
        <w:t>During the three months ended June 30, 2022, no change occurred in our internal control over financial reporting that has materially affected, or is reasonably likely to materially affect, our internal control over financial reporting.</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LEGAL PROCEEDINGS</w:t>
      </w:r>
    </w:p>
    <w:p>
      <w:pPr>
        <w:spacing w:after="0" w:line="202" w:lineRule="exact"/>
        <w:rPr>
          <w:sz w:val="20"/>
          <w:szCs w:val="20"/>
          <w:color w:val="auto"/>
        </w:rPr>
      </w:pPr>
    </w:p>
    <w:p>
      <w:pPr>
        <w:jc w:val="both"/>
        <w:ind w:left="60" w:right="59"/>
        <w:spacing w:after="0" w:line="261" w:lineRule="auto"/>
        <w:rPr>
          <w:sz w:val="20"/>
          <w:szCs w:val="20"/>
          <w:color w:val="auto"/>
        </w:rPr>
      </w:pPr>
      <w:r>
        <w:rPr>
          <w:rFonts w:ascii="Arial" w:cs="Arial" w:eastAsia="Arial" w:hAnsi="Arial"/>
          <w:sz w:val="18"/>
          <w:szCs w:val="18"/>
          <w:color w:val="auto"/>
        </w:rPr>
        <w:t>As part of the ordinary course of business, First Busey and its subsidiaries are parties to litigation that is incidental to their regular business activities.</w:t>
      </w:r>
    </w:p>
    <w:p>
      <w:pPr>
        <w:spacing w:after="0" w:line="157" w:lineRule="exact"/>
        <w:rPr>
          <w:sz w:val="20"/>
          <w:szCs w:val="20"/>
          <w:color w:val="auto"/>
        </w:rPr>
      </w:pPr>
    </w:p>
    <w:p>
      <w:pPr>
        <w:jc w:val="both"/>
        <w:ind w:left="60" w:right="59"/>
        <w:spacing w:after="0" w:line="243" w:lineRule="auto"/>
        <w:rPr>
          <w:sz w:val="20"/>
          <w:szCs w:val="20"/>
          <w:color w:val="auto"/>
        </w:rPr>
      </w:pPr>
      <w:r>
        <w:rPr>
          <w:rFonts w:ascii="Arial" w:cs="Arial" w:eastAsia="Arial" w:hAnsi="Arial"/>
          <w:sz w:val="18"/>
          <w:szCs w:val="18"/>
          <w:color w:val="auto"/>
        </w:rPr>
        <w:t>There is no material pending litigation, other than ordinary routine litigation incidental to its business, in which First Busey or any of its subsidiaries is involved or of which any of their property is the subject. Furthermore, there is no pending legal proceeding that is adverse to First Busey in which any director, officer, or affiliate of First Busey, or any associate of any such director or officer, is a party, or has a material interest.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RISK FACTORS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6"/>
          <w:szCs w:val="16"/>
          <w:color w:val="auto"/>
        </w:rPr>
        <w:t xml:space="preserve">There have been no material changes to the risk factors disclosed in </w:t>
      </w:r>
      <w:r>
        <w:rPr>
          <w:rFonts w:ascii="Arial" w:cs="Arial" w:eastAsia="Arial" w:hAnsi="Arial"/>
          <w:sz w:val="16"/>
          <w:szCs w:val="16"/>
          <w:i w:val="1"/>
          <w:iCs w:val="1"/>
          <w:color w:val="auto"/>
        </w:rPr>
        <w:t>Part I—Item 1A</w:t>
      </w:r>
      <w:r>
        <w:rPr>
          <w:rFonts w:ascii="Arial" w:cs="Arial" w:eastAsia="Arial" w:hAnsi="Arial"/>
          <w:sz w:val="16"/>
          <w:szCs w:val="16"/>
          <w:color w:val="auto"/>
        </w:rPr>
        <w:t xml:space="preserve"> of First Busey’s 2021 Annual Report.</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2"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On February 3, 2015, First Busey’s board of directors authorized the Company to repurchase up to an aggregate of 666,667 shares of its common stock. The repurchase plan has no expiration date. On May 22, 2019, First Busey’s board of directors approved an amendment to increase the authorized shares under the repurchase program by 1,000,000 shares, and on February 5, 2020, First Busey’s board of directors approved another amendment to increase the authorized shares under the repurchase program by an additional 2,000,000 shares. During the second quarter of 2022, the Company purchased 70,000 shares under the plan. As of June 30, 2022, the Company had 277,210 shares that may still be purchased under the plan.</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8"/>
              </w:rPr>
              <w:t>Maximum Number of</w:t>
            </w: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Purchased as Part of</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7"/>
              </w:rPr>
              <w:t>Shares That May Yet</w:t>
            </w:r>
          </w:p>
        </w:tc>
      </w:tr>
      <w:tr>
        <w:trPr>
          <w:trHeight w:val="162"/>
        </w:trPr>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tcPr>
          <w:p>
            <w:pPr>
              <w:jc w:val="right"/>
              <w:ind w:right="115"/>
              <w:spacing w:after="0"/>
              <w:rPr>
                <w:sz w:val="20"/>
                <w:szCs w:val="20"/>
                <w:color w:val="auto"/>
              </w:rPr>
            </w:pPr>
            <w:r>
              <w:rPr>
                <w:rFonts w:ascii="Arial" w:cs="Arial" w:eastAsia="Arial" w:hAnsi="Arial"/>
                <w:sz w:val="14"/>
                <w:szCs w:val="14"/>
                <w:b w:val="1"/>
                <w:bCs w:val="1"/>
                <w:color w:val="auto"/>
              </w:rPr>
              <w:t>Total Number of</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Price Paid per</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2"/>
              </w:rPr>
              <w:t>Publicly Announced</w:t>
            </w:r>
          </w:p>
        </w:tc>
        <w:tc>
          <w:tcPr>
            <w:tcW w:w="12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7"/>
              </w:rPr>
              <w:t>Be Purchased Under</w:t>
            </w:r>
          </w:p>
        </w:tc>
      </w:tr>
      <w:tr>
        <w:trPr>
          <w:trHeight w:val="185"/>
        </w:trPr>
        <w:tc>
          <w:tcPr>
            <w:tcW w:w="27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Period</w:t>
            </w:r>
          </w:p>
        </w:tc>
        <w:tc>
          <w:tcPr>
            <w:tcW w:w="1420" w:type="dxa"/>
            <w:vAlign w:val="bottom"/>
          </w:tcPr>
          <w:p>
            <w:pPr>
              <w:jc w:val="right"/>
              <w:ind w:right="75"/>
              <w:spacing w:after="0"/>
              <w:rPr>
                <w:sz w:val="20"/>
                <w:szCs w:val="20"/>
                <w:color w:val="auto"/>
              </w:rPr>
            </w:pPr>
            <w:r>
              <w:rPr>
                <w:rFonts w:ascii="Arial" w:cs="Arial" w:eastAsia="Arial" w:hAnsi="Arial"/>
                <w:sz w:val="14"/>
                <w:szCs w:val="14"/>
                <w:b w:val="1"/>
                <w:bCs w:val="1"/>
                <w:color w:val="auto"/>
              </w:rPr>
              <w:t>Shares Purchased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Common Share</w:t>
            </w: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1"/>
              </w:rPr>
              <w:t>Plans or Programs</w:t>
            </w:r>
          </w:p>
        </w:tc>
        <w:tc>
          <w:tcPr>
            <w:tcW w:w="1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w w:val="92"/>
              </w:rPr>
              <w:t>the Plans or Programs</w:t>
            </w:r>
          </w:p>
        </w:tc>
      </w:tr>
      <w:tr>
        <w:trPr>
          <w:trHeight w:val="196"/>
        </w:trPr>
        <w:tc>
          <w:tcPr>
            <w:tcW w:w="2640" w:type="dxa"/>
            <w:vAlign w:val="bottom"/>
            <w:tcBorders>
              <w:top w:val="single" w:sz="8" w:color="auto"/>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April 1-30, 2022</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25.92</w:t>
            </w:r>
          </w:p>
        </w:tc>
        <w:tc>
          <w:tcPr>
            <w:tcW w:w="14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4,000</w:t>
            </w:r>
          </w:p>
        </w:tc>
        <w:tc>
          <w:tcPr>
            <w:tcW w:w="12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343,210</w:t>
            </w:r>
          </w:p>
        </w:tc>
      </w:tr>
      <w:tr>
        <w:trPr>
          <w:trHeight w:val="203"/>
        </w:trPr>
        <w:tc>
          <w:tcPr>
            <w:tcW w:w="2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May 1-31, 2022</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w:t>
            </w:r>
          </w:p>
        </w:tc>
        <w:tc>
          <w:tcPr>
            <w:tcW w:w="142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5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343,210</w:t>
            </w:r>
          </w:p>
        </w:tc>
      </w:tr>
      <w:tr>
        <w:trPr>
          <w:trHeight w:val="203"/>
        </w:trPr>
        <w:tc>
          <w:tcPr>
            <w:tcW w:w="278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color w:val="auto"/>
              </w:rPr>
              <w:t>June 1-30, 2022</w:t>
            </w: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66,000</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22.73</w:t>
            </w:r>
          </w:p>
        </w:tc>
        <w:tc>
          <w:tcPr>
            <w:tcW w:w="140" w:type="dxa"/>
            <w:vAlign w:val="bottom"/>
            <w:shd w:val="clear" w:color="auto" w:fill="CCEEFF"/>
          </w:tcPr>
          <w:p>
            <w:pPr>
              <w:spacing w:after="0"/>
              <w:rPr>
                <w:sz w:val="17"/>
                <w:szCs w:val="17"/>
                <w:color w:val="auto"/>
              </w:rPr>
            </w:pPr>
          </w:p>
        </w:tc>
        <w:tc>
          <w:tcPr>
            <w:tcW w:w="14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66,000</w:t>
            </w:r>
          </w:p>
        </w:tc>
        <w:tc>
          <w:tcPr>
            <w:tcW w:w="15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277,210</w:t>
            </w:r>
          </w:p>
        </w:tc>
      </w:tr>
      <w:tr>
        <w:trPr>
          <w:trHeight w:val="236"/>
        </w:trPr>
        <w:tc>
          <w:tcPr>
            <w:tcW w:w="2780" w:type="dxa"/>
            <w:vAlign w:val="bottom"/>
            <w:tcBorders>
              <w:bottom w:val="single" w:sz="8" w:color="CCEEFF"/>
            </w:tcBorders>
            <w:gridSpan w:val="2"/>
          </w:tcPr>
          <w:p>
            <w:pPr>
              <w:ind w:left="20"/>
              <w:spacing w:after="0" w:line="196" w:lineRule="exact"/>
              <w:rPr>
                <w:sz w:val="20"/>
                <w:szCs w:val="20"/>
                <w:color w:val="auto"/>
              </w:rPr>
            </w:pPr>
            <w:r>
              <w:rPr>
                <w:rFonts w:ascii="Arial" w:cs="Arial" w:eastAsia="Arial" w:hAnsi="Arial"/>
                <w:sz w:val="18"/>
                <w:szCs w:val="18"/>
                <w:color w:val="auto"/>
                <w:w w:val="95"/>
              </w:rPr>
              <w:t>Three Months Ended June 30, 2022</w:t>
            </w: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70,000</w:t>
            </w:r>
          </w:p>
        </w:tc>
        <w:tc>
          <w:tcPr>
            <w:tcW w:w="260" w:type="dxa"/>
            <w:vAlign w:val="bottom"/>
            <w:tcBorders>
              <w:bottom w:val="single" w:sz="8" w:color="CCEEFF"/>
            </w:tcBorders>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tcPr>
          <w:p>
            <w:pPr>
              <w:jc w:val="right"/>
              <w:spacing w:after="0" w:line="196" w:lineRule="exact"/>
              <w:rPr>
                <w:sz w:val="20"/>
                <w:szCs w:val="20"/>
                <w:color w:val="auto"/>
              </w:rPr>
            </w:pPr>
            <w:r>
              <w:rPr>
                <w:rFonts w:ascii="Arial" w:cs="Arial" w:eastAsia="Arial" w:hAnsi="Arial"/>
                <w:sz w:val="18"/>
                <w:szCs w:val="18"/>
                <w:color w:val="auto"/>
              </w:rPr>
              <w:t>22.91</w:t>
            </w:r>
          </w:p>
        </w:tc>
        <w:tc>
          <w:tcPr>
            <w:tcW w:w="140" w:type="dxa"/>
            <w:vAlign w:val="bottom"/>
            <w:tcBorders>
              <w:bottom w:val="single" w:sz="8" w:color="CCEEFF"/>
            </w:tcBorders>
          </w:tcPr>
          <w:p>
            <w:pPr>
              <w:spacing w:after="0"/>
              <w:rPr>
                <w:sz w:val="20"/>
                <w:szCs w:val="20"/>
                <w:color w:val="auto"/>
              </w:rPr>
            </w:pPr>
          </w:p>
        </w:tc>
        <w:tc>
          <w:tcPr>
            <w:tcW w:w="14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70,000</w:t>
            </w:r>
          </w:p>
        </w:tc>
        <w:tc>
          <w:tcPr>
            <w:tcW w:w="12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r>
      <w:tr>
        <w:trPr>
          <w:trHeight w:val="183"/>
        </w:trPr>
        <w:tc>
          <w:tcPr>
            <w:tcW w:w="2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03"/>
        </w:trPr>
        <w:tc>
          <w:tcPr>
            <w:tcW w:w="278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Six Months Ended June 30, 2022</w:t>
            </w: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258,614</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340" w:type="dxa"/>
            <w:vAlign w:val="bottom"/>
          </w:tcPr>
          <w:p>
            <w:pPr>
              <w:jc w:val="right"/>
              <w:spacing w:after="0" w:line="202" w:lineRule="exact"/>
              <w:rPr>
                <w:sz w:val="20"/>
                <w:szCs w:val="20"/>
                <w:color w:val="auto"/>
              </w:rPr>
            </w:pPr>
            <w:r>
              <w:rPr>
                <w:rFonts w:ascii="Arial" w:cs="Arial" w:eastAsia="Arial" w:hAnsi="Arial"/>
                <w:sz w:val="18"/>
                <w:szCs w:val="18"/>
                <w:color w:val="auto"/>
              </w:rPr>
              <w:t>26.39</w:t>
            </w:r>
          </w:p>
        </w:tc>
        <w:tc>
          <w:tcPr>
            <w:tcW w:w="140" w:type="dxa"/>
            <w:vAlign w:val="bottom"/>
          </w:tcPr>
          <w:p>
            <w:pPr>
              <w:spacing w:after="0"/>
              <w:rPr>
                <w:sz w:val="17"/>
                <w:szCs w:val="17"/>
                <w:color w:val="auto"/>
              </w:rPr>
            </w:pPr>
          </w:p>
        </w:tc>
        <w:tc>
          <w:tcPr>
            <w:tcW w:w="14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258,614</w:t>
            </w: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2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3"/>
        </w:trPr>
        <w:tc>
          <w:tcPr>
            <w:tcW w:w="7360" w:type="dxa"/>
            <w:vAlign w:val="bottom"/>
            <w:gridSpan w:val="8"/>
          </w:tcPr>
          <w:p>
            <w:pPr>
              <w:ind w:left="2420"/>
              <w:spacing w:after="0"/>
              <w:rPr>
                <w:sz w:val="20"/>
                <w:szCs w:val="20"/>
                <w:color w:val="auto"/>
              </w:rPr>
            </w:pPr>
            <w:r>
              <w:rPr>
                <w:rFonts w:ascii="Arial" w:cs="Arial" w:eastAsia="Arial" w:hAnsi="Arial"/>
                <w:sz w:val="18"/>
                <w:szCs w:val="18"/>
                <w:b w:val="1"/>
                <w:bCs w:val="1"/>
                <w:color w:val="auto"/>
              </w:rPr>
              <w:t>ITEM 3. DEFAULTS UPON SENIOR SECURITIES</w:t>
            </w: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2780" w:type="dxa"/>
            <w:vAlign w:val="bottom"/>
            <w:gridSpan w:val="2"/>
          </w:tcPr>
          <w:p>
            <w:pPr>
              <w:ind w:left="20"/>
              <w:spacing w:after="0"/>
              <w:rPr>
                <w:sz w:val="20"/>
                <w:szCs w:val="20"/>
                <w:color w:val="auto"/>
              </w:rPr>
            </w:pPr>
            <w:r>
              <w:rPr>
                <w:rFonts w:ascii="Arial" w:cs="Arial" w:eastAsia="Arial" w:hAnsi="Arial"/>
                <w:sz w:val="18"/>
                <w:szCs w:val="18"/>
                <w:color w:val="auto"/>
              </w:rPr>
              <w:t>None.</w:t>
            </w: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4. MINE SAFETY DISCLOSURES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5. OTHER INFORMATION</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6. EXHIBITS</w:t>
      </w:r>
    </w:p>
    <w:p>
      <w:pPr>
        <w:spacing w:after="0" w:line="36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5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Filed</w:t>
            </w:r>
          </w:p>
        </w:tc>
      </w:tr>
      <w:tr>
        <w:trPr>
          <w:trHeight w:val="185"/>
        </w:trPr>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Number</w:t>
            </w:r>
          </w:p>
        </w:tc>
        <w:tc>
          <w:tcPr>
            <w:tcW w:w="7080" w:type="dxa"/>
            <w:vAlign w:val="bottom"/>
            <w:gridSpan w:val="7"/>
          </w:tcPr>
          <w:p>
            <w:pPr>
              <w:ind w:left="2760"/>
              <w:spacing w:after="0"/>
              <w:rPr>
                <w:sz w:val="20"/>
                <w:szCs w:val="20"/>
                <w:color w:val="auto"/>
              </w:rPr>
            </w:pPr>
            <w:r>
              <w:rPr>
                <w:rFonts w:ascii="Arial" w:cs="Arial" w:eastAsia="Arial" w:hAnsi="Arial"/>
                <w:sz w:val="14"/>
                <w:szCs w:val="14"/>
                <w:b w:val="1"/>
                <w:bCs w:val="1"/>
                <w:color w:val="auto"/>
              </w:rPr>
              <w:t>Description of Exhibit</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8"/>
              </w:rPr>
              <w:t>Herewith</w:t>
            </w:r>
          </w:p>
        </w:tc>
      </w:tr>
      <w:tr>
        <w:trPr>
          <w:trHeight w:val="169"/>
        </w:trPr>
        <w:tc>
          <w:tcPr>
            <w:tcW w:w="86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4"/>
                <w:szCs w:val="14"/>
                <w:color w:val="auto"/>
              </w:rPr>
            </w:pPr>
          </w:p>
        </w:tc>
        <w:tc>
          <w:tcPr>
            <w:tcW w:w="6880" w:type="dxa"/>
            <w:vAlign w:val="bottom"/>
            <w:tcBorders>
              <w:top w:val="single" w:sz="8" w:color="auto"/>
            </w:tcBorders>
            <w:gridSpan w:val="6"/>
          </w:tcPr>
          <w:p>
            <w:pPr>
              <w:spacing w:after="0" w:line="169" w:lineRule="exact"/>
              <w:rPr>
                <w:rFonts w:ascii="Arial" w:cs="Arial" w:eastAsia="Arial" w:hAnsi="Arial"/>
                <w:sz w:val="18"/>
                <w:szCs w:val="18"/>
                <w:color w:val="0000EE"/>
                <w:w w:val="95"/>
              </w:rPr>
            </w:pPr>
            <w:hyperlink w:anchor="page86">
              <w:r>
                <w:rPr>
                  <w:rFonts w:ascii="Arial" w:cs="Arial" w:eastAsia="Arial" w:hAnsi="Arial"/>
                  <w:sz w:val="18"/>
                  <w:szCs w:val="18"/>
                  <w:color w:val="0000EE"/>
                  <w:w w:val="95"/>
                </w:rPr>
                <w:t>Certification of Principal Executive Officer, pursuant to Rule 13a-14(a) and Rule 15d-14(a)</w:t>
              </w:r>
            </w:hyperlink>
          </w:p>
        </w:tc>
        <w:tc>
          <w:tcPr>
            <w:tcW w:w="200" w:type="dxa"/>
            <w:vAlign w:val="bottom"/>
          </w:tcPr>
          <w:p>
            <w:pPr>
              <w:spacing w:after="0"/>
              <w:rPr>
                <w:sz w:val="14"/>
                <w:szCs w:val="14"/>
                <w:color w:val="auto"/>
              </w:rPr>
            </w:pPr>
          </w:p>
        </w:tc>
        <w:tc>
          <w:tcPr>
            <w:tcW w:w="740" w:type="dxa"/>
            <w:vAlign w:val="bottom"/>
            <w:tcBorders>
              <w:top w:val="single" w:sz="8" w:color="auto"/>
            </w:tcBorders>
          </w:tcPr>
          <w:p>
            <w:pPr>
              <w:jc w:val="center"/>
              <w:spacing w:after="0" w:line="169" w:lineRule="exact"/>
              <w:rPr>
                <w:sz w:val="20"/>
                <w:szCs w:val="20"/>
                <w:color w:val="auto"/>
              </w:rPr>
            </w:pPr>
            <w:r>
              <w:rPr>
                <w:rFonts w:ascii="Arial" w:cs="Arial" w:eastAsia="Arial" w:hAnsi="Arial"/>
                <w:sz w:val="18"/>
                <w:szCs w:val="18"/>
                <w:color w:val="auto"/>
                <w:w w:val="99"/>
              </w:rPr>
              <w:t>X</w:t>
            </w:r>
          </w:p>
        </w:tc>
      </w:tr>
      <w:tr>
        <w:trPr>
          <w:trHeight w:val="385"/>
        </w:trPr>
        <w:tc>
          <w:tcPr>
            <w:tcW w:w="860" w:type="dxa"/>
            <w:vAlign w:val="bottom"/>
          </w:tcPr>
          <w:p>
            <w:pPr>
              <w:ind w:left="20"/>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6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87">
              <w:r>
                <w:rPr>
                  <w:rFonts w:ascii="Arial" w:cs="Arial" w:eastAsia="Arial" w:hAnsi="Arial"/>
                  <w:sz w:val="18"/>
                  <w:szCs w:val="18"/>
                  <w:color w:val="0000EE"/>
                  <w:w w:val="91"/>
                </w:rPr>
                <w:t>Certification of Principal Financial Officer, pursuant to Rule 13a-14(a) and Rule 15d-14(a)</w:t>
              </w:r>
            </w:hyperlink>
          </w:p>
        </w:tc>
        <w:tc>
          <w:tcPr>
            <w:tcW w:w="40" w:type="dxa"/>
            <w:vAlign w:val="bottom"/>
            <w:tcBorders>
              <w:top w:val="single" w:sz="8" w:color="0000EE"/>
            </w:tcBorders>
          </w:tcPr>
          <w:p>
            <w:pPr>
              <w:spacing w:after="0"/>
              <w:rPr>
                <w:sz w:val="24"/>
                <w:szCs w:val="24"/>
                <w:color w:val="auto"/>
              </w:rPr>
            </w:pPr>
          </w:p>
        </w:tc>
        <w:tc>
          <w:tcPr>
            <w:tcW w:w="500" w:type="dxa"/>
            <w:vAlign w:val="bottom"/>
            <w:gridSpan w:val="3"/>
          </w:tcPr>
          <w:p>
            <w:pPr>
              <w:spacing w:after="0"/>
              <w:rPr>
                <w:sz w:val="24"/>
                <w:szCs w:val="24"/>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385"/>
        </w:trPr>
        <w:tc>
          <w:tcPr>
            <w:tcW w:w="860" w:type="dxa"/>
            <w:vAlign w:val="bottom"/>
          </w:tcPr>
          <w:p>
            <w:pPr>
              <w:ind w:left="20"/>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w w:val="97"/>
              </w:rPr>
            </w:pPr>
            <w:hyperlink w:anchor="page88">
              <w:r>
                <w:rPr>
                  <w:rFonts w:ascii="Arial" w:cs="Arial" w:eastAsia="Arial" w:hAnsi="Arial"/>
                  <w:sz w:val="18"/>
                  <w:szCs w:val="18"/>
                  <w:color w:val="0000EE"/>
                  <w:w w:val="97"/>
                </w:rPr>
                <w:t>Certification pursuant to 18 U.S.C. Section 1350, as adopted pursuant to Section 906 of the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6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2"/>
              </w:rPr>
            </w:pPr>
            <w:hyperlink w:anchor="page88">
              <w:r>
                <w:rPr>
                  <w:rFonts w:ascii="Arial" w:cs="Arial" w:eastAsia="Arial" w:hAnsi="Arial"/>
                  <w:sz w:val="18"/>
                  <w:szCs w:val="18"/>
                  <w:color w:val="0000EE"/>
                  <w:w w:val="92"/>
                </w:rPr>
                <w:t>Sarbanes-Oxley Act of 2002, from First Busey’s Chief Executive Officer</w:t>
              </w:r>
            </w:hyperlink>
          </w:p>
        </w:tc>
        <w:tc>
          <w:tcPr>
            <w:tcW w:w="1600" w:type="dxa"/>
            <w:vAlign w:val="bottom"/>
            <w:tcBorders>
              <w:top w:val="single" w:sz="8" w:color="0000EE"/>
            </w:tcBorders>
            <w:gridSpan w:val="3"/>
          </w:tcPr>
          <w:p>
            <w:pPr>
              <w:spacing w:after="0"/>
              <w:rPr>
                <w:sz w:val="15"/>
                <w:szCs w:val="15"/>
                <w:color w:val="auto"/>
              </w:rPr>
            </w:pPr>
          </w:p>
        </w:tc>
        <w:tc>
          <w:tcPr>
            <w:tcW w:w="2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r>
      <w:tr>
        <w:trPr>
          <w:trHeight w:val="385"/>
        </w:trPr>
        <w:tc>
          <w:tcPr>
            <w:tcW w:w="860" w:type="dxa"/>
            <w:vAlign w:val="bottom"/>
          </w:tcPr>
          <w:p>
            <w:pPr>
              <w:ind w:left="20"/>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7080" w:type="dxa"/>
            <w:vAlign w:val="bottom"/>
            <w:gridSpan w:val="7"/>
          </w:tcPr>
          <w:p>
            <w:pPr>
              <w:spacing w:after="0"/>
              <w:rPr>
                <w:rFonts w:ascii="Arial" w:cs="Arial" w:eastAsia="Arial" w:hAnsi="Arial"/>
                <w:sz w:val="18"/>
                <w:szCs w:val="18"/>
                <w:color w:val="0000EE"/>
                <w:w w:val="97"/>
              </w:rPr>
            </w:pPr>
            <w:hyperlink w:anchor="page89">
              <w:r>
                <w:rPr>
                  <w:rFonts w:ascii="Arial" w:cs="Arial" w:eastAsia="Arial" w:hAnsi="Arial"/>
                  <w:sz w:val="18"/>
                  <w:szCs w:val="18"/>
                  <w:color w:val="0000EE"/>
                  <w:w w:val="97"/>
                </w:rPr>
                <w:t>Certification pursuant to 18 U.S.C. Section 1350, as adopted pursuant to Section 906 of the</w:t>
              </w:r>
            </w:hyperlink>
          </w:p>
        </w:tc>
        <w:tc>
          <w:tcPr>
            <w:tcW w:w="740" w:type="dxa"/>
            <w:vAlign w:val="bottom"/>
          </w:tcPr>
          <w:p>
            <w:pPr>
              <w:jc w:val="center"/>
              <w:spacing w:after="0"/>
              <w:rPr>
                <w:sz w:val="20"/>
                <w:szCs w:val="20"/>
                <w:color w:val="auto"/>
              </w:rPr>
            </w:pPr>
            <w:r>
              <w:rPr>
                <w:rFonts w:ascii="Arial" w:cs="Arial" w:eastAsia="Arial" w:hAnsi="Arial"/>
                <w:sz w:val="18"/>
                <w:szCs w:val="18"/>
                <w:color w:val="auto"/>
                <w:w w:val="99"/>
              </w:rPr>
              <w:t>X</w:t>
            </w:r>
          </w:p>
        </w:tc>
      </w:tr>
      <w:tr>
        <w:trPr>
          <w:trHeight w:val="183"/>
        </w:trPr>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6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w:anchor="page89">
              <w:r>
                <w:rPr>
                  <w:rFonts w:ascii="Arial" w:cs="Arial" w:eastAsia="Arial" w:hAnsi="Arial"/>
                  <w:sz w:val="18"/>
                  <w:szCs w:val="18"/>
                  <w:color w:val="0000EE"/>
                </w:rPr>
                <w:t>Sarbanes-Oxley Act of 2002, from First Busey’s Chief Financial Officer</w:t>
              </w:r>
            </w:hyperlink>
          </w:p>
        </w:tc>
        <w:tc>
          <w:tcPr>
            <w:tcW w:w="22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r>
      <w:tr>
        <w:trPr>
          <w:trHeight w:val="426"/>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52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iXBRL Instance Document</w:t>
            </w:r>
          </w:p>
        </w:tc>
        <w:tc>
          <w:tcPr>
            <w:tcW w:w="1880" w:type="dxa"/>
            <w:vAlign w:val="bottom"/>
            <w:gridSpan w:val="6"/>
          </w:tcPr>
          <w:p>
            <w:pPr>
              <w:spacing w:after="0"/>
              <w:rPr>
                <w:sz w:val="24"/>
                <w:szCs w:val="24"/>
                <w:color w:val="auto"/>
              </w:rPr>
            </w:pPr>
          </w:p>
        </w:tc>
        <w:tc>
          <w:tcPr>
            <w:tcW w:w="740" w:type="dxa"/>
            <w:vAlign w:val="bottom"/>
          </w:tcPr>
          <w:p>
            <w:pPr>
              <w:spacing w:after="0"/>
              <w:rPr>
                <w:sz w:val="24"/>
                <w:szCs w:val="24"/>
                <w:color w:val="auto"/>
              </w:rPr>
            </w:pPr>
          </w:p>
        </w:tc>
      </w:tr>
      <w:tr>
        <w:trPr>
          <w:trHeight w:val="405"/>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7080" w:type="dxa"/>
            <w:vAlign w:val="bottom"/>
            <w:gridSpan w:val="7"/>
          </w:tcPr>
          <w:p>
            <w:pPr>
              <w:spacing w:after="0"/>
              <w:rPr>
                <w:sz w:val="20"/>
                <w:szCs w:val="20"/>
                <w:color w:val="auto"/>
              </w:rPr>
            </w:pPr>
            <w:r>
              <w:rPr>
                <w:rFonts w:ascii="Arial" w:cs="Arial" w:eastAsia="Arial" w:hAnsi="Arial"/>
                <w:sz w:val="18"/>
                <w:szCs w:val="18"/>
                <w:color w:val="auto"/>
              </w:rPr>
              <w:t>iXBRL Taxonomy Extension Schema</w:t>
            </w:r>
          </w:p>
        </w:tc>
        <w:tc>
          <w:tcPr>
            <w:tcW w:w="740" w:type="dxa"/>
            <w:vAlign w:val="bottom"/>
          </w:tcPr>
          <w:p>
            <w:pPr>
              <w:spacing w:after="0"/>
              <w:rPr>
                <w:sz w:val="24"/>
                <w:szCs w:val="24"/>
                <w:color w:val="auto"/>
              </w:rPr>
            </w:pPr>
          </w:p>
        </w:tc>
      </w:tr>
      <w:tr>
        <w:trPr>
          <w:trHeight w:val="405"/>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7080" w:type="dxa"/>
            <w:vAlign w:val="bottom"/>
            <w:gridSpan w:val="7"/>
          </w:tcPr>
          <w:p>
            <w:pPr>
              <w:spacing w:after="0"/>
              <w:rPr>
                <w:sz w:val="20"/>
                <w:szCs w:val="20"/>
                <w:color w:val="auto"/>
              </w:rPr>
            </w:pPr>
            <w:r>
              <w:rPr>
                <w:rFonts w:ascii="Arial" w:cs="Arial" w:eastAsia="Arial" w:hAnsi="Arial"/>
                <w:sz w:val="18"/>
                <w:szCs w:val="18"/>
                <w:color w:val="auto"/>
              </w:rPr>
              <w:t>iXBRL Taxonomy Extension Calculation Linkbase</w:t>
            </w:r>
          </w:p>
        </w:tc>
        <w:tc>
          <w:tcPr>
            <w:tcW w:w="740" w:type="dxa"/>
            <w:vAlign w:val="bottom"/>
          </w:tcPr>
          <w:p>
            <w:pPr>
              <w:spacing w:after="0"/>
              <w:rPr>
                <w:sz w:val="24"/>
                <w:szCs w:val="24"/>
                <w:color w:val="auto"/>
              </w:rPr>
            </w:pPr>
          </w:p>
        </w:tc>
      </w:tr>
      <w:tr>
        <w:trPr>
          <w:trHeight w:val="405"/>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7080" w:type="dxa"/>
            <w:vAlign w:val="bottom"/>
            <w:gridSpan w:val="7"/>
          </w:tcPr>
          <w:p>
            <w:pPr>
              <w:spacing w:after="0"/>
              <w:rPr>
                <w:sz w:val="20"/>
                <w:szCs w:val="20"/>
                <w:color w:val="auto"/>
              </w:rPr>
            </w:pPr>
            <w:r>
              <w:rPr>
                <w:rFonts w:ascii="Arial" w:cs="Arial" w:eastAsia="Arial" w:hAnsi="Arial"/>
                <w:sz w:val="18"/>
                <w:szCs w:val="18"/>
                <w:color w:val="auto"/>
              </w:rPr>
              <w:t>iXBRL Taxonomy Extension Label Linkbase</w:t>
            </w:r>
          </w:p>
        </w:tc>
        <w:tc>
          <w:tcPr>
            <w:tcW w:w="740" w:type="dxa"/>
            <w:vAlign w:val="bottom"/>
          </w:tcPr>
          <w:p>
            <w:pPr>
              <w:spacing w:after="0"/>
              <w:rPr>
                <w:sz w:val="24"/>
                <w:szCs w:val="24"/>
                <w:color w:val="auto"/>
              </w:rPr>
            </w:pPr>
          </w:p>
        </w:tc>
      </w:tr>
      <w:tr>
        <w:trPr>
          <w:trHeight w:val="405"/>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7080" w:type="dxa"/>
            <w:vAlign w:val="bottom"/>
            <w:gridSpan w:val="7"/>
          </w:tcPr>
          <w:p>
            <w:pPr>
              <w:spacing w:after="0"/>
              <w:rPr>
                <w:sz w:val="20"/>
                <w:szCs w:val="20"/>
                <w:color w:val="auto"/>
              </w:rPr>
            </w:pPr>
            <w:r>
              <w:rPr>
                <w:rFonts w:ascii="Arial" w:cs="Arial" w:eastAsia="Arial" w:hAnsi="Arial"/>
                <w:sz w:val="18"/>
                <w:szCs w:val="18"/>
                <w:color w:val="auto"/>
              </w:rPr>
              <w:t>iXBRL Taxonomy Extension Presentation Linkbase</w:t>
            </w:r>
          </w:p>
        </w:tc>
        <w:tc>
          <w:tcPr>
            <w:tcW w:w="740" w:type="dxa"/>
            <w:vAlign w:val="bottom"/>
          </w:tcPr>
          <w:p>
            <w:pPr>
              <w:spacing w:after="0"/>
              <w:rPr>
                <w:sz w:val="24"/>
                <w:szCs w:val="24"/>
                <w:color w:val="auto"/>
              </w:rPr>
            </w:pPr>
          </w:p>
        </w:tc>
      </w:tr>
      <w:tr>
        <w:trPr>
          <w:trHeight w:val="405"/>
        </w:trPr>
        <w:tc>
          <w:tcPr>
            <w:tcW w:w="108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7080" w:type="dxa"/>
            <w:vAlign w:val="bottom"/>
            <w:gridSpan w:val="7"/>
          </w:tcPr>
          <w:p>
            <w:pPr>
              <w:spacing w:after="0"/>
              <w:rPr>
                <w:sz w:val="20"/>
                <w:szCs w:val="20"/>
                <w:color w:val="auto"/>
              </w:rPr>
            </w:pPr>
            <w:r>
              <w:rPr>
                <w:rFonts w:ascii="Arial" w:cs="Arial" w:eastAsia="Arial" w:hAnsi="Arial"/>
                <w:sz w:val="18"/>
                <w:szCs w:val="18"/>
                <w:color w:val="auto"/>
              </w:rPr>
              <w:t>iXBRL Taxonomy Extension Definition Linkbase</w:t>
            </w:r>
          </w:p>
        </w:tc>
        <w:tc>
          <w:tcPr>
            <w:tcW w:w="740" w:type="dxa"/>
            <w:vAlign w:val="bottom"/>
          </w:tcPr>
          <w:p>
            <w:pPr>
              <w:spacing w:after="0"/>
              <w:rPr>
                <w:sz w:val="24"/>
                <w:szCs w:val="24"/>
                <w:color w:val="auto"/>
              </w:rPr>
            </w:pPr>
          </w:p>
        </w:tc>
      </w:tr>
    </w:tbl>
    <w:p>
      <w:pPr>
        <w:spacing w:after="0" w:line="175" w:lineRule="exact"/>
        <w:rPr>
          <w:sz w:val="20"/>
          <w:szCs w:val="20"/>
          <w:color w:val="auto"/>
        </w:rPr>
      </w:pPr>
    </w:p>
    <w:p>
      <w:pPr>
        <w:ind w:left="1120" w:right="1039" w:hanging="1070"/>
        <w:spacing w:after="0" w:line="261" w:lineRule="auto"/>
        <w:tabs>
          <w:tab w:leader="none" w:pos="11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thereunto duly authorized.</w:t>
      </w:r>
    </w:p>
    <w:p>
      <w:pPr>
        <w:spacing w:after="0" w:line="166"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3100" w:type="dxa"/>
            <w:vAlign w:val="bottom"/>
          </w:tcPr>
          <w:p>
            <w:pPr>
              <w:spacing w:after="0"/>
              <w:rPr>
                <w:sz w:val="20"/>
                <w:szCs w:val="20"/>
                <w:color w:val="auto"/>
              </w:rPr>
            </w:pPr>
            <w:r>
              <w:rPr>
                <w:rFonts w:ascii="Arial" w:cs="Arial" w:eastAsia="Arial" w:hAnsi="Arial"/>
                <w:sz w:val="18"/>
                <w:szCs w:val="18"/>
                <w:color w:val="auto"/>
              </w:rPr>
              <w:t>Date: August 4, 2022</w:t>
            </w:r>
          </w:p>
        </w:tc>
        <w:tc>
          <w:tcPr>
            <w:tcW w:w="5780" w:type="dxa"/>
            <w:vAlign w:val="bottom"/>
            <w:gridSpan w:val="2"/>
          </w:tcPr>
          <w:p>
            <w:pPr>
              <w:ind w:left="1540"/>
              <w:spacing w:after="0"/>
              <w:rPr>
                <w:sz w:val="20"/>
                <w:szCs w:val="20"/>
                <w:color w:val="auto"/>
              </w:rPr>
            </w:pPr>
            <w:r>
              <w:rPr>
                <w:rFonts w:ascii="Arial" w:cs="Arial" w:eastAsia="Arial" w:hAnsi="Arial"/>
                <w:sz w:val="18"/>
                <w:szCs w:val="18"/>
                <w:color w:val="auto"/>
              </w:rPr>
              <w:t>FIRST BUSEY CORPORATION</w:t>
            </w:r>
          </w:p>
        </w:tc>
      </w:tr>
      <w:tr>
        <w:trPr>
          <w:trHeight w:val="230"/>
        </w:trPr>
        <w:tc>
          <w:tcPr>
            <w:tcW w:w="3100" w:type="dxa"/>
            <w:vAlign w:val="bottom"/>
          </w:tcPr>
          <w:p>
            <w:pPr>
              <w:spacing w:after="0"/>
              <w:rPr>
                <w:sz w:val="20"/>
                <w:szCs w:val="20"/>
                <w:color w:val="auto"/>
              </w:rPr>
            </w:pPr>
          </w:p>
        </w:tc>
        <w:tc>
          <w:tcPr>
            <w:tcW w:w="5780" w:type="dxa"/>
            <w:vAlign w:val="bottom"/>
            <w:gridSpan w:val="2"/>
          </w:tcPr>
          <w:p>
            <w:pPr>
              <w:ind w:left="1540"/>
              <w:spacing w:after="0"/>
              <w:rPr>
                <w:sz w:val="20"/>
                <w:szCs w:val="20"/>
                <w:color w:val="auto"/>
              </w:rPr>
            </w:pPr>
            <w:r>
              <w:rPr>
                <w:rFonts w:ascii="Arial" w:cs="Arial" w:eastAsia="Arial" w:hAnsi="Arial"/>
                <w:sz w:val="18"/>
                <w:szCs w:val="18"/>
                <w:color w:val="auto"/>
              </w:rPr>
              <w:t>(Registrant)</w:t>
            </w:r>
          </w:p>
        </w:tc>
      </w:tr>
      <w:tr>
        <w:trPr>
          <w:trHeight w:val="391"/>
        </w:trPr>
        <w:tc>
          <w:tcPr>
            <w:tcW w:w="3100" w:type="dxa"/>
            <w:vAlign w:val="bottom"/>
          </w:tcPr>
          <w:p>
            <w:pPr>
              <w:spacing w:after="0"/>
              <w:rPr>
                <w:sz w:val="24"/>
                <w:szCs w:val="24"/>
                <w:color w:val="auto"/>
              </w:rPr>
            </w:pPr>
          </w:p>
        </w:tc>
        <w:tc>
          <w:tcPr>
            <w:tcW w:w="5780" w:type="dxa"/>
            <w:vAlign w:val="bottom"/>
            <w:gridSpan w:val="2"/>
          </w:tcPr>
          <w:p>
            <w:pPr>
              <w:ind w:left="1540"/>
              <w:spacing w:after="0"/>
              <w:rPr>
                <w:sz w:val="20"/>
                <w:szCs w:val="20"/>
                <w:color w:val="auto"/>
              </w:rPr>
            </w:pPr>
            <w:r>
              <w:rPr>
                <w:rFonts w:ascii="Arial" w:cs="Arial" w:eastAsia="Arial" w:hAnsi="Arial"/>
                <w:sz w:val="18"/>
                <w:szCs w:val="18"/>
                <w:color w:val="auto"/>
              </w:rPr>
              <w:t>By:/s/ VAN A. DUKEMAN</w:t>
            </w:r>
          </w:p>
        </w:tc>
      </w:tr>
      <w:tr>
        <w:trPr>
          <w:trHeight w:val="182"/>
        </w:trPr>
        <w:tc>
          <w:tcPr>
            <w:tcW w:w="3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Van A. Dukeman</w:t>
            </w:r>
          </w:p>
        </w:tc>
      </w:tr>
      <w:tr>
        <w:trPr>
          <w:trHeight w:val="203"/>
        </w:trPr>
        <w:tc>
          <w:tcPr>
            <w:tcW w:w="3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Chairman, President and Chief Executive Officer</w:t>
            </w:r>
          </w:p>
        </w:tc>
      </w:tr>
      <w:tr>
        <w:trPr>
          <w:trHeight w:val="230"/>
        </w:trPr>
        <w:tc>
          <w:tcPr>
            <w:tcW w:w="3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392"/>
        </w:trPr>
        <w:tc>
          <w:tcPr>
            <w:tcW w:w="3100" w:type="dxa"/>
            <w:vAlign w:val="bottom"/>
          </w:tcPr>
          <w:p>
            <w:pPr>
              <w:spacing w:after="0"/>
              <w:rPr>
                <w:sz w:val="24"/>
                <w:szCs w:val="24"/>
                <w:color w:val="auto"/>
              </w:rPr>
            </w:pPr>
          </w:p>
        </w:tc>
        <w:tc>
          <w:tcPr>
            <w:tcW w:w="5780" w:type="dxa"/>
            <w:vAlign w:val="bottom"/>
            <w:gridSpan w:val="2"/>
          </w:tcPr>
          <w:p>
            <w:pPr>
              <w:ind w:left="1540"/>
              <w:spacing w:after="0"/>
              <w:rPr>
                <w:sz w:val="20"/>
                <w:szCs w:val="20"/>
                <w:color w:val="auto"/>
              </w:rPr>
            </w:pPr>
            <w:r>
              <w:rPr>
                <w:rFonts w:ascii="Arial" w:cs="Arial" w:eastAsia="Arial" w:hAnsi="Arial"/>
                <w:sz w:val="18"/>
                <w:szCs w:val="18"/>
                <w:color w:val="auto"/>
              </w:rPr>
              <w:t>By:/s/ JEFFREY D. JONES</w:t>
            </w:r>
          </w:p>
        </w:tc>
      </w:tr>
      <w:tr>
        <w:trPr>
          <w:trHeight w:val="182"/>
        </w:trPr>
        <w:tc>
          <w:tcPr>
            <w:tcW w:w="3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Jeffrey D. Jones</w:t>
            </w:r>
          </w:p>
        </w:tc>
      </w:tr>
      <w:tr>
        <w:trPr>
          <w:trHeight w:val="203"/>
        </w:trPr>
        <w:tc>
          <w:tcPr>
            <w:tcW w:w="31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3980" w:type="dxa"/>
            <w:vAlign w:val="bottom"/>
          </w:tcPr>
          <w:p>
            <w:pPr>
              <w:spacing w:after="0" w:line="202" w:lineRule="exact"/>
              <w:rPr>
                <w:sz w:val="20"/>
                <w:szCs w:val="20"/>
                <w:color w:val="auto"/>
              </w:rPr>
            </w:pPr>
            <w:r>
              <w:rPr>
                <w:rFonts w:ascii="Arial" w:cs="Arial" w:eastAsia="Arial" w:hAnsi="Arial"/>
                <w:sz w:val="18"/>
                <w:szCs w:val="18"/>
                <w:color w:val="auto"/>
              </w:rPr>
              <w:t>Chief Financial Officer</w:t>
            </w:r>
          </w:p>
        </w:tc>
      </w:tr>
      <w:tr>
        <w:trPr>
          <w:trHeight w:val="230"/>
        </w:trPr>
        <w:tc>
          <w:tcPr>
            <w:tcW w:w="3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Financial Officer)</w:t>
            </w:r>
          </w:p>
        </w:tc>
      </w:tr>
      <w:tr>
        <w:trPr>
          <w:trHeight w:val="392"/>
        </w:trPr>
        <w:tc>
          <w:tcPr>
            <w:tcW w:w="3100" w:type="dxa"/>
            <w:vAlign w:val="bottom"/>
          </w:tcPr>
          <w:p>
            <w:pPr>
              <w:spacing w:after="0"/>
              <w:rPr>
                <w:sz w:val="24"/>
                <w:szCs w:val="24"/>
                <w:color w:val="auto"/>
              </w:rPr>
            </w:pPr>
          </w:p>
        </w:tc>
        <w:tc>
          <w:tcPr>
            <w:tcW w:w="5780" w:type="dxa"/>
            <w:vAlign w:val="bottom"/>
            <w:gridSpan w:val="2"/>
          </w:tcPr>
          <w:p>
            <w:pPr>
              <w:ind w:left="1540"/>
              <w:spacing w:after="0"/>
              <w:rPr>
                <w:sz w:val="20"/>
                <w:szCs w:val="20"/>
                <w:color w:val="auto"/>
              </w:rPr>
            </w:pPr>
            <w:r>
              <w:rPr>
                <w:rFonts w:ascii="Arial" w:cs="Arial" w:eastAsia="Arial" w:hAnsi="Arial"/>
                <w:sz w:val="18"/>
                <w:szCs w:val="18"/>
                <w:color w:val="auto"/>
              </w:rPr>
              <w:t>By:/s/ LYNETTE M. STRODE</w:t>
            </w:r>
          </w:p>
        </w:tc>
      </w:tr>
      <w:tr>
        <w:trPr>
          <w:trHeight w:val="182"/>
        </w:trPr>
        <w:tc>
          <w:tcPr>
            <w:tcW w:w="31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98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Lynette M. Strode</w:t>
            </w:r>
          </w:p>
        </w:tc>
      </w:tr>
      <w:tr>
        <w:trPr>
          <w:trHeight w:val="230"/>
        </w:trPr>
        <w:tc>
          <w:tcPr>
            <w:tcW w:w="31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349250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PRINCIPAL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Van A. Dukeman, Chairman, President and Chief Executive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3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60" w:right="20" w:hanging="328"/>
        <w:spacing w:after="0" w:line="311" w:lineRule="auto"/>
        <w:tabs>
          <w:tab w:leader="none" w:pos="6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2620"/>
        <w:spacing w:after="0"/>
        <w:rPr>
          <w:sz w:val="20"/>
          <w:szCs w:val="20"/>
          <w:color w:val="auto"/>
        </w:rPr>
      </w:pPr>
      <w:r>
        <w:rPr>
          <w:rFonts w:ascii="Arial" w:cs="Arial" w:eastAsia="Arial" w:hAnsi="Arial"/>
          <w:sz w:val="18"/>
          <w:szCs w:val="18"/>
          <w:b w:val="1"/>
          <w:bCs w:val="1"/>
          <w:u w:val="single" w:color="auto"/>
          <w:color w:val="auto"/>
        </w:rPr>
        <w:t>CERTIFICATION OF PRINCIPAL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Jeffrey D. Jones, Chief Financial Officer of First Busey Corporation, certify that:</w:t>
      </w:r>
    </w:p>
    <w:p>
      <w:pPr>
        <w:spacing w:after="0" w:line="225"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First Busey Corporation;</w:t>
      </w:r>
    </w:p>
    <w:p>
      <w:pPr>
        <w:spacing w:after="0" w:line="225" w:lineRule="exact"/>
        <w:rPr>
          <w:rFonts w:ascii="Arial" w:cs="Arial" w:eastAsia="Arial" w:hAnsi="Arial"/>
          <w:sz w:val="18"/>
          <w:szCs w:val="18"/>
          <w:color w:val="auto"/>
        </w:rPr>
      </w:pPr>
    </w:p>
    <w:p>
      <w:pPr>
        <w:jc w:val="both"/>
        <w:ind w:left="340" w:right="22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83" w:lineRule="exact"/>
        <w:rPr>
          <w:rFonts w:ascii="Arial" w:cs="Arial" w:eastAsia="Arial" w:hAnsi="Arial"/>
          <w:sz w:val="18"/>
          <w:szCs w:val="18"/>
          <w:color w:val="auto"/>
        </w:rPr>
      </w:pPr>
    </w:p>
    <w:p>
      <w:pPr>
        <w:ind w:left="340" w:right="16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83" w:lineRule="exact"/>
        <w:rPr>
          <w:rFonts w:ascii="Arial" w:cs="Arial" w:eastAsia="Arial" w:hAnsi="Arial"/>
          <w:sz w:val="18"/>
          <w:szCs w:val="18"/>
          <w:color w:val="auto"/>
        </w:rPr>
      </w:pPr>
    </w:p>
    <w:p>
      <w:pPr>
        <w:ind w:left="340" w:right="8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60" w:hanging="328"/>
        <w:spacing w:after="0" w:line="311"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148" w:lineRule="exact"/>
        <w:rPr>
          <w:rFonts w:ascii="Arial" w:cs="Arial" w:eastAsia="Arial" w:hAnsi="Arial"/>
          <w:sz w:val="16"/>
          <w:szCs w:val="16"/>
          <w:color w:val="auto"/>
        </w:rPr>
      </w:pPr>
    </w:p>
    <w:p>
      <w:pPr>
        <w:ind w:left="660" w:right="240" w:hanging="328"/>
        <w:spacing w:after="0" w:line="286" w:lineRule="auto"/>
        <w:tabs>
          <w:tab w:leader="none" w:pos="660" w:val="left"/>
        </w:tabs>
        <w:numPr>
          <w:ilvl w:val="1"/>
          <w:numId w:val="3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7"/>
          <w:szCs w:val="17"/>
          <w:color w:val="auto"/>
        </w:rPr>
      </w:pPr>
    </w:p>
    <w:p>
      <w:pPr>
        <w:ind w:left="660" w:right="40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the end of the period covered by this Quarterly Report based on such evaluation; and</w:t>
      </w:r>
    </w:p>
    <w:p>
      <w:pPr>
        <w:spacing w:after="0" w:line="183" w:lineRule="exact"/>
        <w:rPr>
          <w:rFonts w:ascii="Arial" w:cs="Arial" w:eastAsia="Arial" w:hAnsi="Arial"/>
          <w:sz w:val="18"/>
          <w:szCs w:val="18"/>
          <w:color w:val="auto"/>
        </w:rPr>
      </w:pPr>
    </w:p>
    <w:p>
      <w:pPr>
        <w:ind w:left="660" w:right="20" w:hanging="328"/>
        <w:spacing w:after="0" w:line="311" w:lineRule="auto"/>
        <w:tabs>
          <w:tab w:leader="none" w:pos="660" w:val="left"/>
        </w:tabs>
        <w:numPr>
          <w:ilvl w:val="1"/>
          <w:numId w:val="31"/>
        </w:numPr>
        <w:rPr>
          <w:rFonts w:ascii="Arial" w:cs="Arial" w:eastAsia="Arial" w:hAnsi="Arial"/>
          <w:sz w:val="16"/>
          <w:szCs w:val="16"/>
          <w:color w:val="auto"/>
        </w:rPr>
      </w:pPr>
      <w:r>
        <w:rPr>
          <w:rFonts w:ascii="Arial" w:cs="Arial" w:eastAsia="Arial" w:hAnsi="Arial"/>
          <w:sz w:val="16"/>
          <w:szCs w:val="16"/>
          <w:color w:val="auto"/>
        </w:rPr>
        <w:t>disclosed in this Quarterly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8" w:lineRule="exact"/>
        <w:rPr>
          <w:rFonts w:ascii="Arial" w:cs="Arial" w:eastAsia="Arial" w:hAnsi="Arial"/>
          <w:sz w:val="16"/>
          <w:szCs w:val="16"/>
          <w:color w:val="auto"/>
        </w:rPr>
      </w:pPr>
    </w:p>
    <w:p>
      <w:pPr>
        <w:ind w:left="340" w:right="200" w:hanging="332"/>
        <w:spacing w:after="0" w:line="263" w:lineRule="auto"/>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660" w:right="100" w:hanging="328"/>
        <w:spacing w:after="0" w:line="263"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7" w:name="page88"/>
    <w:bookmarkEnd w:id="87"/>
    <w:p>
      <w:pPr>
        <w:ind w:left="8800"/>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Executive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2022,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VAN A. DUKEMAN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Van A. Dukeman</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Chairman, President and 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88" w:name="page89"/>
    <w:bookmarkEnd w:id="88"/>
    <w:p>
      <w:pPr>
        <w:ind w:left="8800"/>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The following certification is provided by the undersigned Chief Financial Officer of First Busey Corporation on the basis of such officer’s knowledge and belief for the sole purpose of complying with 18 U.S.C. Section 1350, as adopted pursuant to Section 906 of the Sarbanes-Oxley Act of 2002.</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 hereby certify, pursuant to 18 U.S.C. Section 1350, as adopted pursuant to Section 906 of the Sarbanes-Oxley Act of 2002, that the accompanying Quarterly Report of First Busey Corporation on Form 10-Q for the quarter ended June 30, 2022, fully complies with the requirements of Section 13(a) or 15(d) of the Securities Exchange Act of 1934, as amended, and that the information contained in such Quarterly Report fairly presents, in all material respects, the financial condition and results of operations of First Busey Corporation as of and for the periods covered by the Quarterly Report.</w:t>
      </w:r>
    </w:p>
    <w:p>
      <w:pPr>
        <w:spacing w:after="0" w:line="282"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/s/ JEFFREY D.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3152140</wp:posOffset>
            </wp:positionH>
            <wp:positionV relativeFrom="paragraph">
              <wp:posOffset>14605</wp:posOffset>
            </wp:positionV>
            <wp:extent cx="31457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Jeffrey D. Jones</w:t>
      </w:r>
    </w:p>
    <w:p>
      <w:pPr>
        <w:spacing w:after="0" w:line="2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August 4, 2022</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357505</wp:posOffset>
            </wp:positionV>
            <wp:extent cx="6292215"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
      <w:numFmt w:val="bullet"/>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decimal"/>
      <w:start w:val="1"/>
    </w:lvl>
  </w:abstractNum>
  <w:abstractNum w:abstractNumId="7">
    <w:nsid w:val="257130A3"/>
    <w:multiLevelType w:val="hybridMultilevel"/>
    <w:lvl w:ilvl="0">
      <w:lvlJc w:val="left"/>
      <w:lvlText w:val="(%1)"/>
      <w:numFmt w:val="decimal"/>
      <w:start w:val="1"/>
    </w:lvl>
  </w:abstractNum>
  <w:abstractNum w:abstractNumId="8">
    <w:nsid w:val="62BBD95A"/>
    <w:multiLevelType w:val="hybridMultilevel"/>
    <w:lvl w:ilvl="0">
      <w:lvlJc w:val="left"/>
      <w:lvlText w:val="●"/>
      <w:numFmt w:val="bullet"/>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abstractNum>
  <w:abstractNum w:abstractNumId="11">
    <w:nsid w:val="333AB105"/>
    <w:multiLevelType w:val="hybridMultilevel"/>
    <w:lvl w:ilvl="0">
      <w:lvlJc w:val="left"/>
      <w:lvlText w:val="(%1)"/>
      <w:numFmt w:val="decimal"/>
      <w:start w:val="1"/>
    </w:lvl>
  </w:abstractNum>
  <w:abstractNum w:abstractNumId="12">
    <w:nsid w:val="721DA317"/>
    <w:multiLevelType w:val="hybridMultilevel"/>
    <w:lvl w:ilvl="0">
      <w:lvlJc w:val="left"/>
      <w:lvlText w:val="(%1)"/>
      <w:numFmt w:val="decimal"/>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decimal"/>
      <w:start w:val="1"/>
    </w:lvl>
  </w:abstractNum>
  <w:abstractNum w:abstractNumId="16">
    <w:nsid w:val="75A2A8D4"/>
    <w:multiLevelType w:val="hybridMultilevel"/>
    <w:lvl w:ilvl="0">
      <w:lvlJc w:val="left"/>
      <w:lvlText w:val="(%1)"/>
      <w:numFmt w:val="decimal"/>
      <w:start w:val="1"/>
    </w:lvl>
  </w:abstractNum>
  <w:abstractNum w:abstractNumId="17">
    <w:nsid w:val="8EDBDAB"/>
    <w:multiLevelType w:val="hybridMultilevel"/>
    <w:lvl w:ilvl="0">
      <w:lvlJc w:val="left"/>
      <w:lvlText w:val="(%1)"/>
      <w:numFmt w:val="decimal"/>
      <w:start w:val="1"/>
    </w:lvl>
  </w:abstractNum>
  <w:abstractNum w:abstractNumId="18">
    <w:nsid w:val="79838CB2"/>
    <w:multiLevelType w:val="hybridMultilevel"/>
    <w:lvl w:ilvl="0">
      <w:lvlJc w:val="left"/>
      <w:lvlText w:val="(%1)"/>
      <w:numFmt w:val="decimal"/>
      <w:start w:val="1"/>
    </w:lvl>
  </w:abstractNum>
  <w:abstractNum w:abstractNumId="19">
    <w:nsid w:val="4353D0CD"/>
    <w:multiLevelType w:val="hybridMultilevel"/>
    <w:lvl w:ilvl="0">
      <w:lvlJc w:val="left"/>
      <w:lvlText w:val="%1"/>
      <w:numFmt w:val="upperLetter"/>
      <w:start w:val="68"/>
    </w:lvl>
  </w:abstractNum>
  <w:abstractNum w:abstractNumId="20">
    <w:nsid w:val="B03E0C6"/>
    <w:multiLevelType w:val="hybridMultilevel"/>
    <w:lvl w:ilvl="0">
      <w:lvlJc w:val="left"/>
      <w:lvlText w:val="(%1)"/>
      <w:numFmt w:val="decimal"/>
      <w:start w:val="1"/>
    </w:lvl>
  </w:abstractNum>
  <w:abstractNum w:abstractNumId="21">
    <w:nsid w:val="189A769B"/>
    <w:multiLevelType w:val="hybridMultilevel"/>
    <w:lvl w:ilvl="0">
      <w:lvlJc w:val="left"/>
      <w:lvlText w:val="(%1)"/>
      <w:numFmt w:val="decimal"/>
      <w:start w:val="1"/>
    </w:lvl>
  </w:abstractNum>
  <w:abstractNum w:abstractNumId="22">
    <w:nsid w:val="54E49EB4"/>
    <w:multiLevelType w:val="hybridMultilevel"/>
    <w:lvl w:ilvl="0">
      <w:lvlJc w:val="left"/>
      <w:lvlText w:val="(%1)"/>
      <w:numFmt w:val="decimal"/>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1"/>
    </w:lvl>
  </w:abstractNum>
  <w:abstractNum w:abstractNumId="25">
    <w:nsid w:val="836C40E"/>
    <w:multiLevelType w:val="hybridMultilevel"/>
    <w:lvl w:ilvl="0">
      <w:lvlJc w:val="left"/>
      <w:lvlText w:val="(%1)"/>
      <w:numFmt w:val="lowerRoman"/>
      <w:start w:val="2"/>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1)"/>
      <w:numFmt w:val="lowerRoman"/>
      <w:start w:val="1"/>
    </w:lvl>
  </w:abstractNum>
  <w:abstractNum w:abstractNumId="28">
    <w:nsid w:val="8138641"/>
    <w:multiLevelType w:val="hybridMultilevel"/>
    <w:lvl w:ilvl="0">
      <w:lvlJc w:val="left"/>
      <w:lvlText w:val="%1"/>
      <w:numFmt w:val="decimal"/>
      <w:start w:val="104"/>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2022-08-04T15:40:29Z</dcterms:created>
  <dcterms:modified xsi:type="dcterms:W3CDTF">2022-08-04T15:40:29Z</dcterms:modified>
</cp:coreProperties>
</file>