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1720"/>
        <w:spacing w:after="0"/>
        <w:rPr>
          <w:sz w:val="20"/>
          <w:szCs w:val="20"/>
          <w:color w:val="auto"/>
        </w:rPr>
      </w:pPr>
      <w:r>
        <w:rPr>
          <w:rFonts w:ascii="Arial" w:cs="Arial" w:eastAsia="Arial" w:hAnsi="Arial"/>
          <w:sz w:val="22"/>
          <w:szCs w:val="22"/>
          <w:b w:val="1"/>
          <w:bCs w:val="1"/>
          <w:color w:val="auto"/>
        </w:rPr>
        <w:t>x Quarterly Report Pursuant to Section 13 or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9/30/2016</w:t>
      </w:r>
    </w:p>
    <w:p>
      <w:pPr>
        <w:spacing w:after="0" w:line="216"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No. 0-15950</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FIRST BUSEY CORPORATION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Nevada</w:t>
            </w:r>
          </w:p>
        </w:tc>
        <w:tc>
          <w:tcPr>
            <w:tcW w:w="3800" w:type="dxa"/>
            <w:vAlign w:val="bottom"/>
          </w:tcPr>
          <w:p>
            <w:pPr>
              <w:jc w:val="right"/>
              <w:ind w:right="790"/>
              <w:spacing w:after="0"/>
              <w:rPr>
                <w:sz w:val="20"/>
                <w:szCs w:val="20"/>
                <w:color w:val="auto"/>
              </w:rPr>
            </w:pPr>
            <w:r>
              <w:rPr>
                <w:rFonts w:ascii="Arial" w:cs="Arial" w:eastAsia="Arial" w:hAnsi="Arial"/>
                <w:sz w:val="18"/>
                <w:szCs w:val="18"/>
                <w:b w:val="1"/>
                <w:bCs w:val="1"/>
                <w:color w:val="auto"/>
              </w:rPr>
              <w:t>37-1078406</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100 W. University Ave.</w:t>
            </w:r>
          </w:p>
        </w:tc>
        <w:tc>
          <w:tcPr>
            <w:tcW w:w="3800" w:type="dxa"/>
            <w:vAlign w:val="bottom"/>
          </w:tcPr>
          <w:p>
            <w:pPr>
              <w:spacing w:after="0"/>
              <w:rPr>
                <w:sz w:val="24"/>
                <w:szCs w:val="24"/>
                <w:color w:val="auto"/>
              </w:rPr>
            </w:pPr>
          </w:p>
        </w:tc>
      </w:tr>
      <w:tr>
        <w:trPr>
          <w:trHeight w:val="220"/>
        </w:trPr>
        <w:tc>
          <w:tcPr>
            <w:tcW w:w="5480" w:type="dxa"/>
            <w:vAlign w:val="bottom"/>
          </w:tcPr>
          <w:p>
            <w:pPr>
              <w:jc w:val="center"/>
              <w:ind w:right="1070"/>
              <w:spacing w:after="0"/>
              <w:rPr>
                <w:sz w:val="20"/>
                <w:szCs w:val="20"/>
                <w:color w:val="auto"/>
              </w:rPr>
            </w:pPr>
            <w:r>
              <w:rPr>
                <w:rFonts w:ascii="Arial" w:cs="Arial" w:eastAsia="Arial" w:hAnsi="Arial"/>
                <w:sz w:val="18"/>
                <w:szCs w:val="18"/>
                <w:b w:val="1"/>
                <w:bCs w:val="1"/>
                <w:color w:val="auto"/>
                <w:w w:val="92"/>
              </w:rPr>
              <w:t>Champaign, Illinois</w:t>
            </w:r>
          </w:p>
        </w:tc>
        <w:tc>
          <w:tcPr>
            <w:tcW w:w="3800" w:type="dxa"/>
            <w:vAlign w:val="bottom"/>
          </w:tcPr>
          <w:p>
            <w:pPr>
              <w:jc w:val="right"/>
              <w:ind w:right="1010"/>
              <w:spacing w:after="0"/>
              <w:rPr>
                <w:sz w:val="20"/>
                <w:szCs w:val="20"/>
                <w:color w:val="auto"/>
              </w:rPr>
            </w:pPr>
            <w:r>
              <w:rPr>
                <w:rFonts w:ascii="Arial" w:cs="Arial" w:eastAsia="Arial" w:hAnsi="Arial"/>
                <w:sz w:val="18"/>
                <w:szCs w:val="18"/>
                <w:b w:val="1"/>
                <w:bCs w:val="1"/>
                <w:color w:val="auto"/>
              </w:rPr>
              <w:t>61820</w:t>
            </w:r>
          </w:p>
        </w:tc>
      </w:tr>
      <w:tr>
        <w:trPr>
          <w:trHeight w:val="216"/>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3"/>
              </w:rPr>
              <w:t>(Address of principal</w:t>
            </w:r>
          </w:p>
        </w:tc>
        <w:tc>
          <w:tcPr>
            <w:tcW w:w="3800" w:type="dxa"/>
            <w:vAlign w:val="bottom"/>
          </w:tcPr>
          <w:p>
            <w:pPr>
              <w:jc w:val="center"/>
              <w:ind w:left="1070"/>
              <w:spacing w:after="0"/>
              <w:rPr>
                <w:sz w:val="20"/>
                <w:szCs w:val="20"/>
                <w:color w:val="auto"/>
              </w:rPr>
            </w:pPr>
            <w:r>
              <w:rPr>
                <w:rFonts w:ascii="Arial" w:cs="Arial" w:eastAsia="Arial" w:hAnsi="Arial"/>
                <w:sz w:val="18"/>
                <w:szCs w:val="18"/>
                <w:color w:val="auto"/>
                <w:w w:val="93"/>
              </w:rPr>
              <w:t>(Zip code)</w:t>
            </w:r>
          </w:p>
        </w:tc>
      </w:tr>
      <w:tr>
        <w:trPr>
          <w:trHeight w:val="230"/>
        </w:trPr>
        <w:tc>
          <w:tcPr>
            <w:tcW w:w="5480" w:type="dxa"/>
            <w:vAlign w:val="bottom"/>
          </w:tcPr>
          <w:p>
            <w:pPr>
              <w:jc w:val="center"/>
              <w:ind w:right="1070"/>
              <w:spacing w:after="0"/>
              <w:rPr>
                <w:sz w:val="20"/>
                <w:szCs w:val="20"/>
                <w:color w:val="auto"/>
              </w:rPr>
            </w:pPr>
            <w:r>
              <w:rPr>
                <w:rFonts w:ascii="Arial" w:cs="Arial" w:eastAsia="Arial" w:hAnsi="Arial"/>
                <w:sz w:val="18"/>
                <w:szCs w:val="18"/>
                <w:color w:val="auto"/>
                <w:w w:val="92"/>
              </w:rPr>
              <w:t>executive offices)</w:t>
            </w:r>
          </w:p>
        </w:tc>
        <w:tc>
          <w:tcPr>
            <w:tcW w:w="3800" w:type="dxa"/>
            <w:vAlign w:val="bottom"/>
          </w:tcPr>
          <w:p>
            <w:pPr>
              <w:spacing w:after="0"/>
              <w:rPr>
                <w:sz w:val="20"/>
                <w:szCs w:val="20"/>
                <w:color w:val="auto"/>
              </w:rPr>
            </w:pP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22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25" w:lineRule="exact"/>
        <w:rPr>
          <w:sz w:val="24"/>
          <w:szCs w:val="24"/>
          <w:color w:val="auto"/>
        </w:rPr>
      </w:pPr>
    </w:p>
    <w:p>
      <w:pPr>
        <w:jc w:val="both"/>
        <w:ind w:right="8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2360" w:type="dxa"/>
            <w:vAlign w:val="bottom"/>
          </w:tcPr>
          <w:p>
            <w:pPr>
              <w:jc w:val="right"/>
              <w:spacing w:after="0"/>
              <w:rPr>
                <w:sz w:val="20"/>
                <w:szCs w:val="20"/>
                <w:color w:val="auto"/>
              </w:rPr>
            </w:pPr>
            <w:r>
              <w:rPr>
                <w:rFonts w:ascii="Arial" w:cs="Arial" w:eastAsia="Arial" w:hAnsi="Arial"/>
                <w:sz w:val="18"/>
                <w:szCs w:val="18"/>
                <w:color w:val="auto"/>
              </w:rPr>
              <w:t>Accelerated filer x</w:t>
            </w: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Non-accelerated filer o (Do not check if a smaller reporting company)</w:t>
            </w:r>
          </w:p>
        </w:tc>
        <w:tc>
          <w:tcPr>
            <w:tcW w:w="2360" w:type="dxa"/>
            <w:vAlign w:val="bottom"/>
          </w:tcPr>
          <w:p>
            <w:pPr>
              <w:jc w:val="right"/>
              <w:spacing w:after="0"/>
              <w:rPr>
                <w:sz w:val="20"/>
                <w:szCs w:val="20"/>
                <w:color w:val="auto"/>
              </w:rPr>
            </w:pPr>
            <w:r>
              <w:rPr>
                <w:rFonts w:ascii="Arial" w:cs="Arial" w:eastAsia="Arial" w:hAnsi="Arial"/>
                <w:sz w:val="18"/>
                <w:szCs w:val="18"/>
                <w:color w:val="auto"/>
              </w:rPr>
              <w:t>Smaller reporting company o</w:t>
            </w:r>
          </w:p>
        </w:tc>
      </w:tr>
      <w:tr>
        <w:trPr>
          <w:trHeight w:val="432"/>
        </w:trPr>
        <w:tc>
          <w:tcPr>
            <w:tcW w:w="8420" w:type="dxa"/>
            <w:vAlign w:val="bottom"/>
          </w:tcPr>
          <w:p>
            <w:pPr>
              <w:spacing w:after="0"/>
              <w:rPr>
                <w:sz w:val="20"/>
                <w:szCs w:val="20"/>
                <w:color w:val="auto"/>
              </w:rPr>
            </w:pPr>
            <w:r>
              <w:rPr>
                <w:rFonts w:ascii="Arial" w:cs="Arial" w:eastAsia="Arial" w:hAnsi="Arial"/>
                <w:sz w:val="18"/>
                <w:szCs w:val="18"/>
                <w:color w:val="auto"/>
                <w:w w:val="93"/>
              </w:rPr>
              <w:t>Indicate by check mark whether the registrant is a shell company (as defined in Rule 12b-2 of the Exchange Act).</w:t>
            </w:r>
          </w:p>
        </w:tc>
        <w:tc>
          <w:tcPr>
            <w:tcW w:w="2360" w:type="dxa"/>
            <w:vAlign w:val="bottom"/>
          </w:tcPr>
          <w:p>
            <w:pPr>
              <w:spacing w:after="0"/>
              <w:rPr>
                <w:sz w:val="24"/>
                <w:szCs w:val="24"/>
                <w:color w:val="auto"/>
              </w:rPr>
            </w:pPr>
          </w:p>
        </w:tc>
      </w:tr>
      <w:tr>
        <w:trPr>
          <w:trHeight w:val="432"/>
        </w:trPr>
        <w:tc>
          <w:tcPr>
            <w:tcW w:w="8420" w:type="dxa"/>
            <w:vAlign w:val="bottom"/>
          </w:tcPr>
          <w:p>
            <w:pPr>
              <w:spacing w:after="0"/>
              <w:rPr>
                <w:sz w:val="20"/>
                <w:szCs w:val="20"/>
                <w:color w:val="auto"/>
              </w:rPr>
            </w:pPr>
            <w:r>
              <w:rPr>
                <w:rFonts w:ascii="Arial" w:cs="Arial" w:eastAsia="Arial" w:hAnsi="Arial"/>
                <w:sz w:val="18"/>
                <w:szCs w:val="18"/>
                <w:color w:val="auto"/>
              </w:rPr>
              <w:t>Yes o No x</w:t>
            </w:r>
          </w:p>
        </w:tc>
        <w:tc>
          <w:tcPr>
            <w:tcW w:w="2360" w:type="dxa"/>
            <w:vAlign w:val="bottom"/>
          </w:tcPr>
          <w:p>
            <w:pPr>
              <w:spacing w:after="0"/>
              <w:rPr>
                <w:sz w:val="24"/>
                <w:szCs w:val="24"/>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Class</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 at November 8, 2016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4"/>
        </w:trPr>
        <w:tc>
          <w:tcPr>
            <w:tcW w:w="5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300" w:type="dxa"/>
            <w:vAlign w:val="bottom"/>
          </w:tcPr>
          <w:p>
            <w:pPr>
              <w:spacing w:after="0"/>
              <w:rPr>
                <w:sz w:val="19"/>
                <w:szCs w:val="19"/>
                <w:color w:val="auto"/>
              </w:rPr>
            </w:pPr>
          </w:p>
        </w:tc>
        <w:tc>
          <w:tcPr>
            <w:tcW w:w="5700" w:type="dxa"/>
            <w:vAlign w:val="bottom"/>
            <w:tcBorders>
              <w:top w:val="single" w:sz="8" w:color="auto"/>
            </w:tcBorders>
          </w:tcPr>
          <w:p>
            <w:pPr>
              <w:jc w:val="right"/>
              <w:ind w:right="2379"/>
              <w:spacing w:after="0"/>
              <w:rPr>
                <w:sz w:val="20"/>
                <w:szCs w:val="20"/>
                <w:color w:val="auto"/>
              </w:rPr>
            </w:pPr>
            <w:r>
              <w:rPr>
                <w:rFonts w:ascii="Arial" w:cs="Arial" w:eastAsia="Arial" w:hAnsi="Arial"/>
                <w:sz w:val="18"/>
                <w:szCs w:val="18"/>
                <w:color w:val="auto"/>
              </w:rPr>
              <w:t>38,207,190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5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5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7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53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September 30, 2016 and December 31, 2015</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60"/>
          </w:cols>
          <w:pgMar w:left="240" w:top="544" w:right="19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September 30, 2016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340" w:type="dxa"/>
            <w:vAlign w:val="bottom"/>
            <w:tcBorders>
              <w:top w:val="single" w:sz="8" w:color="auto"/>
            </w:tcBorders>
            <w:gridSpan w:val="5"/>
          </w:tcPr>
          <w:p>
            <w:pPr>
              <w:jc w:val="right"/>
              <w:ind w:right="991"/>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89"/>
              </w:rPr>
              <w:t>Cash and due from banks (interest-bearing 2016 $288,016; 2015</w:t>
            </w:r>
          </w:p>
        </w:tc>
        <w:tc>
          <w:tcPr>
            <w:tcW w:w="2760" w:type="dxa"/>
            <w:vAlign w:val="bottom"/>
          </w:tcPr>
          <w:p>
            <w:pPr>
              <w:jc w:val="right"/>
              <w:ind w:right="1910"/>
              <w:spacing w:after="0"/>
              <w:rPr>
                <w:sz w:val="20"/>
                <w:szCs w:val="20"/>
                <w:color w:val="auto"/>
              </w:rPr>
            </w:pPr>
            <w:r>
              <w:rPr>
                <w:rFonts w:ascii="Arial" w:cs="Arial" w:eastAsia="Arial" w:hAnsi="Arial"/>
                <w:sz w:val="18"/>
                <w:szCs w:val="18"/>
                <w:color w:val="auto"/>
                <w:w w:val="91"/>
              </w:rPr>
              <w:t>$250,404)</w:t>
            </w:r>
          </w:p>
        </w:tc>
        <w:tc>
          <w:tcPr>
            <w:tcW w:w="3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358,337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319,280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w:t>
            </w: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360,835</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319,280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Securities available for sale, at fair value</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774,683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834,838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Securities held to maturity, at amortized cost</w:t>
            </w: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50,460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Loans held for sale</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266,382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9,351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Portfolio loans (net of allowance for loan losses 2016 $47,847; 2015 $47,487)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3,759,766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80,287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63,088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102,356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19,743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7,432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surrender value of bank owned life insurance</w:t>
            </w: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79,455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Deferred tax asset, net</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20,651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21,638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77,623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27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5,592,241</w:t>
            </w:r>
          </w:p>
        </w:tc>
        <w:tc>
          <w:tcPr>
            <w:tcW w:w="2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3,998,976</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2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Noninterest-bearing</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996,750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881,685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w:t>
            </w: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3,339,756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2,407,421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Total deposits</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4,336,506</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3,289,106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Securities sold under agreements to repurchase</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212,363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172,972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246,700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Long-term debt</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80,000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debt owed to unconsolidated trusts</w:t>
            </w: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70,834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 liabilities</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49,764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28,712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7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4,996,167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3,625,790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Commitments and contingencies (See Note 13- Outstanding Commitments and Contingent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$.001 par value, authorized 66,666,667 shares; shares issued 2016 38,869,519; 2015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29,427,738</w:t>
            </w:r>
          </w:p>
        </w:tc>
        <w:tc>
          <w:tcPr>
            <w:tcW w:w="2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783,409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591,053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(168,552)</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6,758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 before treasury stock</w:t>
            </w:r>
          </w:p>
        </w:tc>
        <w:tc>
          <w:tcPr>
            <w:tcW w:w="27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621,654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403,157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 shares held in treasury at cost, 2016 662,512; 2015 732,887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(25,580)</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27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596,074</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373,186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7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5,592,241</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3,998,976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outstanding at period end</w:t>
            </w: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38,207,007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28,694,851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760" w:type="dxa"/>
            <w:vAlign w:val="bottom"/>
            <w:gridSpan w:val="4"/>
            <w:vMerge w:val="restart"/>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6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760" w:type="dxa"/>
            <w:vAlign w:val="bottom"/>
          </w:tcPr>
          <w:p>
            <w:pPr>
              <w:jc w:val="center"/>
              <w:ind w:right="610"/>
              <w:spacing w:after="0"/>
              <w:rPr>
                <w:sz w:val="20"/>
                <w:szCs w:val="20"/>
                <w:color w:val="auto"/>
              </w:rPr>
            </w:pPr>
            <w:r>
              <w:rPr>
                <w:rFonts w:ascii="Arial" w:cs="Arial" w:eastAsia="Arial" w:hAnsi="Arial"/>
                <w:sz w:val="18"/>
                <w:szCs w:val="18"/>
                <w:color w:val="auto"/>
                <w:w w:val="99"/>
              </w:rPr>
              <w:t>3</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420" w:type="dxa"/>
            <w:vAlign w:val="bottom"/>
            <w:tcBorders>
              <w:bottom w:val="single" w:sz="8" w:color="808080"/>
            </w:tcBorders>
            <w:gridSpan w:val="2"/>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7740" w:type="dxa"/>
            <w:vAlign w:val="bottom"/>
            <w:gridSpan w:val="3"/>
          </w:tcPr>
          <w:p>
            <w:pPr>
              <w:jc w:val="center"/>
              <w:ind w:left="355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jc w:val="center"/>
              <w:ind w:left="3570"/>
              <w:spacing w:after="0"/>
              <w:rPr>
                <w:sz w:val="20"/>
                <w:szCs w:val="20"/>
                <w:color w:val="auto"/>
              </w:rPr>
            </w:pPr>
            <w:r>
              <w:rPr>
                <w:rFonts w:ascii="Arial" w:cs="Arial" w:eastAsia="Arial" w:hAnsi="Arial"/>
                <w:sz w:val="18"/>
                <w:szCs w:val="18"/>
                <w:b w:val="1"/>
                <w:bCs w:val="1"/>
                <w:color w:val="auto"/>
              </w:rPr>
              <w:t>CONSOLIDATED STATEMENTS OF 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tcPr>
          <w:p>
            <w:pPr>
              <w:jc w:val="right"/>
              <w:spacing w:after="0"/>
              <w:rPr>
                <w:sz w:val="20"/>
                <w:szCs w:val="20"/>
                <w:color w:val="auto"/>
              </w:rPr>
            </w:pPr>
            <w:r>
              <w:rPr>
                <w:rFonts w:ascii="Arial" w:cs="Arial" w:eastAsia="Arial" w:hAnsi="Arial"/>
                <w:sz w:val="18"/>
                <w:szCs w:val="18"/>
                <w:b w:val="1"/>
                <w:bCs w:val="1"/>
                <w:color w:val="auto"/>
              </w:rPr>
              <w:t>For the Nine Months Ended September 30, 2016 and 2015</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080" w:type="dxa"/>
            <w:vAlign w:val="bottom"/>
            <w:gridSpan w:val="2"/>
          </w:tcPr>
          <w:p>
            <w:pPr>
              <w:jc w:val="center"/>
              <w:ind w:right="945"/>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80" w:type="dxa"/>
            <w:vAlign w:val="bottom"/>
            <w:gridSpan w:val="6"/>
          </w:tcPr>
          <w:p>
            <w:pPr>
              <w:jc w:val="right"/>
              <w:ind w:right="371"/>
              <w:spacing w:after="0" w:line="142" w:lineRule="exact"/>
              <w:rPr>
                <w:sz w:val="20"/>
                <w:szCs w:val="20"/>
                <w:color w:val="auto"/>
              </w:rPr>
            </w:pPr>
            <w:r>
              <w:rPr>
                <w:rFonts w:ascii="Arial" w:cs="Arial" w:eastAsia="Arial" w:hAnsi="Arial"/>
                <w:sz w:val="14"/>
                <w:szCs w:val="14"/>
                <w:b w:val="1"/>
                <w:bCs w:val="1"/>
                <w:color w:val="auto"/>
                <w:w w:val="91"/>
              </w:rPr>
              <w:t>(dollars in thousands, except per share amounts)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Interest and fees on loans</w:t>
            </w:r>
          </w:p>
        </w:tc>
        <w:tc>
          <w:tcPr>
            <w:tcW w:w="30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104,333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73,851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dividends on investment securities:</w:t>
            </w: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Taxable interest income</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10,585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10,588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Non-taxable interest income</w:t>
            </w: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interest income</w:t>
            </w:r>
          </w:p>
        </w:tc>
        <w:tc>
          <w:tcPr>
            <w:tcW w:w="27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117,250</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86,903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expense:</w:t>
            </w:r>
          </w:p>
        </w:tc>
        <w:tc>
          <w:tcPr>
            <w:tcW w:w="2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Deposits</w:t>
            </w:r>
          </w:p>
        </w:tc>
        <w:tc>
          <w:tcPr>
            <w:tcW w:w="30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4,998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3,624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461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Junior subordinated debt owed to unconsolidated trusts</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 expense</w:t>
            </w:r>
          </w:p>
        </w:tc>
        <w:tc>
          <w:tcPr>
            <w:tcW w:w="27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7,225</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Net interest income</w:t>
            </w:r>
          </w:p>
        </w:tc>
        <w:tc>
          <w:tcPr>
            <w:tcW w:w="276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110,025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82,216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interest income after provision for loan losses</w:t>
            </w:r>
          </w:p>
        </w:tc>
        <w:tc>
          <w:tcPr>
            <w:tcW w:w="27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105,975</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81,616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660" w:type="dxa"/>
            <w:vAlign w:val="bottom"/>
            <w:shd w:val="clear" w:color="auto" w:fill="CCEEFF"/>
          </w:tcPr>
          <w:p>
            <w:pPr>
              <w:spacing w:after="0"/>
              <w:rPr>
                <w:sz w:val="3"/>
                <w:szCs w:val="3"/>
                <w:color w:val="auto"/>
              </w:rPr>
            </w:pPr>
          </w:p>
        </w:tc>
        <w:tc>
          <w:tcPr>
            <w:tcW w:w="27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-3536315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-3536315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1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Trust fees</w:t>
            </w:r>
          </w:p>
        </w:tc>
        <w:tc>
          <w:tcPr>
            <w:tcW w:w="1160" w:type="dxa"/>
            <w:vAlign w:val="bottom"/>
          </w:tcPr>
          <w:p>
            <w:pPr>
              <w:jc w:val="right"/>
              <w:ind w:right="10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15,112</w:t>
            </w:r>
          </w:p>
        </w:tc>
        <w:tc>
          <w:tcPr>
            <w:tcW w:w="100" w:type="dxa"/>
            <w:vAlign w:val="bottom"/>
          </w:tcPr>
          <w:p>
            <w:pPr>
              <w:spacing w:after="0"/>
              <w:rPr>
                <w:sz w:val="18"/>
                <w:szCs w:val="18"/>
                <w:color w:val="auto"/>
              </w:rPr>
            </w:pP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15,385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Commissions and brokers’ fees, net</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Remittance processing</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8,372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Other service charges and fees</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4,883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sales of loans, net</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Security gains (losses), net</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non-interest income</w:t>
            </w:r>
          </w:p>
        </w:tc>
        <w:tc>
          <w:tcPr>
            <w:tcW w:w="1160" w:type="dxa"/>
            <w:vAlign w:val="bottom"/>
            <w:tcBorders>
              <w:top w:val="single" w:sz="8" w:color="auto"/>
              <w:bottom w:val="single" w:sz="8" w:color="auto"/>
            </w:tcBorders>
          </w:tcPr>
          <w:p>
            <w:pPr>
              <w:jc w:val="right"/>
              <w:ind w:right="10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56,168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48,477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Non-interest expense:</w:t>
            </w:r>
          </w:p>
        </w:tc>
        <w:tc>
          <w:tcPr>
            <w:tcW w:w="1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Salaries and wages</w:t>
            </w:r>
          </w:p>
        </w:tc>
        <w:tc>
          <w:tcPr>
            <w:tcW w:w="1160" w:type="dxa"/>
            <w:vAlign w:val="bottom"/>
          </w:tcPr>
          <w:p>
            <w:pPr>
              <w:jc w:val="right"/>
              <w:ind w:right="100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44,103</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41,181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benefits</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occupancy expense of premises</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6,496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 expense</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Data processing</w:t>
            </w:r>
          </w:p>
        </w:tc>
        <w:tc>
          <w:tcPr>
            <w:tcW w:w="1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12,677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9,843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Regulatory expense</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1,813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1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non-interest expense</w:t>
            </w:r>
          </w:p>
        </w:tc>
        <w:tc>
          <w:tcPr>
            <w:tcW w:w="1160" w:type="dxa"/>
            <w:vAlign w:val="bottom"/>
            <w:tcBorders>
              <w:top w:val="single" w:sz="8" w:color="auto"/>
              <w:bottom w:val="single" w:sz="8" w:color="auto"/>
            </w:tcBorders>
          </w:tcPr>
          <w:p>
            <w:pPr>
              <w:jc w:val="right"/>
              <w:ind w:right="10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103,451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86,942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1160" w:type="dxa"/>
            <w:vAlign w:val="bottom"/>
            <w:shd w:val="clear" w:color="auto" w:fill="CCEEFF"/>
          </w:tcPr>
          <w:p>
            <w:pPr>
              <w:jc w:val="right"/>
              <w:ind w:right="10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1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20,453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14,828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w:t>
            </w:r>
          </w:p>
        </w:tc>
        <w:tc>
          <w:tcPr>
            <w:tcW w:w="1160" w:type="dxa"/>
            <w:vAlign w:val="bottom"/>
            <w:tcBorders>
              <w:top w:val="single" w:sz="8" w:color="auto"/>
              <w:bottom w:val="single" w:sz="8" w:color="auto"/>
            </w:tcBorders>
            <w:shd w:val="clear" w:color="auto" w:fill="CCEEFF"/>
          </w:tcPr>
          <w:p>
            <w:pPr>
              <w:jc w:val="right"/>
              <w:ind w:right="10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Preferred stock dividends</w:t>
            </w:r>
          </w:p>
        </w:tc>
        <w:tc>
          <w:tcPr>
            <w:tcW w:w="1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 available to common stockholders</w:t>
            </w:r>
          </w:p>
        </w:tc>
        <w:tc>
          <w:tcPr>
            <w:tcW w:w="1160" w:type="dxa"/>
            <w:vAlign w:val="bottom"/>
            <w:tcBorders>
              <w:bottom w:val="single" w:sz="8" w:color="auto"/>
            </w:tcBorders>
            <w:shd w:val="clear" w:color="auto" w:fill="CCEEFF"/>
          </w:tcPr>
          <w:p>
            <w:pPr>
              <w:jc w:val="right"/>
              <w:ind w:right="10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common share</w:t>
            </w: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tcBorders>
              <w:bottom w:val="single" w:sz="8" w:color="CCEEFF"/>
            </w:tcBorders>
            <w:vMerge w:val="continue"/>
          </w:tcPr>
          <w:p>
            <w:pPr>
              <w:spacing w:after="0"/>
              <w:rPr>
                <w:sz w:val="20"/>
                <w:szCs w:val="20"/>
                <w:color w:val="auto"/>
              </w:rPr>
            </w:pPr>
          </w:p>
        </w:tc>
        <w:tc>
          <w:tcPr>
            <w:tcW w:w="1160" w:type="dxa"/>
            <w:vAlign w:val="bottom"/>
            <w:tcBorders>
              <w:bottom w:val="single" w:sz="8" w:color="auto"/>
            </w:tcBorders>
          </w:tcPr>
          <w:p>
            <w:pPr>
              <w:jc w:val="right"/>
              <w:ind w:right="10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44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Diluted earnings per common share</w:t>
            </w:r>
          </w:p>
        </w:tc>
        <w:tc>
          <w:tcPr>
            <w:tcW w:w="1160" w:type="dxa"/>
            <w:vAlign w:val="bottom"/>
            <w:tcBorders>
              <w:bottom w:val="single" w:sz="8" w:color="auto"/>
            </w:tcBorders>
            <w:shd w:val="clear" w:color="auto" w:fill="CCEEFF"/>
          </w:tcPr>
          <w:p>
            <w:pPr>
              <w:jc w:val="right"/>
              <w:ind w:right="10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 per share of common stock</w:t>
            </w: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ind w:right="10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0.51</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0.45</w:t>
            </w: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Pr>
          <w:p>
            <w:pPr>
              <w:jc w:val="center"/>
              <w:ind w:left="3890"/>
              <w:spacing w:after="0"/>
              <w:rPr>
                <w:sz w:val="20"/>
                <w:szCs w:val="20"/>
                <w:color w:val="auto"/>
              </w:rPr>
            </w:pPr>
            <w:r>
              <w:rPr>
                <w:rFonts w:ascii="Arial" w:cs="Arial" w:eastAsia="Arial" w:hAnsi="Arial"/>
                <w:sz w:val="18"/>
                <w:szCs w:val="18"/>
                <w:color w:val="auto"/>
                <w:w w:val="99"/>
              </w:rPr>
              <w:t>4</w:t>
            </w: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600" w:type="dxa"/>
            <w:vAlign w:val="bottom"/>
            <w:tcBorders>
              <w:bottom w:val="single" w:sz="8" w:color="808080"/>
            </w:tcBorders>
            <w:gridSpan w:val="2"/>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8600" w:type="dxa"/>
            <w:vAlign w:val="bottom"/>
            <w:gridSpan w:val="2"/>
          </w:tcPr>
          <w:p>
            <w:pPr>
              <w:jc w:val="center"/>
              <w:ind w:left="273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jc w:val="center"/>
              <w:ind w:left="2750"/>
              <w:spacing w:after="0"/>
              <w:rPr>
                <w:sz w:val="20"/>
                <w:szCs w:val="20"/>
                <w:color w:val="auto"/>
              </w:rPr>
            </w:pPr>
            <w:r>
              <w:rPr>
                <w:rFonts w:ascii="Arial" w:cs="Arial" w:eastAsia="Arial" w:hAnsi="Arial"/>
                <w:sz w:val="18"/>
                <w:szCs w:val="18"/>
                <w:b w:val="1"/>
                <w:bCs w:val="1"/>
                <w:color w:val="auto"/>
              </w:rPr>
              <w:t>CONSOLIDATED STATEMENTS OF INCOME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jc w:val="center"/>
              <w:ind w:left="2730"/>
              <w:spacing w:after="0"/>
              <w:rPr>
                <w:sz w:val="20"/>
                <w:szCs w:val="20"/>
                <w:color w:val="auto"/>
              </w:rPr>
            </w:pPr>
            <w:r>
              <w:rPr>
                <w:rFonts w:ascii="Arial" w:cs="Arial" w:eastAsia="Arial" w:hAnsi="Arial"/>
                <w:sz w:val="18"/>
                <w:szCs w:val="18"/>
                <w:b w:val="1"/>
                <w:bCs w:val="1"/>
                <w:color w:val="auto"/>
                <w:w w:val="90"/>
              </w:rPr>
              <w:t>For the Three Months Ended September 30, 2016 and 2015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tcPr>
          <w:p>
            <w:pPr>
              <w:jc w:val="center"/>
              <w:ind w:left="3890"/>
              <w:spacing w:after="0"/>
              <w:rPr>
                <w:sz w:val="20"/>
                <w:szCs w:val="20"/>
                <w:color w:val="auto"/>
              </w:rPr>
            </w:pPr>
            <w:r>
              <w:rPr>
                <w:rFonts w:ascii="Arial" w:cs="Arial" w:eastAsia="Arial" w:hAnsi="Arial"/>
                <w:sz w:val="18"/>
                <w:szCs w:val="18"/>
                <w:b w:val="1"/>
                <w:bCs w:val="1"/>
                <w:color w:val="auto"/>
                <w:w w:val="93"/>
              </w:rPr>
              <w:t>(Unaudited)</w:t>
            </w: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440" w:type="dxa"/>
            <w:vAlign w:val="bottom"/>
          </w:tcPr>
          <w:p>
            <w:pPr>
              <w:spacing w:after="0"/>
              <w:rPr>
                <w:sz w:val="24"/>
                <w:szCs w:val="24"/>
                <w:color w:val="auto"/>
              </w:rPr>
            </w:pPr>
          </w:p>
        </w:tc>
        <w:tc>
          <w:tcPr>
            <w:tcW w:w="116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3880" w:type="dxa"/>
            <w:vAlign w:val="bottom"/>
            <w:gridSpan w:val="6"/>
          </w:tcPr>
          <w:p>
            <w:pPr>
              <w:jc w:val="right"/>
              <w:ind w:right="370"/>
              <w:spacing w:after="0" w:line="142" w:lineRule="exact"/>
              <w:rPr>
                <w:sz w:val="20"/>
                <w:szCs w:val="20"/>
                <w:color w:val="auto"/>
              </w:rPr>
            </w:pPr>
            <w:r>
              <w:rPr>
                <w:rFonts w:ascii="Arial" w:cs="Arial" w:eastAsia="Arial" w:hAnsi="Arial"/>
                <w:sz w:val="14"/>
                <w:szCs w:val="14"/>
                <w:b w:val="1"/>
                <w:bCs w:val="1"/>
                <w:color w:val="auto"/>
              </w:rPr>
              <w:t>(dollars in thousands, except per share amounts)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Interest and fees on loans</w:t>
            </w:r>
          </w:p>
        </w:tc>
        <w:tc>
          <w:tcPr>
            <w:tcW w:w="1160" w:type="dxa"/>
            <w:vAlign w:val="bottom"/>
          </w:tcPr>
          <w:p>
            <w:pPr>
              <w:jc w:val="right"/>
              <w:ind w:right="100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43,002</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25,099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dividends on investment securities:</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Taxable interest income</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3,791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Non-taxable interest income</w:t>
            </w:r>
          </w:p>
        </w:tc>
        <w:tc>
          <w:tcPr>
            <w:tcW w:w="1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interest income</w:t>
            </w:r>
          </w:p>
        </w:tc>
        <w:tc>
          <w:tcPr>
            <w:tcW w:w="1160" w:type="dxa"/>
            <w:vAlign w:val="bottom"/>
            <w:tcBorders>
              <w:top w:val="single" w:sz="8" w:color="auto"/>
              <w:bottom w:val="single" w:sz="8" w:color="auto"/>
            </w:tcBorders>
          </w:tcPr>
          <w:p>
            <w:pPr>
              <w:jc w:val="right"/>
              <w:ind w:right="10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47,188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29,730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expense:</w:t>
            </w:r>
          </w:p>
        </w:tc>
        <w:tc>
          <w:tcPr>
            <w:tcW w:w="1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160" w:type="dxa"/>
            <w:vAlign w:val="bottom"/>
          </w:tcPr>
          <w:p>
            <w:pPr>
              <w:jc w:val="right"/>
              <w:ind w:right="10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18"/>
                <w:szCs w:val="18"/>
                <w:color w:val="auto"/>
              </w:rPr>
            </w:pP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1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1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Junior subordinated debt owed to unconsolidated trusts</w:t>
            </w:r>
          </w:p>
        </w:tc>
        <w:tc>
          <w:tcPr>
            <w:tcW w:w="1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 expense</w:t>
            </w:r>
          </w:p>
        </w:tc>
        <w:tc>
          <w:tcPr>
            <w:tcW w:w="1160" w:type="dxa"/>
            <w:vAlign w:val="bottom"/>
            <w:tcBorders>
              <w:top w:val="single" w:sz="8" w:color="auto"/>
              <w:bottom w:val="single" w:sz="8" w:color="auto"/>
            </w:tcBorders>
            <w:shd w:val="clear" w:color="auto" w:fill="CCEEFF"/>
          </w:tcPr>
          <w:p>
            <w:pPr>
              <w:jc w:val="right"/>
              <w:ind w:right="10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ind w:left="360"/>
              <w:spacing w:after="0"/>
              <w:rPr>
                <w:sz w:val="20"/>
                <w:szCs w:val="20"/>
                <w:color w:val="auto"/>
              </w:rPr>
            </w:pPr>
            <w:r>
              <w:rPr>
                <w:rFonts w:ascii="Arial" w:cs="Arial" w:eastAsia="Arial" w:hAnsi="Arial"/>
                <w:sz w:val="18"/>
                <w:szCs w:val="18"/>
                <w:color w:val="auto"/>
              </w:rPr>
              <w:t>Net interest income</w:t>
            </w:r>
          </w:p>
        </w:tc>
        <w:tc>
          <w:tcPr>
            <w:tcW w:w="1160" w:type="dxa"/>
            <w:vAlign w:val="bottom"/>
          </w:tcPr>
          <w:p>
            <w:pPr>
              <w:jc w:val="right"/>
              <w:ind w:right="10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44,131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28,195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loan losses</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interest income after provision for loan losses</w:t>
            </w:r>
          </w:p>
        </w:tc>
        <w:tc>
          <w:tcPr>
            <w:tcW w:w="1160" w:type="dxa"/>
            <w:vAlign w:val="bottom"/>
            <w:tcBorders>
              <w:top w:val="single" w:sz="8" w:color="auto"/>
              <w:bottom w:val="single" w:sz="8" w:color="auto"/>
            </w:tcBorders>
          </w:tcPr>
          <w:p>
            <w:pPr>
              <w:jc w:val="right"/>
              <w:ind w:right="10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42,181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28,095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Non-interest income:</w:t>
            </w:r>
          </w:p>
        </w:tc>
        <w:tc>
          <w:tcPr>
            <w:tcW w:w="1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Trust fees</w:t>
            </w:r>
          </w:p>
        </w:tc>
        <w:tc>
          <w:tcPr>
            <w:tcW w:w="1160" w:type="dxa"/>
            <w:vAlign w:val="bottom"/>
          </w:tcPr>
          <w:p>
            <w:pPr>
              <w:jc w:val="right"/>
              <w:ind w:right="10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18"/>
                <w:szCs w:val="18"/>
                <w:color w:val="auto"/>
              </w:rPr>
            </w:pP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4,542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Commissions and brokers’ fees, net</w:t>
            </w:r>
          </w:p>
        </w:tc>
        <w:tc>
          <w:tcPr>
            <w:tcW w:w="1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Remittance processing</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2,897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Other service charges and fees</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1,614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sales of loans, net</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Security gains (losses), net</w:t>
            </w:r>
          </w:p>
        </w:tc>
        <w:tc>
          <w:tcPr>
            <w:tcW w:w="1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non-interest income</w:t>
            </w:r>
          </w:p>
        </w:tc>
        <w:tc>
          <w:tcPr>
            <w:tcW w:w="1160" w:type="dxa"/>
            <w:vAlign w:val="bottom"/>
            <w:tcBorders>
              <w:top w:val="single" w:sz="8" w:color="auto"/>
              <w:bottom w:val="single" w:sz="8" w:color="auto"/>
            </w:tcBorders>
          </w:tcPr>
          <w:p>
            <w:pPr>
              <w:jc w:val="right"/>
              <w:ind w:right="10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20,745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15,889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Non-interest expense:</w:t>
            </w:r>
          </w:p>
        </w:tc>
        <w:tc>
          <w:tcPr>
            <w:tcW w:w="1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Salaries and wages</w:t>
            </w:r>
          </w:p>
        </w:tc>
        <w:tc>
          <w:tcPr>
            <w:tcW w:w="1160" w:type="dxa"/>
            <w:vAlign w:val="bottom"/>
          </w:tcPr>
          <w:p>
            <w:pPr>
              <w:jc w:val="right"/>
              <w:ind w:right="100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17,197</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13,365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benefits</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occupancy expense of premises</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2,090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 expense</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Data processing</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-5841365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-5841365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Regulatory expense</w:t>
            </w:r>
          </w:p>
        </w:tc>
        <w:tc>
          <w:tcPr>
            <w:tcW w:w="7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non-interest expense</w:t>
            </w:r>
          </w:p>
        </w:tc>
        <w:tc>
          <w:tcPr>
            <w:tcW w:w="72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39,415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7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8,089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w:t>
            </w:r>
          </w:p>
        </w:tc>
        <w:tc>
          <w:tcPr>
            <w:tcW w:w="72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Preferred stock dividends</w:t>
            </w:r>
          </w:p>
        </w:tc>
        <w:tc>
          <w:tcPr>
            <w:tcW w:w="7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 available to common stockholders</w:t>
            </w:r>
          </w:p>
        </w:tc>
        <w:tc>
          <w:tcPr>
            <w:tcW w:w="720" w:type="dxa"/>
            <w:vAlign w:val="bottom"/>
            <w:tcBorders>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15,422</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common share</w:t>
            </w: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0.40</w:t>
            </w:r>
          </w:p>
        </w:tc>
        <w:tc>
          <w:tcPr>
            <w:tcW w:w="2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68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0.36</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44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Diluted earnings per common share</w:t>
            </w:r>
          </w:p>
        </w:tc>
        <w:tc>
          <w:tcPr>
            <w:tcW w:w="720" w:type="dxa"/>
            <w:vAlign w:val="bottom"/>
            <w:tcBorders>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0.40</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 per share of common stock</w:t>
            </w: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40" w:type="dxa"/>
            <w:vAlign w:val="bottom"/>
            <w:gridSpan w:val="7"/>
          </w:tcPr>
          <w:p>
            <w:pPr>
              <w:ind w:left="3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0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60" w:type="dxa"/>
            <w:vAlign w:val="bottom"/>
            <w:gridSpan w:val="5"/>
          </w:tcPr>
          <w:p>
            <w:pPr>
              <w:jc w:val="right"/>
              <w:ind w:right="8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15,422</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10,626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38,239</w:t>
            </w:r>
          </w:p>
        </w:tc>
        <w:tc>
          <w:tcPr>
            <w:tcW w:w="380" w:type="dxa"/>
            <w:vAlign w:val="bottom"/>
            <w:gridSpan w:val="2"/>
            <w:shd w:val="clear" w:color="auto" w:fill="CCEEFF"/>
          </w:tcPr>
          <w:p>
            <w:pPr>
              <w:jc w:val="right"/>
              <w:ind w:right="25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28,323</w:t>
            </w:r>
          </w:p>
        </w:tc>
        <w:tc>
          <w:tcPr>
            <w:tcW w:w="80" w:type="dxa"/>
            <w:vAlign w:val="bottom"/>
            <w:shd w:val="clear" w:color="auto" w:fill="CCEEFF"/>
          </w:tcPr>
          <w:p>
            <w:pPr>
              <w:spacing w:after="0"/>
              <w:rPr>
                <w:sz w:val="18"/>
                <w:szCs w:val="18"/>
                <w:color w:val="auto"/>
              </w:rPr>
            </w:pPr>
          </w:p>
        </w:tc>
      </w:tr>
      <w:tr>
        <w:trPr>
          <w:trHeight w:val="196"/>
        </w:trPr>
        <w:tc>
          <w:tcPr>
            <w:tcW w:w="6060" w:type="dxa"/>
            <w:vAlign w:val="bottom"/>
          </w:tcPr>
          <w:p>
            <w:pPr>
              <w:spacing w:after="0" w:line="196" w:lineRule="exact"/>
              <w:rPr>
                <w:sz w:val="20"/>
                <w:szCs w:val="20"/>
                <w:color w:val="auto"/>
              </w:rPr>
            </w:pPr>
            <w:r>
              <w:rPr>
                <w:rFonts w:ascii="Arial" w:cs="Arial" w:eastAsia="Arial" w:hAnsi="Arial"/>
                <w:sz w:val="18"/>
                <w:szCs w:val="18"/>
                <w:color w:val="auto"/>
              </w:rPr>
              <w:t>Other comprehensive income, before tax:</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available for sale: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Unrealized net (losses) gains on securities: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Unrealized net holding (losses) gains arising during period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(2,017)</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8,582</w:t>
            </w:r>
          </w:p>
        </w:tc>
        <w:tc>
          <w:tcPr>
            <w:tcW w:w="380" w:type="dxa"/>
            <w:vAlign w:val="bottom"/>
            <w:gridSpan w:val="2"/>
            <w:shd w:val="clear" w:color="auto" w:fill="CCEEFF"/>
          </w:tcPr>
          <w:p>
            <w:pPr>
              <w:jc w:val="right"/>
              <w:ind w:right="25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1,661</w:t>
            </w: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ind w:left="540"/>
              <w:spacing w:after="0"/>
              <w:rPr>
                <w:sz w:val="20"/>
                <w:szCs w:val="20"/>
                <w:color w:val="auto"/>
              </w:rPr>
            </w:pPr>
            <w:r>
              <w:rPr>
                <w:rFonts w:ascii="Arial" w:cs="Arial" w:eastAsia="Arial" w:hAnsi="Arial"/>
                <w:sz w:val="18"/>
                <w:szCs w:val="18"/>
                <w:color w:val="auto"/>
              </w:rPr>
              <w:t>Reclassification adjustment for (gains) losses included in net income</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(1,230)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 income, before tax</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6060" w:type="dxa"/>
            <w:vAlign w:val="bottom"/>
          </w:tcPr>
          <w:p>
            <w:pPr>
              <w:ind w:left="360"/>
              <w:spacing w:after="0" w:line="201" w:lineRule="exact"/>
              <w:rPr>
                <w:sz w:val="20"/>
                <w:szCs w:val="20"/>
                <w:color w:val="auto"/>
              </w:rPr>
            </w:pPr>
            <w:r>
              <w:rPr>
                <w:rFonts w:ascii="Arial" w:cs="Arial" w:eastAsia="Arial" w:hAnsi="Arial"/>
                <w:sz w:val="18"/>
                <w:szCs w:val="18"/>
                <w:color w:val="auto"/>
              </w:rPr>
              <w:t>Income tax (benefit) expense related to items of other comprehensive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060" w:type="dxa"/>
            <w:vAlign w:val="bottom"/>
          </w:tcPr>
          <w:p>
            <w:pPr>
              <w:ind w:left="540"/>
              <w:spacing w:after="0"/>
              <w:rPr>
                <w:sz w:val="20"/>
                <w:szCs w:val="20"/>
                <w:color w:val="auto"/>
              </w:rPr>
            </w:pPr>
            <w:r>
              <w:rPr>
                <w:rFonts w:ascii="Arial" w:cs="Arial" w:eastAsia="Arial" w:hAnsi="Arial"/>
                <w:sz w:val="18"/>
                <w:szCs w:val="18"/>
                <w:color w:val="auto"/>
              </w:rPr>
              <w:t>income</w:t>
            </w:r>
          </w:p>
        </w:tc>
        <w:tc>
          <w:tcPr>
            <w:tcW w:w="26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(815)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1,005</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2,934</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20"/>
                <w:szCs w:val="20"/>
                <w:color w:val="auto"/>
              </w:rPr>
            </w:pPr>
          </w:p>
        </w:tc>
      </w:tr>
      <w:tr>
        <w:trPr>
          <w:trHeight w:val="210"/>
        </w:trPr>
        <w:tc>
          <w:tcPr>
            <w:tcW w:w="60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(loss) income, net of tax</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060" w:type="dxa"/>
            <w:vAlign w:val="bottom"/>
          </w:tcPr>
          <w:p>
            <w:pPr>
              <w:ind w:left="36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12,133</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42,657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2"/>
                <w:szCs w:val="12"/>
                <w:color w:val="auto"/>
              </w:rPr>
            </w:pPr>
          </w:p>
        </w:tc>
        <w:tc>
          <w:tcPr>
            <w:tcW w:w="9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Income</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593,746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(210,384)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(28,233)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28,323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1,009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treasury stock for employee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purchase plan</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Net issuance of treasury stock for</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w w:val="98"/>
              </w:rPr>
              <w:t>restricted stock unit vesting and related</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tax benefit</w:t>
            </w: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(3,784)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3,643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Issuance of treasury stock</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Cash dividends on common stock of</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$0.45 per share</w:t>
            </w: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(13,041)</w:t>
            </w: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(13,041)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dividend equivalents on restricted</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units of $0.45 per share</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Stock-based employee compensation</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(6,296)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(6,296)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paid in lieu of fractional shares in</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reverse stock split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72,664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590,648</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(195,832)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6,826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(30,107)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591,053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(190,265)</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(29,971)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373,186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38,239</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4,418</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issued for acquisition of Pulaski,</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of stock issuance costs</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195,188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w w:val="97"/>
              </w:rPr>
              <w:t>Issuance of treasury stock for employee</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stock purchase plan</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issuance of treasury stock for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restricted stock unit vesting and related</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w w:val="96"/>
              </w:rPr>
              <w:t>Net issuance of stock options exercised,</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net of shares redeemed</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(923)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dividends on common stock of</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$0.51 per share</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(16,253)</w:t>
            </w:r>
          </w:p>
        </w:tc>
        <w:tc>
          <w:tcPr>
            <w:tcW w:w="4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w w:val="97"/>
              </w:rPr>
              <w:t>Stock dividend equivalents on restricted</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stock units of $0.51 per share</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(263)</w:t>
            </w:r>
          </w:p>
        </w:tc>
        <w:tc>
          <w:tcPr>
            <w:tcW w:w="4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dividend accrued on restricted</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stock awards assumed with the Pulaski</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at $0.17 per share</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Stock-based employee compensation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Return of equity trust shares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783,409</w:t>
            </w:r>
          </w:p>
        </w:tc>
        <w:tc>
          <w:tcPr>
            <w:tcW w:w="1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(168,552)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6,758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(25,580)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38,239</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Stock-based and non-cash compensation</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1,309</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3,157</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loan losses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Provision for deferred income taxes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(1,948)</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security premiums and discounts, net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Accretion of premiums and discounts on time deposits and trust preferred securities, net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(529)</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premiums and discounts on portfolio loans, net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Net security (gains) losses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(1,230)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sales of loans, net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Net losses on disposition of premises and equipment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Premises and equipment impairment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Increase in cash surrender value of bank owned life insurance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(1,257)</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assets and liabilities: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520"/>
              <w:spacing w:after="0"/>
              <w:rPr>
                <w:sz w:val="20"/>
                <w:szCs w:val="20"/>
                <w:color w:val="auto"/>
              </w:rPr>
            </w:pPr>
            <w:r>
              <w:rPr>
                <w:rFonts w:ascii="Arial" w:cs="Arial" w:eastAsia="Arial" w:hAnsi="Arial"/>
                <w:sz w:val="18"/>
                <w:szCs w:val="18"/>
                <w:color w:val="auto"/>
              </w:rPr>
              <w:t>Decrease in other assets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5,790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(decrease) in other liabilities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520"/>
              <w:spacing w:after="0"/>
              <w:rPr>
                <w:sz w:val="20"/>
                <w:szCs w:val="20"/>
                <w:color w:val="auto"/>
              </w:rPr>
            </w:pPr>
            <w:r>
              <w:rPr>
                <w:rFonts w:ascii="Arial" w:cs="Arial" w:eastAsia="Arial" w:hAnsi="Arial"/>
                <w:sz w:val="18"/>
                <w:szCs w:val="18"/>
                <w:color w:val="auto"/>
              </w:rPr>
              <w:t>Decrease in interest payable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decrease in income taxes receivable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ind w:left="700"/>
              <w:spacing w:after="0"/>
              <w:rPr>
                <w:sz w:val="20"/>
                <w:szCs w:val="20"/>
                <w:color w:val="auto"/>
              </w:rPr>
            </w:pPr>
            <w:r>
              <w:rPr>
                <w:rFonts w:ascii="Arial" w:cs="Arial" w:eastAsia="Arial" w:hAnsi="Arial"/>
                <w:sz w:val="18"/>
                <w:szCs w:val="18"/>
                <w:b w:val="1"/>
                <w:bCs w:val="1"/>
                <w:color w:val="auto"/>
                <w:w w:val="96"/>
              </w:rPr>
              <w:t>Net cash provided by operating activities before activities for loans originated for sale</w:t>
            </w:r>
          </w:p>
        </w:tc>
        <w:tc>
          <w:tcPr>
            <w:tcW w:w="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46,536</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Loans originated for sale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(1,218,032)</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(228,307)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loans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1,139,884</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229,604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ind w:left="70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(31,612)</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securities classified available for sale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49,378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Proceeds from sales of securities classified held to maturity</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399</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maturities of securities classified available for sale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183,329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Proceeds from maturities of securities classified held to maturity</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1,333</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securities classified available for sale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(121,633)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Purchase of securities classified held to maturity</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(2,103)</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decrease (increase) in portfolio loans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62,154</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Proceeds from disposition of premises and equipment</w:t>
            </w:r>
          </w:p>
        </w:tc>
        <w:tc>
          <w:tcPr>
            <w:tcW w:w="5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864</w:t>
            </w:r>
          </w:p>
        </w:tc>
        <w:tc>
          <w:tcPr>
            <w:tcW w:w="5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5" w:name="page6"/>
    <w:bookmarkEnd w:id="5"/>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other real estate owned (“OREO”) properties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3,911</w:t>
            </w: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Purchases of premises and equipment</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(6,748)</w:t>
            </w: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received in acquisitions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25,575</w:t>
            </w: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Proceeds from the redemption of Federal Home Loan Bank (“FHLB”) stock</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17,640</w:t>
            </w:r>
          </w:p>
        </w:tc>
        <w:tc>
          <w:tcPr>
            <w:tcW w:w="5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FHLB stock</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(23,478)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ind w:left="5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190,621</w:t>
            </w:r>
          </w:p>
        </w:tc>
        <w:tc>
          <w:tcPr>
            <w:tcW w:w="280" w:type="dxa"/>
            <w:vAlign w:val="bottom"/>
          </w:tcPr>
          <w:p>
            <w:pPr>
              <w:spacing w:after="0"/>
              <w:rPr>
                <w:sz w:val="18"/>
                <w:szCs w:val="18"/>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(128,624</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6"/>
          </w:tcPr>
          <w:p>
            <w:pPr>
              <w:ind w:left="1000"/>
              <w:spacing w:after="0"/>
              <w:rPr>
                <w:sz w:val="20"/>
                <w:szCs w:val="20"/>
                <w:color w:val="auto"/>
              </w:rPr>
            </w:pPr>
            <w:r>
              <w:rPr>
                <w:rFonts w:ascii="Arial" w:cs="Arial" w:eastAsia="Arial" w:hAnsi="Arial"/>
                <w:sz w:val="18"/>
                <w:szCs w:val="18"/>
                <w:color w:val="auto"/>
                <w:w w:val="91"/>
              </w:rPr>
              <w:t>(continued on next page)</w:t>
            </w:r>
          </w:p>
        </w:tc>
        <w:tc>
          <w:tcPr>
            <w:tcW w:w="0" w:type="dxa"/>
            <w:vAlign w:val="bottom"/>
          </w:tcPr>
          <w:p>
            <w:pPr>
              <w:spacing w:after="0"/>
              <w:rPr>
                <w:sz w:val="1"/>
                <w:szCs w:val="1"/>
                <w:color w:val="auto"/>
              </w:rPr>
            </w:pPr>
          </w:p>
        </w:tc>
      </w:tr>
      <w:tr>
        <w:trPr>
          <w:trHeight w:val="432"/>
        </w:trPr>
        <w:tc>
          <w:tcPr>
            <w:tcW w:w="8300" w:type="dxa"/>
            <w:vAlign w:val="bottom"/>
            <w:gridSpan w:val="2"/>
          </w:tcPr>
          <w:p>
            <w:pPr>
              <w:jc w:val="center"/>
              <w:ind w:left="3030"/>
              <w:spacing w:after="0"/>
              <w:rPr>
                <w:sz w:val="20"/>
                <w:szCs w:val="20"/>
                <w:color w:val="auto"/>
              </w:rPr>
            </w:pPr>
            <w:r>
              <w:rPr>
                <w:rFonts w:ascii="Arial" w:cs="Arial" w:eastAsia="Arial" w:hAnsi="Arial"/>
                <w:sz w:val="18"/>
                <w:szCs w:val="18"/>
                <w:color w:val="auto"/>
                <w:w w:val="99"/>
              </w:rPr>
              <w:t>8</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280" w:type="dxa"/>
            <w:vAlign w:val="bottom"/>
          </w:tcPr>
          <w:p>
            <w:pPr>
              <w:jc w:val="center"/>
              <w:ind w:left="301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jc w:val="center"/>
              <w:ind w:left="3030"/>
              <w:spacing w:after="0"/>
              <w:rPr>
                <w:sz w:val="20"/>
                <w:szCs w:val="20"/>
                <w:color w:val="auto"/>
              </w:rPr>
            </w:pPr>
            <w:r>
              <w:rPr>
                <w:rFonts w:ascii="Arial" w:cs="Arial" w:eastAsia="Arial" w:hAnsi="Arial"/>
                <w:sz w:val="18"/>
                <w:szCs w:val="18"/>
                <w:b w:val="1"/>
                <w:bCs w:val="1"/>
                <w:color w:val="auto"/>
                <w:w w:val="97"/>
              </w:rPr>
              <w:t>CONSOLIDATED STATEMENTS OF CASH FLOWS (continued)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jc w:val="center"/>
              <w:ind w:left="3030"/>
              <w:spacing w:after="0"/>
              <w:rPr>
                <w:sz w:val="20"/>
                <w:szCs w:val="20"/>
                <w:color w:val="auto"/>
              </w:rPr>
            </w:pPr>
            <w:r>
              <w:rPr>
                <w:rFonts w:ascii="Arial" w:cs="Arial" w:eastAsia="Arial" w:hAnsi="Arial"/>
                <w:sz w:val="18"/>
                <w:szCs w:val="18"/>
                <w:b w:val="1"/>
                <w:bCs w:val="1"/>
                <w:color w:val="auto"/>
                <w:w w:val="90"/>
              </w:rPr>
              <w:t>For the Nine Months Ended September 30, 2016 and 2015</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80" w:type="dxa"/>
            <w:vAlign w:val="bottom"/>
          </w:tcPr>
          <w:p>
            <w:pPr>
              <w:jc w:val="center"/>
              <w:ind w:left="3010"/>
              <w:spacing w:after="0"/>
              <w:rPr>
                <w:sz w:val="20"/>
                <w:szCs w:val="20"/>
                <w:color w:val="auto"/>
              </w:rPr>
            </w:pPr>
            <w:r>
              <w:rPr>
                <w:rFonts w:ascii="Arial" w:cs="Arial" w:eastAsia="Arial" w:hAnsi="Arial"/>
                <w:sz w:val="18"/>
                <w:szCs w:val="18"/>
                <w:b w:val="1"/>
                <w:bCs w:val="1"/>
                <w:color w:val="auto"/>
                <w:w w:val="93"/>
              </w:rPr>
              <w:t>(Unaudited)</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Net decrease in 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(131,917)</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(decrease) increase in demand, money market and savings deposits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(48,112)</w:t>
            </w: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34,406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Proceeds from FHLB short term advances</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57,700</w:t>
            </w:r>
          </w:p>
        </w:tc>
        <w:tc>
          <w:tcPr>
            <w:tcW w:w="5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FHLB long term advances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Proceeds from short-term borrowings</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10,000</w:t>
            </w:r>
          </w:p>
        </w:tc>
        <w:tc>
          <w:tcPr>
            <w:tcW w:w="5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paid</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(16,263)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Value of shares surrendered upon vesting of restricted stock units to satisfy tax obligations</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securities sold under agreements to repurchase</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16,551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Cash payment for fractional shares related to reverse stock split</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treasury stock</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Common stock issuance costs</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5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(117,454)</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(74,307)</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41,555</w:t>
            </w:r>
          </w:p>
        </w:tc>
        <w:tc>
          <w:tcPr>
            <w:tcW w:w="2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(164,293)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319,280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339,438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Cash and cash equivalents, ending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360,835</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175,145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payments for: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520"/>
              <w:spacing w:after="0"/>
              <w:rPr>
                <w:sz w:val="20"/>
                <w:szCs w:val="20"/>
                <w:color w:val="auto"/>
              </w:rPr>
            </w:pPr>
            <w:r>
              <w:rPr>
                <w:rFonts w:ascii="Arial" w:cs="Arial" w:eastAsia="Arial" w:hAnsi="Arial"/>
                <w:sz w:val="18"/>
                <w:szCs w:val="18"/>
                <w:color w:val="auto"/>
              </w:rPr>
              <w:t>Interest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6,658</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4,751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13,900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Real estate acquired in settlement of loans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2,175</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00" w:type="dxa"/>
            <w:vAlign w:val="bottom"/>
            <w:gridSpan w:val="2"/>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00" w:type="dxa"/>
            <w:vAlign w:val="bottom"/>
            <w:gridSpan w:val="2"/>
          </w:tcPr>
          <w:p>
            <w:pPr>
              <w:jc w:val="center"/>
              <w:ind w:left="3030"/>
              <w:spacing w:after="0"/>
              <w:rPr>
                <w:sz w:val="20"/>
                <w:szCs w:val="20"/>
                <w:color w:val="auto"/>
              </w:rPr>
            </w:pPr>
            <w:r>
              <w:rPr>
                <w:rFonts w:ascii="Arial" w:cs="Arial" w:eastAsia="Arial" w:hAnsi="Arial"/>
                <w:sz w:val="18"/>
                <w:szCs w:val="18"/>
                <w:color w:val="auto"/>
                <w:w w:val="99"/>
              </w:rPr>
              <w:t>9</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8280" w:type="dxa"/>
            <w:vAlign w:val="bottom"/>
          </w:tcPr>
          <w:p>
            <w:pPr>
              <w:jc w:val="center"/>
              <w:ind w:left="301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-5755640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-5755640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accompanying unaudited Consolidated Financial Statements of First Busey Corporation (“First Busey” or the “Company”), a Nevada corporation, have been prepared pursuant to the rules and regulations of the Securities and Exchange Commission (the “SEC”) for interim financial information and with the instructions to Form 10-Q, and do not include certain information and footnote disclosures required by U.S. generally accepted accounting principles (“GAAP”) for complete annual financial statements. Accordingly, these financial statements should be read in conjunction with the Company’s Annual Report on Form 10-K for the year ended December 31, 2015 on file with the SEC.</w:t>
      </w:r>
    </w:p>
    <w:p>
      <w:pPr>
        <w:spacing w:after="0" w:line="18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On May 20, 2015, at the Company’s Annual Meeting of Stockholders, the Company’s stockholders approved a resolution to authorize the board of directors to implement a reverse stock split of the Company’s common stock at a ratio of one-for-three (the “Reverse Stock Split”). On August 17, 2015, the board of directors authorized the Reverse Stock Split, which became effective on September 8, 2015.</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accompanying Consolidated Balance Sheet as of December 31, 2015, which has been derived from audited financial statements, and the unaudited Consolidated Financial Statements have been prepared in accordance with GAAP and reflect all adjustments that are, in the opinion of management, necessary for the fair presentation of the financial position and results of operations as of the dates and for the periods presented. All such adjustments are of a normal recurring nature. The results of operations for the three and nine months ended September 30, 2016 are not necessarily indicative of the results that may be expected for the year ending December 31, 2016.</w:t>
      </w:r>
    </w:p>
    <w:p>
      <w:pPr>
        <w:spacing w:after="0" w:line="18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April 30, 2016, First Busey completed its acquisition of Pulaski Financial Corp., a Missouri corporation (“Pulaski”), and Pulaski Bank, National Association (“Pulaski Bank”). The unaudited Consolidated Financial Statements include the accounts of the Company, Busey Bank and Busey Bank’s wholly owned subsidiary, FirsTech, Inc., Pulaski Bank and Pulaski Bank’s wholly owned subsidiaries, Pulaski Service Corporation and Priority Property Holdings, LLC (each as of April 30, 2016) and Busey Wealth Management, Inc. and its wholly owned subsidiary, Busey Trust Company. All material intercompany</w:t>
      </w:r>
    </w:p>
    <w:p>
      <w:pPr>
        <w:sectPr>
          <w:pgSz w:w="11900" w:h="16931" w:orient="portrait"/>
          <w:cols w:equalWidth="0" w:num="1">
            <w:col w:w="11460"/>
          </w:cols>
          <w:pgMar w:left="240" w:top="140" w:right="199" w:bottom="0" w:gutter="0" w:footer="0" w:header="0"/>
        </w:sectPr>
      </w:pPr>
    </w:p>
    <w:bookmarkStart w:id="6" w:name="page7"/>
    <w:bookmarkEnd w:id="6"/>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transactions and balances have been eliminated in consolidation. Certain prior-year amounts have been reclassified to conform to the current presentation with no effect on net income or stockholders’ equity.</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preparing the accompanying unaudited Consolidated Financial Statements, the Company’s management is required to make estimates and assumptions that affect the reported amounts of assets and liabilities as of the date of the financial statements and the reported amounts of revenues and expenses for the reporting period. Actual results could differ from those estimates. Material estimates that are particularly susceptible to significant change in the near term relate to the fair value of investment securities, the fair value of assets acquired and liabilities assumed in business combinations and the determination of the allowance for loan losses.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Effective January 1, 2016, the Company elected to account for all loans held for sale at fair value. Prior to this change, the Company accounted for loans held for sale at the lower of cost or fair value. See Note 17 - Fair Value Measurements for further discussion.</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has evaluated subsequent events for potential recognition and/or disclosure through the date the unaudited Consolidated Financial Statements included in this Quarterly Report on Form 10-Q were issued. On November 4, 2016, Pulaski Bank was merged with and into Busey Bank. In addition, on October 21, 2016 a return of capital and associated surplus to the Company from Busey Bank was executed as discussed in Note 14 — Capital. Other than the bank merger and return of capital and associated surplus, there were no significant subsequent events for the quarter ended September 30, 2016 through the filing date of these unaudited Consolidated Financial Statements that warranted adjustment to or disclosure in the unaudited Consolidated Financial Statements.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Pulaski Financial Corp.</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April 30, 2016, First Busey completed its acquisition of Pulaski. Pulaski Bank, which was Pulaski’s wholly owned bank subsidiary prior to the acquisition, offers a full line of quality retail and commercial banking products through thirteen full-service branch offices in the St. Louis metropolitan area. Pulaski Bank also offers mortgage loan products through loan production offices in the St. Louis, Kansas City, Chicago, and Omaha-Council Bluffs metropolitan areas and other locations across the Midwest. The operating results of Pulaski are included with the Company’s results of operations since the date of acquisition. First Busey operated Pulaski Bank as a separate subsidiary from May 1, 2016 until November 4, 2016 when it was merged with and into Busey Bank. At that time, Pulaski Bank’s branches became branches of Busey Bank.</w:t>
      </w:r>
    </w:p>
    <w:p>
      <w:pPr>
        <w:spacing w:after="0" w:line="17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Under the terms of the definitive agreement, at the effective time of the acquisition, each share of Pulaski common stock issued and outstanding was converted into 0.79 shares of First Busey common stock and cash in lieu of fractional shares. The market value of the 9.4 million shares of First Busey common stock issued at the effective time of the acquisition was approximately $193.0 million based on First Busey’s closing stock price of $20.44 on April 29, 2016. In addition, all of the options to purchase shares of Pulaski common stock that were outstanding at the acquisition date were converted into options to purchase shares of First Busey common stock, adjusted for the 0.79 exchange ratio.</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acquisition of Pulaski allows the Company to significantly expand its geographic presence through a premier St. Louis banking franchise with an almost 100-year history and a strong regional residential lending presence. In addition, this transaction is strategically compelling and financially attractive because it creates a Midwest community bank with greater scale and operating efficiency, along with geographic and balance sheet diversification. It also provides cross-sale opportunities to the Company’s Wealth Management operating segment. Pulaski has a deep and experienced management team to assist in post-acquisition integration and market expansion, and a similar culture to First Busey to facilitate a successful integration process. By acquiring organizations with a similar philosophy in markets that complement the Company’s existing customer base, First Busey intends to expand its franchise through balanced, integrated growth strategies that generate value.</w:t>
      </w:r>
    </w:p>
    <w:p>
      <w:pPr>
        <w:spacing w:after="0" w:line="18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This transaction was accounted for using the acquisition method of accounting and, accordingly, assets acquired, liabilities assumed, and consideration exchanged were recorded at their estimated fair values on the date of acquisition. Fair values are subject to refinement for up to one year after the closing date of April 30, 2016 as additional information regarding the closing date fair values becomes available. The total consideration paid, which was used to determine the amount of goodwill resulting from the transaction, also included the fair value of outstanding Pulaski stock options that were converted into options to purchase common shares of First Busey. As the total consideration paid for Pulaski exceeded the net assets acquired, goodwill of $76.8 million was recorded as a result of the acquisition. Goodwill recorded in the transaction, which reflects the synergies expected from the acquisition and the enhanced revenue opportunities from the Company’s broader service capabilities in the St. Louis market, is not tax deductible, and was assigned to the Banking operating segment.</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First Busey incurred $0.8 million and $3.1 million in pre-tax expenses related to the acquisition of Pulaski for the three and nine months ended September 30, 2016, respectively, including professional and legal fees of $0.2 million and $1.1 million, respectively, to directly consummate the acquisition, all of which are reported as a component of non-interest expense in the accompanying unaudited Consolidated Financial Statements. The remainder of the expenses primarily relate to data processing conversion expenses and restructuring expenses.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presents the assets acquired and liabilities assumed of Pulaski as of April 30, 2016 and their fair value estimates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As Recorded by</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Fair Value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Recorded by</w:t>
            </w:r>
          </w:p>
        </w:tc>
      </w:tr>
      <w:tr>
        <w:trPr>
          <w:trHeight w:val="171"/>
        </w:trPr>
        <w:tc>
          <w:tcPr>
            <w:tcW w:w="3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Pulaski</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Adjustments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First Busey</w:t>
            </w:r>
          </w:p>
        </w:tc>
      </w:tr>
      <w:tr>
        <w:trPr>
          <w:trHeight w:val="196"/>
        </w:trPr>
        <w:tc>
          <w:tcPr>
            <w:tcW w:w="3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 acquired:</w:t>
            </w:r>
          </w:p>
        </w:tc>
        <w:tc>
          <w:tcPr>
            <w:tcW w:w="1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25,580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25,580</w:t>
            </w:r>
          </w:p>
        </w:tc>
      </w:tr>
      <w:tr>
        <w:trPr>
          <w:trHeight w:val="216"/>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47,895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(a)</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w:t>
            </w: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Loans held for sale</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184,856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184,856</w:t>
            </w:r>
          </w:p>
        </w:tc>
      </w:tr>
      <w:tr>
        <w:trPr>
          <w:trHeight w:val="216"/>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Portfolio loans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1,243,913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(14,452)</w:t>
            </w:r>
          </w:p>
        </w:tc>
        <w:tc>
          <w:tcPr>
            <w:tcW w:w="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(b)</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1,229,461</w:t>
            </w: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Premises and equipment</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17,236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(c)</w:t>
            </w: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17,331</w:t>
            </w:r>
          </w:p>
        </w:tc>
      </w:tr>
      <w:tr>
        <w:trPr>
          <w:trHeight w:val="138"/>
        </w:trPr>
        <w:tc>
          <w:tcPr>
            <w:tcW w:w="3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bl>
    <w:p>
      <w:pPr>
        <w:sectPr>
          <w:pgSz w:w="11900" w:h="16900" w:orient="portrait"/>
          <w:cols w:equalWidth="0" w:num="1">
            <w:col w:w="11420"/>
          </w:cols>
          <w:pgMar w:left="240" w:top="125" w:right="239" w:bottom="0" w:gutter="0" w:footer="0" w:header="0"/>
        </w:sectPr>
      </w:pPr>
    </w:p>
    <w:bookmarkStart w:id="7" w:name="page8"/>
    <w:bookmarkEnd w:id="7"/>
    <w:p>
      <w:pPr>
        <w:spacing w:after="0" w:line="1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OREO</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(2,534)</w:t>
            </w: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(d)</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Goodwill</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3,939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(3,939)</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(e)</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intangible assets</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15,468</w:t>
            </w: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(f)</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70,365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(338)</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(g)</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70,027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 acquired</w:t>
            </w:r>
          </w:p>
        </w:tc>
        <w:tc>
          <w:tcPr>
            <w:tcW w:w="8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1,598,806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1,593,211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Deposits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1,226,906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1,102</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(h)</w:t>
            </w:r>
          </w:p>
        </w:tc>
        <w:tc>
          <w:tcPr>
            <w:tcW w:w="1020" w:type="dxa"/>
            <w:vAlign w:val="bottom"/>
          </w:tcPr>
          <w:p>
            <w:pPr>
              <w:jc w:val="right"/>
              <w:spacing w:after="0"/>
              <w:rPr>
                <w:sz w:val="20"/>
                <w:szCs w:val="20"/>
                <w:color w:val="auto"/>
              </w:rPr>
            </w:pPr>
            <w:r>
              <w:rPr>
                <w:rFonts w:ascii="Arial" w:cs="Arial" w:eastAsia="Arial" w:hAnsi="Arial"/>
                <w:sz w:val="18"/>
                <w:szCs w:val="18"/>
                <w:color w:val="auto"/>
              </w:rPr>
              <w:t>1,228,008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borrowings</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205,840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w:t>
            </w: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(i)</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206,746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Trust preferred securities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19,589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(3,805)</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(j)</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15,784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24,594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w:t>
            </w: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(k)</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 assumed</w:t>
            </w:r>
          </w:p>
        </w:tc>
        <w:tc>
          <w:tcPr>
            <w:tcW w:w="8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1,476,929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w:t>
            </w:r>
          </w:p>
        </w:tc>
        <w:tc>
          <w:tcPr>
            <w:tcW w:w="2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1,474,608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assets acquired</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121,877</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(3,274)</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118,603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Consideration paid:</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192,990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stock options assumed</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consideration paid</w:t>
            </w:r>
          </w:p>
        </w:tc>
        <w:tc>
          <w:tcPr>
            <w:tcW w:w="86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195,449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Goodwill</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76,846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Explanation:</w:t>
      </w:r>
    </w:p>
    <w:p>
      <w:pPr>
        <w:spacing w:after="0" w:line="225" w:lineRule="exact"/>
        <w:rPr>
          <w:sz w:val="20"/>
          <w:szCs w:val="20"/>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adjustments of the securities portfolio as of the acquisition date.</w:t>
      </w:r>
    </w:p>
    <w:p>
      <w:pPr>
        <w:spacing w:after="0" w:line="23" w:lineRule="exact"/>
        <w:rPr>
          <w:rFonts w:ascii="Arial" w:cs="Arial" w:eastAsia="Arial" w:hAnsi="Arial"/>
          <w:sz w:val="18"/>
          <w:szCs w:val="18"/>
          <w:color w:val="auto"/>
        </w:rPr>
      </w:pPr>
    </w:p>
    <w:p>
      <w:pPr>
        <w:jc w:val="both"/>
        <w:ind w:left="400" w:right="360" w:hanging="392"/>
        <w:spacing w:after="0" w:line="250" w:lineRule="auto"/>
        <w:tabs>
          <w:tab w:leader="none" w:pos="41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adjustments based on the Company’s evaluation of the acquired loan portfolio, write-off of net deferred loan costs and elimination of the allowance for loan losses recorded by Pulaski. $16.9 million is expected to be accreted over the estimated four year remaining life of the respective loans in a manner that approximates the level yield method.</w:t>
      </w:r>
    </w:p>
    <w:p>
      <w:pPr>
        <w:spacing w:after="0" w:line="1"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adjustments based on the Company’s evaluation of the acquired premises and equipment.</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based on the Company’s evaluation of the acquired OREO portfolio.</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Eliminate Pulaski’s existing goodwill.</w:t>
      </w:r>
    </w:p>
    <w:p>
      <w:pPr>
        <w:spacing w:after="0" w:line="9" w:lineRule="exact"/>
        <w:rPr>
          <w:rFonts w:ascii="Arial" w:cs="Arial" w:eastAsia="Arial" w:hAnsi="Arial"/>
          <w:sz w:val="18"/>
          <w:szCs w:val="18"/>
          <w:color w:val="auto"/>
        </w:rPr>
      </w:pPr>
    </w:p>
    <w:p>
      <w:pPr>
        <w:ind w:left="400" w:hanging="392"/>
        <w:spacing w:after="0" w:line="250" w:lineRule="auto"/>
        <w:tabs>
          <w:tab w:leader="none" w:pos="407"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Recording of the core deposit intangible asset on the acquired core deposit accounts. Amount to be amortized using a sum of years digits method over a 14 year useful life.</w:t>
      </w: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of other assets at the acquisition date.</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to time deposits. Amount to be accreted over two years in a manner that approximates the level yield method.</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Fair value adjustment to the FHLB borrowings. Such borrowings were repaid shortly after the acquisition date, so there will be no discount accretion.</w:t>
      </w:r>
    </w:p>
    <w:p>
      <w:pPr>
        <w:spacing w:after="0" w:line="32" w:lineRule="exact"/>
        <w:rPr>
          <w:rFonts w:ascii="Arial" w:cs="Arial" w:eastAsia="Arial" w:hAnsi="Arial"/>
          <w:sz w:val="16"/>
          <w:szCs w:val="16"/>
          <w:color w:val="auto"/>
        </w:rPr>
      </w:pPr>
    </w:p>
    <w:p>
      <w:pPr>
        <w:ind w:left="400" w:right="360" w:hanging="392"/>
        <w:spacing w:after="0" w:line="250" w:lineRule="auto"/>
        <w:tabs>
          <w:tab w:leader="none" w:pos="411"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to the trust preferred securities at the acquisition date. Amount to be accreted over the weighted average remaining life of 18 years in a manner that approximates the level yield method.</w:t>
      </w: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of other liabilities at the acquisition date.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The loans acquired in this transaction were recorded at fair value with no carryover of any existing allowance for loan losses. Loans that were not deemed to be credit-impaired at the acquisition date were accounted for under FASB ASC 310-20, </w:t>
      </w:r>
      <w:r>
        <w:rPr>
          <w:rFonts w:ascii="Arial" w:cs="Arial" w:eastAsia="Arial" w:hAnsi="Arial"/>
          <w:sz w:val="17"/>
          <w:szCs w:val="17"/>
          <w:i w:val="1"/>
          <w:iCs w:val="1"/>
          <w:color w:val="auto"/>
        </w:rPr>
        <w:t>Receivables-Nonrefundable Fees and Other Costs</w:t>
      </w:r>
      <w:r>
        <w:rPr>
          <w:rFonts w:ascii="Arial" w:cs="Arial" w:eastAsia="Arial" w:hAnsi="Arial"/>
          <w:sz w:val="17"/>
          <w:szCs w:val="17"/>
          <w:color w:val="auto"/>
        </w:rPr>
        <w:t xml:space="preserve"> and were subsequently considered as part of the Company’s determination of the adequacy of the allowance for loan losses. Purchased credit-impaired (“PCI”) loans, which are loans with evidence of credit quality deterioration at the date of acquisition, were accounted for under FASB ASC 310-30, </w:t>
      </w:r>
      <w:r>
        <w:rPr>
          <w:rFonts w:ascii="Arial" w:cs="Arial" w:eastAsia="Arial" w:hAnsi="Arial"/>
          <w:sz w:val="17"/>
          <w:szCs w:val="17"/>
          <w:i w:val="1"/>
          <w:iCs w:val="1"/>
          <w:color w:val="auto"/>
        </w:rPr>
        <w:t>Receivables — Loans</w:t>
      </w:r>
      <w:r>
        <w:rPr>
          <w:rFonts w:ascii="Arial" w:cs="Arial" w:eastAsia="Arial" w:hAnsi="Arial"/>
          <w:sz w:val="17"/>
          <w:szCs w:val="17"/>
          <w:color w:val="auto"/>
        </w:rPr>
        <w:t xml:space="preserve"> </w:t>
      </w:r>
      <w:r>
        <w:rPr>
          <w:rFonts w:ascii="Arial" w:cs="Arial" w:eastAsia="Arial" w:hAnsi="Arial"/>
          <w:sz w:val="17"/>
          <w:szCs w:val="17"/>
          <w:i w:val="1"/>
          <w:iCs w:val="1"/>
          <w:color w:val="auto"/>
        </w:rPr>
        <w:t>and Debt Securities Acquired with Deteriorated Credit Quality</w:t>
      </w:r>
      <w:r>
        <w:rPr>
          <w:rFonts w:ascii="Arial" w:cs="Arial" w:eastAsia="Arial" w:hAnsi="Arial"/>
          <w:sz w:val="17"/>
          <w:szCs w:val="17"/>
          <w:color w:val="auto"/>
        </w:rPr>
        <w:t>. As of the acquisition date, the aggregate principal outstanding and aggregate fair value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performing loans, including loans held for sale, both rounded to $1.4 billion. The difference between the aggregate principal balance outstanding and aggregate fair value of $16.6 million is expected to be accreted over the estimated four year remaining life of the respective loans in a manner that approximates the level yield method. As of the acquisition date, the aggregate principal balance outstanding of PCI loans totaled $21.2 million and the aggregate fair value of PCI loans totaled $9.7 million, which became such loans’ new carrying value. During the third quarter of 2016, PCI loans with a carrying value of $6.2 million were sold to outside parties. For PCI loans, the difference between contractually required payments at the acquisition date and the cash flow expected to be collected is referred to as the non-accretable difference. Further, the excess of cash flows expected at acquisition over the fair value is referred to as the accretable yield. The accretable yield, as of the acquisition date, of $0.3 million on PCI loans was expected to be recognized over the estimated four year remaining life of the respective loans in a manner that approximates the level yield method; however, the majority was accelerated in the third quarter of 2016 due to the loan sale.</w:t>
      </w:r>
    </w:p>
    <w:p>
      <w:pPr>
        <w:spacing w:after="0" w:line="18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 xml:space="preserve">Since the acquisition date, Pulaski Bank earned total revenues of $33.3 million and net income of $8.8 million, which are included in the </w:t>
      </w:r>
      <w:r>
        <w:rPr>
          <w:rFonts w:ascii="Arial" w:cs="Arial" w:eastAsia="Arial" w:hAnsi="Arial"/>
          <w:sz w:val="15"/>
          <w:szCs w:val="15"/>
          <w:color w:val="auto"/>
        </w:rPr>
        <w:t>Company’s</w:t>
      </w:r>
      <w:r>
        <w:rPr>
          <w:rFonts w:ascii="Arial" w:cs="Arial" w:eastAsia="Arial" w:hAnsi="Arial"/>
          <w:sz w:val="16"/>
          <w:szCs w:val="16"/>
          <w:color w:val="auto"/>
        </w:rPr>
        <w:t xml:space="preserve"> </w:t>
      </w:r>
      <w:r>
        <w:rPr>
          <w:rFonts w:ascii="Arial" w:cs="Arial" w:eastAsia="Arial" w:hAnsi="Arial"/>
          <w:sz w:val="15"/>
          <w:szCs w:val="15"/>
          <w:color w:val="auto"/>
        </w:rPr>
        <w:t>Consolidated Statements of Income for the nine months ended September 30, 2016. The following table provides the unaudited pro forma information for the results of operations for the three and nine months ended September 30, 2016 and 2015, as if the acquisition had occurred on January 1, 2015. The pro forma results combine the historical results of Pulaski with the Company’s Consolidated Statements of Income, adjusted for the impact of the application of the acquisition method of accounting including loan discount accretion, intangible assets amortization, and deposit and trust preferred securities premium accretion, net of taxes. The pro forma results have been prepared for comparative purposes only and are not necessarily indicative of the results that would have been obtained had the acquisition actually occurred on January 1, 2015. No assumptions have been applied to the pro forma results of operations regarding possible revenue enhancements, expense efficiencies or asset dispositions. Only the acquisition related expenses that have been incurred as of September 30, 2016 are included in net income in the table below. Acquisition related expenses that were recognized and are included in the pro forma net income for the three and nine months ended September 30, 2016 totaled $0.8 million and $8.1 million, respectively, on a pre-tax basis. Such expenses consisted primarily of professional fees to transact the acquisition, data processing conversion expenses and compensation to certain officers required under employment agreements.</w:t>
      </w:r>
    </w:p>
    <w:p>
      <w:pPr>
        <w:spacing w:after="0" w:line="138" w:lineRule="exact"/>
        <w:rPr>
          <w:sz w:val="20"/>
          <w:szCs w:val="20"/>
          <w:color w:val="auto"/>
        </w:rPr>
      </w:pPr>
    </w:p>
    <w:tbl>
      <w:tblPr>
        <w:tblLayout w:type="fixed"/>
        <w:tblInd w:w="570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20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7"/>
              </w:rPr>
              <w:t>Pro Forma</w:t>
            </w:r>
          </w:p>
        </w:tc>
        <w:tc>
          <w:tcPr>
            <w:tcW w:w="840" w:type="dxa"/>
            <w:vAlign w:val="bottom"/>
          </w:tcPr>
          <w:p>
            <w:pPr>
              <w:spacing w:after="0"/>
              <w:rPr>
                <w:sz w:val="13"/>
                <w:szCs w:val="13"/>
                <w:color w:val="auto"/>
              </w:rPr>
            </w:pPr>
          </w:p>
        </w:tc>
        <w:tc>
          <w:tcPr>
            <w:tcW w:w="1780" w:type="dxa"/>
            <w:vAlign w:val="bottom"/>
          </w:tcPr>
          <w:p>
            <w:pPr>
              <w:jc w:val="center"/>
              <w:ind w:right="788"/>
              <w:spacing w:after="0"/>
              <w:rPr>
                <w:sz w:val="20"/>
                <w:szCs w:val="20"/>
                <w:color w:val="auto"/>
              </w:rPr>
            </w:pPr>
            <w:r>
              <w:rPr>
                <w:rFonts w:ascii="Arial" w:cs="Arial" w:eastAsia="Arial" w:hAnsi="Arial"/>
                <w:sz w:val="14"/>
                <w:szCs w:val="14"/>
                <w:b w:val="1"/>
                <w:bCs w:val="1"/>
                <w:color w:val="auto"/>
                <w:w w:val="97"/>
              </w:rPr>
              <w:t>Pro Forma</w:t>
            </w:r>
          </w:p>
        </w:tc>
      </w:tr>
      <w:tr>
        <w:trPr>
          <w:trHeight w:val="171"/>
        </w:trPr>
        <w:tc>
          <w:tcPr>
            <w:tcW w:w="2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Three Months Ended September 30,</w:t>
            </w:r>
          </w:p>
        </w:tc>
        <w:tc>
          <w:tcPr>
            <w:tcW w:w="2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9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2016</w:t>
            </w:r>
          </w:p>
        </w:tc>
        <w:tc>
          <w:tcPr>
            <w:tcW w:w="180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2016</w:t>
            </w:r>
          </w:p>
        </w:tc>
        <w:tc>
          <w:tcPr>
            <w:tcW w:w="178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2015</w:t>
            </w:r>
          </w:p>
        </w:tc>
      </w:tr>
    </w:tbl>
    <w:p>
      <w:pPr>
        <w:sectPr>
          <w:pgSz w:w="11900" w:h="16857" w:orient="portrait"/>
          <w:cols w:equalWidth="0" w:num="1">
            <w:col w:w="11380"/>
          </w:cols>
          <w:pgMar w:left="240" w:top="140" w:right="279" w:bottom="0" w:gutter="0" w:footer="0" w:header="0"/>
        </w:sectPr>
      </w:pPr>
    </w:p>
    <w:bookmarkStart w:id="8" w:name="page9"/>
    <w:bookmarkEnd w:id="8"/>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 interest income plus non-interest income)</w:t>
            </w: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63,600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61,855</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184,677</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184,917</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14,600</w:t>
            </w:r>
          </w:p>
        </w:tc>
        <w:tc>
          <w:tcPr>
            <w:tcW w:w="44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15,028</w:t>
            </w:r>
          </w:p>
        </w:tc>
        <w:tc>
          <w:tcPr>
            <w:tcW w:w="6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36,408</w:t>
            </w:r>
          </w:p>
        </w:tc>
        <w:tc>
          <w:tcPr>
            <w:tcW w:w="4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42,565</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0.38</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0.38</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0.94</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Herget Financial Corp.</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January 8, 2015, First Busey acquired Herget Financial Corp. (“Herget Financial”), headquartered in Pekin, Illinois and its wholly owned bank subsidiary, Herget Bank, National Association (“Herget Bank”). First Busey operated Herget Bank as a separate banking subsidiary from January 9, 2015 until</w:t>
      </w:r>
    </w:p>
    <w:p>
      <w:pPr>
        <w:spacing w:after="0" w:line="254" w:lineRule="auto"/>
        <w:rPr>
          <w:sz w:val="20"/>
          <w:szCs w:val="20"/>
          <w:color w:val="auto"/>
        </w:rPr>
      </w:pPr>
      <w:r>
        <w:rPr>
          <w:rFonts w:ascii="Arial" w:cs="Arial" w:eastAsia="Arial" w:hAnsi="Arial"/>
          <w:sz w:val="18"/>
          <w:szCs w:val="18"/>
          <w:color w:val="auto"/>
        </w:rPr>
        <w:t>March 13, 2015, when it was merged with and into Busey Bank. At that time, Herget Bank’s branches in Pekin, Illinois became branches of Busey Bank. The operating results of Herget Financial are included in the Company’s results of operations since the date of acquisition. This transaction was accounted for using the acquisition method of accounting and, accordingly, assets acquired, liabilities assumed, and consideration exchanged were recorded at estimated fair values on the date of acquisition.</w:t>
      </w:r>
    </w:p>
    <w:p>
      <w:pPr>
        <w:spacing w:after="0" w:line="19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Expenses related to the acquisition of Herget Financial for the first nine months of 2016 were insignificant. During the first nine months of 2015, pre-tax expenses related to the acquisition of Herget Financial totaled $1.0 million. The 2015 expenses were comprised primarily of system conversion, restructuring, legal, consulting, regulatory and marketing costs, all of which are reported as a component of non-interest expense in the accompanying unaudited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 xml:space="preserve">Accounting Standards Update (“ASU”) 2014-09, “Revenue from Contracts with Customers (Topic 606).” </w:t>
      </w:r>
      <w:r>
        <w:rPr>
          <w:rFonts w:ascii="Arial" w:cs="Arial" w:eastAsia="Arial" w:hAnsi="Arial"/>
          <w:sz w:val="16"/>
          <w:szCs w:val="16"/>
          <w:color w:val="auto"/>
        </w:rPr>
        <w:t>ASU 2014-09 outlines a single model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companies to use in accounting for revenue arising from contracts with customers and supersedes most current revenue recognition guidance, including industry-specific guidance. ASU 2014-09 will require that companies recognize revenue based on the value of transferred goods or services as they occur in the contract and will also require additional disclosures. The new authoritative guidance was originally effective for reporting periods after December 15, 2016. In August 2015, </w:t>
      </w:r>
      <w:r>
        <w:rPr>
          <w:rFonts w:ascii="Arial" w:cs="Arial" w:eastAsia="Arial" w:hAnsi="Arial"/>
          <w:sz w:val="16"/>
          <w:szCs w:val="16"/>
          <w:i w:val="1"/>
          <w:iCs w:val="1"/>
          <w:color w:val="auto"/>
        </w:rPr>
        <w:t>ASU 2015-14, “Revenue from Contracts with Customers (Topic 606)”</w:t>
      </w:r>
      <w:r>
        <w:rPr>
          <w:rFonts w:ascii="Arial" w:cs="Arial" w:eastAsia="Arial" w:hAnsi="Arial"/>
          <w:sz w:val="16"/>
          <w:szCs w:val="16"/>
          <w:color w:val="auto"/>
        </w:rPr>
        <w:t xml:space="preserve"> was issued to delay the effective date of ASU 2014-09 by one year. The Company is evaluating the impact this guidance will have on its Consolidated Financial Statements and related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2016-01, “Financial Instruments — Overall (Subtopic 825-10): Recognition and Measurement of Financial Assets and Financial Liabilities.”</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ASU 2016-01 is intended to improve the recognition and measurement of financial instruments by, among other things, requiring: equity investments, with certain exceptions, to be measured at fair value with changes in fair value recognized in net income; public business entities to use the exit price notion when measuring the fair value of financial instruments for disclosure purposes; separate presentation of financial assets and financial liabilities by measurement category and form of financial assets on the balance sheet or the accompanying notes to the financial statements; eliminating the requirement for public business entities to disclose the method and significant assumptions used to estimate the fair value that is to be required to be disclosed for financial instruments measured at amortized cost on the balance sheet; and requiring an entity to present separately in other comprehensive income the portion of the total change in fair value of a liability resulting from the change in the instrument-specific credit risk when the organization has elected to measure the liability at fair value in accordance with the fair value option for financial instruments. ASU 2016-01 will be effective on January 1, 2018 and the Company is evaluating the impact this guidance will have on its Consolidated Financial Statements and related disclosures.</w:t>
      </w:r>
    </w:p>
    <w:p>
      <w:pPr>
        <w:spacing w:after="0" w:line="166"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i w:val="1"/>
          <w:iCs w:val="1"/>
          <w:color w:val="auto"/>
        </w:rPr>
        <w:t xml:space="preserve">ASU 2016-02, “Leases (Topic 842).” </w:t>
      </w:r>
      <w:r>
        <w:rPr>
          <w:rFonts w:ascii="Arial" w:cs="Arial" w:eastAsia="Arial" w:hAnsi="Arial"/>
          <w:sz w:val="17"/>
          <w:szCs w:val="17"/>
          <w:color w:val="auto"/>
        </w:rPr>
        <w:t>ASU 2016-02 intends to increase transparency and comparability among organizations by recognizing all lease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(with terms in excess of 12 months) on the balance sheet as a lease liability and a right-of-use asset. The guidance also requires qualitative and quantitative disclosures designed to assess the amount, timing and uncertainty of cash flows arising from leases. This guidance is effective for annual reporting periods beginning after December 15, 2018, including interim periods within those fiscal years. Upon adoption, the lessee will apply the new standard retrospectively to all periods presented or retrospectively using a cumulative effect adjustment in the year of adoption. The Company is evaluating the impact this guidance will have on its Consolidated Financial Statements and related disclosures.</w:t>
      </w:r>
    </w:p>
    <w:p>
      <w:pPr>
        <w:spacing w:after="0" w:line="17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i w:val="1"/>
          <w:iCs w:val="1"/>
          <w:color w:val="auto"/>
        </w:rPr>
        <w:t xml:space="preserve">ASU </w:t>
      </w:r>
      <w:r>
        <w:rPr>
          <w:rFonts w:ascii="Arial" w:cs="Arial" w:eastAsia="Arial" w:hAnsi="Arial"/>
          <w:sz w:val="15"/>
          <w:szCs w:val="15"/>
          <w:i w:val="1"/>
          <w:iCs w:val="1"/>
          <w:color w:val="auto"/>
        </w:rPr>
        <w:t>2016-09, “Compensation -</w:t>
      </w:r>
      <w:r>
        <w:rPr>
          <w:rFonts w:ascii="Arial" w:cs="Arial" w:eastAsia="Arial" w:hAnsi="Arial"/>
          <w:sz w:val="16"/>
          <w:szCs w:val="16"/>
          <w:i w:val="1"/>
          <w:iCs w:val="1"/>
          <w:color w:val="auto"/>
        </w:rPr>
        <w:t xml:space="preserve"> Stock Compensation (Topic 718): Improvements to Employee Share-Based Payment Accounting.” </w:t>
      </w:r>
      <w:r>
        <w:rPr>
          <w:rFonts w:ascii="Arial" w:cs="Arial" w:eastAsia="Arial" w:hAnsi="Arial"/>
          <w:sz w:val="16"/>
          <w:szCs w:val="16"/>
          <w:color w:val="auto"/>
        </w:rPr>
        <w:t>ASU 2016-09 is intended</w:t>
      </w:r>
      <w:r>
        <w:rPr>
          <w:rFonts w:ascii="Arial" w:cs="Arial" w:eastAsia="Arial" w:hAnsi="Arial"/>
          <w:sz w:val="16"/>
          <w:szCs w:val="16"/>
          <w:i w:val="1"/>
          <w:iCs w:val="1"/>
          <w:color w:val="auto"/>
        </w:rPr>
        <w:t xml:space="preserve"> </w:t>
      </w:r>
      <w:r>
        <w:rPr>
          <w:rFonts w:ascii="Arial" w:cs="Arial" w:eastAsia="Arial" w:hAnsi="Arial"/>
          <w:sz w:val="16"/>
          <w:szCs w:val="16"/>
          <w:color w:val="auto"/>
        </w:rPr>
        <w:t>to simplify several aspects of the accounting for share-based payment transactions, including the income tax consequences, classification of awards as either equity or liabilities and classification on the statement of cash flows. This guidance is effective for reporting periods after December 15, 2016, and interim periods within those fiscal years with early adoption permitted. The Company elected to early adopt this update in the third quarter of the current fiscal year and adoption of this did not have a significant impact to its Consolidated Financial Statements and related disclosures.</w:t>
      </w:r>
    </w:p>
    <w:p>
      <w:pPr>
        <w:spacing w:after="0" w:line="15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ASU 2016-13, “Financial Instruments — Credit Losses (Topic 326): Measurement of Credit Losses on Financial Instruments.” </w:t>
      </w:r>
      <w:r>
        <w:rPr>
          <w:rFonts w:ascii="Arial" w:cs="Arial" w:eastAsia="Arial" w:hAnsi="Arial"/>
          <w:sz w:val="17"/>
          <w:szCs w:val="17"/>
          <w:color w:val="auto"/>
        </w:rPr>
        <w:t>ASU 2016-13 implements a</w:t>
      </w:r>
      <w:r>
        <w:rPr>
          <w:rFonts w:ascii="Arial" w:cs="Arial" w:eastAsia="Arial" w:hAnsi="Arial"/>
          <w:sz w:val="17"/>
          <w:szCs w:val="17"/>
          <w:i w:val="1"/>
          <w:iCs w:val="1"/>
          <w:color w:val="auto"/>
        </w:rPr>
        <w:t xml:space="preserve"> </w:t>
      </w:r>
      <w:r>
        <w:rPr>
          <w:rFonts w:ascii="Arial" w:cs="Arial" w:eastAsia="Arial" w:hAnsi="Arial"/>
          <w:sz w:val="17"/>
          <w:szCs w:val="17"/>
          <w:color w:val="auto"/>
        </w:rPr>
        <w:t>comprehensive change in estimating the allowances for loan losses from the current model of losses inherent in the loan portfolio to a current expected credit loss model that generally is expected to result in earlier recognition of allowances for losses. Further, purchase accounting rules have been modified as well as credit losses on held to maturity debt securities. ASU 2016-13 will be effective in the first quarter of 2020. The Company is evaluating the impact this guidance will have on its Consolidated Financial Statements and related disclosures.</w:t>
      </w:r>
    </w:p>
    <w:p>
      <w:pPr>
        <w:spacing w:after="0" w:line="1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ASU 2016-15, “Statement of Cash Flows (Topic 230): Classification of Certain Cash Receipts and Cash Payments.” </w:t>
      </w:r>
      <w:r>
        <w:rPr>
          <w:rFonts w:ascii="Arial" w:cs="Arial" w:eastAsia="Arial" w:hAnsi="Arial"/>
          <w:sz w:val="17"/>
          <w:szCs w:val="17"/>
          <w:color w:val="auto"/>
        </w:rPr>
        <w:t>ASU 2016-15 provides clarification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how certain cash receipts and cash payment are presented and classified in the Consolidated Statements of Cash Flows. This update is effective for fiscal years beginning after December 15, 2017, and interim periods within those fiscal years, with early adoption permitted. The Company does not expect the adoption of this guidance to have a material impact to its Consolidated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Securities</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Securities are classified as held to maturity when First Busey has the ability and management has the intent to hold those securities to maturity. Accordingly, they are stated at cost, adjusted for amortization of premiums and accretion of discounts. Securities are classified as available for sale when First Busey may</w:t>
      </w:r>
    </w:p>
    <w:p>
      <w:pPr>
        <w:sectPr>
          <w:pgSz w:w="11900" w:h="16838" w:orient="portrait"/>
          <w:cols w:equalWidth="0" w:num="1">
            <w:col w:w="11420"/>
          </w:cols>
          <w:pgMar w:left="240" w:top="118" w:right="239" w:bottom="0" w:gutter="0" w:footer="0" w:header="0"/>
        </w:sectPr>
      </w:pPr>
    </w:p>
    <w:bookmarkStart w:id="9" w:name="page10"/>
    <w:bookmarkEnd w:id="9"/>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decide to sell those securities due to changes in market interest rates, liquidity needs, changes in yields on alternative investments, and for other reasons.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They are carried at fair value with unrealized gains and losses, net of taxes, reported in other comprehensive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unrealized gains and losses and fair values of securities are summarized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September 30,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940" w:type="dxa"/>
            <w:vAlign w:val="bottom"/>
            <w:tcBorders>
              <w:top w:val="single" w:sz="8" w:color="auto"/>
            </w:tcBorders>
            <w:gridSpan w:val="10"/>
          </w:tcPr>
          <w:p>
            <w:pPr>
              <w:jc w:val="right"/>
              <w:ind w:right="9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Available for sale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540" w:type="dxa"/>
            <w:vAlign w:val="bottom"/>
            <w:gridSpan w:val="4"/>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64,822</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gridSpan w:val="4"/>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65,266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Obligations of U.S. government corporations and agencies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105,536</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161,535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163,940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285,095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289,958</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143,713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146,294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4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 securities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760,236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10,823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770,994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Mutual funds and other equity securities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3,689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763,428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11,320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774,683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Held to maturity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46,957</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1,056</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4"/>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48,012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50,460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1,159</w:t>
            </w:r>
          </w:p>
        </w:tc>
        <w:tc>
          <w:tcPr>
            <w:tcW w:w="14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51,618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spacing w:after="0"/>
              <w:rPr>
                <w:sz w:val="20"/>
                <w:szCs w:val="20"/>
                <w:color w:val="auto"/>
              </w:rPr>
            </w:pPr>
            <w:r>
              <w:rPr>
                <w:rFonts w:ascii="Arial" w:cs="Arial" w:eastAsia="Arial" w:hAnsi="Arial"/>
                <w:sz w:val="18"/>
                <w:szCs w:val="18"/>
                <w:color w:val="auto"/>
              </w:rPr>
              <w:t>December 31, 2015:</w:t>
            </w: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5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9"/>
              </w:rPr>
              <w:t>Amortized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4"/>
            <w:vMerge w:val="restart"/>
          </w:tcPr>
          <w:p>
            <w:pPr>
              <w:jc w:val="center"/>
              <w:ind w:right="60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8"/>
              </w:rPr>
              <w:t>Unrealized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940" w:type="dxa"/>
            <w:vAlign w:val="bottom"/>
            <w:tcBorders>
              <w:top w:val="single" w:sz="8" w:color="auto"/>
            </w:tcBorders>
            <w:gridSpan w:val="10"/>
          </w:tcPr>
          <w:p>
            <w:pPr>
              <w:jc w:val="right"/>
              <w:ind w:right="10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Available for sale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65,003</w:t>
            </w:r>
          </w:p>
        </w:tc>
        <w:tc>
          <w:tcPr>
            <w:tcW w:w="16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65,191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Obligations of U.S. government corporations and agencies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132,605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176,764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178,612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307,549</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148,805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44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debt securities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829,293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832,762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Mutual funds and other equity securities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830,935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2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834,838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Held to maturity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48,835</w:t>
            </w:r>
          </w:p>
        </w:tc>
        <w:tc>
          <w:tcPr>
            <w:tcW w:w="16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293"/>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4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31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amortized cost and fair value of debt securities as of September 30, 2016, by contractual maturity or pre-refunded date, are shown below. Mutual funds and other equity securities do not have stated maturity dates and therefore are not included in the following maturity summary. Mortgages underlying mortgage-backed securities may be called or prepaid; therefore, actual maturities could differ from the contractual maturities. All mortgage-backed securities were issued by U.S. government agencies and corporations.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Available for sale</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Held to maturity</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Amortized</w:t>
            </w:r>
          </w:p>
        </w:tc>
        <w:tc>
          <w:tcPr>
            <w:tcW w:w="460" w:type="dxa"/>
            <w:vAlign w:val="bottom"/>
          </w:tcPr>
          <w:p>
            <w:pPr>
              <w:spacing w:after="0"/>
              <w:rPr>
                <w:sz w:val="10"/>
                <w:szCs w:val="10"/>
                <w:color w:val="auto"/>
              </w:rPr>
            </w:pPr>
          </w:p>
        </w:tc>
        <w:tc>
          <w:tcPr>
            <w:tcW w:w="920" w:type="dxa"/>
            <w:vAlign w:val="bottom"/>
          </w:tcPr>
          <w:p>
            <w:pPr>
              <w:jc w:val="right"/>
              <w:ind w:right="477"/>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Amortized</w:t>
            </w:r>
          </w:p>
        </w:tc>
        <w:tc>
          <w:tcPr>
            <w:tcW w:w="440" w:type="dxa"/>
            <w:vAlign w:val="bottom"/>
          </w:tcPr>
          <w:p>
            <w:pPr>
              <w:spacing w:after="0"/>
              <w:rPr>
                <w:sz w:val="10"/>
                <w:szCs w:val="10"/>
                <w:color w:val="auto"/>
              </w:rPr>
            </w:pPr>
          </w:p>
        </w:tc>
        <w:tc>
          <w:tcPr>
            <w:tcW w:w="920" w:type="dxa"/>
            <w:vAlign w:val="bottom"/>
          </w:tcPr>
          <w:p>
            <w:pPr>
              <w:jc w:val="center"/>
              <w:ind w:right="376"/>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Pr>
          <w:p>
            <w:pPr>
              <w:spacing w:after="0"/>
              <w:rPr>
                <w:sz w:val="14"/>
                <w:szCs w:val="14"/>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3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840" w:type="dxa"/>
            <w:vAlign w:val="bottom"/>
            <w:tcBorders>
              <w:top w:val="single" w:sz="8" w:color="auto"/>
            </w:tcBorders>
            <w:gridSpan w:val="6"/>
          </w:tcPr>
          <w:p>
            <w:pPr>
              <w:ind w:left="3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145,340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145,696</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3,558</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301,947</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306,250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18,642</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18,925</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55,178</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57,294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25,020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Due after ten years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257,771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261,754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3,240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3,326</w:t>
            </w:r>
          </w:p>
        </w:tc>
      </w:tr>
      <w:tr>
        <w:trPr>
          <w:trHeight w:val="21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760,236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770,994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Realized gains and losses related to sales of securities are summarized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w w:val="93"/>
              </w:rPr>
              <w:t>Three Months Ended</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r>
      <w:tr>
        <w:trPr>
          <w:trHeight w:val="142"/>
        </w:trPr>
        <w:tc>
          <w:tcPr>
            <w:tcW w:w="2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Gross security gains</w:t>
            </w:r>
          </w:p>
        </w:tc>
        <w:tc>
          <w:tcPr>
            <w:tcW w:w="1600" w:type="dxa"/>
            <w:vAlign w:val="bottom"/>
            <w:gridSpan w:val="2"/>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9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Gross security (losses)</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5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security gains (losses)</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tax provision for the net realized gains and losses was insignificant for the three months ended September 30, 2016. The tax provision for the net realized gains and losses was $0.4 million for the nine months ended September 30, 2016. The tax provision for the net realized gains and losses was insignificant for the nine months ended September 30, 2015.</w:t>
      </w:r>
    </w:p>
    <w:p>
      <w:pPr>
        <w:sectPr>
          <w:pgSz w:w="11900" w:h="16918" w:orient="portrait"/>
          <w:cols w:equalWidth="0" w:num="1">
            <w:col w:w="11460"/>
          </w:cols>
          <w:pgMar w:left="240" w:top="125" w:right="199" w:bottom="0" w:gutter="0" w:footer="0" w:header="0"/>
        </w:sectPr>
      </w:pPr>
    </w:p>
    <w:bookmarkStart w:id="10" w:name="page11"/>
    <w:bookmarkEnd w:id="10"/>
    <w:p>
      <w:pPr>
        <w:spacing w:after="0" w:line="4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During the second quarter of 2016, the Company sold one held to maturity security, which was an obligation of state and political subdivisions, with a fair value of $0.4 million due to significant credit deterioration. The sale resulted in an insignificant loss during the second quarter.</w:t>
      </w:r>
    </w:p>
    <w:p>
      <w:pPr>
        <w:spacing w:after="0" w:line="14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Investment securities with carrying amounts of $619.1 million and $627.4 million on September 30, 2016 and December 31, 2015, respectively, were pledged as collateral for public deposits, securities sold under agreements to repurchase and for other purposes as required or permitted by law.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Information pertaining to securities with gross unrealized losses at September 30, 2016 and December 31, 2015, aggregated by investment category and length of time that individual securities have been in a continuous loss position,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September 30,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Continuous unrealized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Continuous unrealized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losses existing for less than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losses existing for greater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gridSpan w:val="7"/>
            <w:vMerge w:val="restart"/>
          </w:tcPr>
          <w:p>
            <w:pPr>
              <w:jc w:val="right"/>
              <w:ind w:right="100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12 months, gross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than 12 months, gross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55"/>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Unrealized</w:t>
            </w:r>
          </w:p>
        </w:tc>
        <w:tc>
          <w:tcPr>
            <w:tcW w:w="2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55"/>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4"/>
          </w:tcPr>
          <w:p>
            <w:pPr>
              <w:jc w:val="right"/>
              <w:ind w:right="348"/>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sale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Obligations of U.S. government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corporations and agencies(1)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15,032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15,032</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12,965</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14,125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7"/>
              </w:rPr>
              <w:t>Residential mortgage-backed securities(1)</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2,209</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vMerge w:val="restart"/>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vMerge w:val="continue"/>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30,830</w:t>
            </w:r>
          </w:p>
        </w:tc>
        <w:tc>
          <w:tcPr>
            <w:tcW w:w="22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920" w:type="dxa"/>
            <w:vAlign w:val="bottom"/>
          </w:tcPr>
          <w:p>
            <w:pPr>
              <w:jc w:val="right"/>
              <w:ind w:right="768"/>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31,990</w:t>
            </w:r>
          </w:p>
        </w:tc>
        <w:tc>
          <w:tcPr>
            <w:tcW w:w="22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Held to maturity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909</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jc w:val="right"/>
              <w:ind w:right="768"/>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4460" w:firstLine="8"/>
        <w:spacing w:after="0" w:line="496"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Unrealized losses existing for less than 12 months, gross, was less than one thousand dollars. </w:t>
      </w:r>
      <w:r>
        <w:rPr>
          <w:rFonts w:ascii="Arial" w:cs="Arial" w:eastAsia="Arial" w:hAnsi="Arial"/>
          <w:sz w:val="18"/>
          <w:szCs w:val="18"/>
          <w:u w:val="single" w:color="auto"/>
          <w:color w:val="auto"/>
        </w:rPr>
        <w:t>December 31, 2015:</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Continuous unrealized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Continuous unrealized</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losses existing for less than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losses existing for greater</w:t>
            </w:r>
          </w:p>
        </w:tc>
        <w:tc>
          <w:tcPr>
            <w:tcW w:w="240" w:type="dxa"/>
            <w:vAlign w:val="bottom"/>
          </w:tcPr>
          <w:p>
            <w:pPr>
              <w:spacing w:after="0"/>
              <w:rPr>
                <w:sz w:val="12"/>
                <w:szCs w:val="12"/>
                <w:color w:val="auto"/>
              </w:rPr>
            </w:pPr>
          </w:p>
        </w:tc>
        <w:tc>
          <w:tcPr>
            <w:tcW w:w="2360" w:type="dxa"/>
            <w:vAlign w:val="bottom"/>
            <w:gridSpan w:val="6"/>
            <w:vMerge w:val="restart"/>
          </w:tcPr>
          <w:p>
            <w:pPr>
              <w:jc w:val="right"/>
              <w:ind w:right="92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12 months, gross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9"/>
              </w:rPr>
              <w:t>than 12 months, gross</w:t>
            </w:r>
          </w:p>
        </w:tc>
        <w:tc>
          <w:tcPr>
            <w:tcW w:w="240" w:type="dxa"/>
            <w:vAlign w:val="bottom"/>
          </w:tcPr>
          <w:p>
            <w:pPr>
              <w:spacing w:after="0"/>
              <w:rPr>
                <w:sz w:val="14"/>
                <w:szCs w:val="14"/>
                <w:color w:val="auto"/>
              </w:rPr>
            </w:pPr>
          </w:p>
        </w:tc>
        <w:tc>
          <w:tcPr>
            <w:tcW w:w="23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54"/>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54"/>
              <w:spacing w:after="0" w:line="119"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54"/>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6"/>
          </w:tcPr>
          <w:p>
            <w:pPr>
              <w:jc w:val="right"/>
              <w:ind w:right="8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sale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Obligations of U.S. government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corporations and agencies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52,154</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52,154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40,026</w:t>
            </w: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51,445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93,608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99,148</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99,148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Held to maturity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subdivisions(2)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8,451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8,542</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4240" w:hanging="5612"/>
        <w:spacing w:after="0" w:line="573" w:lineRule="auto"/>
        <w:tabs>
          <w:tab w:leader="none" w:pos="259" w:val="left"/>
        </w:tabs>
        <w:numPr>
          <w:ilvl w:val="0"/>
          <w:numId w:val="3"/>
        </w:numPr>
        <w:rPr>
          <w:rFonts w:ascii="Arial" w:cs="Arial" w:eastAsia="Arial" w:hAnsi="Arial"/>
          <w:sz w:val="17"/>
          <w:szCs w:val="17"/>
          <w:color w:val="auto"/>
        </w:rPr>
      </w:pPr>
      <w:r>
        <w:rPr>
          <w:rFonts w:ascii="Arial" w:cs="Arial" w:eastAsia="Arial" w:hAnsi="Arial"/>
          <w:sz w:val="17"/>
          <w:szCs w:val="17"/>
          <w:color w:val="auto"/>
        </w:rPr>
        <w:t>Unrealized losses existing for greater than 12 months, gross, was less than one thousand dollars.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Securities are periodically evaluated for other-than-temporary impairment (“OTTI”). The total number of securities in the investment portfolio in an unrealized loss position as of September 30, 2016 was 58, and represented a loss of 0.20% of the aggregate carrying value. As of September 30, 2016, the Company does not intend to sell such securities and it is more-likely-than-not that the Company will recover the amortized cost prior to being required to sell the securities. Full collection of the amounts due according to the contractual terms of the securities is expected; therefore, the Company does not consider these investments to be OTTI at September 30, 2016.</w:t>
      </w:r>
    </w:p>
    <w:p>
      <w:pPr>
        <w:spacing w:after="0" w:line="18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had available for sale obligations of state and political subdivisions with aggregate fair values of $164.0 million and $178.6 million as of September 30, 2016 and December 31, 2015, respectively. In addition, the Company had held to maturity obligations of state and political subdivisions with aggregate fair values of $48.0 million and $49.3 million as of September 30, 2016 and December 31, 2015, respectively.</w:t>
      </w:r>
    </w:p>
    <w:p>
      <w:pPr>
        <w:sectPr>
          <w:pgSz w:w="11900" w:h="16880" w:orient="portrait"/>
          <w:cols w:equalWidth="0" w:num="1">
            <w:col w:w="11420"/>
          </w:cols>
          <w:pgMar w:left="240" w:top="341" w:right="239" w:bottom="0" w:gutter="0" w:footer="0" w:header="0"/>
        </w:sectPr>
      </w:pPr>
    </w:p>
    <w:bookmarkStart w:id="11" w:name="page12"/>
    <w:bookmarkEnd w:id="11"/>
    <w:p>
      <w:pPr>
        <w:spacing w:after="0" w:line="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September 30, 2016, the aggregate fair value of the Company’s obligations of state and political subdivisions portfolio was comprised of $177.9 million of general obligation bonds and $34.1 million of revenue bonds issued by 263 issuers, primarily consisting of states, counties, cities, towns, villages and school districts. The Company held investments in general obligation bonds in 29 states (including the District of Columbia), including seven states in which the aggregate fair value exceeded $5.0 million. The Company held investments in revenue bonds in 16 states, including two states where the aggregate fair value exceeded $5.0 million.</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December 31, 2015, the aggregate fair value of the Company’s obligations of state and political subdivisions portfolio was comprised of $193.4 million of general obligation bonds and $34.4 million of revenue bonds issued by 278 issuers, primarily consisting of states, counties, cities, towns, villages and school districts. The Company held investments in general obligation bonds in 29 states (including the District of Columbia), including seven states in which the aggregate fair value exceeded $5.0 million. The Company held investments in revenue bonds in 17 states, including two states where the aggregate fair value exceeded $5.0 million.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and fair values of the Company’s portfolio of general obligation bonds are summarized in the following tables by the issuers’ state: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September 30,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Average Exposure</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0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U.S. State</w:t>
            </w:r>
          </w:p>
        </w:tc>
        <w:tc>
          <w:tcPr>
            <w:tcW w:w="10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Per Issuer</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gridSpan w:val="4"/>
            <w:vMerge w:val="continue"/>
          </w:tcPr>
          <w:p>
            <w:pPr>
              <w:spacing w:after="0"/>
              <w:rPr>
                <w:sz w:val="14"/>
                <w:szCs w:val="14"/>
                <w:color w:val="auto"/>
              </w:rPr>
            </w:pPr>
          </w:p>
        </w:tc>
        <w:tc>
          <w:tcPr>
            <w:tcW w:w="1060" w:type="dxa"/>
            <w:vAlign w:val="bottom"/>
          </w:tcPr>
          <w:p>
            <w:pPr>
              <w:jc w:val="center"/>
              <w:ind w:left="268"/>
              <w:spacing w:after="0"/>
              <w:rPr>
                <w:sz w:val="20"/>
                <w:szCs w:val="20"/>
                <w:color w:val="auto"/>
              </w:rPr>
            </w:pPr>
            <w:r>
              <w:rPr>
                <w:rFonts w:ascii="Arial" w:cs="Arial" w:eastAsia="Arial" w:hAnsi="Arial"/>
                <w:sz w:val="14"/>
                <w:szCs w:val="14"/>
                <w:b w:val="1"/>
                <w:bCs w:val="1"/>
                <w:color w:val="auto"/>
                <w:w w:val="89"/>
              </w:rPr>
              <w:t>Issuers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(Fair Value)</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Illinois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65,300</w:t>
            </w:r>
          </w:p>
        </w:tc>
        <w:tc>
          <w:tcPr>
            <w:tcW w:w="6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66,709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Wisconsin</w:t>
            </w: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23,647</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23,879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724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24,587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10,758</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10,846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1,085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10,789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Ohio</w:t>
            </w: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10,660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10,768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1,077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Iowa</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23,761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24,275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general obligations bonds</w:t>
            </w: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174,835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177,926</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00" w:type="dxa"/>
            <w:vAlign w:val="bottom"/>
            <w:gridSpan w:val="4"/>
            <w:vMerge w:val="restart"/>
          </w:tcPr>
          <w:p>
            <w:pPr>
              <w:ind w:left="660"/>
              <w:spacing w:after="0"/>
              <w:rPr>
                <w:sz w:val="20"/>
                <w:szCs w:val="20"/>
                <w:color w:val="auto"/>
              </w:rPr>
            </w:pPr>
            <w:r>
              <w:rPr>
                <w:rFonts w:ascii="Arial" w:cs="Arial" w:eastAsia="Arial" w:hAnsi="Arial"/>
                <w:sz w:val="18"/>
                <w:szCs w:val="18"/>
                <w:color w:val="auto"/>
              </w:rPr>
              <w:t>December 31, 2015:</w:t>
            </w: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500" w:type="dxa"/>
            <w:vAlign w:val="bottom"/>
            <w:gridSpan w:val="4"/>
            <w:vMerge w:val="continue"/>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Average Exposure</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0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U.S. State</w:t>
            </w:r>
          </w:p>
        </w:tc>
        <w:tc>
          <w:tcPr>
            <w:tcW w:w="10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Per Issuer</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gridSpan w:val="4"/>
            <w:vMerge w:val="continue"/>
          </w:tcPr>
          <w:p>
            <w:pPr>
              <w:spacing w:after="0"/>
              <w:rPr>
                <w:sz w:val="14"/>
                <w:szCs w:val="14"/>
                <w:color w:val="auto"/>
              </w:rPr>
            </w:pPr>
          </w:p>
        </w:tc>
        <w:tc>
          <w:tcPr>
            <w:tcW w:w="1060" w:type="dxa"/>
            <w:vAlign w:val="bottom"/>
          </w:tcPr>
          <w:p>
            <w:pPr>
              <w:jc w:val="center"/>
              <w:ind w:left="268"/>
              <w:spacing w:after="0"/>
              <w:rPr>
                <w:sz w:val="20"/>
                <w:szCs w:val="20"/>
                <w:color w:val="auto"/>
              </w:rPr>
            </w:pPr>
            <w:r>
              <w:rPr>
                <w:rFonts w:ascii="Arial" w:cs="Arial" w:eastAsia="Arial" w:hAnsi="Arial"/>
                <w:sz w:val="14"/>
                <w:szCs w:val="14"/>
                <w:b w:val="1"/>
                <w:bCs w:val="1"/>
                <w:color w:val="auto"/>
                <w:w w:val="89"/>
              </w:rPr>
              <w:t>Issuers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(Fair Value)</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Illinois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64,455</w:t>
            </w:r>
          </w:p>
        </w:tc>
        <w:tc>
          <w:tcPr>
            <w:tcW w:w="6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65,557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Wisconsin</w:t>
            </w: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30,889</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31,079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863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27,923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12,601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12,650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1,265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Ohio</w:t>
            </w: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10,723</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10,705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1,071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Iowa</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26,938</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27,375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general obligations bonds</w:t>
            </w: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241</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191,196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193,441</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20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general obligation bonds are diversified across many issuers, with $3.4 million being the largest exposure to a single issuer at September 30, 2016 and December 31, 2015. Accordingly, as of September 30, 2016 and December 31, 2015, the Company did not hold general obligation bonds of any single issuer, the aggregate book or market value of which exceeded 10% of the Company’s stockholders’ equity. Of the general obligation bonds in the Company’s portfolio, 98.3% had been rated by at least one nationally recognized statistical rating organization and 1.7% were unrated, based on the aggregate fair value as of September 30, 2016. Of the general obligation bonds in the Company’s portfolio, 97.6% had been rated by at least one nationally recognized statistical rating organization and 2.4% were unrated, based on the aggregate fair value as of December 31,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values of the Company’s portfolio of revenue bonds are summarized in the following tables by the issuers’ state: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September 30, 2016:</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Average Exposure</w:t>
            </w:r>
          </w:p>
        </w:tc>
        <w:tc>
          <w:tcPr>
            <w:tcW w:w="0" w:type="dxa"/>
            <w:vAlign w:val="bottom"/>
          </w:tcPr>
          <w:p>
            <w:pPr>
              <w:spacing w:after="0"/>
              <w:rPr>
                <w:sz w:val="1"/>
                <w:szCs w:val="1"/>
                <w:color w:val="auto"/>
              </w:rPr>
            </w:pPr>
          </w:p>
        </w:tc>
      </w:tr>
      <w:tr>
        <w:trPr>
          <w:trHeight w:val="149"/>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State</w:t>
            </w:r>
          </w:p>
        </w:tc>
        <w:tc>
          <w:tcPr>
            <w:tcW w:w="1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3840" w:type="dxa"/>
            <w:vAlign w:val="bottom"/>
            <w:gridSpan w:val="3"/>
            <w:vMerge w:val="continue"/>
          </w:tcPr>
          <w:p>
            <w:pPr>
              <w:spacing w:after="0"/>
              <w:rPr>
                <w:sz w:val="14"/>
                <w:szCs w:val="14"/>
                <w:color w:val="auto"/>
              </w:rPr>
            </w:pPr>
          </w:p>
        </w:tc>
        <w:tc>
          <w:tcPr>
            <w:tcW w:w="1120" w:type="dxa"/>
            <w:vAlign w:val="bottom"/>
          </w:tcPr>
          <w:p>
            <w:pPr>
              <w:jc w:val="center"/>
              <w:ind w:left="208"/>
              <w:spacing w:after="0"/>
              <w:rPr>
                <w:sz w:val="20"/>
                <w:szCs w:val="20"/>
                <w:color w:val="auto"/>
              </w:rPr>
            </w:pPr>
            <w:r>
              <w:rPr>
                <w:rFonts w:ascii="Arial" w:cs="Arial" w:eastAsia="Arial" w:hAnsi="Arial"/>
                <w:sz w:val="14"/>
                <w:szCs w:val="14"/>
                <w:b w:val="1"/>
                <w:bCs w:val="1"/>
                <w:color w:val="auto"/>
                <w:w w:val="89"/>
              </w:rPr>
              <w:t>Issuers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42"/>
        </w:trPr>
        <w:tc>
          <w:tcPr>
            <w:tcW w:w="14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Indiana</w:t>
            </w:r>
          </w:p>
        </w:tc>
        <w:tc>
          <w:tcPr>
            <w:tcW w:w="1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7,610</w:t>
            </w:r>
          </w:p>
        </w:tc>
        <w:tc>
          <w:tcPr>
            <w:tcW w:w="6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Illinois</w:t>
            </w:r>
          </w:p>
        </w:tc>
        <w:tc>
          <w:tcPr>
            <w:tcW w:w="112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7,974</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8,127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18,073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0"/>
        </w:trPr>
        <w:tc>
          <w:tcPr>
            <w:tcW w:w="3840" w:type="dxa"/>
            <w:vAlign w:val="bottom"/>
            <w:gridSpan w:val="3"/>
          </w:tcPr>
          <w:p>
            <w:pPr>
              <w:spacing w:after="0"/>
              <w:rPr>
                <w:sz w:val="20"/>
                <w:szCs w:val="20"/>
                <w:color w:val="auto"/>
              </w:rPr>
            </w:pPr>
            <w:r>
              <w:rPr>
                <w:rFonts w:ascii="Arial" w:cs="Arial" w:eastAsia="Arial" w:hAnsi="Arial"/>
                <w:sz w:val="18"/>
                <w:szCs w:val="18"/>
                <w:color w:val="auto"/>
              </w:rPr>
              <w:t>Total revenue bonds</w:t>
            </w: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34,026</w:t>
            </w:r>
          </w:p>
        </w:tc>
        <w:tc>
          <w:tcPr>
            <w:tcW w:w="1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0"/>
        </w:trPr>
        <w:tc>
          <w:tcPr>
            <w:tcW w:w="3840" w:type="dxa"/>
            <w:vAlign w:val="bottom"/>
            <w:gridSpan w:val="3"/>
            <w:vMerge w:val="restart"/>
          </w:tcPr>
          <w:p>
            <w:pPr>
              <w:spacing w:after="0"/>
              <w:rPr>
                <w:sz w:val="20"/>
                <w:szCs w:val="20"/>
                <w:color w:val="auto"/>
              </w:rPr>
            </w:pPr>
            <w:r>
              <w:rPr>
                <w:rFonts w:ascii="Arial" w:cs="Arial" w:eastAsia="Arial" w:hAnsi="Arial"/>
                <w:sz w:val="18"/>
                <w:szCs w:val="18"/>
                <w:color w:val="auto"/>
              </w:rPr>
              <w:t>December 31, 2015: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40" w:type="dxa"/>
            <w:vAlign w:val="bottom"/>
            <w:gridSpan w:val="3"/>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46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Average Exposure</w:t>
            </w:r>
          </w:p>
        </w:tc>
        <w:tc>
          <w:tcPr>
            <w:tcW w:w="0" w:type="dxa"/>
            <w:vAlign w:val="bottom"/>
          </w:tcPr>
          <w:p>
            <w:pPr>
              <w:spacing w:after="0"/>
              <w:rPr>
                <w:sz w:val="1"/>
                <w:szCs w:val="1"/>
                <w:color w:val="auto"/>
              </w:rPr>
            </w:pPr>
          </w:p>
        </w:tc>
      </w:tr>
      <w:tr>
        <w:trPr>
          <w:trHeight w:val="149"/>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State</w:t>
            </w:r>
          </w:p>
        </w:tc>
        <w:tc>
          <w:tcPr>
            <w:tcW w:w="1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3840" w:type="dxa"/>
            <w:vAlign w:val="bottom"/>
            <w:gridSpan w:val="3"/>
            <w:vMerge w:val="continue"/>
          </w:tcPr>
          <w:p>
            <w:pPr>
              <w:spacing w:after="0"/>
              <w:rPr>
                <w:sz w:val="14"/>
                <w:szCs w:val="14"/>
                <w:color w:val="auto"/>
              </w:rPr>
            </w:pPr>
          </w:p>
        </w:tc>
        <w:tc>
          <w:tcPr>
            <w:tcW w:w="1120" w:type="dxa"/>
            <w:vAlign w:val="bottom"/>
          </w:tcPr>
          <w:p>
            <w:pPr>
              <w:jc w:val="center"/>
              <w:ind w:left="208"/>
              <w:spacing w:after="0"/>
              <w:rPr>
                <w:sz w:val="20"/>
                <w:szCs w:val="20"/>
                <w:color w:val="auto"/>
              </w:rPr>
            </w:pPr>
            <w:r>
              <w:rPr>
                <w:rFonts w:ascii="Arial" w:cs="Arial" w:eastAsia="Arial" w:hAnsi="Arial"/>
                <w:sz w:val="14"/>
                <w:szCs w:val="14"/>
                <w:b w:val="1"/>
                <w:bCs w:val="1"/>
                <w:color w:val="auto"/>
                <w:w w:val="89"/>
              </w:rPr>
              <w:t>Issuers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42"/>
        </w:trPr>
        <w:tc>
          <w:tcPr>
            <w:tcW w:w="14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Indiana</w:t>
            </w:r>
          </w:p>
        </w:tc>
        <w:tc>
          <w:tcPr>
            <w:tcW w:w="1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10,187</w:t>
            </w:r>
          </w:p>
        </w:tc>
        <w:tc>
          <w:tcPr>
            <w:tcW w:w="6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10,173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Illinois</w:t>
            </w:r>
          </w:p>
        </w:tc>
        <w:tc>
          <w:tcPr>
            <w:tcW w:w="112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8,450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8,478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bl>
    <w:p>
      <w:pPr>
        <w:sectPr>
          <w:pgSz w:w="11900" w:h="16843" w:orient="portrait"/>
          <w:cols w:equalWidth="0" w:num="1">
            <w:col w:w="11460"/>
          </w:cols>
          <w:pgMar w:left="240" w:top="341" w:right="199" w:bottom="0" w:gutter="0" w:footer="0" w:header="0"/>
        </w:sectPr>
      </w:pPr>
    </w:p>
    <w:bookmarkStart w:id="12" w:name="page13"/>
    <w:bookmarkEnd w:id="12"/>
    <w:p>
      <w:pPr>
        <w:ind w:left="660"/>
        <w:spacing w:after="0"/>
        <w:tabs>
          <w:tab w:leader="none" w:pos="5680" w:val="left"/>
          <w:tab w:leader="none" w:pos="6160" w:val="left"/>
          <w:tab w:leader="none" w:pos="7040" w:val="left"/>
          <w:tab w:leader="none" w:pos="7820" w:val="left"/>
          <w:tab w:leader="none" w:pos="8680" w:val="left"/>
          <w:tab w:leader="none" w:pos="9460" w:val="left"/>
          <w:tab w:leader="none" w:pos="10540" w:val="left"/>
        </w:tabs>
        <w:rPr>
          <w:sz w:val="20"/>
          <w:szCs w:val="20"/>
          <w:color w:val="auto"/>
        </w:rPr>
      </w:pPr>
      <w:r>
        <w:rPr>
          <w:rFonts w:ascii="Arial" w:cs="Arial" w:eastAsia="Arial" w:hAnsi="Arial"/>
          <w:sz w:val="18"/>
          <w:szCs w:val="18"/>
          <w:color w:val="auto"/>
        </w:rPr>
        <w:t>Total revenue bonds</w:t>
      </w:r>
      <w:r>
        <w:rPr>
          <w:sz w:val="20"/>
          <w:szCs w:val="20"/>
          <w:color w:val="auto"/>
        </w:rPr>
        <w:tab/>
      </w: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34,403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34,421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14605</wp:posOffset>
            </wp:positionV>
            <wp:extent cx="401320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13200" cy="26035"/>
                    </a:xfrm>
                    <a:prstGeom prst="rect">
                      <a:avLst/>
                    </a:prstGeom>
                    <a:noFill/>
                  </pic:spPr>
                </pic:pic>
              </a:graphicData>
            </a:graphic>
          </wp:anchor>
        </w:drawing>
      </w:r>
    </w:p>
    <w:p>
      <w:pPr>
        <w:spacing w:after="0" w:line="24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revenue bonds are diversified across many issuers and revenue sources with $3.8 million and $3.0 million being the largest exposure to a single issuer at each of September 30, 2016 and December 31, 2015, respectively. Accordingly, as of September 30, 2016 and December 31, 2015, the Company did not hold revenue bonds of any single issuer, the aggregate book or market value of which exceeded 10% of the Company’s stockholders’ equity. Of the revenue bonds in the Company’s portfolio, 96.8% had been rated by at least one nationally recognized statistical rating organization and 3.2% were unrated, based on the fair value as of September 30, 2016. All of the revenue bonds in the Company’s portfolio had been rated by at least one nationally recognized statistical rating organization as of December 31, 2015. Some of the primary types of revenue bonds held in the Company’s portfolio include: primary education or government building lease rentals secured by ad valorem taxes, utility systems secured by utility system net revenues, housing authorities secured by mortgage loans or principal receipts on mortgage loans, secondary education secured by student fees/tuitions, and pooled issuances (i.e. bond bank) consisting of multiple underlying municipal obligors.</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Substantially all of the Company’s obligations of state and political subdivision securities are owned by its subsidiary banks</w:t>
      </w:r>
      <w:r>
        <w:rPr>
          <w:rFonts w:ascii="Arial" w:cs="Arial" w:eastAsia="Arial" w:hAnsi="Arial"/>
          <w:sz w:val="16"/>
          <w:szCs w:val="16"/>
          <w:b w:val="1"/>
          <w:bCs w:val="1"/>
          <w:color w:val="auto"/>
        </w:rPr>
        <w:t>,</w:t>
      </w:r>
      <w:r>
        <w:rPr>
          <w:rFonts w:ascii="Arial" w:cs="Arial" w:eastAsia="Arial" w:hAnsi="Arial"/>
          <w:sz w:val="16"/>
          <w:szCs w:val="16"/>
          <w:color w:val="auto"/>
        </w:rPr>
        <w:t xml:space="preserve"> which have adopted First Busey’s investment policy requiring that state and political subdivision securities purchased be investment grade. Such investment policy also limits the amount of rated state and political subdivision securities to an aggregate 100% of the subsidiary banks’ Total Capital (as defined by federal regulations) at the time of purchase and an aggregate 15% of Total Capital for unrated state and political subdivision securities issued by municipalities having taxing authority or located in counties/micropolitan statistical areas/metropolitan statistical areas in which an office is located. The investment policy states fixed income investments that are not Office of the Comptroller of the Currency Type 1 securities (U.S. Treasuries, agencies, municipal government general obligation and, for well-capitalized institutions, most municipal revenue bonds) should be analyzed prior to acquisition to determine that (1) the security has low risk of default by the obligor, and (2) the full and timely repayment of principal and interest is expected over the expected life of the investment.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All securities in First Busey’s obligations of state and political subdivision securities portfolio are subject to ongoing review. Factors that may be considered as part of ongoing monitoring of state and political subdivision securities include credit rating changes by nationally recognized statistical rating organizations, market valuations, third-party municipal credit analysis, which may include indicative information regarding the issuer’s capacity to pay, market and economic data and such other factors as are available and relevant to the security or the issuer such as its budgetary position and sources, strength and stability of taxes and/or other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Distributions of loans were as follows: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4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180"/>
        </w:trPr>
        <w:tc>
          <w:tcPr>
            <w:tcW w:w="4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5"/>
                <w:szCs w:val="15"/>
                <w:color w:val="auto"/>
              </w:rPr>
            </w:pPr>
          </w:p>
        </w:tc>
      </w:tr>
      <w:tr>
        <w:trPr>
          <w:trHeight w:val="178"/>
        </w:trPr>
        <w:tc>
          <w:tcPr>
            <w:tcW w:w="4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945,779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656,576</w:t>
            </w:r>
          </w:p>
        </w:tc>
        <w:tc>
          <w:tcPr>
            <w:tcW w:w="12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1,582,338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1,208,429</w:t>
            </w:r>
          </w:p>
        </w:tc>
        <w:tc>
          <w:tcPr>
            <w:tcW w:w="12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187,463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96,568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Retail real estate</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1,342,840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660,542</w:t>
            </w:r>
          </w:p>
        </w:tc>
        <w:tc>
          <w:tcPr>
            <w:tcW w:w="12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15,575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14,975</w:t>
            </w: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Total gross loans</w:t>
            </w:r>
          </w:p>
        </w:tc>
        <w:tc>
          <w:tcPr>
            <w:tcW w:w="19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4,073,995</w:t>
            </w:r>
          </w:p>
        </w:tc>
        <w:tc>
          <w:tcPr>
            <w:tcW w:w="28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2,637,090</w:t>
            </w:r>
          </w:p>
        </w:tc>
        <w:tc>
          <w:tcPr>
            <w:tcW w:w="12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loans held for sale(1)</w:t>
            </w:r>
          </w:p>
        </w:tc>
        <w:tc>
          <w:tcPr>
            <w:tcW w:w="1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266,382</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9,351</w:t>
            </w:r>
          </w:p>
        </w:tc>
        <w:tc>
          <w:tcPr>
            <w:tcW w:w="120" w:type="dxa"/>
            <w:vAlign w:val="bottom"/>
            <w:tcBorders>
              <w:bottom w:val="single" w:sz="8" w:color="CCEEFF"/>
            </w:tcBorders>
          </w:tcPr>
          <w:p>
            <w:pPr>
              <w:spacing w:after="0"/>
              <w:rPr>
                <w:sz w:val="18"/>
                <w:szCs w:val="18"/>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Gross portfolio loans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3,807,613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2,627,739</w:t>
            </w:r>
          </w:p>
        </w:tc>
        <w:tc>
          <w:tcPr>
            <w:tcW w:w="12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47,847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47,487</w:t>
            </w: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Net portfolio loans</w:t>
            </w:r>
          </w:p>
        </w:tc>
        <w:tc>
          <w:tcPr>
            <w:tcW w:w="19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3,759,766</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2,580,252</w:t>
            </w:r>
          </w:p>
        </w:tc>
        <w:tc>
          <w:tcPr>
            <w:tcW w:w="12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(1)Loans held for sale are included in retail real estate.</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Net portfolio loans increased $1.2 billion as of September 30, 2016 as compared to December 31, 2015 primarily as a result of the Pulaski acquisition. Net deferred loan origination costs included in the table above were $2.3 million as of September 30, 2016 and $0.9 million as of December 31, 2015. Net accretable purchase accounting adjustments included in the table above reduced loans by $14.8 million as of September 30, 2016 and $2.2 million as of December 31, 2015.</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believes that making sound loans is a necessary and desirable means of employing funds available for investment. Recognizing the Company’s obligations to its stockholders, depositors, and to the communities it serves, authorized personnel are expected to seek to develop and make sound, profitable loans that resources permit and that opportunity affords. The Company maintains lending policies and procedures designed to focus lending efforts on the types, locations and duration of loans most appropriate for its business model and markets. While not specifically limited, the Company attempts to focus its lending on short to intermediate-term (0-7 years) loans in geographic areas within 125 miles of its lending offices. Loans might be originated outside of these areas, but such loans are generally residential mortgage loans originated for sale in the secondary market. The Company attempts to utilize government-assisted lending programs, such as the Small Business Administration and United States Department of Agriculture lending programs, when prudent. Generally, loans are collateralized by assets, primarily real estate, of the borrowers and guaranteed by individuals. The loans are expected to be repaid primarily from cash flows of the borrowers, or from proceeds from the sale of selected assets of the borrowers.</w:t>
      </w:r>
    </w:p>
    <w:p>
      <w:pPr>
        <w:spacing w:after="0" w:line="16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Management reviews and approves the Company’s lending policies and procedures on a routine basis. The policies for legacy Pulaski loans are similar in nature to Busey Bank’s policies and the Company is migrating Pulaski’s loan production towards the Busey Bank policies. Management routinely (at least quarterly) reviews the Company’s allowance for loan losses in conjunction with reports related to loan production, loan quality, concentrations of credit, loan delinquencies and non-performing and potential problem loans. The Company’s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The integrity and character of the borrower are significant factors in the Company’s loan</w:t>
      </w:r>
    </w:p>
    <w:p>
      <w:pPr>
        <w:sectPr>
          <w:pgSz w:w="11900" w:h="16838" w:orient="portrait"/>
          <w:cols w:equalWidth="0" w:num="1">
            <w:col w:w="11420"/>
          </w:cols>
          <w:pgMar w:left="240" w:top="125" w:right="239" w:bottom="0" w:gutter="0" w:footer="0" w:header="0"/>
        </w:sectPr>
      </w:pPr>
    </w:p>
    <w:bookmarkStart w:id="13" w:name="page14"/>
    <w:bookmarkEnd w:id="13"/>
    <w:p>
      <w:pPr>
        <w:spacing w:after="0" w:line="5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underwriting decisions. As a part of underwriting, tangible positive or negative evidence of the borrower’s integrity and character are sought out. Additional significant underwriting factors beyond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7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At no time is a borrower’s total borrowing relationship permitted to exceed the Company’s regulatory lending limit and the Company generally limits such relationships to amounts substantially less than the regulatory limit. Loans to related parties, including executive officers and directors of the Company and its subsidiaries, are reviewed for compliance with regulatory guidelines by the Company’s board of directors at least annually.</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maintains an independent loan review department that reviews the loans for compliance with the Company’s loan policy on a periodic basis. In addition, the loan review department reviews the risk assessments made by the Company’s credit department, lenders and loan committees. Results of these reviews are presented to management and the audit committee at least quarterly.</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lending activities can be summarized into five primary areas: commercial loans, commercial real estate loans, real estate construction loans, retail real estate loans, and other retail loans. A description of each of the lending areas can be found in the Company’s Annual Report on Form 10-K for the year ended December 31, 2015. The significant majority of the Company’s portfolio lending activity occurs in its Illinois and Missouri markets, with the remainder in the Indiana and Florida markets.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utilizes a loan grading scale to assign a risk grade to all of its loans. A description of the general characteristics of each grade is as follows:</w:t>
      </w:r>
    </w:p>
    <w:p>
      <w:pPr>
        <w:spacing w:after="0" w:line="248" w:lineRule="exact"/>
        <w:rPr>
          <w:sz w:val="20"/>
          <w:szCs w:val="20"/>
          <w:color w:val="auto"/>
        </w:rPr>
      </w:pPr>
    </w:p>
    <w:p>
      <w:pPr>
        <w:jc w:val="both"/>
        <w:ind w:left="680" w:right="640" w:hanging="322"/>
        <w:spacing w:after="0" w:line="264" w:lineRule="auto"/>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Pass- </w:t>
      </w:r>
      <w:r>
        <w:rPr>
          <w:rFonts w:ascii="Arial" w:cs="Arial" w:eastAsia="Arial" w:hAnsi="Arial"/>
          <w:sz w:val="18"/>
          <w:szCs w:val="18"/>
          <w:color w:val="auto"/>
        </w:rPr>
        <w:t>This category includes loans that are all considered strong credits, ranging from investment or near investment grade, to loans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borrowers who exhibit credit fundamentals that exceed industry standards and loan policy guidelines and loans that exhibit acceptable credit fundamentals.</w:t>
      </w:r>
    </w:p>
    <w:p>
      <w:pPr>
        <w:spacing w:after="0" w:line="181" w:lineRule="exact"/>
        <w:rPr>
          <w:rFonts w:ascii="Arial" w:cs="Arial" w:eastAsia="Arial" w:hAnsi="Arial"/>
          <w:sz w:val="18"/>
          <w:szCs w:val="18"/>
          <w:color w:val="auto"/>
        </w:rPr>
      </w:pPr>
    </w:p>
    <w:p>
      <w:pPr>
        <w:ind w:left="680" w:right="340" w:hanging="322"/>
        <w:spacing w:after="0" w:line="277" w:lineRule="auto"/>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Watch- </w:t>
      </w:r>
      <w:r>
        <w:rPr>
          <w:rFonts w:ascii="Arial" w:cs="Arial" w:eastAsia="Arial" w:hAnsi="Arial"/>
          <w:sz w:val="18"/>
          <w:szCs w:val="18"/>
          <w:color w:val="auto"/>
        </w:rPr>
        <w:t>This category includes loans on management’s “Watch List” and is intended to be utilized on a temporary basis for a pass grade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where a significant risk-modifying action is anticipated in the near future.</w:t>
      </w:r>
    </w:p>
    <w:p>
      <w:pPr>
        <w:spacing w:after="0" w:line="170" w:lineRule="exact"/>
        <w:rPr>
          <w:rFonts w:ascii="Arial" w:cs="Arial" w:eastAsia="Arial" w:hAnsi="Arial"/>
          <w:sz w:val="18"/>
          <w:szCs w:val="18"/>
          <w:color w:val="auto"/>
        </w:rPr>
      </w:pPr>
    </w:p>
    <w:p>
      <w:pPr>
        <w:ind w:left="680" w:right="580" w:hanging="322"/>
        <w:spacing w:after="0" w:line="277" w:lineRule="auto"/>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This category is for “Other Assets Specially Mentioned” loans that have potential weaknesses, which may, if not checked or</w:t>
      </w:r>
      <w:r>
        <w:rPr>
          <w:rFonts w:ascii="Arial" w:cs="Arial" w:eastAsia="Arial" w:hAnsi="Arial"/>
          <w:sz w:val="18"/>
          <w:szCs w:val="18"/>
          <w:i w:val="1"/>
          <w:iCs w:val="1"/>
          <w:color w:val="auto"/>
        </w:rPr>
        <w:t xml:space="preserve"> </w:t>
      </w:r>
      <w:r>
        <w:rPr>
          <w:rFonts w:ascii="Arial" w:cs="Arial" w:eastAsia="Arial" w:hAnsi="Arial"/>
          <w:sz w:val="18"/>
          <w:szCs w:val="18"/>
          <w:color w:val="auto"/>
        </w:rPr>
        <w:t>corrected, weaken the asset or inadequately protect the Company’s credit position at some future date.</w:t>
      </w:r>
    </w:p>
    <w:p>
      <w:pPr>
        <w:spacing w:after="0" w:line="170" w:lineRule="exact"/>
        <w:rPr>
          <w:rFonts w:ascii="Arial" w:cs="Arial" w:eastAsia="Arial" w:hAnsi="Arial"/>
          <w:sz w:val="18"/>
          <w:szCs w:val="18"/>
          <w:color w:val="auto"/>
        </w:rPr>
      </w:pPr>
    </w:p>
    <w:p>
      <w:pPr>
        <w:ind w:left="680" w:right="80" w:hanging="322"/>
        <w:spacing w:after="0" w:line="286" w:lineRule="auto"/>
        <w:tabs>
          <w:tab w:leader="none" w:pos="644"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Substandard- </w:t>
      </w:r>
      <w:r>
        <w:rPr>
          <w:rFonts w:ascii="Arial" w:cs="Arial" w:eastAsia="Arial" w:hAnsi="Arial"/>
          <w:sz w:val="17"/>
          <w:szCs w:val="17"/>
          <w:color w:val="auto"/>
        </w:rPr>
        <w:t>This category includes “Substandard” loans, determined in accordance with regulatory guidelines, for which the accrual of interest has</w:t>
      </w:r>
      <w:r>
        <w:rPr>
          <w:rFonts w:ascii="Arial" w:cs="Arial" w:eastAsia="Arial" w:hAnsi="Arial"/>
          <w:sz w:val="17"/>
          <w:szCs w:val="17"/>
          <w:i w:val="1"/>
          <w:iCs w:val="1"/>
          <w:color w:val="auto"/>
        </w:rPr>
        <w:t xml:space="preserve"> </w:t>
      </w:r>
      <w:r>
        <w:rPr>
          <w:rFonts w:ascii="Arial" w:cs="Arial" w:eastAsia="Arial" w:hAnsi="Arial"/>
          <w:sz w:val="17"/>
          <w:szCs w:val="17"/>
          <w:color w:val="auto"/>
        </w:rPr>
        <w:t>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65" w:lineRule="exact"/>
        <w:rPr>
          <w:rFonts w:ascii="Arial" w:cs="Arial" w:eastAsia="Arial" w:hAnsi="Arial"/>
          <w:sz w:val="17"/>
          <w:szCs w:val="17"/>
          <w:color w:val="auto"/>
        </w:rPr>
      </w:pPr>
    </w:p>
    <w:p>
      <w:pPr>
        <w:ind w:left="680" w:right="160" w:hanging="322"/>
        <w:spacing w:after="0" w:line="264" w:lineRule="auto"/>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Doubtful- </w:t>
      </w:r>
      <w:r>
        <w:rPr>
          <w:rFonts w:ascii="Arial" w:cs="Arial" w:eastAsia="Arial" w:hAnsi="Arial"/>
          <w:sz w:val="18"/>
          <w:szCs w:val="18"/>
          <w:color w:val="auto"/>
        </w:rPr>
        <w:t>This category includes “Doubtful” loans that have all the characteristics of a “Substandard” loan with additional factors that make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in full highly questionable and improbable. Such loans are placed on non-accrual status and may be dependent on collateral with a value that is difficult to determine.</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All loans are graded at their inception. Most commercial lending relationships that are $1.0 million or less are processed through an expedited underwriting process. If the credit receives a pass grade, it is aggregated into a homogenous pool of either: $0.35 million or less, or $0.35 million to $1.0 million. These pools are monitored on a regular basis and reviewed annually. Most commercial loans greater than $1.0 million are included in a portfolio review at least annually. Commercial loans greater than $0.35 million that have a grading of special mention or worse are reviewed on a quarterly basis. Interim reviews may take place if circumstances of the borrower warrant a more timely review.</w:t>
      </w:r>
    </w:p>
    <w:p>
      <w:pPr>
        <w:spacing w:after="0" w:line="18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Portfolio loans in the highest grades, represented by the pass and watch categories, totaled $3.6 billion at September 30, 2016, compared to $2.5 billion at December 31, 2015. Portfolio loans in the lowest grades, represented by the special mention, substandard and doubtful, totaled $187.0 million at September 30, 2016, compared to $166.8 million at December 31, 2015.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is a summary of risk grades segregated by category of portfolio loans (excluding loans held for sale, accretable purchase accounting adjustments, and non-posted and clearings):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1"/>
              </w:rPr>
              <w:t>September 30, 2016</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Pass</w:t>
            </w:r>
          </w:p>
        </w:tc>
        <w:tc>
          <w:tcPr>
            <w:tcW w:w="240" w:type="dxa"/>
            <w:vAlign w:val="bottom"/>
          </w:tcPr>
          <w:p>
            <w:pPr>
              <w:spacing w:after="0"/>
              <w:rPr>
                <w:sz w:val="10"/>
                <w:szCs w:val="10"/>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Watch</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6"/>
              </w:rPr>
              <w:t>Special</w:t>
            </w:r>
          </w:p>
        </w:tc>
        <w:tc>
          <w:tcPr>
            <w:tcW w:w="120" w:type="dxa"/>
            <w:vAlign w:val="bottom"/>
          </w:tcPr>
          <w:p>
            <w:pPr>
              <w:spacing w:after="0"/>
              <w:rPr>
                <w:sz w:val="10"/>
                <w:szCs w:val="10"/>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Substandard</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Doubtful</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Mention</w:t>
            </w: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center"/>
              <w:ind w:right="1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0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814,048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64,515</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29,908</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w w:val="87"/>
              </w:rPr>
              <w:t>1,434,896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65,193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53,056</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28,079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132,992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8,893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Retail real estate</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w w:val="87"/>
              </w:rPr>
              <w:t>1,041,798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19,031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12,826</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3,513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0"/>
        </w:trPr>
        <w:tc>
          <w:tcPr>
            <w:tcW w:w="2520" w:type="dxa"/>
            <w:vAlign w:val="bottom"/>
          </w:tcPr>
          <w:p>
            <w:pPr>
              <w:ind w:left="18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7"/>
              </w:rPr>
              <w:t>3,438,685</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194,834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108,197</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1"/>
              </w:rPr>
              <w:t>December 31, 2015</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Pass</w:t>
            </w:r>
          </w:p>
        </w:tc>
        <w:tc>
          <w:tcPr>
            <w:tcW w:w="240" w:type="dxa"/>
            <w:vAlign w:val="bottom"/>
          </w:tcPr>
          <w:p>
            <w:pPr>
              <w:spacing w:after="0"/>
              <w:rPr>
                <w:sz w:val="10"/>
                <w:szCs w:val="10"/>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Watch</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6"/>
              </w:rPr>
              <w:t>Special</w:t>
            </w:r>
          </w:p>
        </w:tc>
        <w:tc>
          <w:tcPr>
            <w:tcW w:w="120" w:type="dxa"/>
            <w:vAlign w:val="bottom"/>
          </w:tcPr>
          <w:p>
            <w:pPr>
              <w:spacing w:after="0"/>
              <w:rPr>
                <w:sz w:val="10"/>
                <w:szCs w:val="10"/>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Substandard</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Doubtful</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Mention</w:t>
            </w: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center"/>
              <w:ind w:right="1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0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553,294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57,703</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27,142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10,966</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w w:val="87"/>
              </w:rPr>
              <w:t>1,068,568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58,238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51,418</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29,781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65,284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14,755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bl>
    <w:p>
      <w:pPr>
        <w:sectPr>
          <w:pgSz w:w="11900" w:h="16897" w:orient="portrait"/>
          <w:cols w:equalWidth="0" w:num="1">
            <w:col w:w="11420"/>
          </w:cols>
          <w:pgMar w:left="240" w:top="125" w:right="239" w:bottom="0" w:gutter="0" w:footer="0" w:header="0"/>
        </w:sectPr>
      </w:pPr>
    </w:p>
    <w:bookmarkStart w:id="14" w:name="page15"/>
    <w:bookmarkEnd w:id="14"/>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Retail real estate</w:t>
            </w:r>
          </w:p>
        </w:tc>
        <w:tc>
          <w:tcPr>
            <w:tcW w:w="26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607,398</w:t>
            </w:r>
          </w:p>
        </w:tc>
        <w:tc>
          <w:tcPr>
            <w:tcW w:w="3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21,637</w:t>
            </w:r>
          </w:p>
        </w:tc>
        <w:tc>
          <w:tcPr>
            <w:tcW w:w="32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13,974</w:t>
            </w:r>
          </w:p>
        </w:tc>
        <w:tc>
          <w:tcPr>
            <w:tcW w:w="36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4,204</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3,139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14,172</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2,308,716</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152,695</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107,933</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46,108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12,748</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When interest accrual is discontinued, all unpaid accrued interest is reversed. Interest income is subsequently recognized only to the extent cash payments are received in excess of the principal due. Loans may be returned to accrual status when all of the principal and interest amounts contractually due are brought current and future payments are reasonably assured.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portfolio loans that are past due and still accruing or on a non-accrual status is as follows:</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September 30, 2016</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94"/>
              <w:spacing w:after="0" w:line="142" w:lineRule="exact"/>
              <w:rPr>
                <w:sz w:val="20"/>
                <w:szCs w:val="20"/>
                <w:color w:val="auto"/>
              </w:rPr>
            </w:pPr>
            <w:r>
              <w:rPr>
                <w:rFonts w:ascii="Arial" w:cs="Arial" w:eastAsia="Arial" w:hAnsi="Arial"/>
                <w:sz w:val="14"/>
                <w:szCs w:val="14"/>
                <w:b w:val="1"/>
                <w:bCs w:val="1"/>
                <w:color w:val="auto"/>
                <w:w w:val="93"/>
              </w:rPr>
              <w:t>Non-accrual</w:t>
            </w:r>
          </w:p>
        </w:tc>
        <w:tc>
          <w:tcPr>
            <w:tcW w:w="80" w:type="dxa"/>
            <w:vAlign w:val="bottom"/>
          </w:tcPr>
          <w:p>
            <w:pPr>
              <w:spacing w:after="0"/>
              <w:rPr>
                <w:sz w:val="12"/>
                <w:szCs w:val="12"/>
                <w:color w:val="auto"/>
              </w:rPr>
            </w:pPr>
          </w:p>
        </w:tc>
      </w:tr>
      <w:tr>
        <w:trPr>
          <w:trHeight w:val="142"/>
        </w:trPr>
        <w:tc>
          <w:tcPr>
            <w:tcW w:w="3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30-59 Days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2"/>
              </w:rPr>
              <w:t>60-89 Days</w:t>
            </w:r>
          </w:p>
        </w:tc>
        <w:tc>
          <w:tcPr>
            <w:tcW w:w="4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90+Days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2"/>
              </w:rPr>
              <w:t>Loans</w:t>
            </w:r>
          </w:p>
        </w:tc>
      </w:tr>
      <w:tr>
        <w:trPr>
          <w:trHeight w:val="142"/>
        </w:trPr>
        <w:tc>
          <w:tcPr>
            <w:tcW w:w="3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4"/>
          </w:tcPr>
          <w:p>
            <w:pPr>
              <w:jc w:val="right"/>
              <w:ind w:right="359"/>
              <w:spacing w:after="0" w:line="142" w:lineRule="exact"/>
              <w:rPr>
                <w:sz w:val="20"/>
                <w:szCs w:val="20"/>
                <w:color w:val="auto"/>
              </w:rPr>
            </w:pPr>
            <w:r>
              <w:rPr>
                <w:rFonts w:ascii="Arial" w:cs="Arial" w:eastAsia="Arial" w:hAnsi="Arial"/>
                <w:sz w:val="14"/>
                <w:szCs w:val="14"/>
                <w:b w:val="1"/>
                <w:bCs w:val="1"/>
                <w:color w:val="auto"/>
              </w:rPr>
              <w:t>(dollars in thousands)</w:t>
            </w: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7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8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3,729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5,418</w:t>
            </w:r>
          </w:p>
        </w:tc>
        <w:tc>
          <w:tcPr>
            <w:tcW w:w="8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Retail real estate</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3,205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3,272</w:t>
            </w:r>
          </w:p>
        </w:tc>
        <w:tc>
          <w:tcPr>
            <w:tcW w:w="8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r>
      <w:tr>
        <w:trPr>
          <w:trHeight w:val="217"/>
        </w:trPr>
        <w:tc>
          <w:tcPr>
            <w:tcW w:w="3260" w:type="dxa"/>
            <w:vAlign w:val="bottom"/>
          </w:tcPr>
          <w:p>
            <w:pPr>
              <w:ind w:left="180"/>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6,871</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3,830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16,253</w:t>
            </w: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right"/>
              <w:ind w:right="566"/>
              <w:spacing w:after="0"/>
              <w:rPr>
                <w:sz w:val="20"/>
                <w:szCs w:val="20"/>
                <w:color w:val="auto"/>
              </w:rPr>
            </w:pPr>
            <w:r>
              <w:rPr>
                <w:rFonts w:ascii="Arial" w:cs="Arial" w:eastAsia="Arial" w:hAnsi="Arial"/>
                <w:sz w:val="14"/>
                <w:szCs w:val="14"/>
                <w:b w:val="1"/>
                <w:bCs w:val="1"/>
                <w:color w:val="auto"/>
              </w:rPr>
              <w:t>December 31, 2015</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10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14"/>
              <w:spacing w:after="0" w:line="142" w:lineRule="exact"/>
              <w:rPr>
                <w:sz w:val="20"/>
                <w:szCs w:val="20"/>
                <w:color w:val="auto"/>
              </w:rPr>
            </w:pPr>
            <w:r>
              <w:rPr>
                <w:rFonts w:ascii="Arial" w:cs="Arial" w:eastAsia="Arial" w:hAnsi="Arial"/>
                <w:sz w:val="14"/>
                <w:szCs w:val="14"/>
                <w:b w:val="1"/>
                <w:bCs w:val="1"/>
                <w:color w:val="auto"/>
                <w:w w:val="93"/>
              </w:rPr>
              <w:t>Non-accrual</w:t>
            </w:r>
          </w:p>
        </w:tc>
        <w:tc>
          <w:tcPr>
            <w:tcW w:w="100" w:type="dxa"/>
            <w:vAlign w:val="bottom"/>
            <w:gridSpan w:val="2"/>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30-59 Days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92"/>
              </w:rPr>
              <w:t>60-89 Days</w:t>
            </w:r>
          </w:p>
        </w:tc>
        <w:tc>
          <w:tcPr>
            <w:tcW w:w="1060" w:type="dxa"/>
            <w:vAlign w:val="bottom"/>
          </w:tcPr>
          <w:p>
            <w:pPr>
              <w:jc w:val="right"/>
              <w:ind w:right="46"/>
              <w:spacing w:after="0" w:line="142" w:lineRule="exact"/>
              <w:rPr>
                <w:sz w:val="20"/>
                <w:szCs w:val="20"/>
                <w:color w:val="auto"/>
              </w:rPr>
            </w:pPr>
            <w:r>
              <w:rPr>
                <w:rFonts w:ascii="Arial" w:cs="Arial" w:eastAsia="Arial" w:hAnsi="Arial"/>
                <w:sz w:val="14"/>
                <w:szCs w:val="14"/>
                <w:b w:val="1"/>
                <w:bCs w:val="1"/>
                <w:color w:val="auto"/>
              </w:rPr>
              <w:t>90+Days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2"/>
              </w:rPr>
              <w:t>Loans</w:t>
            </w:r>
          </w:p>
        </w:tc>
      </w:tr>
      <w:tr>
        <w:trPr>
          <w:trHeight w:val="142"/>
        </w:trPr>
        <w:tc>
          <w:tcPr>
            <w:tcW w:w="4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3"/>
          </w:tcPr>
          <w:p>
            <w:pPr>
              <w:jc w:val="right"/>
              <w:ind w:right="486"/>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w:t>
            </w:r>
          </w:p>
        </w:tc>
        <w:tc>
          <w:tcPr>
            <w:tcW w:w="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w:t>
            </w:r>
          </w:p>
        </w:tc>
        <w:tc>
          <w:tcPr>
            <w:tcW w:w="1060" w:type="dxa"/>
            <w:vAlign w:val="bottom"/>
            <w:shd w:val="clear" w:color="auto" w:fill="CCEEFF"/>
          </w:tcPr>
          <w:p>
            <w:pPr>
              <w:jc w:val="right"/>
              <w:ind w:right="90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1,037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106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Retail real estate</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1,278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106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r>
      <w:tr>
        <w:trPr>
          <w:trHeight w:val="210"/>
        </w:trPr>
        <w:tc>
          <w:tcPr>
            <w:tcW w:w="4200" w:type="dxa"/>
            <w:vAlign w:val="bottom"/>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90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 loan is classified as impaired when, based on current information and events, it is probable the Company will be unable to collect scheduled principal and interest payments when due according to the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Loans graded substandard or doubtful and loans classified as a troubled debt restructuring (“TDR”) are assessed for impairment by the Company.</w:t>
      </w:r>
    </w:p>
    <w:p>
      <w:pPr>
        <w:spacing w:after="0" w:line="167"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Impairment is measured on a loan-by-loan basis for commercial and construction loans based on the present value of the expected future cash flows discounted at the loan’s effective interest rate, the loan’s observable market price, or the fair value of the collateral if the loan is collateral dependent. PCI loans are considered impaired. Large groups of smaller balance homogenous loans are collectively evaluated for impairment. Accordingly, the Company does not separately identify individual consumer and residential loans for impairment unless such loans are the subject of a restructuring agreement.</w:t>
      </w:r>
    </w:p>
    <w:p>
      <w:pPr>
        <w:spacing w:after="0" w:line="154"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The gross interest income that would have been recorded in the three and nine months ended September 30, 2016 if impaired loans had been current in accordance with their original terms was $0.3 million and $0.7 million, respectively. The amount of interest collected on those loans and recognized on a cash basis that was included in interest income was insignificant for the three and nine months ended September 30, 2016.</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Company’s loan portfolio includes certain loans that have been modified in a TDR, where concessions have been granted to borrowers who have experienced financial difficulties. The Company will restructure a loan for its customer after evaluating whether the borrower is able to meet the terms of the loan over the long term, though unable to meet the terms of the loan in the near term due to individual circumstances.</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considers the customer’s past performance, previous and current credit history, the individual circumstances surrounding the customer’s current difficulties and the customer’s plan to meet the terms of the loan in the future prior to restructuring the terms of the loan. Generally, all five primary areas of lending are restructured through short-term interest rate relief, short-term principal payment relief, short-term principal and interest payment relief or forbearance (debt forgiveness). Once a restructured loan exceeds 90 days past due or is placed on non-accrual status, it is classified as non-performing. A summary of restructured loans as of September 30, 2016 and December 31, 2015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2"/>
          </w:tcPr>
          <w:p>
            <w:pPr>
              <w:ind w:left="1700"/>
              <w:spacing w:after="0"/>
              <w:rPr>
                <w:sz w:val="20"/>
                <w:szCs w:val="20"/>
                <w:color w:val="auto"/>
              </w:rPr>
            </w:pPr>
            <w:r>
              <w:rPr>
                <w:rFonts w:ascii="Arial" w:cs="Arial" w:eastAsia="Arial" w:hAnsi="Arial"/>
                <w:sz w:val="14"/>
                <w:szCs w:val="14"/>
                <w:b w:val="1"/>
                <w:bCs w:val="1"/>
                <w:color w:val="auto"/>
              </w:rPr>
              <w:t>Restructured loans: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ind w:right="135"/>
              <w:spacing w:after="0"/>
              <w:rPr>
                <w:sz w:val="20"/>
                <w:szCs w:val="20"/>
                <w:color w:val="auto"/>
              </w:rPr>
            </w:pPr>
            <w:r>
              <w:rPr>
                <w:rFonts w:ascii="Arial" w:cs="Arial" w:eastAsia="Arial" w:hAnsi="Arial"/>
                <w:sz w:val="14"/>
                <w:szCs w:val="14"/>
                <w:b w:val="1"/>
                <w:bCs w:val="1"/>
                <w:color w:val="auto"/>
                <w:w w:val="97"/>
              </w:rPr>
              <w:t>September 30, 2016</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2015</w:t>
            </w:r>
          </w:p>
        </w:tc>
        <w:tc>
          <w:tcPr>
            <w:tcW w:w="2340" w:type="dxa"/>
            <w:vAlign w:val="bottom"/>
          </w:tcPr>
          <w:p>
            <w:pPr>
              <w:spacing w:after="0"/>
              <w:rPr>
                <w:sz w:val="14"/>
                <w:szCs w:val="14"/>
                <w:color w:val="auto"/>
              </w:rPr>
            </w:pPr>
          </w:p>
        </w:tc>
      </w:tr>
      <w:tr>
        <w:trPr>
          <w:trHeight w:val="142"/>
        </w:trPr>
        <w:tc>
          <w:tcPr>
            <w:tcW w:w="1700" w:type="dxa"/>
            <w:vAlign w:val="bottom"/>
          </w:tcPr>
          <w:p>
            <w:pPr>
              <w:spacing w:after="0"/>
              <w:rPr>
                <w:sz w:val="12"/>
                <w:szCs w:val="12"/>
                <w:color w:val="auto"/>
              </w:rPr>
            </w:pPr>
          </w:p>
        </w:tc>
        <w:tc>
          <w:tcPr>
            <w:tcW w:w="34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gridSpan w:val="4"/>
          </w:tcPr>
          <w:p>
            <w:pPr>
              <w:jc w:val="right"/>
              <w:ind w:right="1014"/>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216"/>
        </w:trPr>
        <w:tc>
          <w:tcPr>
            <w:tcW w:w="17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 compliance with modified terms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8,770</w:t>
            </w:r>
          </w:p>
        </w:tc>
        <w:tc>
          <w:tcPr>
            <w:tcW w:w="120" w:type="dxa"/>
            <w:vAlign w:val="bottom"/>
            <w:shd w:val="clear" w:color="auto" w:fill="CCEEFF"/>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30 — 89 days past due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Included in non-performing loans</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CEEFF"/>
          </w:tcPr>
          <w:p>
            <w:pPr>
              <w:spacing w:after="0"/>
              <w:rPr>
                <w:sz w:val="18"/>
                <w:szCs w:val="18"/>
                <w:color w:val="auto"/>
              </w:rPr>
            </w:pPr>
          </w:p>
        </w:tc>
        <w:tc>
          <w:tcPr>
            <w:tcW w:w="234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460" w:type="dxa"/>
            <w:vAlign w:val="bottom"/>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9,592</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9,473</w:t>
            </w: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1215"/>
              <w:spacing w:after="0"/>
              <w:rPr>
                <w:sz w:val="20"/>
                <w:szCs w:val="20"/>
                <w:color w:val="auto"/>
              </w:rPr>
            </w:pPr>
            <w:r>
              <w:rPr>
                <w:rFonts w:ascii="Arial" w:cs="Arial" w:eastAsia="Arial" w:hAnsi="Arial"/>
                <w:sz w:val="18"/>
                <w:szCs w:val="18"/>
                <w:color w:val="auto"/>
                <w:w w:val="99"/>
              </w:rPr>
              <w:t>23</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32"/>
        </w:trPr>
        <w:tc>
          <w:tcPr>
            <w:tcW w:w="1700" w:type="dxa"/>
            <w:vAlign w:val="bottom"/>
            <w:tcBorders>
              <w:bottom w:val="single" w:sz="8" w:color="808080"/>
            </w:tcBorders>
          </w:tcPr>
          <w:p>
            <w:pPr>
              <w:spacing w:after="0"/>
              <w:rPr>
                <w:sz w:val="11"/>
                <w:szCs w:val="11"/>
                <w:color w:val="auto"/>
              </w:rPr>
            </w:pPr>
          </w:p>
        </w:tc>
        <w:tc>
          <w:tcPr>
            <w:tcW w:w="34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3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303" w:gutter="0" w:footer="0" w:header="0"/>
        </w:sectPr>
      </w:pPr>
    </w:p>
    <w:bookmarkStart w:id="15" w:name="page16"/>
    <w:bookmarkEnd w:id="15"/>
    <w:p>
      <w:pPr>
        <w:ind w:right="220"/>
        <w:spacing w:after="0" w:line="276" w:lineRule="auto"/>
        <w:rPr>
          <w:sz w:val="20"/>
          <w:szCs w:val="20"/>
          <w:color w:val="auto"/>
        </w:rPr>
      </w:pPr>
      <w:r>
        <w:rPr>
          <w:rFonts w:ascii="Arial" w:cs="Arial" w:eastAsia="Arial" w:hAnsi="Arial"/>
          <w:sz w:val="17"/>
          <w:szCs w:val="17"/>
          <w:color w:val="auto"/>
        </w:rPr>
        <w:t>All TDRs are considered to be impaired for purposes of assessing the adequacy of the allowance for loan losses and for financial reporting purposes. When the Company modifies a loan in a TDR, it evaluates any possible impairment similar to other impaired loans based on present value of the expected future cash flows discounted at the loan’s effective interest rate, the loan’s observable market price, or the fair value of the collateral if the loan is collateral dependent. If the Company determines that the fair value of the TDR is less than the recorded investment in the loan, impairment is recognized through an allowance estimate in the period of the modification and in periods subsequent to the modification.</w:t>
      </w:r>
    </w:p>
    <w:p>
      <w:pPr>
        <w:spacing w:after="0" w:line="173"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Performing loans classified as a TDR during the three months ended September 30, 2016 included one retail real estate modification for short-term principal payment relief, with a recorded investment of $0.2 million. Performing loans classified as TDRs during the nine months ended September 30, 2016 included three commercial real estate modifications for short-term principal payment relief, with an aggregate recorded investment of $0.3 million and three retail real estate modifications for short-term principal payment relief, with an aggregate recorded investment of $0.5 million.</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Performing loans classified as a TDR during the three months ended September 30, 2015 included one commercial modification for short-term principal payment relief, with a recorded investment of $0.2 million. Performing loans classified as TDRs during the nine months ended September 30, 2015 included one commercial modification for short-term principal payment relief, with a recorded investment of $0.2 million, one retail real estate modification for short-term interest rate relief, with a recorded investment of $0.1 million, and four retail real estate modifications for short-term principal payment relief, with an aggregate recorded investment of $0.4 million.</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gross interest income that would have been recorded in the three and nine months ended September 30, 2016 and 2015 if performing TDRs had been performing in accordance with their original terms compared with their modified terms was insignificant.</w:t>
      </w:r>
    </w:p>
    <w:p>
      <w:pPr>
        <w:spacing w:after="0" w:line="170"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There were no TDRs that were entered into during the last twelve months that were subsequently classified as non-performing and had payment defaults (a default occurs when a loan is 90 days or more past due or transferred to non-accrual) during the three months ended September 30, 2016. TDRs that were entered into during the last twelve months that were subsequently classified as non-performing and had payment defaults during the nine months ended September 30, 2016 consisted of one retail real estate modification totaling $0.1 million and one insignificant retail other modification.</w:t>
      </w:r>
    </w:p>
    <w:p>
      <w:pPr>
        <w:spacing w:after="0" w:line="154"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There were no TDRs that were entered into during the prior twelve months that were subsequently classified as non-performing and had payment defaults during the three months ended September 30, 2015. TDRs that were entered into during the prior twelve months that were subsequently classified as non-performing and had payment defaults during the nine months ended September 30, 2015 consisted of one commercial real estate modification totaling $0.4 million and one commercial modification totaling $0.6 million.</w:t>
      </w:r>
    </w:p>
    <w:p>
      <w:pPr>
        <w:spacing w:after="0" w:line="1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following tables provide details of impaired loans, segregated by category. The unpaid contractual principal balance represents the recorded balance prior to any partial charge-offs. The recorded investment represents customer balances net of any partial charge-offs recognized on the loan. The average recorded investment is calculated using the most recent four quarters.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 2016</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Unpaid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Recorded</w:t>
            </w:r>
          </w:p>
        </w:tc>
        <w:tc>
          <w:tcPr>
            <w:tcW w:w="160" w:type="dxa"/>
            <w:vAlign w:val="bottom"/>
          </w:tcPr>
          <w:p>
            <w:pPr>
              <w:spacing w:after="0"/>
              <w:rPr>
                <w:sz w:val="10"/>
                <w:szCs w:val="10"/>
                <w:color w:val="auto"/>
              </w:rPr>
            </w:pPr>
          </w:p>
        </w:tc>
        <w:tc>
          <w:tcPr>
            <w:tcW w:w="12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Recorded</w:t>
            </w:r>
          </w:p>
        </w:tc>
        <w:tc>
          <w:tcPr>
            <w:tcW w:w="160" w:type="dxa"/>
            <w:vAlign w:val="bottom"/>
          </w:tcPr>
          <w:p>
            <w:pPr>
              <w:spacing w:after="0"/>
              <w:rPr>
                <w:sz w:val="10"/>
                <w:szCs w:val="10"/>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Related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with No</w:t>
            </w: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with</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Recorded</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Investment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5"/>
          </w:tcPr>
          <w:p>
            <w:pPr>
              <w:jc w:val="center"/>
              <w:ind w:right="3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8,190</w:t>
            </w:r>
          </w:p>
        </w:tc>
        <w:tc>
          <w:tcPr>
            <w:tcW w:w="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14,192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10,977</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2,146</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13,123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8,250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w:t>
            </w:r>
          </w:p>
        </w:tc>
        <w:tc>
          <w:tcPr>
            <w:tcW w:w="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Retail real estate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12,412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10,919</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11,319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12,946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320" w:type="dxa"/>
            <w:vAlign w:val="bottom"/>
          </w:tcPr>
          <w:p>
            <w:pPr>
              <w:ind w:left="18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30,059</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2,666</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23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440" w:type="dxa"/>
            <w:vAlign w:val="bottom"/>
            <w:tcBorders>
              <w:bottom w:val="single" w:sz="8" w:color="808080"/>
            </w:tcBorders>
            <w:gridSpan w:val="5"/>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December 31, 2015</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Unpaid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Recorded</w:t>
            </w:r>
          </w:p>
        </w:tc>
        <w:tc>
          <w:tcPr>
            <w:tcW w:w="160" w:type="dxa"/>
            <w:vAlign w:val="bottom"/>
          </w:tcPr>
          <w:p>
            <w:pPr>
              <w:spacing w:after="0"/>
              <w:rPr>
                <w:sz w:val="10"/>
                <w:szCs w:val="10"/>
                <w:color w:val="auto"/>
              </w:rPr>
            </w:pPr>
          </w:p>
        </w:tc>
        <w:tc>
          <w:tcPr>
            <w:tcW w:w="12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Recorded</w:t>
            </w:r>
          </w:p>
        </w:tc>
        <w:tc>
          <w:tcPr>
            <w:tcW w:w="160" w:type="dxa"/>
            <w:vAlign w:val="bottom"/>
          </w:tcPr>
          <w:p>
            <w:pPr>
              <w:spacing w:after="0"/>
              <w:rPr>
                <w:sz w:val="10"/>
                <w:szCs w:val="10"/>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Related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with No</w:t>
            </w: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with</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Recorded</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Investment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5"/>
          </w:tcPr>
          <w:p>
            <w:pPr>
              <w:jc w:val="center"/>
              <w:ind w:right="3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4,482</w:t>
            </w:r>
          </w:p>
        </w:tc>
        <w:tc>
          <w:tcPr>
            <w:tcW w:w="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5,865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4,018</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1,363</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8,700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w:t>
            </w:r>
          </w:p>
        </w:tc>
        <w:tc>
          <w:tcPr>
            <w:tcW w:w="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Retail real estate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12,378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11,108</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11,560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12,070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320" w:type="dxa"/>
            <w:vAlign w:val="bottom"/>
          </w:tcPr>
          <w:p>
            <w:pPr>
              <w:ind w:left="18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19,551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10,087</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26,346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-1828165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-1828165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allowance for loan losses represents an estimate of the amount of probable losses believed to be inherent in the Company’s loan portfolio at the balance sheet date. The allowance for loan losses is calculated geographically, by class of loans. The allowance calculation involves a high degree of estimation that management attempts to mitigate through the use of objective historical data where available. Loan losses are charged against the allowance for loan losses when management believes the uncollectibility of the loan balance is confirmed. Subsequent recoveries, if any, are credited to the allowance. Overall, the Company believes the allowance methodology is consistent with prior periods and the balance was adequate to cover the estimated losses in the Company’s loan portfolio at September 30, 2016 and December 31, 2015.</w:t>
      </w:r>
    </w:p>
    <w:p>
      <w:pPr>
        <w:spacing w:after="0" w:line="193"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general portion of the Company’s allowance contains two components: (i) a component for historical loss ratios, and (ii) a component for adversely graded loans. The historical loss ratio component is an annualized loss rate calculated using a sum-of-years digits weighted 20-quarter historical average.</w:t>
      </w:r>
    </w:p>
    <w:p>
      <w:pPr>
        <w:sectPr>
          <w:pgSz w:w="11900" w:h="16838" w:orient="portrait"/>
          <w:cols w:equalWidth="0" w:num="1">
            <w:col w:w="11460"/>
          </w:cols>
          <w:pgMar w:left="240" w:top="125" w:right="199" w:bottom="0" w:gutter="0" w:footer="0" w:header="0"/>
        </w:sectPr>
      </w:pPr>
    </w:p>
    <w:bookmarkStart w:id="16" w:name="page17"/>
    <w:bookmarkEnd w:id="16"/>
    <w:p>
      <w:pPr>
        <w:ind w:right="100"/>
        <w:spacing w:after="0" w:line="276" w:lineRule="auto"/>
        <w:rPr>
          <w:sz w:val="20"/>
          <w:szCs w:val="20"/>
          <w:color w:val="auto"/>
        </w:rPr>
      </w:pPr>
      <w:r>
        <w:rPr>
          <w:rFonts w:ascii="Arial" w:cs="Arial" w:eastAsia="Arial" w:hAnsi="Arial"/>
          <w:sz w:val="17"/>
          <w:szCs w:val="17"/>
          <w:color w:val="auto"/>
        </w:rPr>
        <w:t>The Company’s component for adversely graded loans attempts to quantify the additional risk of loss inherent in the special mention and substandard portfolios. The substandard portfolio has an additional allocation of 3.00% placed on such loans, which is an estimate of the additional loss inherent in these loan grades based upon a review of overall historical charge-offs. As of September 30, 2016, the Company believed this reserve remained adequate. Special mention loans have an additional allocation of 1.00% placed on such loans, which is an estimate of the additional loss inherent in these loan grades. As of September 30, 2016, the Company believed this reserve remained adequate.</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specific portion of the Company’s allowance relates to loans that are impaired, which includes non-performing loans, TDRs and other loans determined to be impaired. Impaired loans are excluded from the determination of the general allowance for non-impaired loans and are allocated specific reserves as discussed above.</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Impaired loans are reported at the fair value of the underlying collateral, less estimated costs to sell, if repayment is expected solely from the collateral. Collateral values are estimated using a combination of observable inputs, including recent appraisals discounted for collateral specific changes and current market conditions, and unobservable inputs based on customized discounting criteria.</w:t>
      </w:r>
    </w:p>
    <w:p>
      <w:pPr>
        <w:spacing w:after="0" w:line="18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general reserve quantitative allocation that is based upon historical charge off rates is adjusted for qualitative factors based on current general economic conditions and other qualitative risk factors both internal and external to the Company. In general, such valuation allowances are determined by evaluating, among other things: (i) Management &amp; Staff; (ii) Loan Underwriting, Policy and Procedures; (iii) Internal/External Audit &amp; Loan Review; (iv) Valuation of Underlying Collateral; (v) Macro and Local Economic Factors; (vi) Impact of Competition, Legal &amp; Regulatory Issues; (vii) Nature and Volume of Loan Portfolio; (viii) Concentrations of Credit; (ix) Net Charge-Off Trends; and (x) Non-Accrual, Past Due and Classified Trends. Management evaluates the probable impact from the degree of risk that each one of these components has on the quality of the loan portfolio on a quarterly basis.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Based on each component’s risk factor, a qualitative adjustment to the reserve may be applied to the appropriate loan categories. During the third quarter of 2016, the Company did not make adjustments to any qualitative factors. The Company will continue to monitor its qualitative factors on a quarterly basis.</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holds acquired loans from business combinations with uncollected principal balances. These loans are carried net of a fair value adjustment for credit risk and interest rates and are only included in the allowance calculation to the extent that the reserve requirement exceeds the fair value adjustment. However, as the acquired loans renew, it is generally necessary to establish an allowance, which represents an amount that, in management’s opinion, will be adequate to absorb probable credit losses in such loans. The balance of all acquired loans which did not require a related allowance for loan losses as of September 30, 2016 totaled approximately $1.0 billion.</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details activity in the allowance for loan losses. Allocation of a portion of the allowance to one category does not preclude its availability to absorb losses in other categories.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300" w:type="dxa"/>
            <w:vAlign w:val="bottom"/>
            <w:tcBorders>
              <w:bottom w:val="single" w:sz="8" w:color="auto"/>
            </w:tcBorders>
            <w:gridSpan w:val="11"/>
          </w:tcPr>
          <w:p>
            <w:pPr>
              <w:jc w:val="center"/>
              <w:ind w:right="300"/>
              <w:spacing w:after="0"/>
              <w:rPr>
                <w:sz w:val="20"/>
                <w:szCs w:val="20"/>
                <w:color w:val="auto"/>
              </w:rPr>
            </w:pPr>
            <w:r>
              <w:rPr>
                <w:rFonts w:ascii="Arial" w:cs="Arial" w:eastAsia="Arial" w:hAnsi="Arial"/>
                <w:sz w:val="14"/>
                <w:szCs w:val="14"/>
                <w:b w:val="1"/>
                <w:bCs w:val="1"/>
                <w:color w:val="auto"/>
                <w:w w:val="92"/>
              </w:rPr>
              <w:t>As of and for the Three Months Ended September 30, 2016</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7"/>
              </w:rPr>
              <w:t>Commercial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Commercial</w:t>
            </w:r>
          </w:p>
        </w:tc>
        <w:tc>
          <w:tcPr>
            <w:tcW w:w="120" w:type="dxa"/>
            <w:vAlign w:val="bottom"/>
          </w:tcPr>
          <w:p>
            <w:pPr>
              <w:spacing w:after="0"/>
              <w:rPr>
                <w:sz w:val="10"/>
                <w:szCs w:val="10"/>
                <w:color w:val="auto"/>
              </w:rPr>
            </w:pPr>
          </w:p>
        </w:tc>
        <w:tc>
          <w:tcPr>
            <w:tcW w:w="12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60" w:type="dxa"/>
            <w:vAlign w:val="bottom"/>
          </w:tcPr>
          <w:p>
            <w:pPr>
              <w:spacing w:after="0"/>
              <w:rPr>
                <w:sz w:val="10"/>
                <w:szCs w:val="10"/>
                <w:color w:val="auto"/>
              </w:rPr>
            </w:pPr>
          </w:p>
        </w:tc>
        <w:tc>
          <w:tcPr>
            <w:tcW w:w="12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Retail Other</w:t>
            </w:r>
          </w:p>
        </w:tc>
        <w:tc>
          <w:tcPr>
            <w:tcW w:w="260" w:type="dxa"/>
            <w:vAlign w:val="bottom"/>
          </w:tcPr>
          <w:p>
            <w:pPr>
              <w:spacing w:after="0"/>
              <w:rPr>
                <w:sz w:val="10"/>
                <w:szCs w:val="10"/>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Construction</w:t>
            </w: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45,358</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1,002</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1,506</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11"/>
          </w:tcPr>
          <w:p>
            <w:pPr>
              <w:jc w:val="center"/>
              <w:ind w:right="320"/>
              <w:spacing w:after="0"/>
              <w:rPr>
                <w:sz w:val="20"/>
                <w:szCs w:val="20"/>
                <w:color w:val="auto"/>
              </w:rPr>
            </w:pPr>
            <w:r>
              <w:rPr>
                <w:rFonts w:ascii="Arial" w:cs="Arial" w:eastAsia="Arial" w:hAnsi="Arial"/>
                <w:sz w:val="14"/>
                <w:szCs w:val="14"/>
                <w:b w:val="1"/>
                <w:bCs w:val="1"/>
                <w:color w:val="auto"/>
                <w:w w:val="93"/>
              </w:rPr>
              <w:t>As of and for the Nine Months Ended September 30, 2016</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7"/>
              </w:rPr>
              <w:t>Commercial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Commercial</w:t>
            </w:r>
          </w:p>
        </w:tc>
        <w:tc>
          <w:tcPr>
            <w:tcW w:w="120" w:type="dxa"/>
            <w:vAlign w:val="bottom"/>
          </w:tcPr>
          <w:p>
            <w:pPr>
              <w:spacing w:after="0"/>
              <w:rPr>
                <w:sz w:val="10"/>
                <w:szCs w:val="10"/>
                <w:color w:val="auto"/>
              </w:rPr>
            </w:pPr>
          </w:p>
        </w:tc>
        <w:tc>
          <w:tcPr>
            <w:tcW w:w="12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60" w:type="dxa"/>
            <w:vAlign w:val="bottom"/>
          </w:tcPr>
          <w:p>
            <w:pPr>
              <w:spacing w:after="0"/>
              <w:rPr>
                <w:sz w:val="10"/>
                <w:szCs w:val="10"/>
                <w:color w:val="auto"/>
              </w:rPr>
            </w:pPr>
          </w:p>
        </w:tc>
        <w:tc>
          <w:tcPr>
            <w:tcW w:w="12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Retail Other</w:t>
            </w:r>
          </w:p>
        </w:tc>
        <w:tc>
          <w:tcPr>
            <w:tcW w:w="260" w:type="dxa"/>
            <w:vAlign w:val="bottom"/>
          </w:tcPr>
          <w:p>
            <w:pPr>
              <w:spacing w:after="0"/>
              <w:rPr>
                <w:sz w:val="10"/>
                <w:szCs w:val="10"/>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Construction</w:t>
            </w:r>
          </w:p>
        </w:tc>
        <w:tc>
          <w:tcPr>
            <w:tcW w:w="16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Estate</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47,487</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(7,205)</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2,114</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11"/>
          </w:tcPr>
          <w:p>
            <w:pPr>
              <w:jc w:val="center"/>
              <w:ind w:right="300"/>
              <w:spacing w:after="0"/>
              <w:rPr>
                <w:sz w:val="20"/>
                <w:szCs w:val="20"/>
                <w:color w:val="auto"/>
              </w:rPr>
            </w:pPr>
            <w:r>
              <w:rPr>
                <w:rFonts w:ascii="Arial" w:cs="Arial" w:eastAsia="Arial" w:hAnsi="Arial"/>
                <w:sz w:val="14"/>
                <w:szCs w:val="14"/>
                <w:b w:val="1"/>
                <w:bCs w:val="1"/>
                <w:color w:val="auto"/>
                <w:w w:val="92"/>
              </w:rPr>
              <w:t>As of and for the Three Months Ended September 30, 2015</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7"/>
              </w:rPr>
              <w:t>Commercial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Commercial</w:t>
            </w:r>
          </w:p>
        </w:tc>
        <w:tc>
          <w:tcPr>
            <w:tcW w:w="120" w:type="dxa"/>
            <w:vAlign w:val="bottom"/>
          </w:tcPr>
          <w:p>
            <w:pPr>
              <w:spacing w:after="0"/>
              <w:rPr>
                <w:sz w:val="10"/>
                <w:szCs w:val="10"/>
                <w:color w:val="auto"/>
              </w:rPr>
            </w:pPr>
          </w:p>
        </w:tc>
        <w:tc>
          <w:tcPr>
            <w:tcW w:w="12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60" w:type="dxa"/>
            <w:vAlign w:val="bottom"/>
          </w:tcPr>
          <w:p>
            <w:pPr>
              <w:spacing w:after="0"/>
              <w:rPr>
                <w:sz w:val="10"/>
                <w:szCs w:val="10"/>
                <w:color w:val="auto"/>
              </w:rPr>
            </w:pPr>
          </w:p>
        </w:tc>
        <w:tc>
          <w:tcPr>
            <w:tcW w:w="12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Retail Other</w:t>
            </w:r>
          </w:p>
        </w:tc>
        <w:tc>
          <w:tcPr>
            <w:tcW w:w="260" w:type="dxa"/>
            <w:vAlign w:val="bottom"/>
          </w:tcPr>
          <w:p>
            <w:pPr>
              <w:spacing w:after="0"/>
              <w:rPr>
                <w:sz w:val="10"/>
                <w:szCs w:val="10"/>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Construction</w:t>
            </w: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47,720</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11"/>
          </w:tcPr>
          <w:p>
            <w:pPr>
              <w:jc w:val="center"/>
              <w:ind w:right="320"/>
              <w:spacing w:after="0"/>
              <w:rPr>
                <w:sz w:val="20"/>
                <w:szCs w:val="20"/>
                <w:color w:val="auto"/>
              </w:rPr>
            </w:pPr>
            <w:r>
              <w:rPr>
                <w:rFonts w:ascii="Arial" w:cs="Arial" w:eastAsia="Arial" w:hAnsi="Arial"/>
                <w:sz w:val="14"/>
                <w:szCs w:val="14"/>
                <w:b w:val="1"/>
                <w:bCs w:val="1"/>
                <w:color w:val="auto"/>
                <w:w w:val="93"/>
              </w:rPr>
              <w:t>As of and for the Nine Months Ended September 30, 2015</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7"/>
              </w:rPr>
              <w:t>Commercial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Commercial</w:t>
            </w:r>
          </w:p>
        </w:tc>
        <w:tc>
          <w:tcPr>
            <w:tcW w:w="120" w:type="dxa"/>
            <w:vAlign w:val="bottom"/>
          </w:tcPr>
          <w:p>
            <w:pPr>
              <w:spacing w:after="0"/>
              <w:rPr>
                <w:sz w:val="10"/>
                <w:szCs w:val="10"/>
                <w:color w:val="auto"/>
              </w:rPr>
            </w:pPr>
          </w:p>
        </w:tc>
        <w:tc>
          <w:tcPr>
            <w:tcW w:w="12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60" w:type="dxa"/>
            <w:vAlign w:val="bottom"/>
          </w:tcPr>
          <w:p>
            <w:pPr>
              <w:spacing w:after="0"/>
              <w:rPr>
                <w:sz w:val="10"/>
                <w:szCs w:val="10"/>
                <w:color w:val="auto"/>
              </w:rPr>
            </w:pPr>
          </w:p>
        </w:tc>
        <w:tc>
          <w:tcPr>
            <w:tcW w:w="12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Retail Other</w:t>
            </w:r>
          </w:p>
        </w:tc>
        <w:tc>
          <w:tcPr>
            <w:tcW w:w="260" w:type="dxa"/>
            <w:vAlign w:val="bottom"/>
          </w:tcPr>
          <w:p>
            <w:pPr>
              <w:spacing w:after="0"/>
              <w:rPr>
                <w:sz w:val="10"/>
                <w:szCs w:val="10"/>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Construction</w:t>
            </w: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47,453</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(810)</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1,525</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637</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5"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5" w:gutter="0" w:footer="0" w:header="0"/>
          <w:type w:val="continuous"/>
        </w:sectPr>
      </w:pPr>
    </w:p>
    <w:bookmarkStart w:id="17" w:name="page18"/>
    <w:bookmarkEnd w:id="17"/>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allowance for loan losses and recorded investments in portfolio loans by category:</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As of September 30, 2016</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9"/>
              </w:rPr>
              <w:t>Commercial</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Commercial</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Retail Real</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Retail Other</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Real Estate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Construction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8"/>
          </w:tcPr>
          <w:p>
            <w:pPr>
              <w:ind w:left="4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Amount allocated to:</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94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843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23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140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11,272</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18,664</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1,981</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14,487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340</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46,744</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11,366</w:t>
            </w:r>
          </w:p>
        </w:tc>
        <w:tc>
          <w:tcPr>
            <w:tcW w:w="1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19,507</w:t>
            </w:r>
          </w:p>
        </w:tc>
        <w:tc>
          <w:tcPr>
            <w:tcW w:w="1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2,004</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14,627</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47,847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Loans: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5,659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12,052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10,897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29,307</w:t>
            </w:r>
          </w:p>
        </w:tc>
        <w:tc>
          <w:tcPr>
            <w:tcW w:w="0" w:type="dxa"/>
            <w:vAlign w:val="bottom"/>
          </w:tcPr>
          <w:p>
            <w:pPr>
              <w:spacing w:after="0"/>
              <w:rPr>
                <w:sz w:val="1"/>
                <w:szCs w:val="1"/>
                <w:color w:val="auto"/>
              </w:rPr>
            </w:pP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938,550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1,569,215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186,586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1,065,139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15,398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3,774,888</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PCI loans evaluated for Impairment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1,570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1,071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Arial" w:cs="Arial" w:eastAsia="Arial" w:hAnsi="Arial"/>
                <w:sz w:val="18"/>
                <w:szCs w:val="18"/>
                <w:color w:val="auto"/>
              </w:rPr>
              <w:t>Ending Balance</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945,779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1,582,338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187,463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1,076,458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15,575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3,807,613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As of December 31, 2015</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4"/>
              </w:rPr>
              <w:t>Commercial</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Commercial</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Retail Real</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Retail Other</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Real Estate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Construction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ind w:left="240"/>
              <w:spacing w:after="0"/>
              <w:rPr>
                <w:sz w:val="20"/>
                <w:szCs w:val="20"/>
                <w:color w:val="auto"/>
              </w:rPr>
            </w:pPr>
            <w:r>
              <w:rPr>
                <w:rFonts w:ascii="Arial" w:cs="Arial" w:eastAsia="Arial" w:hAnsi="Arial"/>
                <w:sz w:val="14"/>
                <w:szCs w:val="14"/>
                <w:b w:val="1"/>
                <w:bCs w:val="1"/>
                <w:color w:val="auto"/>
              </w:rPr>
              <w:t>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8"/>
          </w:tcPr>
          <w:p>
            <w:pPr>
              <w:ind w:left="4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Amount allocated to:</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3,304</w:t>
            </w:r>
          </w:p>
        </w:tc>
        <w:tc>
          <w:tcPr>
            <w:tcW w:w="1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3,949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9,811</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18,145</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1,734</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13,562</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43,538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13,115</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18,604</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13,714</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47,487</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Loans: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individually evaluated for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11,600</w:t>
            </w:r>
          </w:p>
        </w:tc>
        <w:tc>
          <w:tcPr>
            <w:tcW w:w="1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5,005</w:t>
            </w:r>
          </w:p>
        </w:tc>
        <w:tc>
          <w:tcPr>
            <w:tcW w:w="1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w:t>
            </w:r>
          </w:p>
        </w:tc>
        <w:tc>
          <w:tcPr>
            <w:tcW w:w="1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11,560</w:t>
            </w:r>
          </w:p>
        </w:tc>
        <w:tc>
          <w:tcPr>
            <w:tcW w:w="2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28,930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Loans collectively evaluated for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644,976</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1,203,048</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95,709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639,631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14,737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2,598,101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PCI loans evaluated for Impairment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656,576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1,208,429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96,568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651,191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14,975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2,627,739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OREO</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OREO represents properties acquired through foreclosure or other proceedings in settlement of loans. OREO is held for sale and is recorded at the date of foreclosure at the fair value of the properties less estimated costs of disposal, which establishes a new cost basis. Any adjustment to fair value at the time of transfer to OREO is charged to the allowance for loan losses. Properties are evaluated regularly to ensure each recorded amount is supported by its current fair value, and valuation allowances to reduce the carrying amount due to subsequent declines in fair value less estimated costs to dispose are recorded as necessary. Revenue, expense, gains and losses from the operations of foreclosed assets are included in operations. At September 30, 2016, the Company held $1.7 million in commercial OREO, $0.6 million in residential OREO and an insignificant amount of other repossessed assets. At December 31, 2015, the Company held $0.5 million in commercial OREO, $0.3 million in residential OREO and an insignificant amount of other repossessed assets. At September 30, 2016 the Company had $1.8 million of residential real estate in the process of foreclosure.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OREO:</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September 30, 2016</w:t>
            </w:r>
          </w:p>
        </w:tc>
        <w:tc>
          <w:tcPr>
            <w:tcW w:w="12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December 31, 2015</w:t>
            </w:r>
          </w:p>
        </w:tc>
      </w:tr>
      <w:tr>
        <w:trPr>
          <w:trHeight w:val="142"/>
        </w:trPr>
        <w:tc>
          <w:tcPr>
            <w:tcW w:w="4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180" w:type="dxa"/>
            <w:vAlign w:val="bottom"/>
            <w:tcBorders>
              <w:top w:val="single" w:sz="8" w:color="auto"/>
            </w:tcBorders>
            <w:gridSpan w:val="4"/>
          </w:tcPr>
          <w:p>
            <w:pPr>
              <w:jc w:val="right"/>
              <w:ind w:right="894"/>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783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transfers from loans</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2,175</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w:t>
            </w: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Additions, fair value from Herget Financial acquisition</w:t>
            </w:r>
          </w:p>
        </w:tc>
        <w:tc>
          <w:tcPr>
            <w:tcW w:w="10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fair value from Pulaski acquisition</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2,488</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Proceeds from sales of OREO</w:t>
            </w:r>
          </w:p>
        </w:tc>
        <w:tc>
          <w:tcPr>
            <w:tcW w:w="10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(3,911)</w:t>
            </w: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(1,090)</w:t>
            </w: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sales of OREO</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Valuation allowance for OREO</w:t>
            </w:r>
          </w:p>
        </w:tc>
        <w:tc>
          <w:tcPr>
            <w:tcW w:w="10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Deposits</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continue to focus on deepening our relationship value with customers, which, in turn, fosters deposit growth. In addition, deposit growth was impacted in 2016 by the April 30, 2016 Pulaski acquisition. Total deposits at September 30, 2016 include $1.1 billion in deposits held at Pulaski Bank.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deposits is as follows:</w:t>
      </w:r>
    </w:p>
    <w:p>
      <w:pPr>
        <w:sectPr>
          <w:pgSz w:w="11900" w:h="16860" w:orient="portrait"/>
          <w:cols w:equalWidth="0" w:num="1">
            <w:col w:w="11420"/>
          </w:cols>
          <w:pgMar w:left="240" w:top="584" w:right="239" w:bottom="0" w:gutter="0" w:footer="0" w:header="0"/>
        </w:sectPr>
      </w:pPr>
    </w:p>
    <w:bookmarkStart w:id="18" w:name="page19"/>
    <w:bookmarkEnd w:id="18"/>
    <w:tbl>
      <w:tblPr>
        <w:tblLayout w:type="fixed"/>
        <w:tblInd w:w="130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September</w:t>
            </w:r>
          </w:p>
        </w:tc>
        <w:tc>
          <w:tcPr>
            <w:tcW w:w="22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w:t>
            </w:r>
          </w:p>
        </w:tc>
      </w:tr>
      <w:tr>
        <w:trPr>
          <w:trHeight w:val="171"/>
        </w:trPr>
        <w:tc>
          <w:tcPr>
            <w:tcW w:w="5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30, 2016</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31, 2015</w:t>
            </w:r>
          </w:p>
        </w:tc>
        <w:tc>
          <w:tcPr>
            <w:tcW w:w="120" w:type="dxa"/>
            <w:vAlign w:val="bottom"/>
          </w:tcPr>
          <w:p>
            <w:pPr>
              <w:spacing w:after="0"/>
              <w:rPr>
                <w:sz w:val="14"/>
                <w:szCs w:val="14"/>
                <w:color w:val="auto"/>
              </w:rPr>
            </w:pPr>
          </w:p>
        </w:tc>
      </w:tr>
      <w:tr>
        <w:trPr>
          <w:trHeight w:val="142"/>
        </w:trPr>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60" w:type="dxa"/>
            <w:vAlign w:val="bottom"/>
            <w:gridSpan w:val="4"/>
          </w:tcPr>
          <w:p>
            <w:pPr>
              <w:jc w:val="right"/>
              <w:ind w:right="736"/>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 noninterest-bearing</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996,750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881,685</w:t>
            </w:r>
          </w:p>
        </w:tc>
        <w:tc>
          <w:tcPr>
            <w:tcW w:w="120" w:type="dxa"/>
            <w:vAlign w:val="bottom"/>
            <w:shd w:val="clear" w:color="auto" w:fill="CCEEFF"/>
          </w:tcPr>
          <w:p>
            <w:pPr>
              <w:spacing w:after="0"/>
              <w:rPr>
                <w:sz w:val="18"/>
                <w:szCs w:val="18"/>
                <w:color w:val="auto"/>
              </w:rPr>
            </w:pPr>
          </w:p>
        </w:tc>
      </w:tr>
      <w:tr>
        <w:trPr>
          <w:trHeight w:val="202"/>
        </w:trPr>
        <w:tc>
          <w:tcPr>
            <w:tcW w:w="5220" w:type="dxa"/>
            <w:vAlign w:val="bottom"/>
          </w:tcPr>
          <w:p>
            <w:pPr>
              <w:spacing w:after="0" w:line="201" w:lineRule="exact"/>
              <w:rPr>
                <w:sz w:val="20"/>
                <w:szCs w:val="20"/>
                <w:color w:val="auto"/>
              </w:rPr>
            </w:pPr>
            <w:r>
              <w:rPr>
                <w:rFonts w:ascii="Arial" w:cs="Arial" w:eastAsia="Arial" w:hAnsi="Arial"/>
                <w:sz w:val="18"/>
                <w:szCs w:val="18"/>
                <w:color w:val="auto"/>
              </w:rPr>
              <w:t>Interest-bearing transaction deposits, saving deposits and money</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market deposits</w:t>
            </w:r>
          </w:p>
        </w:tc>
        <w:tc>
          <w:tcPr>
            <w:tcW w:w="22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2,511,914</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1,949,370</w:t>
            </w:r>
          </w:p>
        </w:tc>
        <w:tc>
          <w:tcPr>
            <w:tcW w:w="120" w:type="dxa"/>
            <w:vAlign w:val="bottom"/>
          </w:tcPr>
          <w:p>
            <w:pPr>
              <w:spacing w:after="0"/>
              <w:rPr>
                <w:sz w:val="20"/>
                <w:szCs w:val="20"/>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827,842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458,051</w:t>
            </w:r>
          </w:p>
        </w:tc>
        <w:tc>
          <w:tcPr>
            <w:tcW w:w="120" w:type="dxa"/>
            <w:vAlign w:val="bottom"/>
            <w:shd w:val="clear" w:color="auto" w:fill="CCEEFF"/>
          </w:tcPr>
          <w:p>
            <w:pPr>
              <w:spacing w:after="0"/>
              <w:rPr>
                <w:sz w:val="18"/>
                <w:szCs w:val="18"/>
                <w:color w:val="auto"/>
              </w:rPr>
            </w:pPr>
          </w:p>
        </w:tc>
      </w:tr>
      <w:tr>
        <w:trPr>
          <w:trHeight w:val="210"/>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4,336,506</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3,289,106</w:t>
            </w:r>
          </w:p>
        </w:tc>
        <w:tc>
          <w:tcPr>
            <w:tcW w:w="12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Interest-bearing transaction deposits included $35.0 million and $7.8 million of reciprocal brokered transaction deposits at September 30, 2016 and December 31, 2015, respectively. Savings deposits included $25.3 million of reciprocal brokered deposits at September 30, 2016. There were no reciprocal brokered deposits in savings deposits at December 31, 2015.</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aggregate amount of time deposits with a minimum denomination of $100,000 was approximately $373.0 million and $128.1 million at September 30, 2016 and December 31, 2015, respectively. The aggregate amount of time deposits with a minimum denomination that meets or exceeds the FDIC insurance limit of $250,000 was approximately $80.6 million and $23.2 million at September 30, 2016 and December 31, 2015, respectively. National deposits of $0.2 million and $0.4 million were included in the balance of time deposits as of September 30, 2016 and December 31, 2015, respectively. The Company had reciprocal brokered time deposits of $95.5 million and $0.4 million at September 30, 2016 and December 31, 2015, respectively, included in the balance of time deposits. The Company had brokered deposits of $5.0 million at September 30, 2016, which are included in the balance of time deposits. There were no brokered deposits at December 31,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the scheduled maturities of time deposits, in thousands,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October 1, 2016 — September 30, 2017</w:t>
            </w:r>
          </w:p>
        </w:tc>
        <w:tc>
          <w:tcPr>
            <w:tcW w:w="30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567,583</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October 1, 2017 — September 30, 2018</w:t>
            </w:r>
          </w:p>
        </w:tc>
        <w:tc>
          <w:tcPr>
            <w:tcW w:w="2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157,364</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October 1, 2018 — September 30, 2019</w:t>
            </w:r>
          </w:p>
        </w:tc>
        <w:tc>
          <w:tcPr>
            <w:tcW w:w="2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69,110</w:t>
            </w:r>
          </w:p>
        </w:tc>
        <w:tc>
          <w:tcPr>
            <w:tcW w:w="12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October 1, 2019 — September 30, 2020</w:t>
            </w:r>
          </w:p>
        </w:tc>
        <w:tc>
          <w:tcPr>
            <w:tcW w:w="2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16,601</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October 1, 2020 — September 30, 2021</w:t>
            </w:r>
          </w:p>
        </w:tc>
        <w:tc>
          <w:tcPr>
            <w:tcW w:w="2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17,083</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Thereafter</w:t>
            </w:r>
          </w:p>
        </w:tc>
        <w:tc>
          <w:tcPr>
            <w:tcW w:w="2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3440" w:type="dxa"/>
            <w:vAlign w:val="bottom"/>
            <w:tcBorders>
              <w:top w:val="single" w:sz="8" w:color="CCEEFF"/>
              <w:bottom w:val="single" w:sz="8" w:color="CCEEFF"/>
            </w:tcBorders>
            <w:shd w:val="clear" w:color="auto" w:fill="CCEEFF"/>
          </w:tcPr>
          <w:p>
            <w:pPr>
              <w:spacing w:after="0"/>
              <w:rPr>
                <w:sz w:val="18"/>
                <w:szCs w:val="18"/>
                <w:color w:val="auto"/>
              </w:rPr>
            </w:pPr>
          </w:p>
        </w:tc>
        <w:tc>
          <w:tcPr>
            <w:tcW w:w="26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827,842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40" w:type="dxa"/>
            <w:vAlign w:val="bottom"/>
            <w:vMerge w:val="restart"/>
          </w:tcPr>
          <w:p>
            <w:pPr>
              <w:jc w:val="right"/>
              <w:ind w:right="1810"/>
              <w:spacing w:after="0"/>
              <w:rPr>
                <w:sz w:val="20"/>
                <w:szCs w:val="20"/>
                <w:color w:val="auto"/>
              </w:rPr>
            </w:pPr>
            <w:r>
              <w:rPr>
                <w:rFonts w:ascii="Arial" w:cs="Arial" w:eastAsia="Arial" w:hAnsi="Arial"/>
                <w:sz w:val="18"/>
                <w:szCs w:val="18"/>
                <w:color w:val="auto"/>
              </w:rPr>
              <w:t>28</w:t>
            </w: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20" w:type="dxa"/>
            <w:vAlign w:val="bottom"/>
            <w:tcBorders>
              <w:bottom w:val="single" w:sz="8" w:color="808080"/>
            </w:tcBorders>
          </w:tcPr>
          <w:p>
            <w:pPr>
              <w:spacing w:after="0"/>
              <w:rPr>
                <w:sz w:val="11"/>
                <w:szCs w:val="11"/>
                <w:color w:val="auto"/>
              </w:rPr>
            </w:pPr>
          </w:p>
        </w:tc>
        <w:tc>
          <w:tcPr>
            <w:tcW w:w="3440" w:type="dxa"/>
            <w:vAlign w:val="bottom"/>
            <w:tcBorders>
              <w:bottom w:val="single" w:sz="8" w:color="808080"/>
            </w:tcBorders>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Securities sold under agreements to repurchase, which are classified as secured borrowings, generally mature either daily or within one year from the transaction date.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Short-term borrowings include FHLB advances which mature in less than one year from date of origination.</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On November 20, 2015, the Company entered into a credit agreement with a national bank to make available a revolving loan facility to the Company in the maximum principal amount of $20.0 million. The loan has an annual interest rate of 2.50% plus the one-month LIBOR rate and has a maturity date of November 19, 2016. The loan also bears a non-usage fee calculated based on the average daily principal balance of the loan outstanding during the prior fiscal quarter. The Company had $10.0 million outstanding on September 30, 2016. The Company had no outstanding amount on December 31, 2015.</w:t>
      </w:r>
    </w:p>
    <w:p>
      <w:pPr>
        <w:spacing w:after="0" w:line="15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sets forth the distribution of securities sold under agreements to repurchase and short-term borrowings and weighted average interest rates: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right"/>
              <w:ind w:right="553"/>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20" w:type="dxa"/>
            <w:vAlign w:val="bottom"/>
            <w:gridSpan w:val="3"/>
          </w:tcPr>
          <w:p>
            <w:pPr>
              <w:jc w:val="right"/>
              <w:ind w:right="1132"/>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Securities sold under agreements to repurchase</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212,363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172,972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at end of period</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212,363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202,376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for the year-to-date period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176,946</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Weighted average interest rate during period(1)</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0.21%</w:t>
            </w:r>
          </w:p>
        </w:tc>
        <w:tc>
          <w:tcPr>
            <w:tcW w:w="34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Short-term borrowings, FHLB advances</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236,700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Weighted average interest rate at end of period</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0.45%</w:t>
            </w:r>
          </w:p>
        </w:tc>
        <w:tc>
          <w:tcPr>
            <w:tcW w:w="34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236,700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Average daily balance for the year-to-date period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91,134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period(1)</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borrowings, revolving loan</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10,000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at end of period</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10,000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for the year-to-date period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2,628</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Weighted average interest rate during period(1) (2)</w:t>
            </w: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4.73%</w:t>
            </w:r>
          </w:p>
        </w:tc>
        <w:tc>
          <w:tcPr>
            <w:tcW w:w="34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320" w:right="199" w:bottom="0" w:gutter="0" w:footer="0" w:header="0"/>
        </w:sectPr>
      </w:pPr>
    </w:p>
    <w:bookmarkStart w:id="19" w:name="page20"/>
    <w:bookmarkEnd w:id="19"/>
    <w:p>
      <w:pPr>
        <w:ind w:left="980" w:right="420" w:hanging="324"/>
        <w:spacing w:after="0" w:line="258" w:lineRule="auto"/>
        <w:tabs>
          <w:tab w:leader="none" w:pos="98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weighted average interest rate is computed by dividing total annualized interest for the year-to-date period by the average daily balance outstanding.</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interest and non-usage fee.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is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40" w:type="dxa"/>
            <w:vAlign w:val="bottom"/>
            <w:gridSpan w:val="4"/>
          </w:tcPr>
          <w:p>
            <w:pPr>
              <w:jc w:val="right"/>
              <w:ind w:right="762"/>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6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Notes payable, FHLB, ranging in original maturity from nineteen months to ten years,</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collateralized by FHLB deposits, residential and commercial real estate loans and</w:t>
            </w:r>
          </w:p>
        </w:tc>
        <w:tc>
          <w:tcPr>
            <w:tcW w:w="4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80,000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FHLB stock.</w:t>
            </w:r>
          </w:p>
        </w:tc>
        <w:tc>
          <w:tcPr>
            <w:tcW w:w="420" w:type="dxa"/>
            <w:vAlign w:val="bottom"/>
            <w:gridSpan w:val="2"/>
            <w:vMerge w:val="continue"/>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644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Arial" w:cs="Arial" w:eastAsia="Arial" w:hAnsi="Arial"/>
                <w:sz w:val="18"/>
                <w:szCs w:val="18"/>
                <w:color w:val="auto"/>
              </w:rPr>
              <w:t>29</w:t>
            </w: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vMerge w:val="continue"/>
          </w:tcPr>
          <w:p>
            <w:pPr>
              <w:spacing w:after="0"/>
              <w:rPr>
                <w:sz w:val="24"/>
                <w:szCs w:val="24"/>
                <w:color w:val="auto"/>
              </w:rPr>
            </w:pPr>
          </w:p>
        </w:tc>
        <w:tc>
          <w:tcPr>
            <w:tcW w:w="6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64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As of September 30, 2016, funds borrowed from the FHLB, listed above, consisted of variable-rate notes maturing through September 2024, with interest rates ranging from 0.15% to 0.26%. The weighted average rate on these long-term advances was 0.19% as of September 30, 2016. As of December 31, 2015, funds borrowed from the FHLB, listed above, consisted of variable-rate notes maturing through September 2024, with interest rates ranging from 0.10% to 0.28%. The weighted average rate on these long-term advances was 0.15% as of December 31,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Junior Subordinated Debt Owed to Unconsolidated Trusts</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First Busey maintains statutory trusts for the sole purpose of issuing and servicing trust preferred securities and related trust common securities. The proceeds from such issuances were used by the trusts to purchase junior subordinated notes of the Company, which are the sole assets of each trust. Concurrent with the issuance of the trust preferred securities, the Company issued guarantees for the benefit of the holders of the trust preferred securities. The trust preferred securities are issues that qualify, and are treated by the Company, as Tier 1 regulatory capital. The Company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In connection with the Pulaski acquisition, the Company acquired similar statutory trusts maintained by Pulaski. The Company had $70.8 million and $55.0 million of junior subordinated debt owed to unconsolidated trusts at September 30, 2016 and December 31, 2015, respectively.</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trust preferred securities are subject to mandatory redemption, in whole or in part, upon repayment of the junior subordinated notes at par value at the stated maturity date or upon redemption. Each trust’s ability to pay amounts due on the trust preferred securities is solely dependent upon the Company making payment on the related junior subordinated notes. The Company’s obligations under the junior subordinated notes and other relevant trust agreements, in aggregate, constitute a full and unconditional guarantee by the Company of each trust’s obligations under the trust preferred securities issued by each trust. The Company has the right to defer payment of interest on the notes, in which case the distributions on the trust preferred securities will also be deferred, for up to five years, but not beyond the stated maturity date in the table above. The Company does not expect to exercise this right.</w:t>
      </w:r>
    </w:p>
    <w:p>
      <w:pPr>
        <w:spacing w:after="0" w:line="16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Under current banking regulations, bank holding companies are allowed to include qualifying trust preferred securities in their Tier 1 Capital for regulatory capital purposes, subject to a 25% limitation to all core (Tier 1) capital elements, net of goodwill and other intangible assets less any associated deferred tax liability. As of September 30, 2016, 100% of the trust preferred securities noted in the table above qualified as Tier 1 capital under the final rule adopted in March 2005.</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Earnings per common share have been computed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gridSpan w:val="6"/>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11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15,422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10,444</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38,239</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Shares:</w:t>
            </w: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7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38,256</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28,989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34,009</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Dilutive effect of outstanding options, warrants and restricted</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stock units as determined by the application of the treasury</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method</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398</w:t>
            </w: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309</w:t>
            </w:r>
          </w:p>
        </w:tc>
        <w:tc>
          <w:tcPr>
            <w:tcW w:w="5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common shares outstanding, as adjusted for</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w w:val="90"/>
              </w:rPr>
              <w:t>38,654</w:t>
            </w:r>
          </w:p>
        </w:tc>
        <w:tc>
          <w:tcPr>
            <w:tcW w:w="3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29,142</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34,318</w:t>
            </w:r>
          </w:p>
        </w:tc>
        <w:tc>
          <w:tcPr>
            <w:tcW w:w="50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29,163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earnings per share calculation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1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0.36</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1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0.36</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Basic earnings per share are computed by dividing net income available to common stockholders for the period by the weighted average number of common shares outstanding, which include deferred stock units that are vested but not delivered.</w:t>
      </w:r>
    </w:p>
    <w:p>
      <w:pPr>
        <w:sectPr>
          <w:pgSz w:w="11900" w:h="16838" w:orient="portrait"/>
          <w:cols w:equalWidth="0" w:num="1">
            <w:col w:w="11460"/>
          </w:cols>
          <w:pgMar w:left="240" w:top="125" w:right="199" w:bottom="31" w:gutter="0" w:footer="0" w:header="0"/>
        </w:sectPr>
      </w:pPr>
    </w:p>
    <w:bookmarkStart w:id="20" w:name="page21"/>
    <w:bookmarkEnd w:id="20"/>
    <w:p>
      <w:pPr>
        <w:ind w:right="40"/>
        <w:spacing w:after="0" w:line="255" w:lineRule="auto"/>
        <w:rPr>
          <w:sz w:val="20"/>
          <w:szCs w:val="20"/>
          <w:color w:val="auto"/>
        </w:rPr>
      </w:pPr>
      <w:r>
        <w:rPr>
          <w:rFonts w:ascii="Arial" w:cs="Arial" w:eastAsia="Arial" w:hAnsi="Arial"/>
          <w:sz w:val="18"/>
          <w:szCs w:val="18"/>
          <w:color w:val="auto"/>
        </w:rPr>
        <w:t>Diluted earnings per common share are computed using the treasury stock method and reflects the potential dilution that could occur if the Company’s outstanding stock options were exercised and restricted stock units were vested. Stock options and restricted stock units for which the exercise or the grant price exceeds the average market price over the period have an anti-dilutive effect and are excluded from the calculation. At September 30, 2016, 28,350 outstanding options, 191,278 warrants and 132,017 restricted stock units were anti-dilutive and excluded from the calculation of common stock equivalents. At September 30, 2015, 86,568 outstanding options, 191,278 warrants, and 112,433 restricted stock units were anti-dilutive and excluded from the calculation of common stock equivalents.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Share-based Compensation</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grants share-based compensation awards to its employees and members of its board of directors as provided for under the Company’s 2010 Equity Incentive Plan. The Company currently grants share-based compensation in the form of restricted stock units (“RSUs”) and deferred stock units (“DSUs”). The Company grants RSUs to members of management periodically throughout the year. Each RSU is equivalent to one share of the Company’s common stock. These units have a requisite service periods ranging from one to five years. The Company annually grants share-based awards in the form of DSUs, which are RSUs with a deferred settlement date, to its board of directors. Each DSU is equivalent to one share of the Company’s common stock. The DSUs vest over a twelve-month period following the grant date or on the date of the next Annual Meeting of Stockholders, whichever is earlier. These units generally are subject to the same terms as RSUs under the Company’s 2010 Equity Incentive Plan, except that, following vesting, settlement occurs within 30 days following the earlier of separation from the board or a change in control of the Company. Subsequent to vesting and prior to delivery, these units will continue to earn dividend equivalents. The Company also has outstanding stock options granted prior to 2011.</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terms of the Company’s 2010 Equity Incentive Plan, the Company is allowed, but not required, to source stock option exercises and grants of RSUs and DSUs from its inventory of treasury stock. As of September 30, 2016, the Company held 662,512 shares in treasury. On February 3, 2015, First Busey announced that its board of directors approved a repurchase plan under which the Company is authorized to repurchase up to an aggregate of 666,667 shares of its common stock. The repurchase plan has no expiration date and replaced the prior repurchase plan that was originally approved in 2008. During the third quarter of 2015, the Company purchased 333,333 shares under this repurchase plan. At September 30, 2016 the Company had 333,334 shares that may yet be purchased under the plan.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description of the 2010 Equity Incentive Plan, which was amended in 2015, can be found in the Company’s Proxy Statement for the 2015 Annual Meeting of Stockholders. The Company’s 2010 Equity Incentive Plan is designed to encourage ownership of its common stock by its employees and directors, to provide additional incentive for them to promote the success of its business, and to attract and retain talented personnel. All of the Company’s employees and directors, and those of its subsidiaries, are eligible to receive awards under the plan.</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relation to the Pulaski acquisition, the Company assumed stock options that were previously issued under shareholder approved Pulaski incentive plans. At the effective time of the acquisition, each outstanding option to purchase shares of Pulaski common stock was converted automatically into a stock option exercisable for that number of shares of First Busey common stock equal to (i) the number of shares of Pulaski common stock subject to the Pulaski stock option immediately prior to the effective time multiplied by (ii) the exchange ratio (rounded down to the nearest whole share), with an exercise price per share equal to (A) the exercise price per share of Pulaski common stock of the Pulaski stock option immediately prior to the effective time divided by (B) the exchange ratio (rounded up to the nearest whole cent). Each Pulaski stock option assumed and converted continues to be subject to the same terms and conditions, as applicable immediately prior to the effective time. All Pulaski stock options are fully vested.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and changes in the Company’s stock option awards for the nine months ended September 30, 2016 follows: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left="340"/>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5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960" w:type="dxa"/>
            <w:vAlign w:val="bottom"/>
          </w:tcPr>
          <w:p>
            <w:pPr>
              <w:jc w:val="center"/>
              <w:ind w:lef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left="360"/>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96,568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43.64</w:t>
            </w:r>
          </w:p>
        </w:tc>
        <w:tc>
          <w:tcPr>
            <w:tcW w:w="28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Converted options from Pulaski</w:t>
            </w:r>
          </w:p>
        </w:tc>
        <w:tc>
          <w:tcPr>
            <w:tcW w:w="1360" w:type="dxa"/>
            <w:vAlign w:val="bottom"/>
          </w:tcPr>
          <w:p>
            <w:pPr>
              <w:jc w:val="right"/>
              <w:spacing w:after="0"/>
              <w:rPr>
                <w:sz w:val="20"/>
                <w:szCs w:val="20"/>
                <w:color w:val="auto"/>
              </w:rPr>
            </w:pPr>
            <w:r>
              <w:rPr>
                <w:rFonts w:ascii="Arial" w:cs="Arial" w:eastAsia="Arial" w:hAnsi="Arial"/>
                <w:sz w:val="18"/>
                <w:szCs w:val="18"/>
                <w:color w:val="auto"/>
              </w:rPr>
              <w:t>309,700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13.29</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(44,538)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15.12</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13.87</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Expired</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(50,718)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58.23</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310,618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15.12</w:t>
            </w:r>
          </w:p>
        </w:tc>
        <w:tc>
          <w:tcPr>
            <w:tcW w:w="2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at end of period</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940" w:type="dxa"/>
            <w:vAlign w:val="bottom"/>
            <w:vMerge w:val="continue"/>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310,618</w:t>
            </w:r>
          </w:p>
        </w:tc>
        <w:tc>
          <w:tcPr>
            <w:tcW w:w="1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60" w:type="dxa"/>
            <w:vAlign w:val="bottom"/>
          </w:tcPr>
          <w:p>
            <w:pPr>
              <w:jc w:val="right"/>
              <w:ind w:right="78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15.12</w:t>
            </w:r>
          </w:p>
        </w:tc>
        <w:tc>
          <w:tcPr>
            <w:tcW w:w="280" w:type="dxa"/>
            <w:vAlign w:val="bottom"/>
            <w:vMerge w:val="continue"/>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record any stock option compensation expense for the three or nine months ended September 30, 2016 or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Company’s stock unit awards for the nine months ended September 30, 2016, is as follows: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5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Director</w:t>
            </w: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Deferred</w:t>
            </w: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Stock</w:t>
            </w: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Units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Units</w:t>
            </w: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126,669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22.44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22,428</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equivalents earned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1,891</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Vested</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(54,913)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14.61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(14,301)</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Non-vested at end of period</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502,640</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34,781</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0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Outstanding at end of period</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502,640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18.78</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92,775</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18.50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All recipients earn quarterly dividend equivalents on their respective units. These dividend equivalents are not paid out during the vesting period, but instead entitle the recipients to additional units. Therefore, dividends earned each quarter compound based upon the updated unit balances. Upon vesting/delivery, shares are expected (though not required) to be issued from treasury.</w:t>
      </w:r>
    </w:p>
    <w:p>
      <w:pPr>
        <w:sectPr>
          <w:pgSz w:w="11900" w:h="16838" w:orient="portrait"/>
          <w:cols w:equalWidth="0" w:num="1">
            <w:col w:w="11420"/>
          </w:cols>
          <w:pgMar w:left="240" w:top="125" w:right="239" w:bottom="0" w:gutter="0" w:footer="0" w:header="0"/>
        </w:sectPr>
      </w:pPr>
    </w:p>
    <w:bookmarkStart w:id="21" w:name="page22"/>
    <w:bookmarkEnd w:id="21"/>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July 11, 2016, under the terms of the 2010 Equity Incentive Plan, the Company granted 126,669 RSUs to members of management. As the stock price on the grant date of July 11, 2016 was $22.44, total compensation cost to be recognized is $2.8 million. This cost will be recognized over a period of five years. Subsequent to the requisite service period, the awards will vest 100%.</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addition, on July 11, 2016, under the terms of the 2010 Equity Incentive Plan, the Company granted 15,830 DSUs to directors. As the stock price on the grant date of July 11, 2016 was $22.44, total compensation cost to be recognized is $0.4 million. The Company also granted 1,250 DSUs to a new director on July 25, 2016. As the stock price on the grant date of July 25, 2016 was $22.39, total compensation cost to be recognized is insignificant. These costs will be recognized over the requisite service period of one year from the date of grant or the next Annual Meeting of Stockholders; whichever is earlier. Further, the Company granted 5,348 DSUs to the Chairman of the Board. As the stock price on the grant date of July 11, 2016 was $22.44, total compensation cost to be recognized is $0.1 million. This cost will be recognized over a period of five years. Subsequent to the requisite service period, the awards will vest 100%.</w:t>
      </w:r>
    </w:p>
    <w:p>
      <w:pPr>
        <w:spacing w:after="0" w:line="16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relation to the Pulaski acquisition, the Company also assumed performance based restricted stock unit awards. At the effective time of the acquisition, the number of Pulaski common shares covered by each award was fixed at the target level under Pulaski’s existing plan and automatically converted into a service-based restricted stock unit award of First Busey common stock that is equal to the number of shares of Pulaski common stock multiplied by the exchange ratio. Following the change in control, each restricted stock award will vest, without regard to any performance metrics, on the earlier to occur of September 30, 2017 or the award holders’ involuntary termination of employment for reasons other than cause or voluntary termination of employment for good reason, as specified in the award agreement. Dividends related to these units are accrued and will be paid in cash upon vesting. At September 30, 2016 these awards represented 53,004 First Busey restricted stock units.</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recognized $0.5 million and $0.4 million of compensation expense related to non-vested stock units for the three months ended September 30, 2016 and 2015, respectively. The Company recognized $1.3 million and $1.0 million of compensation expense related to non-vested stock units for the nine months ended September 30, 2016 and 2015, respectively. As of September 30, 2016, there was $6.4 million of total unrecognized compensation cost related to these non-vested stock units. This cost is expected to be recognized over a period of 3.6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2016, the Company was not under examination by any tax authority.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Outstanding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Contingencies</w:t>
      </w:r>
    </w:p>
    <w:p>
      <w:pPr>
        <w:spacing w:after="0" w:line="22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Company is a party to credit-related financial instruments with off-balance-sheet risk in the normal course of business to meet the financing needs of its customers. These financial instruments include commitments to extend credit and standby letters of credit. Those instruments involve, to varying degrees, elements of credit and interest rate risk in excess of the amount recognized in the Consolidated Balance Sheets.</w:t>
      </w:r>
    </w:p>
    <w:p>
      <w:pPr>
        <w:spacing w:after="0" w:line="166"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The Company’s exposure to credit loss is represented by the contractual amount of those commitments. The Company uses the same credit policies in making commitments and conditional obligations as it does for on-balance-sheet instruments. A summary of the contractual amount of the Company’s exposure to off-balance-sheet risk relating to the Company’s commitments to extend credit and standby letters of credit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jc w:val="right"/>
              <w:ind w:right="359"/>
              <w:spacing w:after="0"/>
              <w:rPr>
                <w:sz w:val="20"/>
                <w:szCs w:val="20"/>
                <w:color w:val="auto"/>
              </w:rPr>
            </w:pPr>
            <w:r>
              <w:rPr>
                <w:rFonts w:ascii="Arial" w:cs="Arial" w:eastAsia="Arial" w:hAnsi="Arial"/>
                <w:sz w:val="14"/>
                <w:szCs w:val="14"/>
                <w:b w:val="1"/>
                <w:bCs w:val="1"/>
                <w:color w:val="auto"/>
                <w:w w:val="97"/>
              </w:rPr>
              <w:t>September 30, 2016</w:t>
            </w:r>
          </w:p>
        </w:tc>
        <w:tc>
          <w:tcPr>
            <w:tcW w:w="36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2015</w:t>
            </w:r>
          </w:p>
        </w:tc>
        <w:tc>
          <w:tcPr>
            <w:tcW w:w="4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720" w:type="dxa"/>
            <w:vAlign w:val="bottom"/>
            <w:tcBorders>
              <w:top w:val="single" w:sz="8" w:color="auto"/>
            </w:tcBorders>
            <w:gridSpan w:val="3"/>
          </w:tcPr>
          <w:p>
            <w:pPr>
              <w:jc w:val="right"/>
              <w:ind w:right="1216"/>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6"/>
              </w:rPr>
              <w:t>Financial instruments whose contract amounts represent credit risk:</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Commitments to extend credit</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9"/>
              <w:spacing w:after="0"/>
              <w:rPr>
                <w:sz w:val="20"/>
                <w:szCs w:val="20"/>
                <w:color w:val="auto"/>
              </w:rPr>
            </w:pPr>
            <w:r>
              <w:rPr>
                <w:rFonts w:ascii="Arial" w:cs="Arial" w:eastAsia="Arial" w:hAnsi="Arial"/>
                <w:sz w:val="18"/>
                <w:szCs w:val="18"/>
                <w:color w:val="auto"/>
              </w:rPr>
              <w:t>939,666</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618,551</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Standby letters of credit</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17,001</w:t>
            </w:r>
          </w:p>
        </w:tc>
        <w:tc>
          <w:tcPr>
            <w:tcW w:w="3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15,325</w:t>
            </w:r>
          </w:p>
        </w:tc>
        <w:tc>
          <w:tcPr>
            <w:tcW w:w="40" w:type="dxa"/>
            <w:vAlign w:val="bottom"/>
          </w:tcPr>
          <w:p>
            <w:pPr>
              <w:spacing w:after="0"/>
              <w:rPr>
                <w:sz w:val="18"/>
                <w:szCs w:val="18"/>
                <w:color w:val="auto"/>
              </w:rPr>
            </w:pPr>
          </w:p>
        </w:tc>
      </w:tr>
      <w:tr>
        <w:trPr>
          <w:trHeight w:val="432"/>
        </w:trPr>
        <w:tc>
          <w:tcPr>
            <w:tcW w:w="5240" w:type="dxa"/>
            <w:vAlign w:val="bottom"/>
          </w:tcPr>
          <w:p>
            <w:pPr>
              <w:spacing w:after="0"/>
              <w:rPr>
                <w:sz w:val="24"/>
                <w:szCs w:val="24"/>
                <w:color w:val="auto"/>
              </w:rPr>
            </w:pPr>
          </w:p>
        </w:tc>
        <w:tc>
          <w:tcPr>
            <w:tcW w:w="2160" w:type="dxa"/>
            <w:vAlign w:val="bottom"/>
          </w:tcPr>
          <w:p>
            <w:pPr>
              <w:jc w:val="right"/>
              <w:ind w:right="151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24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Commitments to extend credit are agreements to lend to a customer as long as no condition established in the contract has been violated. These commitments are generally at variable interest rates and generally have fixed expiration dates or other termination clauses and may require payment of a fee. The commitments for equity lines of credit may expire without being drawn upon. Therefore, the total commitment amounts do not necessarily represent future cash requirements. The amount of collateral obtained, if it is deemed necessary by the Company upon extension of credit, is based on management’s credit evaluation of the customer.</w:t>
      </w:r>
    </w:p>
    <w:p>
      <w:pPr>
        <w:spacing w:after="0" w:line="18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customer’s obligation to a third party. Those guarantees are primarily issued to support public and private borrowing arrangements, including bond financing and similar transactions and primarily have terms of one year or less. The credit risk involved in issuing letters of credit is essentially the same as that involved in extending loan facilities to customers. The Company holds collateral, which may include accounts receivable, inventory, property and equipment, and income producing properties, supporting those commitments if deemed necessary. In the event the customer does not perform in accordance with the terms of the agreement with the third party, the Company would be required to fund the commitment. The maximum potential amount of future payments the Company could be required to make is represented by the contractual amount shown in the summary above. If the commitment is funded, the Company would be entitled to seek recovery from the customer. As of September 30, 2016 and December 31, 2015, no amounts were recorded as liabilities for the Company’s potential obligations under these guarantees.</w:t>
      </w:r>
    </w:p>
    <w:p>
      <w:pPr>
        <w:sectPr>
          <w:pgSz w:w="11900" w:h="16838" w:orient="portrait"/>
          <w:cols w:equalWidth="0" w:num="1">
            <w:col w:w="11460"/>
          </w:cols>
          <w:pgMar w:left="240" w:top="125" w:right="199" w:bottom="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Commitments</w:t>
      </w:r>
    </w:p>
    <w:p>
      <w:pPr>
        <w:sectPr>
          <w:pgSz w:w="11900" w:h="16838" w:orient="portrait"/>
          <w:cols w:equalWidth="0" w:num="1">
            <w:col w:w="11460"/>
          </w:cols>
          <w:pgMar w:left="240" w:top="125" w:right="199" w:bottom="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t>From time to time, the Company will sign contracts for construction projects relating to the Company’s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Capital</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ability of the Company to pay cash dividends to its stockholders and to service its debt was historically dependent on the receipt of cash dividends from its subsidiaries. Under applicable regulatory requirements, an Illinois state-chartered bank such as Busey Bank may not pay dividends in excess of its net profits. Because Busey Bank has been in a retained earnings deficit position since 2009, it has not been able to pay dividends since that time. With prior approval from its regulators, however, an Illinois state-chartered bank in this situation may be able to reduce its capital stock, by amending its charter to decrease the authorized number of shares, and then make a subsequent distribution to its holding company. Using this approach, and with the approval of its regulators, Busey Bank has distributed funds to the Company, the most recent of which was $30.0 million on October 21, 2016. The Company expects to seek regulatory approval for additional capital distributions in future periods.</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Pulaski Bank is a national bank regulated by the Office of the Comptroller of the Currency (“OCC”). Under federal regulations, the approval of the OCC is required prior to any capital distribution when the total amount of capital distributions for the current calendar year exceeds net income for that year plus retained net income for the preceding two years. In connection with the application of the acquisition method of accounting, Pulaski Bank’s retained earnings were reduced to zero at the date of the acquisition. Accordingly, the amount of Pulaski Bank’s capital available for distribution to the Company without prior regulatory approval is limited to Pulaski Bank’s undistributed earnings since the date of the acquisition.</w:t>
      </w:r>
    </w:p>
    <w:p>
      <w:pPr>
        <w:spacing w:after="0" w:line="1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and both of its subsidiary banks are subject to regulatory capital requirements administered by federal and/or state agencies that involve the quantitative measure of their assets, liabilities, and certain off-balance-sheet items, as calculated under regulatory accounting practices. Quantitative measures established by regulations to ensure capital adequacy require the Company and the banks to maintain minimum dollar amounts and ratios of such to risk weighted assets (as defined in the regulations and set forth in the table below) of total capital, Tier 1 capital and Common Equity Tier 1 capital, and for both of the subsidiary banks, Tier 1 capital to average assets. Failure to meet minimum capital requirements may cause regulatory bodies to initiate certain discretionary and/or mandatory actions that, if undertaken, could have a direct material effect on our financial statements. The Company, as a financial holding company, is required to be “well capitalized” in the capital categories shown in the table below. As of September 30, 2016, the Company and both of its subsidiary banks met all capital adequacy requirements to which they were subject, including the guidelines to be considered “well capitalized.”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Dodd-Frank Wall Street Reform and Consumer Protection Act of 2010 (the “Dodd-Frank Act”) established minimum capital levels for bank holding companies on a consolidated basis. The components of Tier 1 capital are restricted to capital instruments that, at the time of signing, were considered to be Tier 1 capital for insured depository institutions. Under this legislation, the Company is able to maintain its trust preferred securities as Tier 1 capital, but it will have to comply with new capital mandates in other respects, and it will not be able to raise Tier 1 capital through the issuance of trust preferred securities in the future.</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July 2013, the U.S. federal banking authorities approved the implementation of the Basel III regulatory capital reforms and issued rules effecting certain changes required by the Dodd-Frank Act (the “Basel III Rules”). The Basel III Rules are applicable to all U.S. banks that are subject to minimum capital requirements, as well as to bank and savings and loan holding companies other than “small bank holding companies” (generally non-public bank holding companies with consolidated assets of less than $1 billion). The Basel III Rules not only increased most of the required minimum regulatory capital ratios, but they also introduced a new Common Equity Tier 1 Capital ratio and the concept of a capital conservation buffer. The Basel III Rules also expanded the definition of capital as in effect currently by establishing criteria that instruments must meet to be considered Additional Tier 1 Capital (Tier 1 Capital in addition to Common Equity) and Tier 2 Capital. A number of instruments that generally qualified as Tier 1 Capital under the old guidelines no longer qualify, or their qualifications will change, as the Basel III Rules are being fully implemented.</w:t>
      </w:r>
    </w:p>
    <w:p>
      <w:pPr>
        <w:spacing w:after="0" w:line="17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Basel III Rules also permitted banking organizations with less than $15.0 billion in assets to retain, through a one-time election, the past treatment for accumulated other comprehensive income, which did not affect regulatory capital. First Busey and both of its subsidiary banks made this election in the first quarter of 2015 to avoid variations in the level of their capital depending on fluctuations in the fair value of their securities portfolio. The Basel III</w:t>
      </w:r>
    </w:p>
    <w:p>
      <w:pPr>
        <w:spacing w:after="0" w:line="268" w:lineRule="auto"/>
        <w:rPr>
          <w:sz w:val="20"/>
          <w:szCs w:val="20"/>
          <w:color w:val="auto"/>
        </w:rPr>
      </w:pPr>
      <w:r>
        <w:rPr>
          <w:rFonts w:ascii="Arial" w:cs="Arial" w:eastAsia="Arial" w:hAnsi="Arial"/>
          <w:sz w:val="17"/>
          <w:szCs w:val="17"/>
          <w:color w:val="auto"/>
        </w:rPr>
        <w:t>Rules maintained the general structure of the prompt corrective action framework, while incorporating increased requirements. The prompt corrective action guidelines were also revised to add the Common Equity Tier 1 Capital ratio. Under the final capital rules that became effective on January 1, 2015, there was a requirement for a Common Equity Tier 1 capital conservation buffer of 2.5% of risk weighted assets which is in addition to the other minimum risk based capital standards in the rule. Failure to maintain the buffer will result in restrictions on the Company’s ability to make capital distributions, including the payment of dividends, and to pay discretionary bonuses to executive officers. The capital buffer requirement is being phased-in over three years beginning in 2016. The table below includes the 0.625% increase for 2016 in the minimum capital requirement ratios. The capital buffer requirement effectively raises the minimum required Common Equity Tier 1 Capital ratio to 7.0%, the Tier 1 Capital ratio to 8.5%, and the Total Capital ratio to 10.5% on a fully phased-in basis on January 1, 2019. As of September 30, 2016, the Company and both of its subsidiary banks were in compliance with the current phase of the Basel III Rules and management believes that the Company and both of its subsidiary banks would meet all capital adequacy requirements under the Basel III Rules on a fully phased-in basis as if such requirements had been in effect.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ind w:left="481"/>
              <w:spacing w:after="0"/>
              <w:rPr>
                <w:sz w:val="20"/>
                <w:szCs w:val="20"/>
                <w:color w:val="auto"/>
              </w:rPr>
            </w:pPr>
            <w:r>
              <w:rPr>
                <w:rFonts w:ascii="Arial" w:cs="Arial" w:eastAsia="Arial" w:hAnsi="Arial"/>
                <w:sz w:val="14"/>
                <w:szCs w:val="14"/>
                <w:b w:val="1"/>
                <w:bCs w:val="1"/>
                <w:color w:val="auto"/>
              </w:rPr>
              <w:t>Minimum</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Minimum To Be</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Actual</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Capital Requirement with</w:t>
            </w:r>
          </w:p>
        </w:tc>
        <w:tc>
          <w:tcPr>
            <w:tcW w:w="154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ind w:left="481"/>
              <w:spacing w:after="0"/>
              <w:rPr>
                <w:sz w:val="20"/>
                <w:szCs w:val="20"/>
                <w:color w:val="auto"/>
              </w:rPr>
            </w:pPr>
            <w:r>
              <w:rPr>
                <w:rFonts w:ascii="Arial" w:cs="Arial" w:eastAsia="Arial" w:hAnsi="Arial"/>
                <w:sz w:val="14"/>
                <w:szCs w:val="14"/>
                <w:b w:val="1"/>
                <w:bCs w:val="1"/>
                <w:color w:val="auto"/>
                <w:w w:val="98"/>
              </w:rPr>
              <w:t>Capital Buffer</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rPr>
              <w:t>Well Capitalized</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717"/>
              <w:spacing w:after="0" w:line="142" w:lineRule="exact"/>
              <w:rPr>
                <w:sz w:val="20"/>
                <w:szCs w:val="20"/>
                <w:color w:val="auto"/>
              </w:rPr>
            </w:pPr>
            <w:r>
              <w:rPr>
                <w:rFonts w:ascii="Arial" w:cs="Arial" w:eastAsia="Arial" w:hAnsi="Arial"/>
                <w:sz w:val="14"/>
                <w:szCs w:val="14"/>
                <w:b w:val="1"/>
                <w:bCs w:val="1"/>
                <w:color w:val="auto"/>
                <w:w w:val="90"/>
              </w:rPr>
              <w:t>Amount</w:t>
            </w:r>
          </w:p>
        </w:tc>
        <w:tc>
          <w:tcPr>
            <w:tcW w:w="9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Ratio</w:t>
            </w:r>
          </w:p>
        </w:tc>
        <w:tc>
          <w:tcPr>
            <w:tcW w:w="2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Ratio</w:t>
            </w:r>
          </w:p>
        </w:tc>
        <w:tc>
          <w:tcPr>
            <w:tcW w:w="2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839"/>
              <w:spacing w:after="0" w:line="142"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w w:val="91"/>
              </w:rPr>
              <w:t>Ratio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gridSpan w:val="4"/>
          </w:tcPr>
          <w:p>
            <w:pPr>
              <w:ind w:left="3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September 30, 2016: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0"/>
              </w:rPr>
              <w:t>Total Capital (to Risk Weighted Assets)</w:t>
            </w: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Consolidated</w:t>
            </w: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jc w:val="right"/>
              <w:ind w:right="397"/>
              <w:spacing w:after="0"/>
              <w:rPr>
                <w:sz w:val="20"/>
                <w:szCs w:val="20"/>
                <w:color w:val="auto"/>
              </w:rPr>
            </w:pPr>
            <w:r>
              <w:rPr>
                <w:rFonts w:ascii="Arial" w:cs="Arial" w:eastAsia="Arial" w:hAnsi="Arial"/>
                <w:sz w:val="18"/>
                <w:szCs w:val="18"/>
                <w:color w:val="auto"/>
              </w:rPr>
              <w:t>599,782</w:t>
            </w:r>
          </w:p>
        </w:tc>
        <w:tc>
          <w:tcPr>
            <w:tcW w:w="1320" w:type="dxa"/>
            <w:vAlign w:val="bottom"/>
            <w:tcBorders>
              <w:top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13.91% $</w:t>
            </w:r>
          </w:p>
        </w:tc>
        <w:tc>
          <w:tcPr>
            <w:tcW w:w="15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371,888</w:t>
            </w:r>
          </w:p>
        </w:tc>
        <w:tc>
          <w:tcPr>
            <w:tcW w:w="1180" w:type="dxa"/>
            <w:vAlign w:val="bottom"/>
            <w:tcBorders>
              <w:top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8.625% $</w:t>
            </w:r>
          </w:p>
        </w:tc>
        <w:tc>
          <w:tcPr>
            <w:tcW w:w="1540" w:type="dxa"/>
            <w:vAlign w:val="bottom"/>
            <w:tcBorders>
              <w:top w:val="single" w:sz="8" w:color="CCEEFF"/>
            </w:tcBorders>
          </w:tcPr>
          <w:p>
            <w:pPr>
              <w:jc w:val="right"/>
              <w:ind w:right="539"/>
              <w:spacing w:after="0"/>
              <w:rPr>
                <w:sz w:val="20"/>
                <w:szCs w:val="20"/>
                <w:color w:val="auto"/>
              </w:rPr>
            </w:pPr>
            <w:r>
              <w:rPr>
                <w:rFonts w:ascii="Arial" w:cs="Arial" w:eastAsia="Arial" w:hAnsi="Arial"/>
                <w:sz w:val="18"/>
                <w:szCs w:val="18"/>
                <w:color w:val="auto"/>
              </w:rPr>
              <w:t>431,175</w:t>
            </w:r>
          </w:p>
        </w:tc>
        <w:tc>
          <w:tcPr>
            <w:tcW w:w="9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Busey Bank</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430,356</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14.24% $</w:t>
            </w:r>
          </w:p>
        </w:tc>
        <w:tc>
          <w:tcPr>
            <w:tcW w:w="1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260,677</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8.625% $</w:t>
            </w:r>
          </w:p>
        </w:tc>
        <w:tc>
          <w:tcPr>
            <w:tcW w:w="15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302,234</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540" w:type="dxa"/>
            <w:vAlign w:val="bottom"/>
          </w:tcPr>
          <w:p>
            <w:pPr>
              <w:ind w:left="180"/>
              <w:spacing w:after="0"/>
              <w:rPr>
                <w:sz w:val="20"/>
                <w:szCs w:val="20"/>
                <w:color w:val="auto"/>
              </w:rPr>
            </w:pPr>
            <w:r>
              <w:rPr>
                <w:rFonts w:ascii="Arial" w:cs="Arial" w:eastAsia="Arial" w:hAnsi="Arial"/>
                <w:sz w:val="18"/>
                <w:szCs w:val="18"/>
                <w:color w:val="auto"/>
              </w:rPr>
              <w:t>Pulaski Bank</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8"/>
                <w:szCs w:val="18"/>
                <w:color w:val="auto"/>
              </w:rPr>
            </w:pPr>
          </w:p>
        </w:tc>
        <w:tc>
          <w:tcPr>
            <w:tcW w:w="1300" w:type="dxa"/>
            <w:vAlign w:val="bottom"/>
          </w:tcPr>
          <w:p>
            <w:pPr>
              <w:jc w:val="right"/>
              <w:ind w:right="397"/>
              <w:spacing w:after="0"/>
              <w:rPr>
                <w:sz w:val="20"/>
                <w:szCs w:val="20"/>
                <w:color w:val="auto"/>
              </w:rPr>
            </w:pPr>
            <w:r>
              <w:rPr>
                <w:rFonts w:ascii="Arial" w:cs="Arial" w:eastAsia="Arial" w:hAnsi="Arial"/>
                <w:sz w:val="18"/>
                <w:szCs w:val="18"/>
                <w:color w:val="auto"/>
              </w:rPr>
              <w:t>140,824</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11.20% $</w:t>
            </w:r>
          </w:p>
        </w:tc>
        <w:tc>
          <w:tcPr>
            <w:tcW w:w="1500" w:type="dxa"/>
            <w:vAlign w:val="bottom"/>
          </w:tcPr>
          <w:p>
            <w:pPr>
              <w:ind w:left="320"/>
              <w:spacing w:after="0"/>
              <w:rPr>
                <w:sz w:val="20"/>
                <w:szCs w:val="20"/>
                <w:color w:val="auto"/>
              </w:rPr>
            </w:pPr>
            <w:r>
              <w:rPr>
                <w:rFonts w:ascii="Arial" w:cs="Arial" w:eastAsia="Arial" w:hAnsi="Arial"/>
                <w:sz w:val="18"/>
                <w:szCs w:val="18"/>
                <w:color w:val="auto"/>
              </w:rPr>
              <w:t>108,433</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8.625% $</w:t>
            </w:r>
          </w:p>
        </w:tc>
        <w:tc>
          <w:tcPr>
            <w:tcW w:w="1540" w:type="dxa"/>
            <w:vAlign w:val="bottom"/>
          </w:tcPr>
          <w:p>
            <w:pPr>
              <w:jc w:val="right"/>
              <w:ind w:right="539"/>
              <w:spacing w:after="0"/>
              <w:rPr>
                <w:sz w:val="20"/>
                <w:szCs w:val="20"/>
                <w:color w:val="auto"/>
              </w:rPr>
            </w:pPr>
            <w:r>
              <w:rPr>
                <w:rFonts w:ascii="Arial" w:cs="Arial" w:eastAsia="Arial" w:hAnsi="Arial"/>
                <w:sz w:val="18"/>
                <w:szCs w:val="18"/>
                <w:color w:val="auto"/>
              </w:rPr>
              <w:t>125,719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23" w:name="page24"/>
    <w:bookmarkEnd w:id="23"/>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000" w:type="dxa"/>
            <w:vAlign w:val="bottom"/>
            <w:gridSpan w:val="4"/>
          </w:tcPr>
          <w:p>
            <w:pPr>
              <w:spacing w:after="0"/>
              <w:rPr>
                <w:sz w:val="20"/>
                <w:szCs w:val="20"/>
                <w:color w:val="auto"/>
              </w:rPr>
            </w:pPr>
            <w:r>
              <w:rPr>
                <w:rFonts w:ascii="Arial" w:cs="Arial" w:eastAsia="Arial" w:hAnsi="Arial"/>
                <w:sz w:val="18"/>
                <w:szCs w:val="18"/>
                <w:color w:val="auto"/>
                <w:w w:val="93"/>
              </w:rPr>
              <w:t>Tier 1 Capital (to Risk Weighted Assets)</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
        </w:trPr>
        <w:tc>
          <w:tcPr>
            <w:tcW w:w="24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551,711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285,653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344,940</w:t>
            </w:r>
          </w:p>
        </w:tc>
        <w:tc>
          <w:tcPr>
            <w:tcW w:w="10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0"/>
              </w:rPr>
              <w:t>8.00%</w:t>
            </w:r>
          </w:p>
        </w:tc>
      </w:tr>
      <w:tr>
        <w:trPr>
          <w:trHeight w:val="216"/>
        </w:trPr>
        <w:tc>
          <w:tcPr>
            <w:tcW w:w="2480" w:type="dxa"/>
            <w:vAlign w:val="bottom"/>
            <w:gridSpan w:val="2"/>
          </w:tcPr>
          <w:p>
            <w:pPr>
              <w:ind w:left="180"/>
              <w:spacing w:after="0"/>
              <w:rPr>
                <w:sz w:val="20"/>
                <w:szCs w:val="20"/>
                <w:color w:val="auto"/>
              </w:rPr>
            </w:pPr>
            <w:r>
              <w:rPr>
                <w:rFonts w:ascii="Arial" w:cs="Arial" w:eastAsia="Arial" w:hAnsi="Arial"/>
                <w:sz w:val="18"/>
                <w:szCs w:val="18"/>
                <w:color w:val="auto"/>
              </w:rPr>
              <w:t>Busey Bank</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392,261</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200,230</w:t>
            </w:r>
          </w:p>
        </w:tc>
        <w:tc>
          <w:tcPr>
            <w:tcW w:w="1060" w:type="dxa"/>
            <w:vAlign w:val="bottom"/>
          </w:tcPr>
          <w:p>
            <w:pPr>
              <w:jc w:val="right"/>
              <w:spacing w:after="0"/>
              <w:rPr>
                <w:sz w:val="20"/>
                <w:szCs w:val="20"/>
                <w:color w:val="auto"/>
              </w:rPr>
            </w:pPr>
            <w:r>
              <w:rPr>
                <w:rFonts w:ascii="Arial" w:cs="Arial" w:eastAsia="Arial" w:hAnsi="Arial"/>
                <w:sz w:val="18"/>
                <w:szCs w:val="18"/>
                <w:color w:val="auto"/>
              </w:rPr>
              <w:t>6.625%</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241,787</w:t>
            </w:r>
          </w:p>
        </w:tc>
        <w:tc>
          <w:tcPr>
            <w:tcW w:w="1000" w:type="dxa"/>
            <w:vAlign w:val="bottom"/>
          </w:tcPr>
          <w:p>
            <w:pPr>
              <w:ind w:left="520"/>
              <w:spacing w:after="0"/>
              <w:rPr>
                <w:sz w:val="20"/>
                <w:szCs w:val="20"/>
                <w:color w:val="auto"/>
              </w:rPr>
            </w:pPr>
            <w:r>
              <w:rPr>
                <w:rFonts w:ascii="Arial" w:cs="Arial" w:eastAsia="Arial" w:hAnsi="Arial"/>
                <w:sz w:val="18"/>
                <w:szCs w:val="18"/>
                <w:color w:val="auto"/>
                <w:w w:val="90"/>
              </w:rPr>
              <w:t>8.00%</w:t>
            </w:r>
          </w:p>
        </w:tc>
      </w:tr>
      <w:tr>
        <w:trPr>
          <w:trHeight w:val="216"/>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Pulaski Bank</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137,181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83,289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100,576</w:t>
            </w:r>
          </w:p>
        </w:tc>
        <w:tc>
          <w:tcPr>
            <w:tcW w:w="10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0"/>
              </w:rPr>
              <w:t>8.00%</w:t>
            </w:r>
          </w:p>
        </w:tc>
      </w:tr>
      <w:tr>
        <w:trPr>
          <w:trHeight w:val="216"/>
        </w:trPr>
        <w:tc>
          <w:tcPr>
            <w:tcW w:w="24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44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w w:val="96"/>
              </w:rPr>
              <w:t>Common Equity Tier 1 Capital (to Risk Weighted Assets)</w:t>
            </w: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248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Consolidated</w:t>
            </w:r>
          </w:p>
        </w:tc>
        <w:tc>
          <w:tcPr>
            <w:tcW w:w="4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478,569</w:t>
            </w: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11.10%</w:t>
            </w:r>
          </w:p>
        </w:tc>
        <w:tc>
          <w:tcPr>
            <w:tcW w:w="34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CCEEFF"/>
            </w:tcBorders>
          </w:tcPr>
          <w:p>
            <w:pPr>
              <w:jc w:val="right"/>
              <w:ind w:right="370"/>
              <w:spacing w:after="0"/>
              <w:rPr>
                <w:sz w:val="20"/>
                <w:szCs w:val="20"/>
                <w:color w:val="auto"/>
              </w:rPr>
            </w:pPr>
            <w:r>
              <w:rPr>
                <w:rFonts w:ascii="Arial" w:cs="Arial" w:eastAsia="Arial" w:hAnsi="Arial"/>
                <w:sz w:val="18"/>
                <w:szCs w:val="18"/>
                <w:color w:val="auto"/>
              </w:rPr>
              <w:t>220,977</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5.125%</w:t>
            </w:r>
          </w:p>
        </w:tc>
        <w:tc>
          <w:tcPr>
            <w:tcW w:w="36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tcBorders>
          </w:tcPr>
          <w:p>
            <w:pPr>
              <w:jc w:val="right"/>
              <w:ind w:right="430"/>
              <w:spacing w:after="0"/>
              <w:rPr>
                <w:sz w:val="20"/>
                <w:szCs w:val="20"/>
                <w:color w:val="auto"/>
              </w:rPr>
            </w:pPr>
            <w:r>
              <w:rPr>
                <w:rFonts w:ascii="Arial" w:cs="Arial" w:eastAsia="Arial" w:hAnsi="Arial"/>
                <w:sz w:val="18"/>
                <w:szCs w:val="18"/>
                <w:color w:val="auto"/>
              </w:rPr>
              <w:t>280,264</w:t>
            </w:r>
          </w:p>
        </w:tc>
        <w:tc>
          <w:tcPr>
            <w:tcW w:w="1000" w:type="dxa"/>
            <w:vAlign w:val="bottom"/>
            <w:tcBorders>
              <w:top w:val="single" w:sz="8" w:color="CCEEFF"/>
            </w:tcBorders>
          </w:tcPr>
          <w:p>
            <w:pPr>
              <w:ind w:left="520"/>
              <w:spacing w:after="0"/>
              <w:rPr>
                <w:sz w:val="20"/>
                <w:szCs w:val="20"/>
                <w:color w:val="auto"/>
              </w:rPr>
            </w:pPr>
            <w:r>
              <w:rPr>
                <w:rFonts w:ascii="Arial" w:cs="Arial" w:eastAsia="Arial" w:hAnsi="Arial"/>
                <w:sz w:val="18"/>
                <w:szCs w:val="18"/>
                <w:color w:val="auto"/>
                <w:w w:val="90"/>
              </w:rPr>
              <w:t>6.50%</w:t>
            </w:r>
          </w:p>
        </w:tc>
      </w:tr>
      <w:tr>
        <w:trPr>
          <w:trHeight w:val="216"/>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Busey Bank</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392,261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154,895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196,452</w:t>
            </w:r>
          </w:p>
        </w:tc>
        <w:tc>
          <w:tcPr>
            <w:tcW w:w="10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0"/>
              </w:rPr>
              <w:t>6.50%</w:t>
            </w:r>
          </w:p>
        </w:tc>
      </w:tr>
      <w:tr>
        <w:trPr>
          <w:trHeight w:val="216"/>
        </w:trPr>
        <w:tc>
          <w:tcPr>
            <w:tcW w:w="2480" w:type="dxa"/>
            <w:vAlign w:val="bottom"/>
            <w:gridSpan w:val="2"/>
          </w:tcPr>
          <w:p>
            <w:pPr>
              <w:ind w:left="180"/>
              <w:spacing w:after="0"/>
              <w:rPr>
                <w:sz w:val="20"/>
                <w:szCs w:val="20"/>
                <w:color w:val="auto"/>
              </w:rPr>
            </w:pPr>
            <w:r>
              <w:rPr>
                <w:rFonts w:ascii="Arial" w:cs="Arial" w:eastAsia="Arial" w:hAnsi="Arial"/>
                <w:sz w:val="18"/>
                <w:szCs w:val="18"/>
                <w:color w:val="auto"/>
              </w:rPr>
              <w:t>Pulaski Bank</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137,181</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64,431</w:t>
            </w:r>
          </w:p>
        </w:tc>
        <w:tc>
          <w:tcPr>
            <w:tcW w:w="1060" w:type="dxa"/>
            <w:vAlign w:val="bottom"/>
          </w:tcPr>
          <w:p>
            <w:pPr>
              <w:jc w:val="right"/>
              <w:spacing w:after="0"/>
              <w:rPr>
                <w:sz w:val="20"/>
                <w:szCs w:val="20"/>
                <w:color w:val="auto"/>
              </w:rPr>
            </w:pPr>
            <w:r>
              <w:rPr>
                <w:rFonts w:ascii="Arial" w:cs="Arial" w:eastAsia="Arial" w:hAnsi="Arial"/>
                <w:sz w:val="18"/>
                <w:szCs w:val="18"/>
                <w:color w:val="auto"/>
              </w:rPr>
              <w:t>5.125%</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81,718</w:t>
            </w:r>
          </w:p>
        </w:tc>
        <w:tc>
          <w:tcPr>
            <w:tcW w:w="1000" w:type="dxa"/>
            <w:vAlign w:val="bottom"/>
          </w:tcPr>
          <w:p>
            <w:pPr>
              <w:ind w:left="520"/>
              <w:spacing w:after="0"/>
              <w:rPr>
                <w:sz w:val="20"/>
                <w:szCs w:val="20"/>
                <w:color w:val="auto"/>
              </w:rPr>
            </w:pPr>
            <w:r>
              <w:rPr>
                <w:rFonts w:ascii="Arial" w:cs="Arial" w:eastAsia="Arial" w:hAnsi="Arial"/>
                <w:sz w:val="18"/>
                <w:szCs w:val="18"/>
                <w:color w:val="auto"/>
                <w:w w:val="90"/>
              </w:rPr>
              <w:t>6.50%</w:t>
            </w:r>
          </w:p>
        </w:tc>
      </w:tr>
      <w:tr>
        <w:trPr>
          <w:trHeight w:val="216"/>
        </w:trPr>
        <w:tc>
          <w:tcPr>
            <w:tcW w:w="2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2480" w:type="dxa"/>
            <w:vAlign w:val="bottom"/>
            <w:gridSpan w:val="2"/>
          </w:tcPr>
          <w:p>
            <w:pPr>
              <w:spacing w:after="0" w:line="176" w:lineRule="exact"/>
              <w:rPr>
                <w:sz w:val="20"/>
                <w:szCs w:val="20"/>
                <w:color w:val="auto"/>
              </w:rPr>
            </w:pPr>
            <w:r>
              <w:rPr>
                <w:rFonts w:ascii="Arial" w:cs="Arial" w:eastAsia="Arial" w:hAnsi="Arial"/>
                <w:sz w:val="18"/>
                <w:szCs w:val="18"/>
                <w:color w:val="auto"/>
                <w:w w:val="91"/>
              </w:rPr>
              <w:t>Tier 1 Capital (to Average Assets)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
        </w:trPr>
        <w:tc>
          <w:tcPr>
            <w:tcW w:w="24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551,711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215,014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N/A</w:t>
            </w:r>
          </w:p>
        </w:tc>
      </w:tr>
      <w:tr>
        <w:trPr>
          <w:trHeight w:val="216"/>
        </w:trPr>
        <w:tc>
          <w:tcPr>
            <w:tcW w:w="2480" w:type="dxa"/>
            <w:vAlign w:val="bottom"/>
            <w:gridSpan w:val="2"/>
          </w:tcPr>
          <w:p>
            <w:pPr>
              <w:ind w:left="180"/>
              <w:spacing w:after="0"/>
              <w:rPr>
                <w:sz w:val="20"/>
                <w:szCs w:val="20"/>
                <w:color w:val="auto"/>
              </w:rPr>
            </w:pPr>
            <w:r>
              <w:rPr>
                <w:rFonts w:ascii="Arial" w:cs="Arial" w:eastAsia="Arial" w:hAnsi="Arial"/>
                <w:sz w:val="18"/>
                <w:szCs w:val="18"/>
                <w:color w:val="auto"/>
              </w:rPr>
              <w:t>Busey Bank</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392,261</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154,289</w:t>
            </w: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192,861</w:t>
            </w:r>
          </w:p>
        </w:tc>
        <w:tc>
          <w:tcPr>
            <w:tcW w:w="1000" w:type="dxa"/>
            <w:vAlign w:val="bottom"/>
          </w:tcPr>
          <w:p>
            <w:pPr>
              <w:ind w:left="520"/>
              <w:spacing w:after="0"/>
              <w:rPr>
                <w:sz w:val="20"/>
                <w:szCs w:val="20"/>
                <w:color w:val="auto"/>
              </w:rPr>
            </w:pPr>
            <w:r>
              <w:rPr>
                <w:rFonts w:ascii="Arial" w:cs="Arial" w:eastAsia="Arial" w:hAnsi="Arial"/>
                <w:sz w:val="18"/>
                <w:szCs w:val="18"/>
                <w:color w:val="auto"/>
                <w:w w:val="90"/>
              </w:rPr>
              <w:t>5.00%</w:t>
            </w:r>
          </w:p>
        </w:tc>
      </w:tr>
      <w:tr>
        <w:trPr>
          <w:trHeight w:val="216"/>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Pulaski Bank</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137,181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60,168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75,210</w:t>
            </w:r>
          </w:p>
        </w:tc>
        <w:tc>
          <w:tcPr>
            <w:tcW w:w="10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0"/>
              </w:rPr>
              <w:t>5.00%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Operating Segments and Related Information</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has three reportable operating segments, Banking, Remittance Processing and Wealth Management. The Banking operating segment provides a full range of banking services to individual and corporate customers through its branch network in downstate Illinois, Missouri, southwest Florida and through its branch in Indianapolis, Indiana. Banking services for Busey Bank and Pulaski Bank are aggregated into the Banking operating segment as they have similar operations and activities. The Remittance Processing operating segment provides for online bill payments, lockbox and walk-in payments. The Wealth Management operating segment provides a full range of asset management, investment and fiduciary services to individuals, businesses and foundations, tax preparation, philanthropic advisory services and farm and brokerage services.</w:t>
      </w:r>
    </w:p>
    <w:p>
      <w:pPr>
        <w:spacing w:after="0" w:line="178"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Company’s three operating segments are strategic business units that are separately managed as they offer different products and services and have different marketing strategies. The “other” category consists of the Parent Company and the elimination of intercompany transactions.</w:t>
      </w:r>
    </w:p>
    <w:p>
      <w:pPr>
        <w:spacing w:after="0" w:line="14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segment financial information provided below has been derived from the internal accounting system used by management to monitor and manage the financial performance of the Company. The accounting policies of the three segments are the same as those described in the summary of significant accounting policies in the Company’s Annual Report on Form 10-K for the year ended December 31, 2015.</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Effective for the year ended December 31, 2015, the Company realigned its operating segments. Results for the operating segments were revised for prior periods to reflect the impact of this realignment.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Following is a summary of selected financial information for the Company’s operating segments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Goodwill</w:t>
            </w:r>
          </w:p>
        </w:tc>
        <w:tc>
          <w:tcPr>
            <w:tcW w:w="1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0"/>
                <w:szCs w:val="10"/>
                <w:color w:val="auto"/>
              </w:rPr>
            </w:pPr>
          </w:p>
        </w:tc>
        <w:tc>
          <w:tcPr>
            <w:tcW w:w="1180" w:type="dxa"/>
            <w:vAlign w:val="bottom"/>
          </w:tcPr>
          <w:p>
            <w:pPr>
              <w:jc w:val="right"/>
              <w:ind w:right="172"/>
              <w:spacing w:after="0" w:line="119"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0"/>
                <w:szCs w:val="10"/>
                <w:color w:val="auto"/>
              </w:rPr>
            </w:pPr>
          </w:p>
        </w:tc>
        <w:tc>
          <w:tcPr>
            <w:tcW w:w="1120" w:type="dxa"/>
            <w:vAlign w:val="bottom"/>
          </w:tcPr>
          <w:p>
            <w:pPr>
              <w:jc w:val="right"/>
              <w:ind w:right="172"/>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Banking</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5,557,222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5"/>
          </w:tcPr>
          <w:p>
            <w:pPr>
              <w:spacing w:after="0"/>
              <w:rPr>
                <w:sz w:val="20"/>
                <w:szCs w:val="20"/>
                <w:color w:val="auto"/>
              </w:rPr>
            </w:pPr>
            <w:r>
              <w:rPr>
                <w:rFonts w:ascii="Arial" w:cs="Arial" w:eastAsia="Arial" w:hAnsi="Arial"/>
                <w:sz w:val="18"/>
                <w:szCs w:val="18"/>
                <w:color w:val="auto"/>
              </w:rPr>
              <w:t>Remittance Processing</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8,992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8,992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31,665</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Wealth Management</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27,071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5"/>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(23,717)</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bottom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color w:val="auto"/>
              </w:rPr>
              <w:t>Totals</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102,356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5,592,241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3,998,976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color w:val="auto"/>
              </w:rPr>
              <w:t>Net interest income:</w:t>
            </w:r>
          </w:p>
        </w:tc>
        <w:tc>
          <w:tcPr>
            <w:tcW w:w="1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Banking</w:t>
            </w:r>
          </w:p>
        </w:tc>
        <w:tc>
          <w:tcPr>
            <w:tcW w:w="2160" w:type="dxa"/>
            <w:vAlign w:val="bottom"/>
            <w:tcBorders>
              <w:top w:val="single" w:sz="8" w:color="CCEEFF"/>
            </w:tcBorders>
            <w:gridSpan w:val="4"/>
          </w:tcPr>
          <w:p>
            <w:pPr>
              <w:spacing w:after="0"/>
              <w:rPr>
                <w:sz w:val="18"/>
                <w:szCs w:val="18"/>
                <w:color w:val="auto"/>
              </w:rPr>
            </w:pPr>
          </w:p>
        </w:tc>
        <w:tc>
          <w:tcPr>
            <w:tcW w:w="1540" w:type="dxa"/>
            <w:vAlign w:val="bottom"/>
            <w:tcBorders>
              <w:top w:val="single" w:sz="8" w:color="CCEEFF"/>
            </w:tcBorders>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44,645</w:t>
            </w: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28,420</w:t>
            </w:r>
          </w:p>
        </w:tc>
        <w:tc>
          <w:tcPr>
            <w:tcW w:w="2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111,206</w:t>
            </w: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82,870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5"/>
          </w:tcPr>
          <w:p>
            <w:pPr>
              <w:ind w:left="180"/>
              <w:spacing w:after="0"/>
              <w:rPr>
                <w:sz w:val="20"/>
                <w:szCs w:val="20"/>
                <w:color w:val="auto"/>
              </w:rPr>
            </w:pPr>
            <w:r>
              <w:rPr>
                <w:rFonts w:ascii="Arial" w:cs="Arial" w:eastAsia="Arial" w:hAnsi="Arial"/>
                <w:sz w:val="18"/>
                <w:szCs w:val="18"/>
                <w:color w:val="auto"/>
              </w:rPr>
              <w:t>Wealth Management</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(604)</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gridSpan w:val="5"/>
          </w:tcPr>
          <w:p>
            <w:pPr>
              <w:ind w:left="360"/>
              <w:spacing w:after="0"/>
              <w:rPr>
                <w:sz w:val="20"/>
                <w:szCs w:val="20"/>
                <w:color w:val="auto"/>
              </w:rPr>
            </w:pPr>
            <w:r>
              <w:rPr>
                <w:rFonts w:ascii="Arial" w:cs="Arial" w:eastAsia="Arial" w:hAnsi="Arial"/>
                <w:sz w:val="18"/>
                <w:szCs w:val="18"/>
                <w:color w:val="auto"/>
              </w:rPr>
              <w:t>Total net interest income</w:t>
            </w:r>
          </w:p>
        </w:tc>
        <w:tc>
          <w:tcPr>
            <w:tcW w:w="13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44,131</w:t>
            </w: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28,195</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110,025</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82,216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00" w:type="dxa"/>
            <w:vAlign w:val="bottom"/>
            <w:gridSpan w:val="5"/>
          </w:tcPr>
          <w:p>
            <w:pPr>
              <w:spacing w:after="0" w:line="176" w:lineRule="exact"/>
              <w:rPr>
                <w:sz w:val="20"/>
                <w:szCs w:val="20"/>
                <w:color w:val="auto"/>
              </w:rPr>
            </w:pPr>
            <w:r>
              <w:rPr>
                <w:rFonts w:ascii="Arial" w:cs="Arial" w:eastAsia="Arial" w:hAnsi="Arial"/>
                <w:sz w:val="18"/>
                <w:szCs w:val="18"/>
                <w:color w:val="auto"/>
              </w:rPr>
              <w:t>Non-interest income:</w:t>
            </w: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Banking</w:t>
            </w:r>
          </w:p>
        </w:tc>
        <w:tc>
          <w:tcPr>
            <w:tcW w:w="15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7,881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31,404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5"/>
          </w:tcPr>
          <w:p>
            <w:pPr>
              <w:ind w:left="180"/>
              <w:spacing w:after="0"/>
              <w:rPr>
                <w:sz w:val="20"/>
                <w:szCs w:val="20"/>
                <w:color w:val="auto"/>
              </w:rPr>
            </w:pPr>
            <w:r>
              <w:rPr>
                <w:rFonts w:ascii="Arial" w:cs="Arial" w:eastAsia="Arial" w:hAnsi="Arial"/>
                <w:sz w:val="18"/>
                <w:szCs w:val="18"/>
                <w:color w:val="auto"/>
              </w:rPr>
              <w:t>Remittance Processing</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8,827</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Wealth Management</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17,545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5"/>
          </w:tcPr>
          <w:p>
            <w:pPr>
              <w:ind w:left="180"/>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(307)</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(1,608)</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bottom w:val="single" w:sz="8" w:color="CCEEFF"/>
            </w:tcBorders>
            <w:gridSpan w:val="5"/>
            <w:shd w:val="clear" w:color="auto" w:fill="CCEEFF"/>
          </w:tcPr>
          <w:p>
            <w:pPr>
              <w:ind w:left="360"/>
              <w:spacing w:after="0"/>
              <w:rPr>
                <w:sz w:val="20"/>
                <w:szCs w:val="20"/>
                <w:color w:val="auto"/>
              </w:rPr>
            </w:pPr>
            <w:r>
              <w:rPr>
                <w:rFonts w:ascii="Arial" w:cs="Arial" w:eastAsia="Arial" w:hAnsi="Arial"/>
                <w:sz w:val="18"/>
                <w:szCs w:val="18"/>
                <w:color w:val="auto"/>
              </w:rPr>
              <w:t>Total non-interest income</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Non-interest expense:</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color w:val="auto"/>
              </w:rPr>
              <w:t>Banking</w:t>
            </w:r>
          </w:p>
        </w:tc>
        <w:tc>
          <w:tcPr>
            <w:tcW w:w="2040" w:type="dxa"/>
            <w:vAlign w:val="bottom"/>
            <w:tcBorders>
              <w:top w:val="single" w:sz="8" w:color="CCEEFF"/>
            </w:tcBorders>
            <w:gridSpan w:val="2"/>
          </w:tcPr>
          <w:p>
            <w:pPr>
              <w:spacing w:after="0"/>
              <w:rPr>
                <w:sz w:val="18"/>
                <w:szCs w:val="18"/>
                <w:color w:val="auto"/>
              </w:rPr>
            </w:pPr>
          </w:p>
        </w:tc>
        <w:tc>
          <w:tcPr>
            <w:tcW w:w="1540" w:type="dxa"/>
            <w:vAlign w:val="bottom"/>
            <w:tcBorders>
              <w:top w:val="single" w:sz="8" w:color="CCEEFF"/>
            </w:tcBorders>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31,278</w:t>
            </w: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21,114</w:t>
            </w: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80,217</w:t>
            </w: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65,981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6,538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5"/>
          </w:tcPr>
          <w:p>
            <w:pPr>
              <w:ind w:left="180"/>
              <w:spacing w:after="0"/>
              <w:rPr>
                <w:sz w:val="20"/>
                <w:szCs w:val="20"/>
                <w:color w:val="auto"/>
              </w:rPr>
            </w:pPr>
            <w:r>
              <w:rPr>
                <w:rFonts w:ascii="Arial" w:cs="Arial" w:eastAsia="Arial" w:hAnsi="Arial"/>
                <w:sz w:val="18"/>
                <w:szCs w:val="18"/>
                <w:color w:val="auto"/>
              </w:rPr>
              <w:t>Wealth Management</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5,090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3,964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12,899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gridSpan w:val="5"/>
          </w:tcPr>
          <w:p>
            <w:pPr>
              <w:ind w:left="360"/>
              <w:spacing w:after="0"/>
              <w:rPr>
                <w:sz w:val="20"/>
                <w:szCs w:val="20"/>
                <w:color w:val="auto"/>
              </w:rPr>
            </w:pPr>
            <w:r>
              <w:rPr>
                <w:rFonts w:ascii="Arial" w:cs="Arial" w:eastAsia="Arial" w:hAnsi="Arial"/>
                <w:sz w:val="18"/>
                <w:szCs w:val="18"/>
                <w:color w:val="auto"/>
              </w:rPr>
              <w:t>Total non-interest expense</w:t>
            </w:r>
          </w:p>
        </w:tc>
        <w:tc>
          <w:tcPr>
            <w:tcW w:w="13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39,415</w:t>
            </w: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27,950</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103,451</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86,942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00" w:type="dxa"/>
            <w:vAlign w:val="bottom"/>
            <w:gridSpan w:val="5"/>
          </w:tcPr>
          <w:p>
            <w:pPr>
              <w:spacing w:after="0" w:line="176" w:lineRule="exact"/>
              <w:rPr>
                <w:sz w:val="20"/>
                <w:szCs w:val="20"/>
                <w:color w:val="auto"/>
              </w:rPr>
            </w:pPr>
            <w:r>
              <w:rPr>
                <w:rFonts w:ascii="Arial" w:cs="Arial" w:eastAsia="Arial" w:hAnsi="Arial"/>
                <w:sz w:val="18"/>
                <w:szCs w:val="18"/>
                <w:color w:val="auto"/>
              </w:rPr>
              <w:t>Income before income taxes:</w:t>
            </w: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Banking</w:t>
            </w:r>
          </w:p>
        </w:tc>
        <w:tc>
          <w:tcPr>
            <w:tcW w:w="15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58,343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5"/>
          </w:tcPr>
          <w:p>
            <w:pPr>
              <w:ind w:left="180"/>
              <w:spacing w:after="0"/>
              <w:rPr>
                <w:sz w:val="20"/>
                <w:szCs w:val="20"/>
                <w:color w:val="auto"/>
              </w:rPr>
            </w:pPr>
            <w:r>
              <w:rPr>
                <w:rFonts w:ascii="Arial" w:cs="Arial" w:eastAsia="Arial" w:hAnsi="Arial"/>
                <w:sz w:val="18"/>
                <w:szCs w:val="18"/>
                <w:color w:val="auto"/>
              </w:rPr>
              <w:t>Remittance Processing</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813</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2,330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Wealth Management</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4,853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(1,867)</w:t>
            </w:r>
          </w:p>
        </w:tc>
        <w:tc>
          <w:tcPr>
            <w:tcW w:w="5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(6,834)</w:t>
            </w:r>
          </w:p>
        </w:tc>
        <w:tc>
          <w:tcPr>
            <w:tcW w:w="4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income before income taxes</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Net income:</w:t>
            </w:r>
          </w:p>
        </w:tc>
        <w:tc>
          <w:tcPr>
            <w:tcW w:w="30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Banking</w:t>
            </w:r>
          </w:p>
        </w:tc>
        <w:tc>
          <w:tcPr>
            <w:tcW w:w="1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15,590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9,733</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37,716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25,518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486</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Wealth Management</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284</w:t>
            </w:r>
          </w:p>
        </w:tc>
        <w:tc>
          <w:tcPr>
            <w:tcW w:w="5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2,902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(938)</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ind w:left="360"/>
              <w:spacing w:after="0"/>
              <w:rPr>
                <w:sz w:val="20"/>
                <w:szCs w:val="20"/>
                <w:color w:val="auto"/>
              </w:rPr>
            </w:pPr>
            <w:r>
              <w:rPr>
                <w:rFonts w:ascii="Arial" w:cs="Arial" w:eastAsia="Arial" w:hAnsi="Arial"/>
                <w:sz w:val="18"/>
                <w:szCs w:val="18"/>
                <w:color w:val="auto"/>
              </w:rPr>
              <w:t>Total net income</w:t>
            </w:r>
          </w:p>
        </w:tc>
        <w:tc>
          <w:tcPr>
            <w:tcW w:w="1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15,422</w:t>
            </w:r>
          </w:p>
        </w:tc>
        <w:tc>
          <w:tcPr>
            <w:tcW w:w="3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38,239</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30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Financial Instruments</w:t>
      </w:r>
    </w:p>
    <w:p>
      <w:pPr>
        <w:spacing w:after="0" w:line="22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Company originates and purchases derivative financial instruments, including interest rate lock commitments issued to residential loan customers for loans that will be held for sale, forward sales commitments to sell residential mortgage loans to loan investors and foreign currency forward contracts. See Note 17 - Fair Value Measurements for further discussion of the fair value measurement of such derivatives.</w:t>
      </w:r>
    </w:p>
    <w:p>
      <w:pPr>
        <w:spacing w:after="0" w:line="16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Interest Rate Lock Commitments</w:t>
      </w:r>
      <w:r>
        <w:rPr>
          <w:rFonts w:ascii="Arial" w:cs="Arial" w:eastAsia="Arial" w:hAnsi="Arial"/>
          <w:sz w:val="18"/>
          <w:szCs w:val="18"/>
          <w:color w:val="auto"/>
        </w:rPr>
        <w:t>. At September 30, 2016, the Company had issued $384.1 million of unexpired interest rate lock commitments to loan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customers. Such interest rate lock commitments that meet the definition of derivative financial instruments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are carried at their fair values in other assets or other liabilities in the unaudited Consolidated Financial Statements, with changes in the fair values of the corresponding derivative financial assets or liabilities recorded as either a charge or credit to current earnings during the period in which the changes occurred.</w:t>
      </w:r>
    </w:p>
    <w:p>
      <w:pPr>
        <w:spacing w:after="0" w:line="18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Forward Sales Commitments</w:t>
      </w:r>
      <w:r>
        <w:rPr>
          <w:rFonts w:ascii="Arial" w:cs="Arial" w:eastAsia="Arial" w:hAnsi="Arial"/>
          <w:sz w:val="16"/>
          <w:szCs w:val="16"/>
          <w:color w:val="auto"/>
        </w:rPr>
        <w:t>. At September 30, 2016, the Company had issued $626.5 million of unexpired forward sales commitments to mortgage loan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investors. Typically, the Company economically hedges mortgage loans held for sale and interest rate lock 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are carried at their fair values in other assets or other liabilities in the unaudited Consolidated Financial Statements</w:t>
      </w:r>
      <w:r>
        <w:rPr>
          <w:rFonts w:ascii="Arial" w:cs="Arial" w:eastAsia="Arial" w:hAnsi="Arial"/>
          <w:sz w:val="16"/>
          <w:szCs w:val="16"/>
          <w:i w:val="1"/>
          <w:iCs w:val="1"/>
          <w:color w:val="auto"/>
        </w:rPr>
        <w:t>.</w:t>
      </w:r>
      <w:r>
        <w:rPr>
          <w:rFonts w:ascii="Arial" w:cs="Arial" w:eastAsia="Arial" w:hAnsi="Arial"/>
          <w:sz w:val="16"/>
          <w:szCs w:val="16"/>
          <w:color w:val="auto"/>
        </w:rPr>
        <w:t xml:space="preserve"> While such forward sales commitments generally served as an economic hedge to the mortgage loans held for sale and interest rate lock commitments,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The fair values of these derivative assets and liabilities recorded in the consolidated balance sheets at September 30, 2016 are summarized as follows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2016</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18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9,664</w:t>
            </w:r>
          </w:p>
        </w:tc>
      </w:tr>
    </w:tbl>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The gross gains and losses on these derivative assets and liabilities recorded in non-interest income and expense in the Consolidated Statements of Income for the nine months ended September 30, 2016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September 30, 2016</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gains</w:t>
            </w:r>
          </w:p>
        </w:tc>
        <w:tc>
          <w:tcPr>
            <w:tcW w:w="2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Gross losses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(19,804)</w:t>
            </w:r>
          </w:p>
        </w:tc>
      </w:tr>
      <w:tr>
        <w:trPr>
          <w:trHeight w:val="210"/>
        </w:trPr>
        <w:tc>
          <w:tcPr>
            <w:tcW w:w="3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losses</w:t>
            </w:r>
          </w:p>
        </w:tc>
        <w:tc>
          <w:tcPr>
            <w:tcW w:w="28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At September 30, 2016, the impact of the net loss on derivative financial instruments related to interest rate lock commitments issued to residential loan customers for loans that will be held for sale and forward sales commitments to sell residential mortgage loans to loan investors was almost entirely offset by a corresponding increase in the fair value of loans held for sale.</w:t>
      </w:r>
    </w:p>
    <w:p>
      <w:pPr>
        <w:spacing w:after="0" w:line="18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i w:val="1"/>
          <w:iCs w:val="1"/>
          <w:color w:val="auto"/>
        </w:rPr>
        <w:t xml:space="preserve">Foreign Currency Derivatives. </w:t>
      </w:r>
      <w:r>
        <w:rPr>
          <w:rFonts w:ascii="Arial" w:cs="Arial" w:eastAsia="Arial" w:hAnsi="Arial"/>
          <w:sz w:val="17"/>
          <w:szCs w:val="17"/>
          <w:color w:val="auto"/>
        </w:rPr>
        <w:t>The Company has originated certain loan agreements that settle in non-U.S. dollar denominations. The gross balance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loans, translated into U.S. dollars, was $1.0 million at September 30, 2016. The Company enters into foreign currency forward contracts to mitigate the economic effect of fluctuations in foreign currency exchange rates on these non-U.S. dollar denominated loans. Such foreign currency forward contracts that meet the definition of derivative financial instruments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are carried at their fair values in other assets or other liabilities in the unaudited Consolidated Financial Statements. While such forward contracts generally served as an economic hedge to certain loans, the Company did not designate them for hedge accounting treatment. Consequently, changes in fair value of the corresponding derivative financial asset or liability were recorded as either a charge or credit to current earnings during the period in which the changes occurred. The gross gains and losses on these derivative assets and liabilities recorded in non-interest income and expense in the Consolidated Statements of Income for the nine months ended September 30, 2016 was insignificant.</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notional amount and fair values, denominated in U.S. dollars, of open foreign currency forward contracts were as follows: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September 30, 2016</w:t>
            </w:r>
          </w:p>
        </w:tc>
      </w:tr>
      <w:tr>
        <w:trPr>
          <w:trHeight w:val="142"/>
        </w:trPr>
        <w:tc>
          <w:tcPr>
            <w:tcW w:w="58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tcPr>
          <w:p>
            <w:pPr>
              <w:jc w:val="center"/>
              <w:ind w:right="179"/>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2"/>
                <w:szCs w:val="12"/>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Notional amount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2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999</w:t>
            </w:r>
          </w:p>
        </w:tc>
      </w:tr>
      <w:tr>
        <w:trPr>
          <w:trHeight w:val="230"/>
        </w:trPr>
        <w:tc>
          <w:tcPr>
            <w:tcW w:w="5880" w:type="dxa"/>
            <w:vAlign w:val="bottom"/>
          </w:tcPr>
          <w:p>
            <w:pPr>
              <w:ind w:left="180"/>
              <w:spacing w:after="0"/>
              <w:rPr>
                <w:sz w:val="20"/>
                <w:szCs w:val="20"/>
                <w:color w:val="auto"/>
              </w:rPr>
            </w:pPr>
            <w:r>
              <w:rPr>
                <w:rFonts w:ascii="Arial" w:cs="Arial" w:eastAsia="Arial" w:hAnsi="Arial"/>
                <w:sz w:val="18"/>
                <w:szCs w:val="18"/>
                <w:color w:val="auto"/>
              </w:rPr>
              <w:t>Fair value recorded in other liabilities</w:t>
            </w:r>
          </w:p>
        </w:tc>
        <w:tc>
          <w:tcPr>
            <w:tcW w:w="260" w:type="dxa"/>
            <w:vAlign w:val="bottom"/>
          </w:tcPr>
          <w:p>
            <w:pPr>
              <w:spacing w:after="0"/>
              <w:rPr>
                <w:sz w:val="20"/>
                <w:szCs w:val="20"/>
                <w:color w:val="auto"/>
              </w:rPr>
            </w:pPr>
          </w:p>
        </w:tc>
        <w:tc>
          <w:tcPr>
            <w:tcW w:w="21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60"/>
          </w:cols>
          <w:pgMar w:left="240" w:top="125" w:right="199" w:bottom="62" w:gutter="0" w:footer="0" w:header="0"/>
        </w:sectPr>
      </w:pPr>
    </w:p>
    <w:bookmarkStart w:id="25" w:name="page26"/>
    <w:bookmarkEnd w:id="25"/>
    <w:p>
      <w:pPr>
        <w:ind w:right="40"/>
        <w:spacing w:after="0" w:line="277" w:lineRule="auto"/>
        <w:rPr>
          <w:sz w:val="20"/>
          <w:szCs w:val="20"/>
          <w:color w:val="auto"/>
        </w:rPr>
      </w:pPr>
      <w:r>
        <w:rPr>
          <w:rFonts w:ascii="Arial" w:cs="Arial" w:eastAsia="Arial" w:hAnsi="Arial"/>
          <w:sz w:val="18"/>
          <w:szCs w:val="18"/>
          <w:color w:val="auto"/>
        </w:rPr>
        <w:t>Foreign currency forward contracts involve the risk of dealing with counterparties and their ability to meet contractual terms. We believe the risk of incurring losses due to nonperformance by our counterparties is manageable.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Fair Value Measurements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fair value of an asset or liability is the price that would be received by selling that asset or paid in transferring that liability in an orderly transaction occurring in the principal market (or most advantageous market in the absence of a principal market) for such asset or liability. In estimating fair value, the Company utilizes valuation techniques that are consistent with the market approach, the income approach and/or the cost approach. Such valuation techniques are consistently applied. Inputs to valuation techniques include the assumptions that market participants would use in pricing an asset or liability. FASB ASC Topic 820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 the ability to access at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Level 2 Inputs </w:t>
      </w:r>
      <w:r>
        <w:rPr>
          <w:rFonts w:ascii="Arial" w:cs="Arial" w:eastAsia="Arial" w:hAnsi="Arial"/>
          <w:sz w:val="18"/>
          <w:szCs w:val="18"/>
          <w:color w:val="auto"/>
        </w:rPr>
        <w:t>- Inputs other than quoted prices included in level 1 that are observable for the asset or liability, either directly or indirectly. These might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the Company’s own assumptions about the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market participants would use in pricing the assets or liabilities.</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during the quarter ended September 30, 2016.</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The Company’s valuation methodologies may produce a fair value calculation that may not be indicative of net realizable value or reflective of future fair values.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 Furthermore, the reported fair value amounts have not been comprehensively revalued since the presentation dates and, therefore, estimates of fair value after the balance sheet date may differ significantly from the amounts presented herein.</w:t>
      </w:r>
    </w:p>
    <w:p>
      <w:pPr>
        <w:spacing w:after="0" w:line="1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Securities Available for Sale</w:t>
      </w:r>
      <w:r>
        <w:rPr>
          <w:rFonts w:ascii="Arial" w:cs="Arial" w:eastAsia="Arial" w:hAnsi="Arial"/>
          <w:sz w:val="18"/>
          <w:szCs w:val="18"/>
          <w:color w:val="auto"/>
        </w:rPr>
        <w:t>. Securities classified as available for sale are reported at fair value utilizing level 1 and level 2 measurements. For mutual funds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equity securities, unadjusted quoted prices in active markets for identical assets are utilized to determine fair value at the measurement date and have been classified as level 1 in the ASC 820 fair value hierarchy. For all other securities, the Company obtains fair value measurements from an independent pricing service. The independent pricing service evaluations are based on market data. The independent pricing service utilizes evaluated pricing models that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vary by asset class and incorporate available trade, bid and other market information. Because many fixed income securities do not trade on a daily basis, the independent pricing service applies available information as appropriate through processes such as benchmark curves, benchmarking of like securities, sector groupings, and matrix pricing, to prepare evaluations. In addition, the independent pricing service uses model processes, such as the Option Adjusted Spread model, to assess interest rate impact and develop prepayment scenarios. The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Information of this nature is a trigger to acquire further market data.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 in the ASC 820 fair value hierarchy.</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Loans held for sale. </w:t>
      </w:r>
      <w:r>
        <w:rPr>
          <w:rFonts w:ascii="Arial" w:cs="Arial" w:eastAsia="Arial" w:hAnsi="Arial"/>
          <w:sz w:val="17"/>
          <w:szCs w:val="17"/>
          <w:color w:val="auto"/>
        </w:rPr>
        <w:t>Beginning on January 1, 2016, the Company elected to adopt the fair value option for all residential mortgage loans held for sale and to</w:t>
      </w:r>
      <w:r>
        <w:rPr>
          <w:rFonts w:ascii="Arial" w:cs="Arial" w:eastAsia="Arial" w:hAnsi="Arial"/>
          <w:sz w:val="17"/>
          <w:szCs w:val="17"/>
          <w:i w:val="1"/>
          <w:iCs w:val="1"/>
          <w:color w:val="auto"/>
        </w:rPr>
        <w:t xml:space="preserve"> </w:t>
      </w:r>
      <w:r>
        <w:rPr>
          <w:rFonts w:ascii="Arial" w:cs="Arial" w:eastAsia="Arial" w:hAnsi="Arial"/>
          <w:sz w:val="17"/>
          <w:szCs w:val="17"/>
          <w:color w:val="auto"/>
        </w:rPr>
        <w:t>account for such loans at their fair values with changes in fair value recognized in earnings, consistent with the provisions in ASC 820. The Company accounted for held for sale loans that were originated prior to January 1, 2016 under the lower of cost or fair value option, with any corresponding adjustments recorded as a valuation adjustment, if necessary. Such fair value adjustments are recorded as a component of gain on sales of loans, net in the accompanying unaudited Consolidated Financial Statements. The fair value of the mortgage loans held for sale are measured using observable quoted market or contract prices or market price equivalents and are classified as level 2 in the ASC 820 fair value hierarchy.</w:t>
      </w:r>
    </w:p>
    <w:p>
      <w:pPr>
        <w:spacing w:after="0" w:line="17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i w:val="1"/>
          <w:iCs w:val="1"/>
          <w:color w:val="auto"/>
        </w:rPr>
        <w:t xml:space="preserve">Derivative Assets and Derivative Liabilities. </w:t>
      </w:r>
      <w:r>
        <w:rPr>
          <w:rFonts w:ascii="Arial" w:cs="Arial" w:eastAsia="Arial" w:hAnsi="Arial"/>
          <w:sz w:val="17"/>
          <w:szCs w:val="17"/>
          <w:color w:val="auto"/>
        </w:rPr>
        <w:t>Derivative assets and derivative liabilities are reported at fair value utilizing level 2 measurements. Derivative</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with positive fair values are reported as assets and derivative instruments with negative fair value are reported as liabilities. The fair value of derivative assets and liabilities is determined based on prices that are obtained from a third party. Values of derivative assets and liabilities are primarily based on observable inputs and are classified as level 2 in the ASC 820 fair value hierarchy.</w:t>
      </w:r>
    </w:p>
    <w:p>
      <w:pPr>
        <w:sectPr>
          <w:pgSz w:w="11900" w:h="16838" w:orient="portrait"/>
          <w:cols w:equalWidth="0" w:num="1">
            <w:col w:w="11420"/>
          </w:cols>
          <w:pgMar w:left="240" w:top="125" w:right="239" w:bottom="46"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The following table summarizes financial assets and financial liabilities measured at fair value on a recurring basis as of September 30, 2016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December 31, 2015, segregated by the level of the valuation inputs within the fair value hierarchy utilized to measure fair value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center"/>
              <w:ind w:left="348"/>
              <w:spacing w:after="0"/>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Level 2</w:t>
            </w:r>
          </w:p>
        </w:tc>
        <w:tc>
          <w:tcPr>
            <w:tcW w:w="140" w:type="dxa"/>
            <w:vAlign w:val="bottom"/>
          </w:tcPr>
          <w:p>
            <w:pPr>
              <w:spacing w:after="0"/>
              <w:rPr>
                <w:sz w:val="14"/>
                <w:szCs w:val="14"/>
                <w:color w:val="auto"/>
              </w:rPr>
            </w:pPr>
          </w:p>
        </w:tc>
        <w:tc>
          <w:tcPr>
            <w:tcW w:w="1040" w:type="dxa"/>
            <w:vAlign w:val="bottom"/>
          </w:tcPr>
          <w:p>
            <w:pPr>
              <w:jc w:val="center"/>
              <w:ind w:left="248"/>
              <w:spacing w:after="0"/>
              <w:rPr>
                <w:sz w:val="20"/>
                <w:szCs w:val="20"/>
                <w:color w:val="auto"/>
              </w:rPr>
            </w:pPr>
            <w:r>
              <w:rPr>
                <w:rFonts w:ascii="Arial" w:cs="Arial" w:eastAsia="Arial" w:hAnsi="Arial"/>
                <w:sz w:val="14"/>
                <w:szCs w:val="14"/>
                <w:b w:val="1"/>
                <w:bCs w:val="1"/>
                <w:color w:val="auto"/>
                <w:w w:val="92"/>
              </w:rPr>
              <w:t>Level 3</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center"/>
              <w:ind w:left="348"/>
              <w:spacing w:after="0"/>
              <w:rPr>
                <w:sz w:val="20"/>
                <w:szCs w:val="20"/>
                <w:color w:val="auto"/>
              </w:rPr>
            </w:pPr>
            <w:r>
              <w:rPr>
                <w:rFonts w:ascii="Arial" w:cs="Arial" w:eastAsia="Arial" w:hAnsi="Arial"/>
                <w:sz w:val="14"/>
                <w:szCs w:val="14"/>
                <w:b w:val="1"/>
                <w:bCs w:val="1"/>
                <w:color w:val="auto"/>
                <w:w w:val="95"/>
              </w:rPr>
              <w:t>Inputs</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4"/>
                <w:szCs w:val="14"/>
                <w:color w:val="auto"/>
              </w:rPr>
            </w:pPr>
          </w:p>
        </w:tc>
        <w:tc>
          <w:tcPr>
            <w:tcW w:w="1040" w:type="dxa"/>
            <w:vAlign w:val="bottom"/>
          </w:tcPr>
          <w:p>
            <w:pPr>
              <w:jc w:val="center"/>
              <w:ind w:left="248"/>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7"/>
              </w:rPr>
              <w:t>September 30, 2016</w:t>
            </w:r>
          </w:p>
        </w:tc>
        <w:tc>
          <w:tcPr>
            <w:tcW w:w="314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Securities available for sale</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34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65,266</w:t>
            </w:r>
          </w:p>
        </w:tc>
        <w:tc>
          <w:tcPr>
            <w:tcW w:w="118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105,536</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105,536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163,940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289,958</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289,958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146,294</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Mutual funds and other equity securities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3,689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266,382</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266,382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Derivative financial assets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6,325</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Foreign currency forward contracts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financial liabilities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9,664</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340" w:type="dxa"/>
            <w:vAlign w:val="bottom"/>
            <w:gridSpan w:val="2"/>
          </w:tcPr>
          <w:p>
            <w:pPr>
              <w:jc w:val="right"/>
              <w:ind w:right="68"/>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1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gridSpan w:val="2"/>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center"/>
              <w:ind w:left="348"/>
              <w:spacing w:after="0"/>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Level 2</w:t>
            </w:r>
          </w:p>
        </w:tc>
        <w:tc>
          <w:tcPr>
            <w:tcW w:w="140" w:type="dxa"/>
            <w:vAlign w:val="bottom"/>
          </w:tcPr>
          <w:p>
            <w:pPr>
              <w:spacing w:after="0"/>
              <w:rPr>
                <w:sz w:val="24"/>
                <w:szCs w:val="24"/>
                <w:color w:val="auto"/>
              </w:rPr>
            </w:pPr>
          </w:p>
        </w:tc>
        <w:tc>
          <w:tcPr>
            <w:tcW w:w="1040" w:type="dxa"/>
            <w:vAlign w:val="bottom"/>
          </w:tcPr>
          <w:p>
            <w:pPr>
              <w:jc w:val="center"/>
              <w:ind w:left="248"/>
              <w:spacing w:after="0"/>
              <w:rPr>
                <w:sz w:val="20"/>
                <w:szCs w:val="20"/>
                <w:color w:val="auto"/>
              </w:rPr>
            </w:pPr>
            <w:r>
              <w:rPr>
                <w:rFonts w:ascii="Arial" w:cs="Arial" w:eastAsia="Arial" w:hAnsi="Arial"/>
                <w:sz w:val="14"/>
                <w:szCs w:val="14"/>
                <w:b w:val="1"/>
                <w:bCs w:val="1"/>
                <w:color w:val="auto"/>
                <w:w w:val="92"/>
              </w:rPr>
              <w:t>Level 3</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center"/>
              <w:ind w:left="348"/>
              <w:spacing w:after="0"/>
              <w:rPr>
                <w:sz w:val="20"/>
                <w:szCs w:val="20"/>
                <w:color w:val="auto"/>
              </w:rPr>
            </w:pPr>
            <w:r>
              <w:rPr>
                <w:rFonts w:ascii="Arial" w:cs="Arial" w:eastAsia="Arial" w:hAnsi="Arial"/>
                <w:sz w:val="14"/>
                <w:szCs w:val="14"/>
                <w:b w:val="1"/>
                <w:bCs w:val="1"/>
                <w:color w:val="auto"/>
                <w:w w:val="95"/>
              </w:rPr>
              <w:t>Inputs</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4"/>
                <w:szCs w:val="14"/>
                <w:color w:val="auto"/>
              </w:rPr>
            </w:pPr>
          </w:p>
        </w:tc>
        <w:tc>
          <w:tcPr>
            <w:tcW w:w="1040" w:type="dxa"/>
            <w:vAlign w:val="bottom"/>
          </w:tcPr>
          <w:p>
            <w:pPr>
              <w:jc w:val="center"/>
              <w:ind w:left="248"/>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December 31, 2015</w:t>
            </w:r>
          </w:p>
        </w:tc>
        <w:tc>
          <w:tcPr>
            <w:tcW w:w="4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Securities available for sale</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34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65,191</w:t>
            </w:r>
          </w:p>
        </w:tc>
        <w:tc>
          <w:tcPr>
            <w:tcW w:w="118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132,605</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132,605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178,612</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307,549</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307,549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148,805</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Mutual funds and other equity securities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2,076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Foreign currency forward contracts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Foreign currency forward contracts</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-2231390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-2231390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4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Impaired Loans</w:t>
      </w:r>
      <w:r>
        <w:rPr>
          <w:rFonts w:ascii="Arial" w:cs="Arial" w:eastAsia="Arial" w:hAnsi="Arial"/>
          <w:sz w:val="17"/>
          <w:szCs w:val="17"/>
          <w:color w:val="auto"/>
        </w:rPr>
        <w:t>. The Company does not record loans at fair value on a recurring basis. However, periodically, a loan is considered impaired and is reported at</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of the underlying collateral, less estimated costs to sell, if repayment is expected solely from the collateral. Impaired loans measured at fair value typically consist of loans on non-accrual status and restructured loans in compliance with modified terms. Collateral values are estimated using a combination of observable inputs, including recent appraisals, and unobservable inputs based on customized discounting criteria. Due to the significance of the unobservable inputs, all impaired loan fair values have been classified as level 3 in the ASC 820 fair value hierarchy.</w:t>
      </w:r>
    </w:p>
    <w:p>
      <w:pPr>
        <w:spacing w:after="0" w:line="17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i w:val="1"/>
          <w:iCs w:val="1"/>
          <w:color w:val="auto"/>
        </w:rPr>
        <w:t xml:space="preserve">OREO. </w:t>
      </w:r>
      <w:r>
        <w:rPr>
          <w:rFonts w:ascii="Arial" w:cs="Arial" w:eastAsia="Arial" w:hAnsi="Arial"/>
          <w:sz w:val="16"/>
          <w:szCs w:val="16"/>
          <w:color w:val="auto"/>
        </w:rPr>
        <w:t>Non-financial assets and non-financial liabilities measured at fair value include OREO (upon initial recognition or subsequent impairment). OREO</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are measured using a combination of observable inputs, including recent appraisals, and unobservable inputs based on customized discounting criteria. Due to the significance of the unobservable inputs, all OREO fair values have been classified as level 3 in the ASC 820 fair value hierarchy.</w:t>
      </w:r>
    </w:p>
    <w:p>
      <w:pPr>
        <w:spacing w:after="0" w:line="14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 xml:space="preserve">The following table summarizes assets and liabilities measured at fair value on a non-recurring basis as of September 30, 2016 and December 31, 2015, segregated by the level of the valuation inputs within the fair value hierarchy utilized to measure fair value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59"/>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79"/>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Inputs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September 30, 2016</w:t>
            </w:r>
          </w:p>
        </w:tc>
        <w:tc>
          <w:tcPr>
            <w:tcW w:w="5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Impaired loans</w:t>
            </w:r>
          </w:p>
        </w:tc>
        <w:tc>
          <w:tcPr>
            <w:tcW w:w="3000" w:type="dxa"/>
            <w:vAlign w:val="bottom"/>
            <w:tcBorders>
              <w:top w:val="single" w:sz="8" w:color="CCEEFF"/>
            </w:tcBorders>
            <w:gridSpan w:val="2"/>
          </w:tcPr>
          <w:p>
            <w:pPr>
              <w:spacing w:after="0"/>
              <w:rPr>
                <w:sz w:val="18"/>
                <w:szCs w:val="18"/>
                <w:color w:val="auto"/>
              </w:rPr>
            </w:pPr>
          </w:p>
        </w:tc>
        <w:tc>
          <w:tcPr>
            <w:tcW w:w="1540" w:type="dxa"/>
            <w:vAlign w:val="bottom"/>
            <w:tcBorders>
              <w:top w:val="single" w:sz="8" w:color="CCEEFF"/>
            </w:tcBorders>
            <w:gridSpan w:val="2"/>
          </w:tcPr>
          <w:p>
            <w:pPr>
              <w:jc w:val="right"/>
              <w:ind w:right="888"/>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87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w w:val="88"/>
              </w:rPr>
              <w:t>—</w:t>
            </w:r>
          </w:p>
        </w:tc>
        <w:tc>
          <w:tcPr>
            <w:tcW w:w="1200" w:type="dxa"/>
            <w:vAlign w:val="bottom"/>
            <w:tcBorders>
              <w:top w:val="single" w:sz="8" w:color="CCEEFF"/>
            </w:tcBorders>
            <w:gridSpan w:val="2"/>
          </w:tcPr>
          <w:p>
            <w:pPr>
              <w:jc w:val="right"/>
              <w:ind w:right="748"/>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w w:val="93"/>
              </w:rPr>
              <w:t>1,563</w:t>
            </w: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1,563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OREO(1)</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December 31, 2015</w:t>
            </w:r>
          </w:p>
        </w:tc>
        <w:tc>
          <w:tcPr>
            <w:tcW w:w="3040" w:type="dxa"/>
            <w:vAlign w:val="bottom"/>
            <w:tcBorders>
              <w:bottom w:val="single" w:sz="8" w:color="CCEEFF"/>
            </w:tcBorders>
            <w:gridSpan w:val="3"/>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tcPr>
          <w:p>
            <w:pPr>
              <w:ind w:left="180"/>
              <w:spacing w:after="0"/>
              <w:rPr>
                <w:sz w:val="20"/>
                <w:szCs w:val="20"/>
                <w:color w:val="auto"/>
              </w:rPr>
            </w:pPr>
            <w:r>
              <w:rPr>
                <w:rFonts w:ascii="Arial" w:cs="Arial" w:eastAsia="Arial" w:hAnsi="Arial"/>
                <w:sz w:val="18"/>
                <w:szCs w:val="18"/>
                <w:color w:val="auto"/>
              </w:rPr>
              <w:t>Impaired loans</w:t>
            </w:r>
          </w:p>
        </w:tc>
        <w:tc>
          <w:tcPr>
            <w:tcW w:w="154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2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6,138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OREO(1)</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500" w:type="dxa"/>
            <w:vAlign w:val="bottom"/>
            <w:gridSpan w:val="5"/>
          </w:tcPr>
          <w:p>
            <w:pPr>
              <w:spacing w:after="0"/>
              <w:rPr>
                <w:sz w:val="20"/>
                <w:szCs w:val="20"/>
                <w:color w:val="auto"/>
              </w:rPr>
            </w:pPr>
            <w:r>
              <w:rPr>
                <w:rFonts w:ascii="Arial" w:cs="Arial" w:eastAsia="Arial" w:hAnsi="Arial"/>
                <w:sz w:val="18"/>
                <w:szCs w:val="18"/>
                <w:color w:val="auto"/>
              </w:rPr>
              <w:t>(1)OREO fair value was less than one thousand dollars.</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gridSpan w:val="2"/>
          </w:tcPr>
          <w:p>
            <w:pPr>
              <w:jc w:val="right"/>
              <w:ind w:right="168"/>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ectPr>
          <w:pgSz w:w="11900" w:h="16838" w:orient="portrait"/>
          <w:cols w:equalWidth="0" w:num="1">
            <w:col w:w="11460"/>
          </w:cols>
          <w:pgMar w:left="240" w:top="125" w:right="199" w:bottom="0" w:gutter="0" w:footer="0" w:header="0"/>
        </w:sectPr>
      </w:pPr>
    </w:p>
    <w:p>
      <w:pPr>
        <w:spacing w:after="0" w:line="162"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Quantitative Information about Level 3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6350</wp:posOffset>
            </wp:positionV>
            <wp:extent cx="53943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ind w:left="3180"/>
        <w:spacing w:after="0"/>
        <w:tabs>
          <w:tab w:leader="none" w:pos="5080" w:val="left"/>
          <w:tab w:leader="none" w:pos="7480" w:val="left"/>
          <w:tab w:leader="none" w:pos="10220" w:val="left"/>
        </w:tabs>
        <w:rPr>
          <w:sz w:val="20"/>
          <w:szCs w:val="20"/>
          <w:color w:val="auto"/>
        </w:rPr>
      </w:pPr>
      <w:r>
        <w:rPr>
          <w:rFonts w:ascii="Arial" w:cs="Arial" w:eastAsia="Arial" w:hAnsi="Arial"/>
          <w:sz w:val="14"/>
          <w:szCs w:val="14"/>
          <w:b w:val="1"/>
          <w:bCs w:val="1"/>
          <w:color w:val="auto"/>
        </w:rPr>
        <w:t>Fair Value</w:t>
      </w:r>
      <w:r>
        <w:rPr>
          <w:sz w:val="20"/>
          <w:szCs w:val="20"/>
          <w:color w:val="auto"/>
        </w:rPr>
        <w:tab/>
      </w:r>
      <w:r>
        <w:rPr>
          <w:rFonts w:ascii="Arial" w:cs="Arial" w:eastAsia="Arial" w:hAnsi="Arial"/>
          <w:sz w:val="14"/>
          <w:szCs w:val="14"/>
          <w:b w:val="1"/>
          <w:bCs w:val="1"/>
          <w:color w:val="auto"/>
        </w:rPr>
        <w:t>Valuation</w:t>
      </w:r>
      <w:r>
        <w:rPr>
          <w:sz w:val="20"/>
          <w:szCs w:val="20"/>
          <w:color w:val="auto"/>
        </w:rPr>
        <w:tab/>
      </w:r>
      <w:r>
        <w:rPr>
          <w:rFonts w:ascii="Arial" w:cs="Arial" w:eastAsia="Arial" w:hAnsi="Arial"/>
          <w:sz w:val="14"/>
          <w:szCs w:val="14"/>
          <w:b w:val="1"/>
          <w:bCs w:val="1"/>
          <w:color w:val="auto"/>
        </w:rPr>
        <w:t>Unobservable</w:t>
      </w:r>
      <w:r>
        <w:rPr>
          <w:sz w:val="20"/>
          <w:szCs w:val="20"/>
          <w:color w:val="auto"/>
        </w:rPr>
        <w:tab/>
      </w:r>
      <w:r>
        <w:rPr>
          <w:rFonts w:ascii="Arial" w:cs="Arial" w:eastAsia="Arial" w:hAnsi="Arial"/>
          <w:sz w:val="13"/>
          <w:szCs w:val="13"/>
          <w:b w:val="1"/>
          <w:bCs w:val="1"/>
          <w:color w:val="auto"/>
        </w:rPr>
        <w:t>Range</w:t>
      </w:r>
    </w:p>
    <w:p>
      <w:pPr>
        <w:sectPr>
          <w:pgSz w:w="11900" w:h="16838" w:orient="portrait"/>
          <w:cols w:equalWidth="0" w:num="1">
            <w:col w:w="11460"/>
          </w:cols>
          <w:pgMar w:left="240" w:top="125" w:right="199" w:bottom="0" w:gutter="0" w:footer="0" w:header="0"/>
          <w:type w:val="continuous"/>
        </w:sectPr>
      </w:pPr>
    </w:p>
    <w:bookmarkStart w:id="27" w:name="page28"/>
    <w:bookmarkEnd w:id="27"/>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Estimate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Techniques</w:t>
            </w:r>
          </w:p>
        </w:tc>
        <w:tc>
          <w:tcPr>
            <w:tcW w:w="2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w:t>
            </w: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September 30, 2016</w:t>
            </w:r>
          </w:p>
        </w:tc>
        <w:tc>
          <w:tcPr>
            <w:tcW w:w="9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6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Impaired loans</w:t>
            </w:r>
          </w:p>
        </w:tc>
        <w:tc>
          <w:tcPr>
            <w:tcW w:w="2280" w:type="dxa"/>
            <w:vAlign w:val="bottom"/>
            <w:tcBorders>
              <w:top w:val="single" w:sz="8" w:color="CCEEFF"/>
            </w:tcBorders>
            <w:gridSpan w:val="2"/>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6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gridSpan w:val="2"/>
          </w:tcPr>
          <w:p>
            <w:pPr>
              <w:jc w:val="center"/>
              <w:ind w:right="100"/>
              <w:spacing w:after="0" w:line="201" w:lineRule="exact"/>
              <w:rPr>
                <w:sz w:val="20"/>
                <w:szCs w:val="20"/>
                <w:color w:val="auto"/>
              </w:rPr>
            </w:pPr>
            <w:r>
              <w:rPr>
                <w:rFonts w:ascii="Arial" w:cs="Arial" w:eastAsia="Arial" w:hAnsi="Arial"/>
                <w:sz w:val="18"/>
                <w:szCs w:val="18"/>
                <w:color w:val="auto"/>
                <w:w w:val="92"/>
              </w:rPr>
              <w:t>-1.5% to -100.0%</w:t>
            </w:r>
          </w:p>
        </w:tc>
        <w:tc>
          <w:tcPr>
            <w:tcW w:w="0" w:type="dxa"/>
            <w:vAlign w:val="bottom"/>
          </w:tcPr>
          <w:p>
            <w:pPr>
              <w:spacing w:after="0"/>
              <w:rPr>
                <w:sz w:val="1"/>
                <w:szCs w:val="1"/>
                <w:color w:val="auto"/>
              </w:rPr>
            </w:pPr>
          </w:p>
        </w:tc>
      </w:tr>
      <w:tr>
        <w:trPr>
          <w:trHeight w:val="230"/>
        </w:trPr>
        <w:tc>
          <w:tcPr>
            <w:tcW w:w="3780" w:type="dxa"/>
            <w:vAlign w:val="bottom"/>
            <w:gridSpan w:val="5"/>
          </w:tcPr>
          <w:p>
            <w:pPr>
              <w:jc w:val="right"/>
              <w:ind w:right="808"/>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1,563</w:t>
            </w: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Appraisal of collateral</w:t>
            </w:r>
          </w:p>
        </w:tc>
        <w:tc>
          <w:tcPr>
            <w:tcW w:w="29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Appraisal adjustments</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(-36.6)%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OREO(1)</w:t>
            </w:r>
          </w:p>
        </w:tc>
        <w:tc>
          <w:tcPr>
            <w:tcW w:w="70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-100.0%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Appraisal of collateral</w:t>
            </w:r>
          </w:p>
        </w:tc>
        <w:tc>
          <w:tcPr>
            <w:tcW w:w="29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Appraisal adjustments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December 31, 2015</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Impaired loans</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-4.3% to -100.0%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4"/>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6,138</w:t>
            </w:r>
          </w:p>
        </w:tc>
        <w:tc>
          <w:tcPr>
            <w:tcW w:w="21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Appraisal of collateral</w:t>
            </w:r>
          </w:p>
        </w:tc>
        <w:tc>
          <w:tcPr>
            <w:tcW w:w="29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Appraisal adjustments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(-30.9)%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4"/>
          </w:tcPr>
          <w:p>
            <w:pPr>
              <w:spacing w:after="0" w:line="201" w:lineRule="exact"/>
              <w:rPr>
                <w:sz w:val="20"/>
                <w:szCs w:val="20"/>
                <w:color w:val="auto"/>
              </w:rPr>
            </w:pPr>
            <w:r>
              <w:rPr>
                <w:rFonts w:ascii="Arial" w:cs="Arial" w:eastAsia="Arial" w:hAnsi="Arial"/>
                <w:sz w:val="18"/>
                <w:szCs w:val="18"/>
                <w:color w:val="auto"/>
              </w:rPr>
              <w:t>OREO(1)</w:t>
            </w:r>
          </w:p>
        </w:tc>
        <w:tc>
          <w:tcPr>
            <w:tcW w:w="70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92"/>
              </w:rPr>
              <w:t>-100.0%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Appraisal of collateral</w:t>
            </w:r>
          </w:p>
        </w:tc>
        <w:tc>
          <w:tcPr>
            <w:tcW w:w="29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Appraisal adjustments</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(1)OREO fair value was less than one thousand dollars.</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 xml:space="preserve">The estimated fair values of financial instruments that are reported at amortized cost in the Company’s Consolidated Balance Sheets, segregated by the level of the valuation inputs within the fair value hierarchy utilized to measure fair value,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2016</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2015</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Carrying</w:t>
            </w:r>
          </w:p>
        </w:tc>
        <w:tc>
          <w:tcPr>
            <w:tcW w:w="480" w:type="dxa"/>
            <w:vAlign w:val="bottom"/>
          </w:tcPr>
          <w:p>
            <w:pPr>
              <w:spacing w:after="0"/>
              <w:rPr>
                <w:sz w:val="10"/>
                <w:szCs w:val="10"/>
                <w:color w:val="auto"/>
              </w:rPr>
            </w:pPr>
          </w:p>
        </w:tc>
        <w:tc>
          <w:tcPr>
            <w:tcW w:w="900" w:type="dxa"/>
            <w:vAlign w:val="bottom"/>
          </w:tcPr>
          <w:p>
            <w:pPr>
              <w:jc w:val="right"/>
              <w:ind w:right="473"/>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Carrying</w:t>
            </w:r>
          </w:p>
        </w:tc>
        <w:tc>
          <w:tcPr>
            <w:tcW w:w="480" w:type="dxa"/>
            <w:vAlign w:val="bottom"/>
          </w:tcPr>
          <w:p>
            <w:pPr>
              <w:spacing w:after="0"/>
              <w:rPr>
                <w:sz w:val="10"/>
                <w:szCs w:val="10"/>
                <w:color w:val="auto"/>
              </w:rPr>
            </w:pPr>
          </w:p>
        </w:tc>
        <w:tc>
          <w:tcPr>
            <w:tcW w:w="880" w:type="dxa"/>
            <w:vAlign w:val="bottom"/>
          </w:tcPr>
          <w:p>
            <w:pPr>
              <w:jc w:val="center"/>
              <w:ind w:right="41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spacing w:after="0"/>
              <w:rPr>
                <w:sz w:val="14"/>
                <w:szCs w:val="14"/>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tcPr>
          <w:p>
            <w:pPr>
              <w:spacing w:after="0"/>
              <w:rPr>
                <w:sz w:val="14"/>
                <w:szCs w:val="14"/>
                <w:color w:val="auto"/>
              </w:rPr>
            </w:pPr>
          </w:p>
        </w:tc>
        <w:tc>
          <w:tcPr>
            <w:tcW w:w="9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Level 1 inputs: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due from banks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358,337</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358,337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319,280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Federal funds sold</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2,498</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2,498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Level 2 inputs: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Securities held to maturity</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50,460</w:t>
            </w:r>
          </w:p>
        </w:tc>
        <w:tc>
          <w:tcPr>
            <w:tcW w:w="4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51,618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49,832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held for sale(2)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9,351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Accrued interest receivable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15,817</w:t>
            </w:r>
          </w:p>
        </w:tc>
        <w:tc>
          <w:tcPr>
            <w:tcW w:w="4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15,817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12,122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Level 3 inputs: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Net portfolio loans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3,759,766</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3,795,090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2,580,252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2,583,458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 servicing rights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Level 2 inputs: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4,336,506</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4,335,196</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3,289,106</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3,286,677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Securities sold under agreements to repurchase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212,363</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212,363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172,972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172,972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246,700</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246,700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80,000</w:t>
            </w:r>
          </w:p>
        </w:tc>
        <w:tc>
          <w:tcPr>
            <w:tcW w:w="4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80,000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Junior subordinated debt owed to unconsolidated trusts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70,834</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70,834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55,000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Accrued interest payable</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998</w:t>
            </w:r>
          </w:p>
        </w:tc>
        <w:tc>
          <w:tcPr>
            <w:tcW w:w="4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998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438</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(2)Effective January 1, 2016, measured at fair value on a recurring basis.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FASB ASC Topic 825 requires disclosure of the fair value of financial assets and financial liabilities, including those financial assets and financial liabilities that are not measured and reported at fair value on a recurring basis or non-recurring basis. A detailed description of the valuation methodologies used in estimating the fair value of financial instruments is set forth in the Company’s Annual Report on Form 10-K for the year ended December 31, 2015 or is described below.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color w:val="auto"/>
        </w:rPr>
        <w:t xml:space="preserve">The fair value of net portfolio loans reflects general changes in the interest rate curve used to calculate fair values based on cash flows. </w:t>
      </w:r>
      <w:r>
        <w:rPr>
          <w:rFonts w:ascii="Arial" w:cs="Arial" w:eastAsia="Arial" w:hAnsi="Arial"/>
          <w:sz w:val="16"/>
          <w:szCs w:val="16"/>
          <w:color w:val="auto"/>
        </w:rPr>
        <w:t>The carrying amount</w:t>
      </w:r>
      <w:r>
        <w:rPr>
          <w:rFonts w:ascii="Arial" w:cs="Arial" w:eastAsia="Arial" w:hAnsi="Arial"/>
          <w:sz w:val="17"/>
          <w:szCs w:val="17"/>
          <w:color w:val="auto"/>
        </w:rPr>
        <w:t xml:space="preserve"> </w:t>
      </w:r>
      <w:r>
        <w:rPr>
          <w:rFonts w:ascii="Arial" w:cs="Arial" w:eastAsia="Arial" w:hAnsi="Arial"/>
          <w:sz w:val="16"/>
          <w:szCs w:val="16"/>
          <w:color w:val="auto"/>
        </w:rPr>
        <w:t>approximates fair value for federal funds sold and is classified as level 1 in the ASC 820 fair value hierarchy. The fair value of mortgage servicing rights is estimated by discounting the future cash flows and classified as level 3 in the ASC 820 fair value hierarchy. The estimated fair value of short-term borrowings, which includes advances from the FHLB, is determined by discounting the future cash flows of existing advances using rates currently available on advances from the FHLB having similar characteristics and is classified as level 2 in the ASC 820 fair value hierarchy.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Liability for Loans Sold</w:t>
      </w:r>
    </w:p>
    <w:p>
      <w:pPr>
        <w:spacing w:after="0" w:line="229"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The Company records an estimated liability for probable amounts due to the Company’s loan investors under contractual obligations related to residential mortgage loans originated for sale that were previously sold and became delinquent or defaulted, or were determined to contain certain documentation or other underwriting deficiencies. Under standard representations and warranties and early payment default clauses in the Company’s mortgage sale agreements, the Company could be required to repurchase mortgage loans sold to investors or reimburse the investors for losses incurred on loans (collectively “repurchase”) in the event of borrower default within a defined period after origination (generally 90 days), or in the event of breaches of contractual representations or warranties made at the time of sale that are not remedied within a defined period after the Company receives notice of such breaches (generally 90 days). In addition, the Company may be required to refund the profit received from the sale of a loan to an investor if the borrower pays off the loan within a defined period after origination, which is generally 120 days.</w:t>
      </w:r>
    </w:p>
    <w:p>
      <w:pPr>
        <w:spacing w:after="0" w:line="17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Company establishes a mortgage repurchase liability related to these events that reflects management’s estimate of losses on loans for which the Company could have a repurchase obligation based on a combination of factors. Such factors incorporate the volume of loans sold in current and previous periods, borrower default expectations, historical investor repurchase demand and appeals success rates (where the investor rescinds the demand based on a cure of the defect or acknowledges that the loan satisfies the investor’s applicable representations and warranties), and estimated loss severity. Payments made to investors as reimbursement for losses incurred are charged against the mortgage repurchase liability. Loans repurchased from investors are initially recorded at fair value, which becomes the Company’s new accounting basis. Any difference between the loan’s fair value and the outstanding principal</w:t>
      </w:r>
    </w:p>
    <w:p>
      <w:pPr>
        <w:sectPr>
          <w:pgSz w:w="11900" w:h="16853" w:orient="portrait"/>
          <w:cols w:equalWidth="0" w:num="1">
            <w:col w:w="11420"/>
          </w:cols>
          <w:pgMar w:left="240" w:top="118" w:right="239" w:bottom="0" w:gutter="0" w:footer="0" w:header="0"/>
        </w:sectPr>
      </w:pPr>
    </w:p>
    <w:bookmarkStart w:id="28" w:name="page29"/>
    <w:bookmarkEnd w:id="28"/>
    <w:p>
      <w:pPr>
        <w:jc w:val="both"/>
        <w:ind w:right="820"/>
        <w:spacing w:after="0" w:line="342" w:lineRule="auto"/>
        <w:rPr>
          <w:sz w:val="20"/>
          <w:szCs w:val="20"/>
          <w:color w:val="auto"/>
        </w:rPr>
      </w:pPr>
      <w:r>
        <w:rPr>
          <w:rFonts w:ascii="Arial" w:cs="Arial" w:eastAsia="Arial" w:hAnsi="Arial"/>
          <w:sz w:val="16"/>
          <w:szCs w:val="16"/>
          <w:color w:val="auto"/>
        </w:rPr>
        <w:t>amount is charged or credited to the mortgage repurchase liability, as appropriate. Subsequent to repurchase, such loans are carried in loans on the Company’s balance sheet. Loans repurchased with deteriorated credit quality at the date of repurchase are accounted for under ASC Topic 310-30.</w:t>
      </w:r>
    </w:p>
    <w:p>
      <w:pPr>
        <w:spacing w:after="0" w:line="12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liability for loans sold of $1.9 million at September 30, 2016 represents the Company’s best estimate of the probable losses that the Company will incur for various early default provisions and contractual representations and warranties associated with the sales of mortgage loans. Because the level of mortgage loan repurchase losses depends upon economic factors, investor demand strategies and other external conditions that may change over the life of the underlying loans, the level of the liability for mortgage loan repurchase losses is difficult to estimate and requires considerable management judgment. In addition, the Company does not service the loans that it sells to investors and is generally unable to track the remaining unpaid balances or delinquency status after sale. As a result, there may be a range of possible losses in excess of the estimated liability that cannot be estimated. Management maintains regular contact with the Company’s investors to monitor and address their repurchase demand practices and concerns.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 MANAGEMENT’S DISCUSSION AND ANALYSIS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is management’s discussion and analysis of the financial condition of First Busey Corporation and its subsidiaries (referred to herein as “First Busey,” “Company,” “we,” or “our”) at September 30, 2016 (unaudited), as compared with June 30, 2016 (unaudited), December 31, 2015 and September 30, 2015 (unaudited), and the results of operations for the three and nine months ended September 30, 2016 (unaudited) and 2015 (unaudited), and the three months ended June 30, 2016 (unaudited) when applicable. Management’s discussion and analysis should be read in conjunction with the Company’s unaudited Consolidated Financial Statements and notes thereto appearing elsewhere in this Quarterly Report, as well as the Company’s Annual Report on Form 10-K for the year ended December 31,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Acquisition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April 30, 2016, the Company completed its acquisition of Pulaski, a Missouri corporation headquartered in St. Louis and its wholly owned subsidiary bank, Pulaski Bank. This acquisition creates a Midwest community bank with greater scale and improved operating efficiency, along with geographic and balance sheet diversification. Financial results for the second and third quarters of 2016 were significantly impacted by the Pulaski acquisition, resetting the baseline for financial performance in current and future quarters in a multitude of positive ways. At the date of the acquisition, the fair value of Pulaski’s total assets was $1.6 billion, including $1.4 billion in loans, and $1.2 billion in deposits. Net income before taxes was positively impacted by $1.7 million and $1.3 million due to Pulaski purchase accounting amortization for the third and second quarter of 2016, respectively, net of amortization expense of intangibles. During the third quarter of 2016, First Busey incurred $0.8 million of pre-tax acquisition expenses related to the acquisition of Pulaski. During the nine months ended September 30, 2016, expenses related to the acquisition of Pulaski totaled $3.1 million pre-tax, comprised primarily of data processing, legal and consulting costs and restructuring costs. First Busey operated Pulaski Bank as a separate subsidiary from May 1, 2016 until November 4, 2016 when it was merged with and into Busey Bank.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First Busey’s net income and net income available to common stockholders for the third quarter of 2016 was $15.4 million, or $0.40 per fully-diluted common share. The Company reported net income and net income available to common stockholders of $12.4 million, or $0.35 per fully-diluted common share, for the second quarter of 2016 and net income of $10.6 million and net income available to common stockholders of $10.4 million, or $0.36 per fully-diluted common share, for the third quarter of 2015. The Company’s year-to-date net income and net income available to common stockholders through September 30, 2016 was $38.2 million, or $1.11 per fully-diluted common share, compared to net income of $28.3 million and net income available to common stockholders of $27.8 million, or $0.95 per fully-diluted common share, for the comparable period of 2015. Year-to-date net income available to common stockholders through September 30, 2016 increased 37.7% over the comparable period of 2015.</w:t>
      </w:r>
    </w:p>
    <w:p>
      <w:pPr>
        <w:spacing w:after="0" w:line="178"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Revenues from trust fees, commissions and brokers’ fees, and remittance processing activities represented 38.9% of the Company’s non-interest income for the quarter ended September 30, 2016, providing a balance to revenue from traditional banking activities. As Pulaski generated no legacy fee income from these businesses, the addition of these service offerings in its markets should provide attractive growth opportunities.</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Trust fees and commissions and brokers’ fees decreased seasonally to $5.3 million for the third quarter of 2016 compared to $5.7 million for the second quarter of 2016, but were stable compared to the third quarter of 2015. Trust fees and commission and brokers’ fees decreased to $17.2 million for the nine months ended September 30, 2016 compared to $17.8 million for the nine months ended September 30, 2015. Income before income taxes from the wealth management segment decreased to $0.5 million for the third quarter of 2016 compared to $2.2 million for the second quarter of 2016, and $1.5 million for the third quarter of 2015. Income before income taxes from the wealth management segment for the third quarter of 2016 was negatively impacted by restructuring costs of $1.3 million designed to increase efficiency and drive down future costs, as we continue to refine our operating model. Income before income taxes for the wealth management segment was $4.9 million for the nine months ended September 30, 2016 compared to $6.0 million for the nine months ended September 30, 2015.</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Remittance processing revenue remained stable at $2.8 million for the third quarter of 2016, compared to the second quarter of 2016, and decreased slightly from $2.9 million for the third quarter of 2015. Remittance processing revenue increased to $8.6 million for the nine months ended September 30, 2016 compared to $8.4 million for the nine months ended September 30, 2015. Income before income taxes from the remittance processing segment was $0.8 million for the third quarter of 2016, unchanged from the second quarter of 2016 and the third quarter of 2015. Income before income taxes was $2.3 million for the nine months ended September 30, 2016, which represented an increase of 4.9% from the nine months ended September 30,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ectPr>
          <w:pgSz w:w="11900" w:h="16838" w:orient="portrait"/>
          <w:cols w:equalWidth="0" w:num="1">
            <w:col w:w="11420"/>
          </w:cols>
          <w:pgMar w:left="240" w:top="125" w:right="239" w:bottom="32" w:gutter="0" w:footer="0" w:header="0"/>
        </w:sectPr>
      </w:pPr>
    </w:p>
    <w:bookmarkStart w:id="29" w:name="page30"/>
    <w:bookmarkEnd w:id="29"/>
    <w:p>
      <w:pPr>
        <w:spacing w:after="0" w:line="13"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While much internal focus has been directed toward growth, the Company’s commitment to credit quality remains strong. The September 30, 2016 and June 30, 2016 asset metrics reflect the post combination results of acquiring Pulaski. As of September 30, 2016, the Company reported a decrease in non-performing loans to $20.1 million compared to $22.8 million as of June 30, 2016 and $8.0 million as of September 30, 2015. The reduction in non-performing loans in the third quarter of 2016 was positively impacted by a loan sale to outside parties of $7.6 million.</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recorded net recoveries of $0.5 million for the third quarter of 2016 which were favorably impacted by the loan sale mentioned above, compared to net charge-offs of $0.9 million for the second quarter of 2016 and net charge-offs of $0.6 million for the third quarter of 2015. The allowance for loan losses as a percentage of gross portfolio loans increased to 1.26% at September 30, 2016 compared to 1.20% at June 30, 2016, but decreased from 1.84% at September 30, 2015. The Company recorded a provision for loan losses of $2.0 million in the third quarter of 2016, compared to $1.1 million in the second quarter of 2016 and $0.1 million in the third quarter of 2015. For the first nine months of 2016, the provision for loan losses was $4.1 million, compared to $0.6 million for the same period of 2015. The increase in provision for loan losses from 2015 was primarily driven by the Pulaski acquisition and resulting acquisition accounting, which does not permit the carryover of the allowance for loan losses on acquired loans. Instead, these loans are carried net of a fair value adjustment made at the merger date for credit risk and interest rates and are included in the allowance calculation only to the extent that the reserve requirement exceeds such credit-related fair value adjustment. However, as the acquired loans renew and as Pulaski Bank originates new loan production, it is generally necessary to establish an allowance for losses, which represents an amount that, in management’s opinion, will be adequate to absorb probable credit losses.</w:t>
      </w:r>
    </w:p>
    <w:p>
      <w:pPr>
        <w:spacing w:after="0" w:line="18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With a continued commitment to asset quality and the strength of our balance sheet, near-term loan losses are expected to remain generally low. While these results are encouraging, asset quality metrics can be generally influenced by market-specific economic conditions, and specific measures may fluctuate from quarter to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key metrics are as follows </w:t>
      </w:r>
      <w:r>
        <w:rPr>
          <w:rFonts w:ascii="Arial" w:cs="Arial" w:eastAsia="Arial" w:hAnsi="Arial"/>
          <w:sz w:val="18"/>
          <w:szCs w:val="18"/>
          <w:i w:val="1"/>
          <w:iCs w:val="1"/>
          <w:color w:val="auto"/>
        </w:rPr>
        <w:t>(dollars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4"/>
                <w:szCs w:val="14"/>
                <w:b w:val="1"/>
                <w:bCs w:val="1"/>
                <w:color w:val="auto"/>
                <w:w w:val="97"/>
              </w:rPr>
              <w:t>As of and for the Three Months Ended</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19"/>
        </w:trPr>
        <w:tc>
          <w:tcPr>
            <w:tcW w:w="4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jc w:val="right"/>
              <w:ind w:right="393"/>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0"/>
                <w:szCs w:val="10"/>
                <w:color w:val="auto"/>
              </w:rPr>
            </w:pPr>
          </w:p>
        </w:tc>
        <w:tc>
          <w:tcPr>
            <w:tcW w:w="1380" w:type="dxa"/>
            <w:vAlign w:val="bottom"/>
          </w:tcPr>
          <w:p>
            <w:pPr>
              <w:jc w:val="right"/>
              <w:ind w:right="555"/>
              <w:spacing w:after="0" w:line="119" w:lineRule="exact"/>
              <w:rPr>
                <w:sz w:val="20"/>
                <w:szCs w:val="20"/>
                <w:color w:val="auto"/>
              </w:rPr>
            </w:pPr>
            <w:r>
              <w:rPr>
                <w:rFonts w:ascii="Arial" w:cs="Arial" w:eastAsia="Arial" w:hAnsi="Arial"/>
                <w:sz w:val="13"/>
                <w:szCs w:val="13"/>
                <w:b w:val="1"/>
                <w:bCs w:val="1"/>
                <w:color w:val="auto"/>
              </w:rPr>
              <w:t>June 30,</w:t>
            </w:r>
          </w:p>
        </w:tc>
        <w:tc>
          <w:tcPr>
            <w:tcW w:w="280" w:type="dxa"/>
            <w:vAlign w:val="bottom"/>
          </w:tcPr>
          <w:p>
            <w:pPr>
              <w:spacing w:after="0"/>
              <w:rPr>
                <w:sz w:val="10"/>
                <w:szCs w:val="10"/>
                <w:color w:val="auto"/>
              </w:rPr>
            </w:pPr>
          </w:p>
        </w:tc>
        <w:tc>
          <w:tcPr>
            <w:tcW w:w="1340" w:type="dxa"/>
            <w:vAlign w:val="bottom"/>
          </w:tcPr>
          <w:p>
            <w:pPr>
              <w:jc w:val="right"/>
              <w:ind w:right="493"/>
              <w:spacing w:after="0" w:line="119" w:lineRule="exact"/>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10"/>
                <w:szCs w:val="10"/>
                <w:color w:val="auto"/>
              </w:rPr>
            </w:pPr>
          </w:p>
        </w:tc>
        <w:tc>
          <w:tcPr>
            <w:tcW w:w="118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r>
      <w:tr>
        <w:trPr>
          <w:trHeight w:val="171"/>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0" w:type="dxa"/>
            <w:vAlign w:val="bottom"/>
            <w:gridSpan w:val="3"/>
          </w:tcPr>
          <w:p>
            <w:pPr>
              <w:jc w:val="right"/>
              <w:ind w:right="933"/>
              <w:spacing w:after="0" w:line="142"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gross loans(1)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4,073,995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4,059,091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2,585,512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2,637,090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Commercial loans(2)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53"/>
              <w:spacing w:after="0"/>
              <w:rPr>
                <w:sz w:val="20"/>
                <w:szCs w:val="20"/>
                <w:color w:val="auto"/>
              </w:rPr>
            </w:pPr>
            <w:r>
              <w:rPr>
                <w:rFonts w:ascii="Arial" w:cs="Arial" w:eastAsia="Arial" w:hAnsi="Arial"/>
                <w:sz w:val="18"/>
                <w:szCs w:val="18"/>
                <w:b w:val="1"/>
                <w:bCs w:val="1"/>
                <w:color w:val="auto"/>
              </w:rPr>
              <w:t>2,715,580</w:t>
            </w:r>
          </w:p>
        </w:tc>
        <w:tc>
          <w:tcPr>
            <w:tcW w:w="240" w:type="dxa"/>
            <w:vAlign w:val="bottom"/>
          </w:tcPr>
          <w:p>
            <w:pPr>
              <w:spacing w:after="0"/>
              <w:rPr>
                <w:sz w:val="18"/>
                <w:szCs w:val="18"/>
                <w:color w:val="auto"/>
              </w:rPr>
            </w:pPr>
          </w:p>
        </w:tc>
        <w:tc>
          <w:tcPr>
            <w:tcW w:w="1380" w:type="dxa"/>
            <w:vAlign w:val="bottom"/>
          </w:tcPr>
          <w:p>
            <w:pPr>
              <w:jc w:val="right"/>
              <w:ind w:right="135"/>
              <w:spacing w:after="0"/>
              <w:rPr>
                <w:sz w:val="20"/>
                <w:szCs w:val="20"/>
                <w:color w:val="auto"/>
              </w:rPr>
            </w:pPr>
            <w:r>
              <w:rPr>
                <w:rFonts w:ascii="Arial" w:cs="Arial" w:eastAsia="Arial" w:hAnsi="Arial"/>
                <w:sz w:val="18"/>
                <w:szCs w:val="18"/>
                <w:color w:val="auto"/>
              </w:rPr>
              <w:t>2,685,933</w:t>
            </w:r>
          </w:p>
        </w:tc>
        <w:tc>
          <w:tcPr>
            <w:tcW w:w="280" w:type="dxa"/>
            <w:vAlign w:val="bottom"/>
          </w:tcPr>
          <w:p>
            <w:pPr>
              <w:spacing w:after="0"/>
              <w:rPr>
                <w:sz w:val="18"/>
                <w:szCs w:val="18"/>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1,920,953</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1,961,573</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47,847</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45,358</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45,171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47,487</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Non-performing loans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Non-accrual loans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16,253</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22,443</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17,368</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12,748</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Loans 90+ days past due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53"/>
              <w:spacing w:after="0"/>
              <w:rPr>
                <w:sz w:val="20"/>
                <w:szCs w:val="20"/>
                <w:color w:val="auto"/>
              </w:rPr>
            </w:pPr>
            <w:r>
              <w:rPr>
                <w:rFonts w:ascii="Arial" w:cs="Arial" w:eastAsia="Arial" w:hAnsi="Arial"/>
                <w:sz w:val="18"/>
                <w:szCs w:val="18"/>
                <w:b w:val="1"/>
                <w:bCs w:val="1"/>
                <w:color w:val="auto"/>
              </w:rPr>
              <w:t>3,830</w:t>
            </w:r>
          </w:p>
        </w:tc>
        <w:tc>
          <w:tcPr>
            <w:tcW w:w="240" w:type="dxa"/>
            <w:vAlign w:val="bottom"/>
          </w:tcPr>
          <w:p>
            <w:pPr>
              <w:spacing w:after="0"/>
              <w:rPr>
                <w:sz w:val="18"/>
                <w:szCs w:val="18"/>
                <w:color w:val="auto"/>
              </w:rPr>
            </w:pPr>
          </w:p>
        </w:tc>
        <w:tc>
          <w:tcPr>
            <w:tcW w:w="1380" w:type="dxa"/>
            <w:vAlign w:val="bottom"/>
          </w:tcPr>
          <w:p>
            <w:pPr>
              <w:jc w:val="right"/>
              <w:ind w:right="135"/>
              <w:spacing w:after="0"/>
              <w:rPr>
                <w:sz w:val="20"/>
                <w:szCs w:val="20"/>
                <w:color w:val="auto"/>
              </w:rPr>
            </w:pPr>
            <w:r>
              <w:rPr>
                <w:rFonts w:ascii="Arial" w:cs="Arial" w:eastAsia="Arial" w:hAnsi="Arial"/>
                <w:sz w:val="18"/>
                <w:szCs w:val="18"/>
                <w:color w:val="auto"/>
              </w:rPr>
              <w:t>334</w:t>
            </w:r>
          </w:p>
        </w:tc>
        <w:tc>
          <w:tcPr>
            <w:tcW w:w="280" w:type="dxa"/>
            <w:vAlign w:val="bottom"/>
          </w:tcPr>
          <w:p>
            <w:pPr>
              <w:spacing w:after="0"/>
              <w:rPr>
                <w:sz w:val="18"/>
                <w:szCs w:val="18"/>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452</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Loans 30-89 days past due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7,709</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9,754</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2,436</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3,282</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Other non-performing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53"/>
              <w:spacing w:after="0"/>
              <w:rPr>
                <w:sz w:val="20"/>
                <w:szCs w:val="20"/>
                <w:color w:val="auto"/>
              </w:rPr>
            </w:pPr>
            <w:r>
              <w:rPr>
                <w:rFonts w:ascii="Arial" w:cs="Arial" w:eastAsia="Arial" w:hAnsi="Arial"/>
                <w:sz w:val="18"/>
                <w:szCs w:val="18"/>
                <w:b w:val="1"/>
                <w:bCs w:val="1"/>
                <w:color w:val="auto"/>
              </w:rPr>
              <w:t>2,324</w:t>
            </w:r>
          </w:p>
        </w:tc>
        <w:tc>
          <w:tcPr>
            <w:tcW w:w="240" w:type="dxa"/>
            <w:vAlign w:val="bottom"/>
          </w:tcPr>
          <w:p>
            <w:pPr>
              <w:spacing w:after="0"/>
              <w:rPr>
                <w:sz w:val="18"/>
                <w:szCs w:val="18"/>
                <w:color w:val="auto"/>
              </w:rPr>
            </w:pPr>
          </w:p>
        </w:tc>
        <w:tc>
          <w:tcPr>
            <w:tcW w:w="1380" w:type="dxa"/>
            <w:vAlign w:val="bottom"/>
          </w:tcPr>
          <w:p>
            <w:pPr>
              <w:jc w:val="right"/>
              <w:ind w:right="135"/>
              <w:spacing w:after="0"/>
              <w:rPr>
                <w:sz w:val="20"/>
                <w:szCs w:val="20"/>
                <w:color w:val="auto"/>
              </w:rPr>
            </w:pPr>
            <w:r>
              <w:rPr>
                <w:rFonts w:ascii="Arial" w:cs="Arial" w:eastAsia="Arial" w:hAnsi="Arial"/>
                <w:sz w:val="18"/>
                <w:szCs w:val="18"/>
                <w:color w:val="auto"/>
              </w:rPr>
              <w:t>3,267</w:t>
            </w:r>
          </w:p>
        </w:tc>
        <w:tc>
          <w:tcPr>
            <w:tcW w:w="280" w:type="dxa"/>
            <w:vAlign w:val="bottom"/>
          </w:tcPr>
          <w:p>
            <w:pPr>
              <w:spacing w:after="0"/>
              <w:rPr>
                <w:sz w:val="18"/>
                <w:szCs w:val="18"/>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463</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783</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3"/>
              </w:rPr>
              <w:t>Non-performing assets to total loans and non-performing 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Allowance as a percentage of non-performing loans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238.2%</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199.1%</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253.5%</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372.1%</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total gross loans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34"/>
        </w:trPr>
        <w:tc>
          <w:tcPr>
            <w:tcW w:w="4780" w:type="dxa"/>
            <w:vAlign w:val="bottom"/>
          </w:tcPr>
          <w:p>
            <w:pPr>
              <w:spacing w:after="0"/>
              <w:rPr>
                <w:sz w:val="20"/>
                <w:szCs w:val="20"/>
                <w:color w:val="auto"/>
              </w:rPr>
            </w:pPr>
            <w:r>
              <w:rPr>
                <w:rFonts w:ascii="Arial" w:cs="Arial" w:eastAsia="Arial" w:hAnsi="Arial"/>
                <w:sz w:val="18"/>
                <w:szCs w:val="18"/>
                <w:color w:val="auto"/>
              </w:rPr>
              <w:t>Allowance for loan losses to gross portfolio loans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(1)Includes loans held for sale.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(2)Includes loans categorized as commercial, commercial real estate and real estate construction.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of Markets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has 28 banking centers serving Illinois. Our primary downstate Illinois markets of Champaign, Macon, McLean and Peoria counties are anchored by several strong, familiar and stable organizations. Champaign County is home to the University of Illinois — Urbana/Champaign (“U of I”), the University’s primary campus. U of I has in excess of 44,000 students. Additionally, Champaign County healthcare providers serve a significant area of downstate Illinois and western Indiana. Macon County is home to the North American headquarters for Archer Daniels Midland (“ADM”), a Fortune 100 company and one of the largest agricultural processors in the world. ADM’s presence in Macon County supports many derivative businesses in the agricultural processing arena. Additionally, Macon County is home to Millikin University, and its healthcare providers serve a significant role in the market. McLean County is home to State Farm, Country Financial, Illinois State University and Illinois Wesleyan University. State Farm, a Fortune 100 company, is the largest employer in McLean County, and Country Financial and the universities provide additional stability to a growing area of downstate Illinois. Peoria County is home to Caterpillar Inc., a Fortune 100 company, and Bradley University, in addition to a large healthcare presence serving much of the western portion of downstate Illinois. Caterpillar Inc. announced significant restructuring and cost cutting initiatives that began in the third quarter of 2015 and, while no substantial direct exposure exists, we will continue to monitor the potential impact to the surrounding community and our customers. The institutions noted above, coupled with a large agricultural sector, anchor the communities in which they are located, and have provided a comparatively stable foundation for housing, employment and small business.</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State of Illinois, where a large portion of the Company’s customer base is located, continues to be one of the most troubled of any state in the United States with pension under-funding, continued budget deficits and a declining credit outlook. A continued budget impasse led to Illinois lawmakers approving a stopgap state budget that funds education for a year and other areas for six months on June 30, 2016. Additionally, the Company is located in markets with significant universities and healthcare companies, which rely heavily on state funding and contracts. Payment lapses by the State of Illinois to its vendors and government sponsored entities may have negative effects on our primary market areas.</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recent acquisition of Pulaski expands our presence into the St. Louis, Missouri metropolitan area, which is the largest metropolitan area in Missouri and the twentieth largest in the United States. The bi-state metropolitan area includes seven counties in Missouri and eight counties in Illinois. The area is home to 19 Fortune 1000 companies, including Express Scripts, Emerson Electric, Centene and Monsanto. St. Louis has a diverse economy with its major employment sectors including health care, financial services, professional and business services, and retail. Pulaski Bank has 13 full-service branch offices in the St. Louis metropolitan area, all of which are located in the city of St. Louis, or the adjacent counties of St. Louis County and St. Charles County. St. Charles County has been one of the fastest-growing counties in the country for decades. The county features a cross-section of industry, as well as extensive retail and some agriculture. Pulaski’s geographic concentration in only three of the 15 counties included in the St. Louis metropolitan area gives the</w:t>
      </w:r>
    </w:p>
    <w:p>
      <w:pPr>
        <w:sectPr>
          <w:pgSz w:w="11900" w:h="16851" w:orient="portrait"/>
          <w:cols w:equalWidth="0" w:num="1">
            <w:col w:w="11420"/>
          </w:cols>
          <w:pgMar w:left="240" w:top="125" w:right="239" w:bottom="0" w:gutter="0" w:footer="0" w:header="0"/>
        </w:sectPr>
      </w:pPr>
    </w:p>
    <w:bookmarkStart w:id="30" w:name="page31"/>
    <w:bookmarkEnd w:id="30"/>
    <w:p>
      <w:pPr>
        <w:ind w:right="80"/>
        <w:spacing w:after="0" w:line="308" w:lineRule="auto"/>
        <w:rPr>
          <w:sz w:val="20"/>
          <w:szCs w:val="20"/>
          <w:color w:val="auto"/>
        </w:rPr>
      </w:pPr>
      <w:r>
        <w:rPr>
          <w:rFonts w:ascii="Arial" w:cs="Arial" w:eastAsia="Arial" w:hAnsi="Arial"/>
          <w:sz w:val="17"/>
          <w:szCs w:val="17"/>
          <w:color w:val="auto"/>
        </w:rPr>
        <w:t>Company tremendous expansion opportunities into the other neighboring counties. Pulaski Bank also offers mortgage loan products through loan production offices in the St. Louis, Kansas City, Chicago, and Omaha-Council Bluffs metropolitan areas and other locations across the Midwest.</w:t>
      </w:r>
    </w:p>
    <w:p>
      <w:pPr>
        <w:spacing w:after="0" w:line="14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Company has one banking center in the Indianapolis, Indiana area, which is the most populous city of Indiana with a diverse economy. Many large corporations are headquartered in Indianapolis and it is the host to numerous conventions and sporting events annually.</w:t>
      </w:r>
    </w:p>
    <w:p>
      <w:pPr>
        <w:spacing w:after="0" w:line="14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had six banking centers in southwest Florida on September 30, 2016. On October 28, 2016, one branch in the Florida market closed and was consolidated into the remaining branch network, which supports more efficient deployment of the Company’s resources. Southwest Florida has shown continuing signs of improvement in areas such as job growth and the housing market over the last few years.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Certain assets with tax favorable treatment are evaluated on a tax-equivalent basis. Tax-equivalent basis assumes a federal income tax rate of 35%.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7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following tables show our Consolidated Average Balance Sheets, detailing the major categories of assets and liabilities, the interest income earned on interest-earning assets, the interest expense paid for the interest-bearing liabilities, and the related interest rates for the periods shown. The tables also show, for the periods indicated, a summary of the changes in interest earned and interest expense resulting from changes in volume and rates for the major components of interest-earning assets and interest-bearing liabilities. All average information is provided on a daily average basis.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SHEETS AND INTEREST RATES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2016 AND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tcPr>
          <w:p>
            <w:pPr>
              <w:jc w:val="right"/>
              <w:spacing w:after="0"/>
              <w:rPr>
                <w:sz w:val="20"/>
                <w:szCs w:val="20"/>
                <w:color w:val="auto"/>
              </w:rPr>
            </w:pPr>
            <w:r>
              <w:rPr>
                <w:rFonts w:ascii="Arial" w:cs="Arial" w:eastAsia="Arial" w:hAnsi="Arial"/>
                <w:sz w:val="13"/>
                <w:szCs w:val="13"/>
                <w:b w:val="1"/>
                <w:bCs w:val="1"/>
                <w:color w:val="auto"/>
                <w:w w:val="86"/>
              </w:rPr>
              <w:t>Change in income/</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w w:val="96"/>
              </w:rPr>
              <w:t>2016</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2015</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b w:val="1"/>
                <w:bCs w:val="1"/>
                <w:color w:val="auto"/>
                <w:w w:val="86"/>
              </w:rPr>
              <w:t>expense due to(1)</w:t>
            </w: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360"/>
              <w:spacing w:after="0" w:line="110" w:lineRule="exact"/>
              <w:rPr>
                <w:sz w:val="20"/>
                <w:szCs w:val="20"/>
                <w:color w:val="auto"/>
              </w:rPr>
            </w:pPr>
            <w:r>
              <w:rPr>
                <w:rFonts w:ascii="Arial" w:cs="Arial" w:eastAsia="Arial" w:hAnsi="Arial"/>
                <w:sz w:val="12"/>
                <w:szCs w:val="12"/>
                <w:b w:val="1"/>
                <w:bCs w:val="1"/>
                <w:color w:val="auto"/>
              </w:rPr>
              <w:t>Average</w:t>
            </w:r>
          </w:p>
        </w:tc>
        <w:tc>
          <w:tcPr>
            <w:tcW w:w="120" w:type="dxa"/>
            <w:vAlign w:val="bottom"/>
          </w:tcPr>
          <w:p>
            <w:pPr>
              <w:spacing w:after="0"/>
              <w:rPr>
                <w:sz w:val="9"/>
                <w:szCs w:val="9"/>
                <w:color w:val="auto"/>
              </w:rPr>
            </w:pPr>
          </w:p>
        </w:tc>
        <w:tc>
          <w:tcPr>
            <w:tcW w:w="880" w:type="dxa"/>
            <w:vAlign w:val="bottom"/>
            <w:gridSpan w:val="2"/>
          </w:tcPr>
          <w:p>
            <w:pPr>
              <w:ind w:left="80"/>
              <w:spacing w:after="0" w:line="110" w:lineRule="exact"/>
              <w:rPr>
                <w:sz w:val="20"/>
                <w:szCs w:val="20"/>
                <w:color w:val="auto"/>
              </w:rPr>
            </w:pPr>
            <w:r>
              <w:rPr>
                <w:rFonts w:ascii="Arial" w:cs="Arial" w:eastAsia="Arial" w:hAnsi="Arial"/>
                <w:sz w:val="12"/>
                <w:szCs w:val="12"/>
                <w:b w:val="1"/>
                <w:bCs w:val="1"/>
                <w:color w:val="auto"/>
              </w:rPr>
              <w:t>Income/</w:t>
            </w:r>
          </w:p>
        </w:tc>
        <w:tc>
          <w:tcPr>
            <w:tcW w:w="640" w:type="dxa"/>
            <w:vAlign w:val="bottom"/>
          </w:tcPr>
          <w:p>
            <w:pPr>
              <w:jc w:val="right"/>
              <w:ind w:right="138"/>
              <w:spacing w:after="0" w:line="110" w:lineRule="exact"/>
              <w:rPr>
                <w:sz w:val="20"/>
                <w:szCs w:val="20"/>
                <w:color w:val="auto"/>
              </w:rPr>
            </w:pPr>
            <w:r>
              <w:rPr>
                <w:rFonts w:ascii="Arial" w:cs="Arial" w:eastAsia="Arial" w:hAnsi="Arial"/>
                <w:sz w:val="12"/>
                <w:szCs w:val="12"/>
                <w:b w:val="1"/>
                <w:bCs w:val="1"/>
                <w:color w:val="auto"/>
              </w:rPr>
              <w:t>Yield/</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right"/>
              <w:ind w:right="360"/>
              <w:spacing w:after="0" w:line="110" w:lineRule="exact"/>
              <w:rPr>
                <w:sz w:val="20"/>
                <w:szCs w:val="20"/>
                <w:color w:val="auto"/>
              </w:rPr>
            </w:pPr>
            <w:r>
              <w:rPr>
                <w:rFonts w:ascii="Arial" w:cs="Arial" w:eastAsia="Arial" w:hAnsi="Arial"/>
                <w:sz w:val="12"/>
                <w:szCs w:val="12"/>
                <w:b w:val="1"/>
                <w:bCs w:val="1"/>
                <w:color w:val="auto"/>
              </w:rPr>
              <w:t>Average</w:t>
            </w:r>
          </w:p>
        </w:tc>
        <w:tc>
          <w:tcPr>
            <w:tcW w:w="120" w:type="dxa"/>
            <w:vAlign w:val="bottom"/>
          </w:tcPr>
          <w:p>
            <w:pPr>
              <w:spacing w:after="0"/>
              <w:rPr>
                <w:sz w:val="9"/>
                <w:szCs w:val="9"/>
                <w:color w:val="auto"/>
              </w:rPr>
            </w:pPr>
          </w:p>
        </w:tc>
        <w:tc>
          <w:tcPr>
            <w:tcW w:w="860" w:type="dxa"/>
            <w:vAlign w:val="bottom"/>
            <w:gridSpan w:val="2"/>
          </w:tcPr>
          <w:p>
            <w:pPr>
              <w:jc w:val="right"/>
              <w:ind w:right="360"/>
              <w:spacing w:after="0" w:line="110" w:lineRule="exact"/>
              <w:rPr>
                <w:sz w:val="20"/>
                <w:szCs w:val="20"/>
                <w:color w:val="auto"/>
              </w:rPr>
            </w:pPr>
            <w:r>
              <w:rPr>
                <w:rFonts w:ascii="Arial" w:cs="Arial" w:eastAsia="Arial" w:hAnsi="Arial"/>
                <w:sz w:val="12"/>
                <w:szCs w:val="12"/>
                <w:b w:val="1"/>
                <w:bCs w:val="1"/>
                <w:color w:val="auto"/>
              </w:rPr>
              <w:t>Income/</w:t>
            </w:r>
          </w:p>
        </w:tc>
        <w:tc>
          <w:tcPr>
            <w:tcW w:w="800" w:type="dxa"/>
            <w:vAlign w:val="bottom"/>
          </w:tcPr>
          <w:p>
            <w:pPr>
              <w:jc w:val="right"/>
              <w:ind w:right="198"/>
              <w:spacing w:after="0" w:line="110" w:lineRule="exact"/>
              <w:rPr>
                <w:sz w:val="20"/>
                <w:szCs w:val="20"/>
                <w:color w:val="auto"/>
              </w:rPr>
            </w:pPr>
            <w:r>
              <w:rPr>
                <w:rFonts w:ascii="Arial" w:cs="Arial" w:eastAsia="Arial" w:hAnsi="Arial"/>
                <w:sz w:val="12"/>
                <w:szCs w:val="12"/>
                <w:b w:val="1"/>
                <w:bCs w:val="1"/>
                <w:color w:val="auto"/>
              </w:rPr>
              <w:t>Yield/</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right"/>
              <w:ind w:right="200"/>
              <w:spacing w:after="0" w:line="110" w:lineRule="exact"/>
              <w:rPr>
                <w:sz w:val="20"/>
                <w:szCs w:val="20"/>
                <w:color w:val="auto"/>
              </w:rPr>
            </w:pPr>
            <w:r>
              <w:rPr>
                <w:rFonts w:ascii="Arial" w:cs="Arial" w:eastAsia="Arial" w:hAnsi="Arial"/>
                <w:sz w:val="12"/>
                <w:szCs w:val="12"/>
                <w:b w:val="1"/>
                <w:bCs w:val="1"/>
                <w:color w:val="auto"/>
                <w:w w:val="97"/>
              </w:rPr>
              <w:t>Average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right"/>
              <w:ind w:right="320"/>
              <w:spacing w:after="0" w:line="110" w:lineRule="exact"/>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9"/>
                <w:szCs w:val="9"/>
                <w:color w:val="auto"/>
              </w:rPr>
            </w:pPr>
          </w:p>
        </w:tc>
        <w:tc>
          <w:tcPr>
            <w:tcW w:w="660" w:type="dxa"/>
            <w:vAlign w:val="bottom"/>
          </w:tcPr>
          <w:p>
            <w:pPr>
              <w:jc w:val="right"/>
              <w:ind w:right="197"/>
              <w:spacing w:after="0" w:line="110" w:lineRule="exact"/>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6"/>
              </w:rPr>
              <w:t>Balance</w:t>
            </w:r>
          </w:p>
        </w:tc>
        <w:tc>
          <w:tcPr>
            <w:tcW w:w="12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Expense</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Rate(3)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2"/>
              </w:rPr>
              <w:t>Balance</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9"/>
              </w:rPr>
              <w:t>Expense</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Rate(3)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3"/>
              </w:rPr>
              <w:t>Volume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2"/>
              </w:rPr>
              <w:t>Yield/Rate</w:t>
            </w:r>
          </w:p>
        </w:tc>
        <w:tc>
          <w:tcPr>
            <w:tcW w:w="14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5"/>
          </w:tcPr>
          <w:p>
            <w:pPr>
              <w:jc w:val="right"/>
              <w:ind w:right="60"/>
              <w:spacing w:after="0" w:line="129" w:lineRule="exact"/>
              <w:rPr>
                <w:sz w:val="20"/>
                <w:szCs w:val="20"/>
                <w:color w:val="auto"/>
              </w:rPr>
            </w:pPr>
            <w:r>
              <w:rPr>
                <w:rFonts w:ascii="Arial" w:cs="Arial" w:eastAsia="Arial" w:hAnsi="Arial"/>
                <w:sz w:val="13"/>
                <w:szCs w:val="13"/>
                <w:b w:val="1"/>
                <w:bCs w:val="1"/>
                <w:color w:val="auto"/>
              </w:rPr>
              <w:t>(dollars in thousands)</w:t>
            </w:r>
          </w:p>
        </w:tc>
        <w:tc>
          <w:tcPr>
            <w:tcW w:w="8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Assets</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80"/>
              <w:spacing w:after="0" w:line="135" w:lineRule="exact"/>
              <w:rPr>
                <w:sz w:val="20"/>
                <w:szCs w:val="20"/>
                <w:color w:val="auto"/>
              </w:rPr>
            </w:pPr>
            <w:r>
              <w:rPr>
                <w:rFonts w:ascii="Arial" w:cs="Arial" w:eastAsia="Arial" w:hAnsi="Arial"/>
                <w:sz w:val="13"/>
                <w:szCs w:val="13"/>
                <w:color w:val="auto"/>
              </w:rPr>
              <w:t>Interest-bearing bank deposits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203,515</w:t>
            </w:r>
          </w:p>
        </w:tc>
        <w:tc>
          <w:tcPr>
            <w:tcW w:w="16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216</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0.42%</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193,003</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122</w:t>
            </w: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0.25%</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87</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Federal funds sold</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2,346</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0.17%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80"/>
              <w:spacing w:after="0" w:line="135" w:lineRule="exact"/>
              <w:rPr>
                <w:sz w:val="20"/>
                <w:szCs w:val="20"/>
                <w:color w:val="auto"/>
              </w:rPr>
            </w:pPr>
            <w:r>
              <w:rPr>
                <w:rFonts w:ascii="Arial" w:cs="Arial" w:eastAsia="Arial" w:hAnsi="Arial"/>
                <w:sz w:val="13"/>
                <w:szCs w:val="13"/>
                <w:color w:val="auto"/>
              </w:rPr>
              <w:t>Investment 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U.S. Government obligations</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192,882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564</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217,046</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632</w:t>
            </w: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360"/>
              <w:spacing w:after="0" w:line="135" w:lineRule="exact"/>
              <w:rPr>
                <w:sz w:val="20"/>
                <w:szCs w:val="20"/>
                <w:color w:val="auto"/>
              </w:rPr>
            </w:pPr>
            <w:r>
              <w:rPr>
                <w:rFonts w:ascii="Arial" w:cs="Arial" w:eastAsia="Arial" w:hAnsi="Arial"/>
                <w:sz w:val="13"/>
                <w:szCs w:val="13"/>
                <w:color w:val="auto"/>
              </w:rPr>
              <w:t>Obligations of states and political</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ind w:left="540"/>
              <w:spacing w:after="0" w:line="135" w:lineRule="exact"/>
              <w:rPr>
                <w:sz w:val="20"/>
                <w:szCs w:val="20"/>
                <w:color w:val="auto"/>
              </w:rPr>
            </w:pPr>
            <w:r>
              <w:rPr>
                <w:rFonts w:ascii="Arial" w:cs="Arial" w:eastAsia="Arial" w:hAnsi="Arial"/>
                <w:sz w:val="13"/>
                <w:szCs w:val="13"/>
                <w:color w:val="auto"/>
              </w:rPr>
              <w:t>subdivisions(1)</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212,799</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1,546</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237,095</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1,660</w:t>
            </w: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2.78%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(178)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64</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360"/>
              <w:spacing w:after="0" w:line="135" w:lineRule="exact"/>
              <w:rPr>
                <w:sz w:val="20"/>
                <w:szCs w:val="20"/>
                <w:color w:val="auto"/>
              </w:rPr>
            </w:pPr>
            <w:r>
              <w:rPr>
                <w:rFonts w:ascii="Arial" w:cs="Arial" w:eastAsia="Arial" w:hAnsi="Arial"/>
                <w:sz w:val="13"/>
                <w:szCs w:val="13"/>
                <w:color w:val="auto"/>
              </w:rPr>
              <w:t>Other securities</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427,882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2,283</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492,319</w:t>
            </w:r>
          </w:p>
        </w:tc>
        <w:tc>
          <w:tcPr>
            <w:tcW w:w="12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2,669</w:t>
            </w: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(351)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(35)</w:t>
            </w:r>
          </w:p>
        </w:tc>
        <w:tc>
          <w:tcPr>
            <w:tcW w:w="14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Loans held for sale(1)</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257,893</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2,393</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3.69%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16,817</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198</w:t>
            </w: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4.67%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2,245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80"/>
              <w:spacing w:after="0" w:line="135" w:lineRule="exact"/>
              <w:rPr>
                <w:sz w:val="20"/>
                <w:szCs w:val="20"/>
                <w:color w:val="auto"/>
              </w:rPr>
            </w:pPr>
            <w:r>
              <w:rPr>
                <w:rFonts w:ascii="Arial" w:cs="Arial" w:eastAsia="Arial" w:hAnsi="Arial"/>
                <w:sz w:val="13"/>
                <w:szCs w:val="13"/>
                <w:color w:val="auto"/>
              </w:rPr>
              <w:t>Portfolio loans(1) (2)</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3,797,567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41,031</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4.30%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2,528,099</w:t>
            </w:r>
          </w:p>
        </w:tc>
        <w:tc>
          <w:tcPr>
            <w:tcW w:w="12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25,005</w:t>
            </w: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3.92%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13,468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2,558</w:t>
            </w:r>
          </w:p>
        </w:tc>
        <w:tc>
          <w:tcPr>
            <w:tcW w:w="14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16,026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40" w:type="dxa"/>
            <w:vAlign w:val="bottom"/>
            <w:tcBorders>
              <w:top w:val="single" w:sz="8" w:color="CCEEFF"/>
              <w:bottom w:val="single" w:sz="8" w:color="CCEEFF"/>
            </w:tcBorders>
            <w:shd w:val="clear" w:color="auto" w:fill="CCEEFF"/>
          </w:tcPr>
          <w:p>
            <w:pPr>
              <w:ind w:left="180"/>
              <w:spacing w:after="0" w:line="129" w:lineRule="exact"/>
              <w:rPr>
                <w:sz w:val="20"/>
                <w:szCs w:val="20"/>
                <w:color w:val="auto"/>
              </w:rPr>
            </w:pPr>
            <w:r>
              <w:rPr>
                <w:rFonts w:ascii="Arial" w:cs="Arial" w:eastAsia="Arial" w:hAnsi="Arial"/>
                <w:sz w:val="13"/>
                <w:szCs w:val="13"/>
                <w:color w:val="auto"/>
              </w:rPr>
              <w:t>Total interest-earning assets(1)</w:t>
            </w:r>
          </w:p>
        </w:tc>
        <w:tc>
          <w:tcPr>
            <w:tcW w:w="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5,094,884</w:t>
            </w:r>
          </w:p>
        </w:tc>
        <w:tc>
          <w:tcPr>
            <w:tcW w:w="160" w:type="dxa"/>
            <w:vAlign w:val="bottom"/>
            <w:tcBorders>
              <w:top w:val="single" w:sz="8" w:color="CCEEFF"/>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48,034</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3.75%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3,684,379</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30,286</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CCEEFF"/>
              <w:bottom w:val="single" w:sz="8" w:color="CCEEFF"/>
            </w:tcBorders>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3.26%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15,120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2,628</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17,748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Cash and due from banks</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75,242</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91,619</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80"/>
              <w:spacing w:after="0" w:line="135" w:lineRule="exact"/>
              <w:rPr>
                <w:sz w:val="20"/>
                <w:szCs w:val="20"/>
                <w:color w:val="auto"/>
              </w:rPr>
            </w:pPr>
            <w:r>
              <w:rPr>
                <w:rFonts w:ascii="Arial" w:cs="Arial" w:eastAsia="Arial" w:hAnsi="Arial"/>
                <w:sz w:val="13"/>
                <w:szCs w:val="13"/>
                <w:color w:val="auto"/>
              </w:rPr>
              <w:t>Premises and equipment</w:t>
            </w: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80,956</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64,637</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Allowance for loan losses</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(45,761)</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(47,750)</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80"/>
              <w:spacing w:after="0" w:line="135" w:lineRule="exact"/>
              <w:rPr>
                <w:sz w:val="20"/>
                <w:szCs w:val="20"/>
                <w:color w:val="auto"/>
              </w:rPr>
            </w:pPr>
            <w:r>
              <w:rPr>
                <w:rFonts w:ascii="Arial" w:cs="Arial" w:eastAsia="Arial" w:hAnsi="Arial"/>
                <w:sz w:val="13"/>
                <w:szCs w:val="13"/>
                <w:color w:val="auto"/>
              </w:rPr>
              <w:t>Other assets</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293,897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141,513</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7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740" w:type="dxa"/>
            <w:vAlign w:val="bottom"/>
          </w:tcPr>
          <w:p>
            <w:pPr>
              <w:spacing w:after="0" w:line="135" w:lineRule="exact"/>
              <w:rPr>
                <w:sz w:val="20"/>
                <w:szCs w:val="20"/>
                <w:color w:val="auto"/>
              </w:rPr>
            </w:pPr>
            <w:r>
              <w:rPr>
                <w:rFonts w:ascii="Arial" w:cs="Arial" w:eastAsia="Arial" w:hAnsi="Arial"/>
                <w:sz w:val="13"/>
                <w:szCs w:val="13"/>
                <w:color w:val="auto"/>
              </w:rPr>
              <w:t>Total Assets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5,499,218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3,934,398</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7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40" w:type="dxa"/>
            <w:vAlign w:val="bottom"/>
          </w:tcPr>
          <w:p>
            <w:pPr>
              <w:spacing w:after="0" w:line="135" w:lineRule="exact"/>
              <w:rPr>
                <w:sz w:val="20"/>
                <w:szCs w:val="20"/>
                <w:color w:val="auto"/>
              </w:rPr>
            </w:pPr>
            <w:r>
              <w:rPr>
                <w:rFonts w:ascii="Arial" w:cs="Arial" w:eastAsia="Arial" w:hAnsi="Arial"/>
                <w:sz w:val="13"/>
                <w:szCs w:val="13"/>
                <w:b w:val="1"/>
                <w:bCs w:val="1"/>
                <w:color w:val="auto"/>
              </w:rPr>
              <w:t>Liabilities and Stockholders’ Equity</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Interest-bearing transaction, savings and</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money market deposits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2,488,513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907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1,982,986</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564</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183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80"/>
              <w:spacing w:after="0" w:line="135" w:lineRule="exact"/>
              <w:rPr>
                <w:sz w:val="20"/>
                <w:szCs w:val="20"/>
                <w:color w:val="auto"/>
              </w:rPr>
            </w:pPr>
            <w:r>
              <w:rPr>
                <w:rFonts w:ascii="Arial" w:cs="Arial" w:eastAsia="Arial" w:hAnsi="Arial"/>
                <w:sz w:val="13"/>
                <w:szCs w:val="13"/>
                <w:color w:val="auto"/>
              </w:rPr>
              <w:t>Time deposits</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859,107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1,192</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0.55%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488,756</w:t>
            </w:r>
          </w:p>
        </w:tc>
        <w:tc>
          <w:tcPr>
            <w:tcW w:w="12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611</w:t>
            </w: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506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75</w:t>
            </w:r>
          </w:p>
        </w:tc>
        <w:tc>
          <w:tcPr>
            <w:tcW w:w="14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Short-term borrowings:</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360"/>
              <w:spacing w:after="0" w:line="135" w:lineRule="exact"/>
              <w:rPr>
                <w:sz w:val="20"/>
                <w:szCs w:val="20"/>
                <w:color w:val="auto"/>
              </w:rPr>
            </w:pPr>
            <w:r>
              <w:rPr>
                <w:rFonts w:ascii="Arial" w:cs="Arial" w:eastAsia="Arial" w:hAnsi="Arial"/>
                <w:sz w:val="13"/>
                <w:szCs w:val="13"/>
                <w:color w:val="auto"/>
              </w:rPr>
              <w:t>Repurchase agreements</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188,557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102</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174,352</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44</w:t>
            </w:r>
          </w:p>
        </w:tc>
        <w:tc>
          <w:tcPr>
            <w:tcW w:w="180" w:type="dxa"/>
            <w:vAlign w:val="bottom"/>
          </w:tcPr>
          <w:p>
            <w:pPr>
              <w:spacing w:after="0"/>
              <w:rPr>
                <w:sz w:val="11"/>
                <w:szCs w:val="11"/>
                <w:color w:val="auto"/>
              </w:rPr>
            </w:pP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54</w:t>
            </w:r>
          </w:p>
        </w:tc>
        <w:tc>
          <w:tcPr>
            <w:tcW w:w="14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147,032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263</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0.71%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131</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80"/>
              <w:spacing w:after="0" w:line="135" w:lineRule="exact"/>
              <w:rPr>
                <w:sz w:val="20"/>
                <w:szCs w:val="20"/>
                <w:color w:val="auto"/>
              </w:rPr>
            </w:pPr>
            <w:r>
              <w:rPr>
                <w:rFonts w:ascii="Arial" w:cs="Arial" w:eastAsia="Arial" w:hAnsi="Arial"/>
                <w:sz w:val="13"/>
                <w:szCs w:val="13"/>
                <w:color w:val="auto"/>
              </w:rPr>
              <w:t>Long-term debt</w:t>
            </w: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80,000</w:t>
            </w: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55</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0.27%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50,000</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80" w:type="dxa"/>
            <w:vAlign w:val="bottom"/>
          </w:tcPr>
          <w:p>
            <w:pPr>
              <w:spacing w:after="0"/>
              <w:rPr>
                <w:sz w:val="11"/>
                <w:szCs w:val="11"/>
                <w:color w:val="auto"/>
              </w:rPr>
            </w:pP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0.08%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36</w:t>
            </w:r>
          </w:p>
        </w:tc>
        <w:tc>
          <w:tcPr>
            <w:tcW w:w="14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Junior subordinated debt owed to</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unconsolidated trusts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70,802</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538</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55,000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306</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131</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40" w:type="dxa"/>
            <w:vAlign w:val="bottom"/>
            <w:tcBorders>
              <w:bottom w:val="single" w:sz="8" w:color="CCEEFF"/>
            </w:tcBorders>
          </w:tcPr>
          <w:p>
            <w:pPr>
              <w:ind w:left="180"/>
              <w:spacing w:after="0" w:line="129" w:lineRule="exact"/>
              <w:rPr>
                <w:sz w:val="20"/>
                <w:szCs w:val="20"/>
                <w:color w:val="auto"/>
              </w:rPr>
            </w:pPr>
            <w:r>
              <w:rPr>
                <w:rFonts w:ascii="Arial" w:cs="Arial" w:eastAsia="Arial" w:hAnsi="Arial"/>
                <w:sz w:val="13"/>
                <w:szCs w:val="13"/>
                <w:color w:val="auto"/>
              </w:rPr>
              <w:t>Total interest-bearing liabilities</w:t>
            </w:r>
          </w:p>
        </w:tc>
        <w:tc>
          <w:tcPr>
            <w:tcW w:w="12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3,834,011</w:t>
            </w:r>
          </w:p>
        </w:tc>
        <w:tc>
          <w:tcPr>
            <w:tcW w:w="1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3,057</w:t>
            </w:r>
          </w:p>
        </w:tc>
        <w:tc>
          <w:tcPr>
            <w:tcW w:w="18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gridSpan w:val="2"/>
          </w:tcPr>
          <w:p>
            <w:pPr>
              <w:jc w:val="right"/>
              <w:ind w:right="120"/>
              <w:spacing w:after="0" w:line="129" w:lineRule="exact"/>
              <w:rPr>
                <w:sz w:val="20"/>
                <w:szCs w:val="20"/>
                <w:color w:val="auto"/>
              </w:rPr>
            </w:pPr>
            <w:r>
              <w:rPr>
                <w:rFonts w:ascii="Arial" w:cs="Arial" w:eastAsia="Arial" w:hAnsi="Arial"/>
                <w:sz w:val="13"/>
                <w:szCs w:val="13"/>
                <w:color w:val="auto"/>
              </w:rPr>
              <w:t>0.32%</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2,751,094</w:t>
            </w: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1,535</w:t>
            </w:r>
          </w:p>
        </w:tc>
        <w:tc>
          <w:tcPr>
            <w:tcW w:w="1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gridSpan w:val="2"/>
          </w:tcPr>
          <w:p>
            <w:pPr>
              <w:jc w:val="right"/>
              <w:ind w:right="80"/>
              <w:spacing w:after="0" w:line="129" w:lineRule="exact"/>
              <w:rPr>
                <w:sz w:val="20"/>
                <w:szCs w:val="20"/>
                <w:color w:val="auto"/>
              </w:rPr>
            </w:pPr>
            <w:r>
              <w:rPr>
                <w:rFonts w:ascii="Arial" w:cs="Arial" w:eastAsia="Arial" w:hAnsi="Arial"/>
                <w:sz w:val="13"/>
                <w:szCs w:val="13"/>
                <w:color w:val="auto"/>
              </w:rPr>
              <w:t>0.22%</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912</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610</w:t>
            </w:r>
          </w:p>
        </w:tc>
        <w:tc>
          <w:tcPr>
            <w:tcW w:w="1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1,522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40" w:type="dxa"/>
            <w:vAlign w:val="bottom"/>
          </w:tcPr>
          <w:p>
            <w:pPr>
              <w:ind w:left="180"/>
              <w:spacing w:after="0" w:line="135" w:lineRule="exact"/>
              <w:rPr>
                <w:sz w:val="20"/>
                <w:szCs w:val="20"/>
                <w:color w:val="auto"/>
              </w:rPr>
            </w:pPr>
            <w:r>
              <w:rPr>
                <w:rFonts w:ascii="Arial" w:cs="Arial" w:eastAsia="Arial" w:hAnsi="Arial"/>
                <w:sz w:val="13"/>
                <w:szCs w:val="13"/>
                <w:color w:val="auto"/>
              </w:rPr>
              <w:t>Net interest spread(1)</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7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80"/>
              <w:spacing w:after="0" w:line="135" w:lineRule="exact"/>
              <w:rPr>
                <w:sz w:val="20"/>
                <w:szCs w:val="20"/>
                <w:color w:val="auto"/>
              </w:rPr>
            </w:pPr>
            <w:r>
              <w:rPr>
                <w:rFonts w:ascii="Arial" w:cs="Arial" w:eastAsia="Arial" w:hAnsi="Arial"/>
                <w:sz w:val="13"/>
                <w:szCs w:val="13"/>
                <w:color w:val="auto"/>
              </w:rPr>
              <w:t>Noninterest-bearing deposits</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1,023,963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711,703</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Other liabilities</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52,398</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28,536</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80"/>
              <w:spacing w:after="0" w:line="135" w:lineRule="exact"/>
              <w:rPr>
                <w:sz w:val="20"/>
                <w:szCs w:val="20"/>
                <w:color w:val="auto"/>
              </w:rPr>
            </w:pPr>
            <w:r>
              <w:rPr>
                <w:rFonts w:ascii="Arial" w:cs="Arial" w:eastAsia="Arial" w:hAnsi="Arial"/>
                <w:sz w:val="13"/>
                <w:szCs w:val="13"/>
                <w:color w:val="auto"/>
              </w:rPr>
              <w:t>Stockholders’ equity</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588,846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443,065</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7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740" w:type="dxa"/>
            <w:vAlign w:val="bottom"/>
          </w:tcPr>
          <w:p>
            <w:pPr>
              <w:spacing w:after="0" w:line="135" w:lineRule="exact"/>
              <w:rPr>
                <w:sz w:val="20"/>
                <w:szCs w:val="20"/>
                <w:color w:val="auto"/>
              </w:rPr>
            </w:pPr>
            <w:r>
              <w:rPr>
                <w:rFonts w:ascii="Arial" w:cs="Arial" w:eastAsia="Arial" w:hAnsi="Arial"/>
                <w:sz w:val="13"/>
                <w:szCs w:val="13"/>
                <w:color w:val="auto"/>
              </w:rPr>
              <w:t>Total Liabilities and Stockholders’ Equity</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5,499,218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3,934,398</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7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40" w:type="dxa"/>
            <w:vAlign w:val="bottom"/>
          </w:tcPr>
          <w:p>
            <w:pPr>
              <w:spacing w:after="0" w:line="135" w:lineRule="exact"/>
              <w:rPr>
                <w:sz w:val="20"/>
                <w:szCs w:val="20"/>
                <w:color w:val="auto"/>
              </w:rPr>
            </w:pPr>
            <w:r>
              <w:rPr>
                <w:rFonts w:ascii="Arial" w:cs="Arial" w:eastAsia="Arial" w:hAnsi="Arial"/>
                <w:sz w:val="13"/>
                <w:szCs w:val="13"/>
                <w:color w:val="auto"/>
              </w:rPr>
              <w:t>Interest income / earning assets(1)</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5,094,884</w:t>
            </w:r>
          </w:p>
        </w:tc>
        <w:tc>
          <w:tcPr>
            <w:tcW w:w="16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48,034</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3.75%</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3,684,379</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30,286</w:t>
            </w: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3.26%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expense / earning assets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5,094,884</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3,057</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0.24%</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3,684,379</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1,535</w:t>
            </w: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0.16%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Net interest margin(1)</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44,977</w:t>
            </w:r>
          </w:p>
        </w:tc>
        <w:tc>
          <w:tcPr>
            <w:tcW w:w="8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0"/>
                <w:szCs w:val="10"/>
                <w:color w:val="auto"/>
              </w:rPr>
              <w:t>3.51</w:t>
            </w:r>
            <w:r>
              <w:rPr>
                <w:rFonts w:ascii="Arial" w:cs="Arial" w:eastAsia="Arial" w:hAnsi="Arial"/>
                <w:sz w:val="18"/>
                <w:szCs w:val="18"/>
                <w:color w:val="auto"/>
                <w:vertAlign w:val="superscript"/>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28,751</w:t>
            </w:r>
          </w:p>
        </w:tc>
        <w:tc>
          <w:tcPr>
            <w:tcW w:w="9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0"/>
                <w:szCs w:val="10"/>
                <w:color w:val="auto"/>
              </w:rPr>
              <w:t>3.10</w:t>
            </w:r>
            <w:r>
              <w:rPr>
                <w:rFonts w:ascii="Arial" w:cs="Arial" w:eastAsia="Arial" w:hAnsi="Arial"/>
                <w:sz w:val="18"/>
                <w:szCs w:val="18"/>
                <w:color w:val="auto"/>
                <w:vertAlign w:val="superscript"/>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14,208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2,018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(1)On a tax-equivalent basis assuming a federal income tax rate of 35%.</w:t>
      </w:r>
    </w:p>
    <w:p>
      <w:pPr>
        <w:spacing w:after="0" w:line="216" w:lineRule="auto"/>
        <w:rPr>
          <w:sz w:val="20"/>
          <w:szCs w:val="20"/>
          <w:color w:val="auto"/>
        </w:rPr>
      </w:pPr>
      <w:r>
        <w:rPr>
          <w:rFonts w:ascii="Arial" w:cs="Arial" w:eastAsia="Arial" w:hAnsi="Arial"/>
          <w:sz w:val="13"/>
          <w:szCs w:val="13"/>
          <w:color w:val="auto"/>
        </w:rPr>
        <w:t>(2)Non-accrual loans have been included in average portfolio loans.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(3)Annualized.</w:t>
      </w:r>
    </w:p>
    <w:p>
      <w:pPr>
        <w:sectPr>
          <w:pgSz w:w="11900" w:h="16838" w:orient="portrait"/>
          <w:cols w:equalWidth="0" w:num="1">
            <w:col w:w="11420"/>
          </w:cols>
          <w:pgMar w:left="240" w:top="125" w:right="239" w:bottom="0" w:gutter="0" w:footer="0" w:header="0"/>
        </w:sectPr>
      </w:pPr>
    </w:p>
    <w:bookmarkStart w:id="31" w:name="page32"/>
    <w:bookmarkEnd w:id="31"/>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AVERAGE BALANCE SHEETS AND INTEREST RATES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NINE MONTHS ENDED SEPTEMBER 30, 2016 AND 2015</w:t>
      </w:r>
    </w:p>
    <w:p>
      <w:pPr>
        <w:spacing w:after="0" w:line="193" w:lineRule="exact"/>
        <w:rPr>
          <w:sz w:val="20"/>
          <w:szCs w:val="20"/>
          <w:color w:val="auto"/>
        </w:rPr>
      </w:pPr>
    </w:p>
    <w:tbl>
      <w:tblPr>
        <w:tblLayout w:type="fixed"/>
        <w:tblInd w:w="276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6"/>
              </w:rPr>
              <w:t>Change in income/</w:t>
            </w:r>
          </w:p>
        </w:tc>
        <w:tc>
          <w:tcPr>
            <w:tcW w:w="700" w:type="dxa"/>
            <w:vAlign w:val="bottom"/>
          </w:tcPr>
          <w:p>
            <w:pPr>
              <w:spacing w:after="0"/>
              <w:rPr>
                <w:sz w:val="13"/>
                <w:szCs w:val="13"/>
                <w:color w:val="auto"/>
              </w:rPr>
            </w:pPr>
          </w:p>
        </w:tc>
      </w:tr>
      <w:tr>
        <w:trPr>
          <w:trHeight w:val="153"/>
        </w:trPr>
        <w:tc>
          <w:tcPr>
            <w:tcW w:w="9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2016</w:t>
            </w:r>
          </w:p>
        </w:tc>
        <w:tc>
          <w:tcPr>
            <w:tcW w:w="7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2015</w:t>
            </w:r>
          </w:p>
        </w:tc>
        <w:tc>
          <w:tcPr>
            <w:tcW w:w="8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expense due to(1)</w:t>
            </w:r>
          </w:p>
        </w:tc>
        <w:tc>
          <w:tcPr>
            <w:tcW w:w="700" w:type="dxa"/>
            <w:vAlign w:val="bottom"/>
            <w:tcBorders>
              <w:bottom w:val="single" w:sz="8" w:color="auto"/>
            </w:tcBorders>
          </w:tcPr>
          <w:p>
            <w:pPr>
              <w:spacing w:after="0"/>
              <w:rPr>
                <w:sz w:val="13"/>
                <w:szCs w:val="13"/>
                <w:color w:val="auto"/>
              </w:rPr>
            </w:pPr>
          </w:p>
        </w:tc>
      </w:tr>
      <w:tr>
        <w:trPr>
          <w:trHeight w:val="110"/>
        </w:trPr>
        <w:tc>
          <w:tcPr>
            <w:tcW w:w="900" w:type="dxa"/>
            <w:vAlign w:val="bottom"/>
          </w:tcPr>
          <w:p>
            <w:pPr>
              <w:ind w:left="180"/>
              <w:spacing w:after="0" w:line="110" w:lineRule="exact"/>
              <w:rPr>
                <w:sz w:val="20"/>
                <w:szCs w:val="20"/>
                <w:color w:val="auto"/>
              </w:rPr>
            </w:pPr>
            <w:r>
              <w:rPr>
                <w:rFonts w:ascii="Arial" w:cs="Arial" w:eastAsia="Arial" w:hAnsi="Arial"/>
                <w:sz w:val="12"/>
                <w:szCs w:val="12"/>
                <w:b w:val="1"/>
                <w:bCs w:val="1"/>
                <w:color w:val="auto"/>
              </w:rPr>
              <w:t>Average</w:t>
            </w:r>
          </w:p>
        </w:tc>
        <w:tc>
          <w:tcPr>
            <w:tcW w:w="960" w:type="dxa"/>
            <w:vAlign w:val="bottom"/>
          </w:tcPr>
          <w:p>
            <w:pPr>
              <w:ind w:left="280"/>
              <w:spacing w:after="0" w:line="110" w:lineRule="exact"/>
              <w:rPr>
                <w:sz w:val="20"/>
                <w:szCs w:val="20"/>
                <w:color w:val="auto"/>
              </w:rPr>
            </w:pPr>
            <w:r>
              <w:rPr>
                <w:rFonts w:ascii="Arial" w:cs="Arial" w:eastAsia="Arial" w:hAnsi="Arial"/>
                <w:sz w:val="12"/>
                <w:szCs w:val="12"/>
                <w:b w:val="1"/>
                <w:bCs w:val="1"/>
                <w:color w:val="auto"/>
              </w:rPr>
              <w:t>Income/</w:t>
            </w:r>
          </w:p>
        </w:tc>
        <w:tc>
          <w:tcPr>
            <w:tcW w:w="760" w:type="dxa"/>
            <w:vAlign w:val="bottom"/>
          </w:tcPr>
          <w:p>
            <w:pPr>
              <w:jc w:val="center"/>
              <w:ind w:left="60"/>
              <w:spacing w:after="0" w:line="110" w:lineRule="exact"/>
              <w:rPr>
                <w:sz w:val="20"/>
                <w:szCs w:val="20"/>
                <w:color w:val="auto"/>
              </w:rPr>
            </w:pPr>
            <w:r>
              <w:rPr>
                <w:rFonts w:ascii="Arial" w:cs="Arial" w:eastAsia="Arial" w:hAnsi="Arial"/>
                <w:sz w:val="12"/>
                <w:szCs w:val="12"/>
                <w:b w:val="1"/>
                <w:bCs w:val="1"/>
                <w:color w:val="auto"/>
                <w:w w:val="99"/>
              </w:rPr>
              <w:t>Yield/</w:t>
            </w:r>
          </w:p>
        </w:tc>
        <w:tc>
          <w:tcPr>
            <w:tcW w:w="320" w:type="dxa"/>
            <w:vAlign w:val="bottom"/>
          </w:tcPr>
          <w:p>
            <w:pPr>
              <w:spacing w:after="0"/>
              <w:rPr>
                <w:sz w:val="9"/>
                <w:szCs w:val="9"/>
                <w:color w:val="auto"/>
              </w:rPr>
            </w:pPr>
          </w:p>
        </w:tc>
        <w:tc>
          <w:tcPr>
            <w:tcW w:w="900" w:type="dxa"/>
            <w:vAlign w:val="bottom"/>
          </w:tcPr>
          <w:p>
            <w:pPr>
              <w:ind w:left="200"/>
              <w:spacing w:after="0" w:line="110" w:lineRule="exact"/>
              <w:rPr>
                <w:sz w:val="20"/>
                <w:szCs w:val="20"/>
                <w:color w:val="auto"/>
              </w:rPr>
            </w:pPr>
            <w:r>
              <w:rPr>
                <w:rFonts w:ascii="Arial" w:cs="Arial" w:eastAsia="Arial" w:hAnsi="Arial"/>
                <w:sz w:val="12"/>
                <w:szCs w:val="12"/>
                <w:b w:val="1"/>
                <w:bCs w:val="1"/>
                <w:color w:val="auto"/>
              </w:rPr>
              <w:t>Average</w:t>
            </w:r>
          </w:p>
        </w:tc>
        <w:tc>
          <w:tcPr>
            <w:tcW w:w="10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6"/>
              </w:rPr>
              <w:t>Income/</w:t>
            </w:r>
          </w:p>
        </w:tc>
        <w:tc>
          <w:tcPr>
            <w:tcW w:w="880" w:type="dxa"/>
            <w:vAlign w:val="bottom"/>
          </w:tcPr>
          <w:p>
            <w:pPr>
              <w:jc w:val="center"/>
              <w:ind w:left="20"/>
              <w:spacing w:after="0" w:line="110" w:lineRule="exact"/>
              <w:rPr>
                <w:sz w:val="20"/>
                <w:szCs w:val="20"/>
                <w:color w:val="auto"/>
              </w:rPr>
            </w:pPr>
            <w:r>
              <w:rPr>
                <w:rFonts w:ascii="Arial" w:cs="Arial" w:eastAsia="Arial" w:hAnsi="Arial"/>
                <w:sz w:val="12"/>
                <w:szCs w:val="12"/>
                <w:b w:val="1"/>
                <w:bCs w:val="1"/>
                <w:color w:val="auto"/>
                <w:w w:val="99"/>
              </w:rPr>
              <w:t>Yield/</w:t>
            </w:r>
          </w:p>
        </w:tc>
        <w:tc>
          <w:tcPr>
            <w:tcW w:w="260" w:type="dxa"/>
            <w:vAlign w:val="bottom"/>
          </w:tcPr>
          <w:p>
            <w:pPr>
              <w:spacing w:after="0"/>
              <w:rPr>
                <w:sz w:val="9"/>
                <w:szCs w:val="9"/>
                <w:color w:val="auto"/>
              </w:rPr>
            </w:pPr>
          </w:p>
        </w:tc>
        <w:tc>
          <w:tcPr>
            <w:tcW w:w="660" w:type="dxa"/>
            <w:vAlign w:val="bottom"/>
          </w:tcPr>
          <w:p>
            <w:pPr>
              <w:ind w:left="120"/>
              <w:spacing w:after="0" w:line="110" w:lineRule="exact"/>
              <w:rPr>
                <w:sz w:val="20"/>
                <w:szCs w:val="20"/>
                <w:color w:val="auto"/>
              </w:rPr>
            </w:pPr>
            <w:r>
              <w:rPr>
                <w:rFonts w:ascii="Arial" w:cs="Arial" w:eastAsia="Arial" w:hAnsi="Arial"/>
                <w:sz w:val="12"/>
                <w:szCs w:val="12"/>
                <w:b w:val="1"/>
                <w:bCs w:val="1"/>
                <w:color w:val="auto"/>
              </w:rPr>
              <w:t>Average</w:t>
            </w:r>
          </w:p>
        </w:tc>
        <w:tc>
          <w:tcPr>
            <w:tcW w:w="12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2"/>
              </w:rPr>
              <w:t>Average</w:t>
            </w:r>
          </w:p>
        </w:tc>
        <w:tc>
          <w:tcPr>
            <w:tcW w:w="700" w:type="dxa"/>
            <w:vAlign w:val="bottom"/>
          </w:tcPr>
          <w:p>
            <w:pPr>
              <w:jc w:val="center"/>
              <w:ind w:right="40"/>
              <w:spacing w:after="0" w:line="110" w:lineRule="exact"/>
              <w:rPr>
                <w:sz w:val="20"/>
                <w:szCs w:val="20"/>
                <w:color w:val="auto"/>
              </w:rPr>
            </w:pPr>
            <w:r>
              <w:rPr>
                <w:rFonts w:ascii="Arial" w:cs="Arial" w:eastAsia="Arial" w:hAnsi="Arial"/>
                <w:sz w:val="12"/>
                <w:szCs w:val="12"/>
                <w:b w:val="1"/>
                <w:bCs w:val="1"/>
                <w:color w:val="auto"/>
                <w:w w:val="97"/>
              </w:rPr>
              <w:t>Total</w:t>
            </w:r>
          </w:p>
        </w:tc>
      </w:tr>
      <w:tr>
        <w:trPr>
          <w:trHeight w:val="153"/>
        </w:trPr>
        <w:tc>
          <w:tcPr>
            <w:tcW w:w="900" w:type="dxa"/>
            <w:vAlign w:val="bottom"/>
          </w:tcPr>
          <w:p>
            <w:pPr>
              <w:ind w:left="200"/>
              <w:spacing w:after="0"/>
              <w:rPr>
                <w:sz w:val="20"/>
                <w:szCs w:val="20"/>
                <w:color w:val="auto"/>
              </w:rPr>
            </w:pPr>
            <w:r>
              <w:rPr>
                <w:rFonts w:ascii="Arial" w:cs="Arial" w:eastAsia="Arial" w:hAnsi="Arial"/>
                <w:sz w:val="13"/>
                <w:szCs w:val="13"/>
                <w:b w:val="1"/>
                <w:bCs w:val="1"/>
                <w:color w:val="auto"/>
              </w:rPr>
              <w:t>Balance</w:t>
            </w:r>
          </w:p>
        </w:tc>
        <w:tc>
          <w:tcPr>
            <w:tcW w:w="960" w:type="dxa"/>
            <w:vAlign w:val="bottom"/>
          </w:tcPr>
          <w:p>
            <w:pPr>
              <w:ind w:left="280"/>
              <w:spacing w:after="0"/>
              <w:rPr>
                <w:sz w:val="20"/>
                <w:szCs w:val="20"/>
                <w:color w:val="auto"/>
              </w:rPr>
            </w:pPr>
            <w:r>
              <w:rPr>
                <w:rFonts w:ascii="Arial" w:cs="Arial" w:eastAsia="Arial" w:hAnsi="Arial"/>
                <w:sz w:val="13"/>
                <w:szCs w:val="13"/>
                <w:b w:val="1"/>
                <w:bCs w:val="1"/>
                <w:color w:val="auto"/>
              </w:rPr>
              <w:t>Expense</w:t>
            </w: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Rate(3)</w:t>
            </w:r>
          </w:p>
        </w:tc>
        <w:tc>
          <w:tcPr>
            <w:tcW w:w="900" w:type="dxa"/>
            <w:vAlign w:val="bottom"/>
          </w:tcPr>
          <w:p>
            <w:pPr>
              <w:ind w:left="200"/>
              <w:spacing w:after="0"/>
              <w:rPr>
                <w:sz w:val="20"/>
                <w:szCs w:val="20"/>
                <w:color w:val="auto"/>
              </w:rPr>
            </w:pPr>
            <w:r>
              <w:rPr>
                <w:rFonts w:ascii="Arial" w:cs="Arial" w:eastAsia="Arial" w:hAnsi="Arial"/>
                <w:sz w:val="13"/>
                <w:szCs w:val="13"/>
                <w:b w:val="1"/>
                <w:bCs w:val="1"/>
                <w:color w:val="auto"/>
              </w:rPr>
              <w:t>Balance</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2"/>
              </w:rPr>
              <w:t>Expense</w:t>
            </w: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Rate(3)</w:t>
            </w:r>
          </w:p>
        </w:tc>
        <w:tc>
          <w:tcPr>
            <w:tcW w:w="660" w:type="dxa"/>
            <w:vAlign w:val="bottom"/>
          </w:tcPr>
          <w:p>
            <w:pPr>
              <w:ind w:left="140"/>
              <w:spacing w:after="0"/>
              <w:rPr>
                <w:sz w:val="20"/>
                <w:szCs w:val="20"/>
                <w:color w:val="auto"/>
              </w:rPr>
            </w:pPr>
            <w:r>
              <w:rPr>
                <w:rFonts w:ascii="Arial" w:cs="Arial" w:eastAsia="Arial" w:hAnsi="Arial"/>
                <w:sz w:val="13"/>
                <w:szCs w:val="13"/>
                <w:b w:val="1"/>
                <w:bCs w:val="1"/>
                <w:color w:val="auto"/>
              </w:rPr>
              <w:t>Volume</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9"/>
              </w:rPr>
              <w:t>Yield/Rate</w:t>
            </w:r>
          </w:p>
        </w:tc>
        <w:tc>
          <w:tcPr>
            <w:tcW w:w="700" w:type="dxa"/>
            <w:vAlign w:val="bottom"/>
          </w:tcPr>
          <w:p>
            <w:pPr>
              <w:jc w:val="center"/>
              <w:ind w:right="40"/>
              <w:spacing w:after="0"/>
              <w:rPr>
                <w:sz w:val="20"/>
                <w:szCs w:val="20"/>
                <w:color w:val="auto"/>
              </w:rPr>
            </w:pPr>
            <w:r>
              <w:rPr>
                <w:rFonts w:ascii="Arial" w:cs="Arial" w:eastAsia="Arial" w:hAnsi="Arial"/>
                <w:sz w:val="13"/>
                <w:szCs w:val="13"/>
                <w:b w:val="1"/>
                <w:bCs w:val="1"/>
                <w:color w:val="auto"/>
                <w:w w:val="83"/>
              </w:rPr>
              <w:t>Change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780" w:type="dxa"/>
            <w:vAlign w:val="bottom"/>
            <w:tcBorders>
              <w:top w:val="single" w:sz="8" w:color="auto"/>
            </w:tcBorders>
            <w:gridSpan w:val="5"/>
          </w:tcPr>
          <w:p>
            <w:pPr>
              <w:jc w:val="right"/>
              <w:ind w:right="60"/>
              <w:spacing w:after="0" w:line="129" w:lineRule="exact"/>
              <w:rPr>
                <w:sz w:val="20"/>
                <w:szCs w:val="20"/>
                <w:color w:val="auto"/>
              </w:rPr>
            </w:pPr>
            <w:r>
              <w:rPr>
                <w:rFonts w:ascii="Arial" w:cs="Arial" w:eastAsia="Arial" w:hAnsi="Arial"/>
                <w:sz w:val="13"/>
                <w:szCs w:val="13"/>
                <w:b w:val="1"/>
                <w:bCs w:val="1"/>
                <w:color w:val="auto"/>
              </w:rPr>
              <w:t>(dollars in thousands)</w:t>
            </w:r>
          </w:p>
        </w:tc>
        <w:tc>
          <w:tcPr>
            <w:tcW w:w="8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Assets</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80"/>
              <w:spacing w:after="0" w:line="135" w:lineRule="exact"/>
              <w:rPr>
                <w:sz w:val="20"/>
                <w:szCs w:val="20"/>
                <w:color w:val="auto"/>
              </w:rPr>
            </w:pPr>
            <w:r>
              <w:rPr>
                <w:rFonts w:ascii="Arial" w:cs="Arial" w:eastAsia="Arial" w:hAnsi="Arial"/>
                <w:sz w:val="13"/>
                <w:szCs w:val="13"/>
                <w:color w:val="auto"/>
              </w:rPr>
              <w:t>Interest-bearing bank deposits</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253,078</w:t>
            </w:r>
          </w:p>
        </w:tc>
        <w:tc>
          <w:tcPr>
            <w:tcW w:w="160" w:type="dxa"/>
            <w:vAlign w:val="bottom"/>
          </w:tcPr>
          <w:p>
            <w:pPr>
              <w:spacing w:after="0"/>
              <w:rPr>
                <w:sz w:val="11"/>
                <w:szCs w:val="11"/>
                <w:color w:val="auto"/>
              </w:rPr>
            </w:pPr>
          </w:p>
        </w:tc>
        <w:tc>
          <w:tcPr>
            <w:tcW w:w="240" w:type="dxa"/>
            <w:vAlign w:val="bottom"/>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886</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0.47%</w:t>
            </w:r>
          </w:p>
        </w:tc>
        <w:tc>
          <w:tcPr>
            <w:tcW w:w="3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259,433</w:t>
            </w: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495</w:t>
            </w: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0.26%</w:t>
            </w:r>
          </w:p>
        </w:tc>
        <w:tc>
          <w:tcPr>
            <w:tcW w:w="280" w:type="dxa"/>
            <w:vAlign w:val="bottom"/>
            <w:gridSpan w:val="2"/>
          </w:tcPr>
          <w:p>
            <w:pPr>
              <w:jc w:val="right"/>
              <w:ind w:right="93"/>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(12)</w:t>
            </w:r>
          </w:p>
        </w:tc>
        <w:tc>
          <w:tcPr>
            <w:tcW w:w="340" w:type="dxa"/>
            <w:vAlign w:val="bottom"/>
            <w:gridSpan w:val="2"/>
          </w:tcPr>
          <w:p>
            <w:pPr>
              <w:jc w:val="right"/>
              <w:ind w:right="173"/>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403</w:t>
            </w:r>
          </w:p>
        </w:tc>
        <w:tc>
          <w:tcPr>
            <w:tcW w:w="32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Federal funds sold</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1,356</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0.20%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80"/>
              <w:spacing w:after="0" w:line="135" w:lineRule="exact"/>
              <w:rPr>
                <w:sz w:val="20"/>
                <w:szCs w:val="20"/>
                <w:color w:val="auto"/>
              </w:rPr>
            </w:pPr>
            <w:r>
              <w:rPr>
                <w:rFonts w:ascii="Arial" w:cs="Arial" w:eastAsia="Arial" w:hAnsi="Arial"/>
                <w:sz w:val="13"/>
                <w:szCs w:val="13"/>
                <w:color w:val="auto"/>
              </w:rPr>
              <w:t>Investment securities</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ind w:left="540"/>
              <w:spacing w:after="0" w:line="135" w:lineRule="exact"/>
              <w:rPr>
                <w:sz w:val="20"/>
                <w:szCs w:val="20"/>
                <w:color w:val="auto"/>
              </w:rPr>
            </w:pPr>
            <w:r>
              <w:rPr>
                <w:rFonts w:ascii="Arial" w:cs="Arial" w:eastAsia="Arial" w:hAnsi="Arial"/>
                <w:sz w:val="13"/>
                <w:szCs w:val="13"/>
                <w:color w:val="auto"/>
              </w:rPr>
              <w:t>U.S. Government obligations</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195,168</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1,678</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224,818</w:t>
            </w:r>
          </w:p>
        </w:tc>
        <w:tc>
          <w:tcPr>
            <w:tcW w:w="2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1,976</w:t>
            </w: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1.18%</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(254)</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(44)</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540"/>
              <w:spacing w:after="0" w:line="135" w:lineRule="exact"/>
              <w:rPr>
                <w:sz w:val="20"/>
                <w:szCs w:val="20"/>
                <w:color w:val="auto"/>
              </w:rPr>
            </w:pPr>
            <w:r>
              <w:rPr>
                <w:rFonts w:ascii="Arial" w:cs="Arial" w:eastAsia="Arial" w:hAnsi="Arial"/>
                <w:sz w:val="13"/>
                <w:szCs w:val="13"/>
                <w:color w:val="auto"/>
              </w:rPr>
              <w:t>Obligations of states and political</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ind w:left="720"/>
              <w:spacing w:after="0" w:line="135" w:lineRule="exact"/>
              <w:rPr>
                <w:sz w:val="20"/>
                <w:szCs w:val="20"/>
                <w:color w:val="auto"/>
              </w:rPr>
            </w:pPr>
            <w:r>
              <w:rPr>
                <w:rFonts w:ascii="Arial" w:cs="Arial" w:eastAsia="Arial" w:hAnsi="Arial"/>
                <w:sz w:val="13"/>
                <w:szCs w:val="13"/>
                <w:color w:val="auto"/>
              </w:rPr>
              <w:t>subdivisions(1)</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215,436</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4,616</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2.86%</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239,099</w:t>
            </w:r>
          </w:p>
        </w:tc>
        <w:tc>
          <w:tcPr>
            <w:tcW w:w="2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4,925</w:t>
            </w: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2.75%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(498)</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189</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540"/>
              <w:spacing w:after="0" w:line="135" w:lineRule="exact"/>
              <w:rPr>
                <w:sz w:val="20"/>
                <w:szCs w:val="20"/>
                <w:color w:val="auto"/>
              </w:rPr>
            </w:pPr>
            <w:r>
              <w:rPr>
                <w:rFonts w:ascii="Arial" w:cs="Arial" w:eastAsia="Arial" w:hAnsi="Arial"/>
                <w:sz w:val="13"/>
                <w:szCs w:val="13"/>
                <w:color w:val="auto"/>
              </w:rPr>
              <w:t>Other securities</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437,577</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6,991</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435,536</w:t>
            </w:r>
          </w:p>
        </w:tc>
        <w:tc>
          <w:tcPr>
            <w:tcW w:w="26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6,982</w:t>
            </w: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2.14%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36</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(27)</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Loans held for sale(1)</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133,216</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3,776</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3.79%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16,211</w:t>
            </w:r>
          </w:p>
        </w:tc>
        <w:tc>
          <w:tcPr>
            <w:tcW w:w="2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573</w:t>
            </w: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4.73%</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3,339</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(136)</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3,203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360"/>
              <w:spacing w:after="0" w:line="135" w:lineRule="exact"/>
              <w:rPr>
                <w:sz w:val="20"/>
                <w:szCs w:val="20"/>
                <w:color w:val="auto"/>
              </w:rPr>
            </w:pPr>
            <w:r>
              <w:rPr>
                <w:rFonts w:ascii="Arial" w:cs="Arial" w:eastAsia="Arial" w:hAnsi="Arial"/>
                <w:sz w:val="13"/>
                <w:szCs w:val="13"/>
                <w:color w:val="auto"/>
              </w:rPr>
              <w:t>Portfolio loans(1) (2)</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3,254,698</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101,398</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4.16%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2,492,564</w:t>
            </w:r>
          </w:p>
        </w:tc>
        <w:tc>
          <w:tcPr>
            <w:tcW w:w="26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73,575</w:t>
            </w: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3.95%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23,615</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4,208</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27,823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40" w:type="dxa"/>
            <w:vAlign w:val="bottom"/>
            <w:tcBorders>
              <w:top w:val="single" w:sz="8" w:color="CCEEFF"/>
              <w:bottom w:val="single" w:sz="8" w:color="CCEEFF"/>
            </w:tcBorders>
            <w:shd w:val="clear" w:color="auto" w:fill="CCEEFF"/>
          </w:tcPr>
          <w:p>
            <w:pPr>
              <w:ind w:left="180"/>
              <w:spacing w:after="0" w:line="129" w:lineRule="exact"/>
              <w:rPr>
                <w:sz w:val="20"/>
                <w:szCs w:val="20"/>
                <w:color w:val="auto"/>
              </w:rPr>
            </w:pPr>
            <w:r>
              <w:rPr>
                <w:rFonts w:ascii="Arial" w:cs="Arial" w:eastAsia="Arial" w:hAnsi="Arial"/>
                <w:sz w:val="13"/>
                <w:szCs w:val="13"/>
                <w:color w:val="auto"/>
              </w:rPr>
              <w:t>Total interest-earning assets(1)</w:t>
            </w:r>
          </w:p>
        </w:tc>
        <w:tc>
          <w:tcPr>
            <w:tcW w:w="18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4,490,529</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119,347</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CCEEFF"/>
              <w:bottom w:val="single" w:sz="8" w:color="CCEEFF"/>
            </w:tcBorders>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3.55%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3,667,661</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88,526</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3.23%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26,227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4,594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CCEEFF"/>
            </w:tcBorders>
            <w:shd w:val="clear" w:color="auto" w:fill="CCEEFF"/>
          </w:tcPr>
          <w:p>
            <w:pPr>
              <w:jc w:val="right"/>
              <w:ind w:right="117"/>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30,821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Cash and due from banks</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69,267</w:t>
            </w: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91,964</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80"/>
              <w:spacing w:after="0" w:line="135" w:lineRule="exact"/>
              <w:rPr>
                <w:sz w:val="20"/>
                <w:szCs w:val="20"/>
                <w:color w:val="auto"/>
              </w:rPr>
            </w:pPr>
            <w:r>
              <w:rPr>
                <w:rFonts w:ascii="Arial" w:cs="Arial" w:eastAsia="Arial" w:hAnsi="Arial"/>
                <w:sz w:val="13"/>
                <w:szCs w:val="13"/>
                <w:color w:val="auto"/>
              </w:rPr>
              <w:t>Premises and equipment</w:t>
            </w:r>
          </w:p>
        </w:tc>
        <w:tc>
          <w:tcPr>
            <w:tcW w:w="1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73,112</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65,256</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Allowance for loan losses</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(46,899)</w:t>
            </w: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(47,913)</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80"/>
              <w:spacing w:after="0" w:line="135" w:lineRule="exact"/>
              <w:rPr>
                <w:sz w:val="20"/>
                <w:szCs w:val="20"/>
                <w:color w:val="auto"/>
              </w:rPr>
            </w:pPr>
            <w:r>
              <w:rPr>
                <w:rFonts w:ascii="Arial" w:cs="Arial" w:eastAsia="Arial" w:hAnsi="Arial"/>
                <w:sz w:val="13"/>
                <w:szCs w:val="13"/>
                <w:color w:val="auto"/>
              </w:rPr>
              <w:t>Other assets</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225,637</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141,479</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7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740" w:type="dxa"/>
            <w:vAlign w:val="bottom"/>
          </w:tcPr>
          <w:p>
            <w:pPr>
              <w:spacing w:after="0" w:line="135" w:lineRule="exact"/>
              <w:rPr>
                <w:sz w:val="20"/>
                <w:szCs w:val="20"/>
                <w:color w:val="auto"/>
              </w:rPr>
            </w:pPr>
            <w:r>
              <w:rPr>
                <w:rFonts w:ascii="Arial" w:cs="Arial" w:eastAsia="Arial" w:hAnsi="Arial"/>
                <w:sz w:val="13"/>
                <w:szCs w:val="13"/>
                <w:color w:val="auto"/>
              </w:rPr>
              <w:t>Total Assets</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4,811,646</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3,918,447</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7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40" w:type="dxa"/>
            <w:vAlign w:val="bottom"/>
          </w:tcPr>
          <w:p>
            <w:pPr>
              <w:spacing w:after="0" w:line="135" w:lineRule="exact"/>
              <w:rPr>
                <w:sz w:val="20"/>
                <w:szCs w:val="20"/>
                <w:color w:val="auto"/>
              </w:rPr>
            </w:pPr>
            <w:r>
              <w:rPr>
                <w:rFonts w:ascii="Arial" w:cs="Arial" w:eastAsia="Arial" w:hAnsi="Arial"/>
                <w:sz w:val="13"/>
                <w:szCs w:val="13"/>
                <w:b w:val="1"/>
                <w:bCs w:val="1"/>
                <w:color w:val="auto"/>
              </w:rPr>
              <w:t>Liabilities and Stockholders’ Equity</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Interest-bearing transaction, savings and</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money market deposits</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2,260,482</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2,216</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0.13%</w:t>
            </w:r>
          </w:p>
        </w:tc>
        <w:tc>
          <w:tcPr>
            <w:tcW w:w="30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1,943,089</w:t>
            </w: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1,614</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0.11%</w:t>
            </w:r>
          </w:p>
        </w:tc>
        <w:tc>
          <w:tcPr>
            <w:tcW w:w="28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281</w:t>
            </w:r>
          </w:p>
        </w:tc>
        <w:tc>
          <w:tcPr>
            <w:tcW w:w="34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321</w:t>
            </w:r>
          </w:p>
        </w:tc>
        <w:tc>
          <w:tcPr>
            <w:tcW w:w="32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80"/>
              <w:spacing w:after="0" w:line="135" w:lineRule="exact"/>
              <w:rPr>
                <w:sz w:val="20"/>
                <w:szCs w:val="20"/>
                <w:color w:val="auto"/>
              </w:rPr>
            </w:pPr>
            <w:r>
              <w:rPr>
                <w:rFonts w:ascii="Arial" w:cs="Arial" w:eastAsia="Arial" w:hAnsi="Arial"/>
                <w:sz w:val="13"/>
                <w:szCs w:val="13"/>
                <w:color w:val="auto"/>
              </w:rPr>
              <w:t>Time deposits</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691,485</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2,782</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0.54%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511,183</w:t>
            </w:r>
          </w:p>
        </w:tc>
        <w:tc>
          <w:tcPr>
            <w:tcW w:w="26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2,010</w:t>
            </w: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0.53%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727</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45</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Short-term borrowings:</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540"/>
              <w:spacing w:after="0" w:line="135" w:lineRule="exact"/>
              <w:rPr>
                <w:sz w:val="20"/>
                <w:szCs w:val="20"/>
                <w:color w:val="auto"/>
              </w:rPr>
            </w:pPr>
            <w:r>
              <w:rPr>
                <w:rFonts w:ascii="Arial" w:cs="Arial" w:eastAsia="Arial" w:hAnsi="Arial"/>
                <w:sz w:val="13"/>
                <w:szCs w:val="13"/>
                <w:color w:val="auto"/>
              </w:rPr>
              <w:t>Federal funds purchased</w:t>
            </w:r>
          </w:p>
        </w:tc>
        <w:tc>
          <w:tcPr>
            <w:tcW w:w="1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128</w:t>
            </w:r>
          </w:p>
        </w:tc>
        <w:tc>
          <w:tcPr>
            <w:tcW w:w="24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ind w:left="540"/>
              <w:spacing w:after="0" w:line="135" w:lineRule="exact"/>
              <w:rPr>
                <w:sz w:val="20"/>
                <w:szCs w:val="20"/>
                <w:color w:val="auto"/>
              </w:rPr>
            </w:pPr>
            <w:r>
              <w:rPr>
                <w:rFonts w:ascii="Arial" w:cs="Arial" w:eastAsia="Arial" w:hAnsi="Arial"/>
                <w:sz w:val="13"/>
                <w:szCs w:val="13"/>
                <w:color w:val="auto"/>
              </w:rPr>
              <w:t>Repurchase agreements</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176,946</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273</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0.21%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177,937</w:t>
            </w:r>
          </w:p>
        </w:tc>
        <w:tc>
          <w:tcPr>
            <w:tcW w:w="2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132</w:t>
            </w: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0.10%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142</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540"/>
              <w:spacing w:after="0" w:line="135" w:lineRule="exact"/>
              <w:rPr>
                <w:sz w:val="20"/>
                <w:szCs w:val="20"/>
                <w:color w:val="auto"/>
              </w:rPr>
            </w:pPr>
            <w:r>
              <w:rPr>
                <w:rFonts w:ascii="Arial" w:cs="Arial" w:eastAsia="Arial" w:hAnsi="Arial"/>
                <w:sz w:val="13"/>
                <w:szCs w:val="13"/>
                <w:color w:val="auto"/>
              </w:rPr>
              <w:t>Other</w:t>
            </w:r>
          </w:p>
        </w:tc>
        <w:tc>
          <w:tcPr>
            <w:tcW w:w="1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93,762</w:t>
            </w:r>
          </w:p>
        </w:tc>
        <w:tc>
          <w:tcPr>
            <w:tcW w:w="24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461</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0.66%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121</w:t>
            </w:r>
          </w:p>
        </w:tc>
        <w:tc>
          <w:tcPr>
            <w:tcW w:w="26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461</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Long-term debt</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80,000</w:t>
            </w:r>
          </w:p>
        </w:tc>
        <w:tc>
          <w:tcPr>
            <w:tcW w:w="2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155</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0.26%</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50,000</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0.08%</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27</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97</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80"/>
              <w:spacing w:after="0" w:line="135" w:lineRule="exact"/>
              <w:rPr>
                <w:sz w:val="20"/>
                <w:szCs w:val="20"/>
                <w:color w:val="auto"/>
              </w:rPr>
            </w:pPr>
            <w:r>
              <w:rPr>
                <w:rFonts w:ascii="Arial" w:cs="Arial" w:eastAsia="Arial" w:hAnsi="Arial"/>
                <w:sz w:val="13"/>
                <w:szCs w:val="13"/>
                <w:color w:val="auto"/>
              </w:rPr>
              <w:t>Junior subordinated debt owed to</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unconsolidated trusts</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63,762</w:t>
            </w:r>
          </w:p>
        </w:tc>
        <w:tc>
          <w:tcPr>
            <w:tcW w:w="2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1,337</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2.80%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55,000</w:t>
            </w:r>
          </w:p>
        </w:tc>
        <w:tc>
          <w:tcPr>
            <w:tcW w:w="2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900</w:t>
            </w: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2.19%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158</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279</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437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40" w:type="dxa"/>
            <w:vAlign w:val="bottom"/>
            <w:tcBorders>
              <w:bottom w:val="single" w:sz="8" w:color="CCEEFF"/>
            </w:tcBorders>
          </w:tcPr>
          <w:p>
            <w:pPr>
              <w:ind w:left="180"/>
              <w:spacing w:after="0" w:line="129" w:lineRule="exact"/>
              <w:rPr>
                <w:sz w:val="20"/>
                <w:szCs w:val="20"/>
                <w:color w:val="auto"/>
              </w:rPr>
            </w:pPr>
            <w:r>
              <w:rPr>
                <w:rFonts w:ascii="Arial" w:cs="Arial" w:eastAsia="Arial" w:hAnsi="Arial"/>
                <w:sz w:val="13"/>
                <w:szCs w:val="13"/>
                <w:color w:val="auto"/>
              </w:rPr>
              <w:t>Total interest-bearing liabilities</w:t>
            </w:r>
          </w:p>
        </w:tc>
        <w:tc>
          <w:tcPr>
            <w:tcW w:w="180" w:type="dxa"/>
            <w:vAlign w:val="bottom"/>
            <w:tcBorders>
              <w:top w:val="single" w:sz="8" w:color="auto"/>
              <w:bottom w:val="single" w:sz="8" w:color="CCEEFF"/>
            </w:tcBorders>
          </w:tcPr>
          <w:p>
            <w:pPr>
              <w:jc w:val="right"/>
              <w:ind w:right="7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3,366,565</w:t>
            </w:r>
          </w:p>
        </w:tc>
        <w:tc>
          <w:tcPr>
            <w:tcW w:w="16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7,225</w:t>
            </w:r>
          </w:p>
        </w:tc>
        <w:tc>
          <w:tcPr>
            <w:tcW w:w="18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gridSpan w:val="2"/>
          </w:tcPr>
          <w:p>
            <w:pPr>
              <w:jc w:val="right"/>
              <w:ind w:right="120"/>
              <w:spacing w:after="0" w:line="129" w:lineRule="exact"/>
              <w:rPr>
                <w:sz w:val="20"/>
                <w:szCs w:val="20"/>
                <w:color w:val="auto"/>
              </w:rPr>
            </w:pPr>
            <w:r>
              <w:rPr>
                <w:rFonts w:ascii="Arial" w:cs="Arial" w:eastAsia="Arial" w:hAnsi="Arial"/>
                <w:sz w:val="13"/>
                <w:szCs w:val="13"/>
                <w:color w:val="auto"/>
              </w:rPr>
              <w:t>0.29%</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CCEEFF"/>
            </w:tcBorders>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2,737,330</w:t>
            </w:r>
          </w:p>
        </w:tc>
        <w:tc>
          <w:tcPr>
            <w:tcW w:w="1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4,687</w:t>
            </w:r>
          </w:p>
        </w:tc>
        <w:tc>
          <w:tcPr>
            <w:tcW w:w="1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gridSpan w:val="2"/>
          </w:tcPr>
          <w:p>
            <w:pPr>
              <w:jc w:val="right"/>
              <w:ind w:right="80"/>
              <w:spacing w:after="0" w:line="129" w:lineRule="exact"/>
              <w:rPr>
                <w:sz w:val="20"/>
                <w:szCs w:val="20"/>
                <w:color w:val="auto"/>
              </w:rPr>
            </w:pPr>
            <w:r>
              <w:rPr>
                <w:rFonts w:ascii="Arial" w:cs="Arial" w:eastAsia="Arial" w:hAnsi="Arial"/>
                <w:sz w:val="13"/>
                <w:szCs w:val="13"/>
                <w:color w:val="auto"/>
              </w:rPr>
              <w:t>0.23%</w:t>
            </w:r>
          </w:p>
        </w:tc>
        <w:tc>
          <w:tcPr>
            <w:tcW w:w="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CCEEFF"/>
            </w:tcBorders>
          </w:tcPr>
          <w:p>
            <w:pPr>
              <w:jc w:val="right"/>
              <w:ind w:right="93"/>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1,193</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CCEEFF"/>
            </w:tcBorders>
          </w:tcPr>
          <w:p>
            <w:pPr>
              <w:jc w:val="right"/>
              <w:ind w:right="173"/>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1,345</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CCEEFF"/>
            </w:tcBorders>
          </w:tcPr>
          <w:p>
            <w:pPr>
              <w:jc w:val="right"/>
              <w:ind w:right="117"/>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2,538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40" w:type="dxa"/>
            <w:vAlign w:val="bottom"/>
          </w:tcPr>
          <w:p>
            <w:pPr>
              <w:ind w:left="180"/>
              <w:spacing w:after="0" w:line="135" w:lineRule="exact"/>
              <w:rPr>
                <w:sz w:val="20"/>
                <w:szCs w:val="20"/>
                <w:color w:val="auto"/>
              </w:rPr>
            </w:pPr>
            <w:r>
              <w:rPr>
                <w:rFonts w:ascii="Arial" w:cs="Arial" w:eastAsia="Arial" w:hAnsi="Arial"/>
                <w:sz w:val="13"/>
                <w:szCs w:val="13"/>
                <w:color w:val="auto"/>
              </w:rPr>
              <w:t>Net interest spread(1)</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7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80"/>
              <w:spacing w:after="0" w:line="135" w:lineRule="exact"/>
              <w:rPr>
                <w:sz w:val="20"/>
                <w:szCs w:val="20"/>
                <w:color w:val="auto"/>
              </w:rPr>
            </w:pPr>
            <w:r>
              <w:rPr>
                <w:rFonts w:ascii="Arial" w:cs="Arial" w:eastAsia="Arial" w:hAnsi="Arial"/>
                <w:sz w:val="13"/>
                <w:szCs w:val="13"/>
                <w:color w:val="auto"/>
              </w:rPr>
              <w:t>Noninterest-bearing deposits</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912,006</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713,520</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Other liabilities</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39,915</w:t>
            </w: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27,917</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80"/>
              <w:spacing w:after="0" w:line="135" w:lineRule="exact"/>
              <w:rPr>
                <w:sz w:val="20"/>
                <w:szCs w:val="20"/>
                <w:color w:val="auto"/>
              </w:rPr>
            </w:pPr>
            <w:r>
              <w:rPr>
                <w:rFonts w:ascii="Arial" w:cs="Arial" w:eastAsia="Arial" w:hAnsi="Arial"/>
                <w:sz w:val="13"/>
                <w:szCs w:val="13"/>
                <w:color w:val="auto"/>
              </w:rPr>
              <w:t>Stockholders’ equity</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493,160</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439,680</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7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740" w:type="dxa"/>
            <w:vAlign w:val="bottom"/>
          </w:tcPr>
          <w:p>
            <w:pPr>
              <w:spacing w:after="0" w:line="135" w:lineRule="exact"/>
              <w:rPr>
                <w:sz w:val="20"/>
                <w:szCs w:val="20"/>
                <w:color w:val="auto"/>
              </w:rPr>
            </w:pPr>
            <w:r>
              <w:rPr>
                <w:rFonts w:ascii="Arial" w:cs="Arial" w:eastAsia="Arial" w:hAnsi="Arial"/>
                <w:sz w:val="13"/>
                <w:szCs w:val="13"/>
                <w:color w:val="auto"/>
              </w:rPr>
              <w:t>Total Liabilities and Stockholders’ Equity</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4,811,646</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3,918,447</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7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40" w:type="dxa"/>
            <w:vAlign w:val="bottom"/>
          </w:tcPr>
          <w:p>
            <w:pPr>
              <w:spacing w:after="0" w:line="135" w:lineRule="exact"/>
              <w:rPr>
                <w:sz w:val="20"/>
                <w:szCs w:val="20"/>
                <w:color w:val="auto"/>
              </w:rPr>
            </w:pPr>
            <w:r>
              <w:rPr>
                <w:rFonts w:ascii="Arial" w:cs="Arial" w:eastAsia="Arial" w:hAnsi="Arial"/>
                <w:sz w:val="13"/>
                <w:szCs w:val="13"/>
                <w:color w:val="auto"/>
              </w:rPr>
              <w:t>Interest income / earning assets(1)</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4,490,529</w:t>
            </w:r>
          </w:p>
        </w:tc>
        <w:tc>
          <w:tcPr>
            <w:tcW w:w="160" w:type="dxa"/>
            <w:vAlign w:val="bottom"/>
          </w:tcPr>
          <w:p>
            <w:pPr>
              <w:spacing w:after="0"/>
              <w:rPr>
                <w:sz w:val="11"/>
                <w:szCs w:val="11"/>
                <w:color w:val="auto"/>
              </w:rPr>
            </w:pPr>
          </w:p>
        </w:tc>
        <w:tc>
          <w:tcPr>
            <w:tcW w:w="240" w:type="dxa"/>
            <w:vAlign w:val="bottom"/>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119,347</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3.55%</w:t>
            </w:r>
          </w:p>
        </w:tc>
        <w:tc>
          <w:tcPr>
            <w:tcW w:w="3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3,667,661</w:t>
            </w: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88,526</w:t>
            </w:r>
          </w:p>
        </w:tc>
        <w:tc>
          <w:tcPr>
            <w:tcW w:w="9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3.23%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expense / earning assets</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4,490,529</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7,225</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0.21%</w:t>
            </w:r>
          </w:p>
        </w:tc>
        <w:tc>
          <w:tcPr>
            <w:tcW w:w="30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3,667,661</w:t>
            </w: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4,687</w:t>
            </w:r>
          </w:p>
        </w:tc>
        <w:tc>
          <w:tcPr>
            <w:tcW w:w="9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0.17%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Net interest margin(1)</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112,122</w:t>
            </w:r>
          </w:p>
        </w:tc>
        <w:tc>
          <w:tcPr>
            <w:tcW w:w="8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0"/>
                <w:szCs w:val="10"/>
                <w:color w:val="auto"/>
              </w:rPr>
              <w:t>3.34</w:t>
            </w:r>
            <w:r>
              <w:rPr>
                <w:rFonts w:ascii="Arial" w:cs="Arial" w:eastAsia="Arial" w:hAnsi="Arial"/>
                <w:sz w:val="18"/>
                <w:szCs w:val="18"/>
                <w:color w:val="auto"/>
                <w:vertAlign w:val="superscript"/>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83,839</w:t>
            </w:r>
          </w:p>
        </w:tc>
        <w:tc>
          <w:tcPr>
            <w:tcW w:w="9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0"/>
                <w:szCs w:val="10"/>
                <w:color w:val="auto"/>
              </w:rPr>
              <w:t>3.06</w:t>
            </w:r>
            <w:r>
              <w:rPr>
                <w:rFonts w:ascii="Arial" w:cs="Arial" w:eastAsia="Arial" w:hAnsi="Arial"/>
                <w:sz w:val="18"/>
                <w:szCs w:val="18"/>
                <w:color w:val="auto"/>
                <w:vertAlign w:val="superscript"/>
              </w:rPr>
              <w:t>%</w:t>
            </w:r>
          </w:p>
        </w:tc>
        <w:tc>
          <w:tcPr>
            <w:tcW w:w="28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25,034</w:t>
            </w:r>
          </w:p>
        </w:tc>
        <w:tc>
          <w:tcPr>
            <w:tcW w:w="34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3,249</w:t>
            </w:r>
          </w:p>
        </w:tc>
        <w:tc>
          <w:tcPr>
            <w:tcW w:w="32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On a tax-equivalent basis assuming a federal income tax rate of 35%.</w:t>
      </w:r>
    </w:p>
    <w:p>
      <w:pPr>
        <w:ind w:left="340" w:hanging="332"/>
        <w:spacing w:after="0" w:line="216" w:lineRule="auto"/>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Non-accrual loans have been included in average portfolio loans.</w:t>
      </w:r>
    </w:p>
    <w:p>
      <w:pPr>
        <w:ind w:left="340" w:hanging="332"/>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Annualized.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Average balance sheets and interest rates were impacted by the April 30, 2016 Pulaski acquisition. Total average interest-earning assets increased $1.4 billion, or 38.3%, to $5.1 billion for the three month period ended September 30, 2016, as compared to $3.7 billion for the same period in 2015. Total average interest-earning assets increased $822.9 million, or 22.4%, to $4.5 billion for the nine month period ended September 30, 2016, as compared to $3.7 billion for the same period in 2015.</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Total average interest-bearing liability balances increased $1.0 billion, or 39.4%, to $3.8 billion for the three month period ended September 30, 2016, as compared to $2.8 billion for the same period in 2015. Total average interest-bearing liability balances increased $629.2 million, or 23.0%, to $3.4 billion for the nine month period ended September 30, 2016, as compared to $2.7 billion for the same period in 2015.</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interest income, on a tax-equivalent basis, increased $16.2 million for the three month period ended September 30, 2016, as compared to the same period of 2015. Pulaski contributed $14.4 million to the three month period ended September 30, 2016 inclusive of purchase accounting accretion and amortization of $2.2 million. Net interest income, on a tax-equivalent basis, increased $28.3 million for the nine month period ended September 30, 2016, as compared to the same period of 2015. Pulaski contributed $24.8 million to the nine month period ended September 30, 2016 inclusive of purchase accounting accretion and amortization of $3.9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margin</w:t>
      </w:r>
    </w:p>
    <w:p>
      <w:pPr>
        <w:spacing w:after="0" w:line="22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Net interest margin, our net interest income expressed as a percentage of average earning assets stated on a tax-equivalent basis, increased to 3.51% for the three month period ended September 30, 2016, compared to 3.10% for the same period in 2015. Net interest margin increased to 3.34% for the nine month period ended September 30, 2016 compared to 3.06% for the same period in 2015. Net interest margin for the three and nine month periods ended September 30, 2016 were impacted by purchase accounting accretion and amortization related to the Pulaski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Quarterly net interest margins for 2016 and 2015 were as follows:</w:t>
      </w:r>
    </w:p>
    <w:p>
      <w:pPr>
        <w:spacing w:after="0" w:line="217"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37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3.32%</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w:t>
            </w:r>
          </w:p>
        </w:tc>
      </w:tr>
    </w:tbl>
    <w:p>
      <w:pPr>
        <w:sectPr>
          <w:pgSz w:w="11900" w:h="16897" w:orient="portrait"/>
          <w:cols w:equalWidth="0" w:num="1">
            <w:col w:w="11420"/>
          </w:cols>
          <w:pgMar w:left="240" w:top="125" w:right="239" w:bottom="0" w:gutter="0" w:footer="0" w:header="0"/>
        </w:sectPr>
      </w:pPr>
    </w:p>
    <w:bookmarkStart w:id="32" w:name="page33"/>
    <w:bookmarkEnd w:id="32"/>
    <w:p>
      <w:pPr>
        <w:ind w:left="1960"/>
        <w:spacing w:after="0"/>
        <w:tabs>
          <w:tab w:leader="none" w:pos="6840" w:val="left"/>
          <w:tab w:leader="none" w:pos="8180" w:val="left"/>
        </w:tabs>
        <w:rPr>
          <w:sz w:val="20"/>
          <w:szCs w:val="20"/>
          <w:color w:val="auto"/>
        </w:rPr>
      </w:pPr>
      <w:r>
        <w:rPr>
          <w:rFonts w:ascii="Arial" w:cs="Arial" w:eastAsia="Arial" w:hAnsi="Arial"/>
          <w:sz w:val="18"/>
          <w:szCs w:val="18"/>
          <w:color w:val="auto"/>
        </w:rPr>
        <w:t>Fourth Quarter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3.23%</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net interest spread, which represents the difference between the average rate earned on earning assets and the average rate paid on interest-bearing liabilities, also on a tax-equivalent basis, was 3.43% for the three month period ended September 30, 2016, compared to 3.04% for the same period in 2015 and was 3.26% for the nine month period ended September 30, 2016, compared to 3.00% for the same period in 2015.</w:t>
      </w:r>
    </w:p>
    <w:p>
      <w:pPr>
        <w:spacing w:after="0" w:line="16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Management attempts to mitigate the effects of the interest-rate environment through effective portfolio management, prudent loan underwriting and operational efficiencies. Please refer to the Notes to Consolidated Financial Statements in the Company’s Annual Report on Form 10-K for the year ended December 31, 2015 for accounting policies underlying the recognition of interest income and expense.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Three Months Ended</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29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820" w:type="dxa"/>
            <w:vAlign w:val="bottom"/>
          </w:tcPr>
          <w:p>
            <w:pPr>
              <w:jc w:val="right"/>
              <w:ind w:right="254"/>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27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800" w:type="dxa"/>
            <w:vAlign w:val="bottom"/>
          </w:tcPr>
          <w:p>
            <w:pPr>
              <w:jc w:val="right"/>
              <w:ind w:right="234"/>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Trust fees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Commissions and brokers’ fees, net</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740</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799</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2,095</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2,402</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Remittance processing</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Service charges on deposit accounts</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4,518</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3,312</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1,206</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11,562</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9,292</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2,270</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service charges and fees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w:t>
            </w: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Gain on sales of loans, net</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4,526</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1,549</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2,977</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192.2%</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8,130</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4,843</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3,287</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 (losses) gains, net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2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1,251</w:t>
            </w:r>
          </w:p>
        </w:tc>
        <w:tc>
          <w:tcPr>
            <w:tcW w:w="10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1,650</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1,176</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474</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3,969</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3,321</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648</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non-interest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NM — percentage change not meaningful</w:t>
      </w:r>
    </w:p>
    <w:p>
      <w:pPr>
        <w:spacing w:after="0" w:line="225"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Total non-interest income of $20.7 million for the three month period ended September 30, 2016 increased by 30.6% as compared to $15.9 million for the same period in 2015. Total non-interest income of $56.2 million for the nine month period ended September 30, 2016 increased by 15.9% as compared to $48.5 million for the same period in 2015. The results were inclusive of Pulaski since the transaction closed on April 30, 2016.</w:t>
      </w:r>
    </w:p>
    <w:p>
      <w:pPr>
        <w:spacing w:after="0" w:line="16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Combined Wealth Management revenue, consisting of trust fees and commissions and brokers’ fees, net, was stable at $5.3 million for the third quarter of 2016 and 2015. Combined Wealth Management revenue, consisting of trust fees and commissions and brokers’ fees, net, decreased to $17.2 million for the nine months ended September 30, 2016 compared to $17.8 million for the nine months ended September 30, 2015. As Pulaski generated no legacy fee income from these businesses, the addition of these service offerings in its markets should provide attractive growth opportunities.</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Remittance processing revenue of $2.8 million for the three months ended September 30, 2016 decreased slightly compared to $2.9 million for the same period of 2015. Remittance processing revenue increased to $8.6 million for the nine months ended September 30, 2016 compared to $8.4 million for the nine months ended September 30, 2015. Remittance processing adds important diversity to our revenue stream while widening our array of service offerings to larger commercial clients within our footprint and nationally.</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Overall, service charges on deposit accounts combined with other service charges and fees increased to $6.5 million for the three month period ended September 30, 2016 as compared to $4.9 million for the same period of 2015 and increased to $17.1 million for the nine month period ended September 30, 2016 compared to $14.2 million for the same period of 2015. Evolving regulation, product changes and changing behaviors by our client base may impact the revenue derived from charges on deposit accounts.</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Gain on sales of loans, net, increased to $4.5 million for the three month period ended September 30, 2016 compared to $1.5 million for the same period of 2015 and increased to $8.1 million for the nine month period ended September 30, 2016 compared to $4.8 million for the same period of 2015. The Company has historically held a leading residential loan market position in its primary markets in Central Illinois, while Pulaski has been a leading residential mortgage loan producer in the Midwest, primarily through offices in the St. Louis, Kansas City, Chicago and Omaha-Council Bluffs metropolitan areas, with origination capabilities in other markets through its internet-based Consumer Direct channel. These positions, combined with strong loan demand fueled by the improved housing market and continued low interest rates, resulted in the increases for the three and nine month periods in gain on sales of loans, net. Beginning on January 1, 2016, the Company prospectively adopted an alternative conforming approach to the accounting for loan fees and costs for mortgage loans held for sale, which reclassifies origination costs, including related compensation expense from salary and wages, to gain on sales of loans. On a comparative basis to the prior year, this reduced gains by $1.9 million for the first nine months of 2016 with a related reduction in non-interest expense, primarily in salaries and wages and employee benefits.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Security gains, net, increased for the three and nine month periods ended September 30, 2016 compared to the same period of 2015. The increase for the nine month period was primarily related to a first quarter 2016 strategic bond trade that repositioned the investment portfolio to maintain future net interest margin strength and simultaneously elevated the current economic value to shareholders through non-interest income. The Company sold $31.1 million of seasoned To-Be-Announced eligible residential mortgage-backed securities to take advantage of a price floor phenomenon, with related gains of $1.1 million on the sale. The sales proceeds were reinvested within normal investment parameters at similar yields to the securities sold.</w:t>
      </w:r>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Other income increased 40.3% for the three months ended September 30, 2016 compared to the same period of 2015 and increased 19.5% for the nine month period ended September 30, 2016 compared to the same period of 2015 across multiple revenue sources.</w:t>
      </w:r>
    </w:p>
    <w:p>
      <w:pPr>
        <w:sectPr>
          <w:pgSz w:w="11900" w:h="16838" w:orient="portrait"/>
          <w:cols w:equalWidth="0" w:num="1">
            <w:col w:w="11420"/>
          </w:cols>
          <w:pgMar w:left="240" w:top="125" w:right="239" w:bottom="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0"/>
                <w:szCs w:val="10"/>
                <w:color w:val="auto"/>
              </w:rPr>
            </w:pPr>
          </w:p>
        </w:tc>
        <w:tc>
          <w:tcPr>
            <w:tcW w:w="6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293"/>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800" w:type="dxa"/>
            <w:vAlign w:val="bottom"/>
          </w:tcPr>
          <w:p>
            <w:pPr>
              <w:jc w:val="right"/>
              <w:ind w:right="233"/>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273"/>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800" w:type="dxa"/>
            <w:vAlign w:val="bottom"/>
          </w:tcPr>
          <w:p>
            <w:pPr>
              <w:jc w:val="right"/>
              <w:ind w:right="233"/>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Change</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Salaries and wages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17,197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13,365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3,832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28.7%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44,103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41,181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2,922</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11,472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gridSpan w:val="2"/>
            <w:vMerge w:val="restart"/>
          </w:tcPr>
          <w:p>
            <w:pPr>
              <w:ind w:left="360"/>
              <w:spacing w:after="0"/>
              <w:rPr>
                <w:sz w:val="20"/>
                <w:szCs w:val="20"/>
                <w:color w:val="auto"/>
              </w:rPr>
            </w:pPr>
            <w:r>
              <w:rPr>
                <w:rFonts w:ascii="Arial" w:cs="Arial" w:eastAsia="Arial" w:hAnsi="Arial"/>
                <w:sz w:val="18"/>
                <w:szCs w:val="18"/>
                <w:color w:val="auto"/>
              </w:rPr>
              <w:t>Total compensation expense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21,716</w:t>
            </w:r>
          </w:p>
        </w:tc>
        <w:tc>
          <w:tcPr>
            <w:tcW w:w="22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15,717</w:t>
            </w:r>
          </w:p>
        </w:tc>
        <w:tc>
          <w:tcPr>
            <w:tcW w:w="2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5,999</w:t>
            </w:r>
          </w:p>
        </w:tc>
        <w:tc>
          <w:tcPr>
            <w:tcW w:w="200" w:type="dxa"/>
            <w:vAlign w:val="bottom"/>
            <w:vMerge w:val="continue"/>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55,575</w:t>
            </w:r>
          </w:p>
        </w:tc>
        <w:tc>
          <w:tcPr>
            <w:tcW w:w="22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48,396</w:t>
            </w:r>
          </w:p>
        </w:tc>
        <w:tc>
          <w:tcPr>
            <w:tcW w:w="2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7,179</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occupancy expense of premises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00" w:type="dxa"/>
            <w:vAlign w:val="bottom"/>
            <w:vMerge w:val="continue"/>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Furniture and equipment expenses</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1,836</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1,319</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517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39.2%</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4,564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3,793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771</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w:t>
            </w: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1,348</w:t>
            </w: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12,677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9,843</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1,282</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807</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475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58.9%</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3,157</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773</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Regulatory expense</w:t>
            </w: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w:t>
            </w: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2,274</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1,623</w:t>
            </w: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16,904</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14,217</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2,687</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 non-interest expense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39,415</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27,950</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103,451</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86,942</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w:t>
            </w:r>
          </w:p>
        </w:tc>
        <w:tc>
          <w:tcPr>
            <w:tcW w:w="22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2,681</w:t>
            </w: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Effective rate on income taxes</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gridSpan w:val="2"/>
          </w:tcPr>
          <w:p>
            <w:pPr>
              <w:ind w:left="940"/>
              <w:spacing w:after="0"/>
              <w:rPr>
                <w:sz w:val="20"/>
                <w:szCs w:val="20"/>
                <w:color w:val="auto"/>
              </w:rPr>
            </w:pPr>
            <w:r>
              <w:rPr>
                <w:rFonts w:ascii="Arial" w:cs="Arial" w:eastAsia="Arial" w:hAnsi="Arial"/>
                <w:sz w:val="18"/>
                <w:szCs w:val="18"/>
                <w:color w:val="auto"/>
              </w:rPr>
              <w:t>Efficiency ratio</w:t>
            </w: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60.8%</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Full-time equivalent employees</w:t>
            </w: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(“FTEs”) as of period-end</w:t>
            </w: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1,320</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Total non-interest expense of $39.4 million for the three month period ended September 30, 2016 increased by $11.5 million as compared to $27.9 million for the same period in 2015. Total non-interest expense of $103.4 million for the nine month period ended September 30, 2016 increased by $16.5 million as compared to $86.9 million for the same period in 2015. Non-recurring expenses related to the Pulaski acquisition impacted 2016 while those related to the Herget Financial acquisition impacted 2015. During the nine month period ended September 30, 2016, the Company incurred $3.1 million of expenses related to the Pulaski acquisition, comprised primarily of data processing, restructuring, and legal and consulting costs. During the nine month period ended September 30, 2015, the Company incurred $1.0 million of expenses related to the Herget Financial acquisition, comprised primarily of data processing, restructuring, legal and consulting and marketing costs. Non-recurring expenses relating to the integration of Pulaski may cause a temporary rise in expenses in the fourth quarter of 2016; however, the Company expects to realize operating efficiencies creating a positive impact on earnings in 2017.</w:t>
      </w:r>
    </w:p>
    <w:p>
      <w:pPr>
        <w:spacing w:after="0" w:line="16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Total compensation expense of $21.7 million increased $6.0 million for the three month period ended September 30, 2016 as compared to the same period in 2015 and increased $7.2 million to $55.6 million for the nine month period ended September 30, 2016 as compared to the same period in 2015. For the third quarter and first nine months of 2016, the change in salaries and wages and employee benefits was due to an increased number of employees resulting from the Pulaski acquisition and $1.6 million in restructuring costs. The FTEs increased to 1,320 at September 30, 2016, which included 527 FTEs from Pulaski, compared to 789 at September 30, 2015. Additionally, beginning on January 1, 2016, the Company adopted a conforming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approach to the accounting for loan fees and costs for mortgage loans held for sale, which reclassifies related compensation expense from salary and wages to gain on sales of loans, net.</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Combined net occupancy expense of premises and furniture and equipment expenses of $5.2 million for the three month period ended September 30, 2016, increased compared to the same period in 2015. Combined net occupancy expense of premises and furniture and equipment expenses of $12.9 million for the nine month period ended September 30, 2016, increased compared to the same period in 2015. Pulaski added 13 full-service branches and several loan production offices. We continue to evaluate our branch network and operations for appropriate cost control measures while seeking improvements in service delivery to our customers.</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Data processing expense for the three month period ended September 30, 2016 of $4.4 million increased from $3.0 million for the same period of 2015 and data processing expense for the nine month period ended September 30, 2016 of $12.7 million increased from $9.8 million for the same period of 2015. The 2016 increase was primarily due to additional Pulaski data processing expense and non-recurring software conversion expenses. The nine month period ended September 30, 2016 included $1.4 million of non-recurring software conversion expenses related to the Pulaski acquisition. The nine month period ended September 30, 2015 included $0.7 million of non-recurring software conversion expenses related to Herget Financial. The 2016 data processing expense increase was also related to supporting new sources of remittance processing revenue growth.</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Amortization of intangible assets increased for the three and nine month periods ended September 30, 2016 compared to the same periods in 2015 as a result of the Pulaski acquisition.</w:t>
      </w:r>
    </w:p>
    <w:p>
      <w:pPr>
        <w:spacing w:after="0" w:line="1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Regulatory expense increased 31.5% for the three month period ended September 30, 2016 compared to the same period in 2015 and increased 25.4% for the nine month period ended September 30, 2016 compared to the same period in 2015 primarily as a result of the Pulaski acquisition.</w:t>
      </w:r>
    </w:p>
    <w:p>
      <w:pPr>
        <w:spacing w:after="0" w:line="14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Other expense of $5.9 million for the three month period ended September 30, 2016 increased $1.6 million compared to the same period in 2015. Other expense of $16.9 million for the nine month period ended September 30, 2016 increased $2.7 million compared to the same period in 2015. The increase in 2016 expenses were largely due to Pulaski acquisition related expenses.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effective rate on income taxes, or income taxes divided by income before taxes, of 34.4% and 34.8% for the three and nine months ended September 30, 2016, respectively, was lower than the combined federal and state statutory rate of approximately 40% due to fairly stable amounts of tax preferred interest income, such as municipal bond interest and bank owned life insurance income, accounting for a portion of our taxable income. As taxable income increases, we expect our effective tax rate to increase. The Company continues to monitor evolving state tax legislation and its potential impact on operations on an ongoing basis.</w:t>
      </w:r>
    </w:p>
    <w:p>
      <w:pPr>
        <w:sectPr>
          <w:pgSz w:w="11900" w:h="16838" w:orient="portrait"/>
          <w:cols w:equalWidth="0" w:num="1">
            <w:col w:w="11420"/>
          </w:cols>
          <w:pgMar w:left="240" w:top="125" w:right="239" w:bottom="0" w:gutter="0" w:footer="0" w:header="0"/>
        </w:sectPr>
      </w:pPr>
    </w:p>
    <w:bookmarkStart w:id="34" w:name="page35"/>
    <w:bookmarkEnd w:id="34"/>
    <w:p>
      <w:pPr>
        <w:spacing w:after="0" w:line="6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efficiency ratio represents total non-interest expense, less amortization charges, as a percentage of tax-equivalent net interest income plus non-interest income, less security gains and losses. The efficiency ratio, which is a non-GAAP financial measure commonly used by management and the investment community in the banking industry, measures the amount of expense that is incurred to generate a dollar of revenue. The efficiency ratio of 58.0% for the three month period ended September 30, 2016 improved from 60.8% in the comparable period in 2015. The efficiency ratio for the first nine months of 2016 was 60.0%, an improvement from 63.9% for the same period of 2015. Non-recurring expenses relating to the integration of Pulaski may have a negative impact on the efficiency ratio for the remainder of 2016; however, the Company expects to realize operating efficiencies creating a positive impact in 2017. We will continue to examine appropriate avenues to improve efficiency, with an emphasis on revenue growth.</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balance sheet items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 Change</w:t>
            </w:r>
          </w:p>
        </w:tc>
        <w:tc>
          <w:tcPr>
            <w:tcW w:w="14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6"/>
          </w:tcPr>
          <w:p>
            <w:pPr>
              <w:jc w:val="right"/>
              <w:ind w:right="9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Securities, including available for sale and held to maturity</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825,143</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884,670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(59,527)</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loans, net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4,026,148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2,589,603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1,436,545</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5,592,241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3,998,976</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1,593,265</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Deposits: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996,750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881,685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115,065</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Interest-bearing</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3,339,756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2,407,421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932,335</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4,336,506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3,289,106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1,047,400</w:t>
            </w:r>
          </w:p>
        </w:tc>
        <w:tc>
          <w:tcPr>
            <w:tcW w:w="3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under agreements to repurchase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212,363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172,972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39,391</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Short-term borrowings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246,700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246,700</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4,996,167</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3,625,790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1,370,377</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596,074</w:t>
            </w:r>
          </w:p>
        </w:tc>
        <w:tc>
          <w:tcPr>
            <w:tcW w:w="1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373,186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222,888</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balance sheet was significantly impacted by the Pulaski acquisition. At the date of the acquisition, the fair value of Pulaski’s total assets was $1.6 billion, including $1.4 billion in loans, and $1.2 billion in deposits. Our priorities continue to focus around balance sheet strength, profitability and growth. With an active growth plan, our strong capital position, an attractive core funding base and a sound credit foundation, we feel confident that we are well positioned for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portfolio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Geographic distributions of loans by category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1"/>
              </w:rPr>
              <w:t>September 30, 2016</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Illinois</w:t>
            </w: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rPr>
              <w:t>Florida</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left="54"/>
              <w:spacing w:after="0" w:line="142" w:lineRule="exact"/>
              <w:rPr>
                <w:sz w:val="20"/>
                <w:szCs w:val="20"/>
                <w:color w:val="auto"/>
              </w:rPr>
            </w:pPr>
            <w:r>
              <w:rPr>
                <w:rFonts w:ascii="Arial" w:cs="Arial" w:eastAsia="Arial" w:hAnsi="Arial"/>
                <w:sz w:val="14"/>
                <w:szCs w:val="14"/>
                <w:b w:val="1"/>
                <w:bCs w:val="1"/>
                <w:color w:val="auto"/>
                <w:w w:val="97"/>
              </w:rPr>
              <w:t>Indiana</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Missouri</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8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573,385</w:t>
            </w:r>
          </w:p>
        </w:tc>
        <w:tc>
          <w:tcPr>
            <w:tcW w:w="70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19,304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24,566</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328,524</w:t>
            </w:r>
          </w:p>
        </w:tc>
        <w:tc>
          <w:tcPr>
            <w:tcW w:w="4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858,320</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149,994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129,489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444,535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1,582,338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63,161</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41,786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Retail real estate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513,883</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106,900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17,005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705,052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1,342,840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12,881</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Total gross loans</w:t>
            </w:r>
          </w:p>
        </w:tc>
        <w:tc>
          <w:tcPr>
            <w:tcW w:w="160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2,021,630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288,473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212,846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1,551,046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4,073,995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Less loans held for sale(1)</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266,382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portfolio loans</w:t>
            </w:r>
          </w:p>
        </w:tc>
        <w:tc>
          <w:tcPr>
            <w:tcW w:w="1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3,807,613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portfolio loans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3,759,766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18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700" w:type="dxa"/>
            <w:vAlign w:val="bottom"/>
            <w:gridSpan w:val="3"/>
          </w:tcPr>
          <w:p>
            <w:pPr>
              <w:jc w:val="right"/>
              <w:ind w:right="65"/>
              <w:spacing w:after="0"/>
              <w:rPr>
                <w:sz w:val="20"/>
                <w:szCs w:val="20"/>
                <w:color w:val="auto"/>
              </w:rPr>
            </w:pPr>
            <w:r>
              <w:rPr>
                <w:rFonts w:ascii="Arial" w:cs="Arial" w:eastAsia="Arial" w:hAnsi="Arial"/>
                <w:sz w:val="18"/>
                <w:szCs w:val="18"/>
                <w:color w:val="auto"/>
              </w:rPr>
              <w:t>(1)Loans held for sale are included in retail real estate.</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4"/>
          </w:tcPr>
          <w:p>
            <w:pPr>
              <w:jc w:val="right"/>
              <w:ind w:right="30"/>
              <w:spacing w:after="0"/>
              <w:rPr>
                <w:sz w:val="20"/>
                <w:szCs w:val="20"/>
                <w:color w:val="auto"/>
              </w:rPr>
            </w:pPr>
            <w:r>
              <w:rPr>
                <w:rFonts w:ascii="Arial" w:cs="Arial" w:eastAsia="Arial" w:hAnsi="Arial"/>
                <w:sz w:val="18"/>
                <w:szCs w:val="18"/>
                <w:color w:val="auto"/>
              </w:rPr>
              <w:t>54</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gridSpan w:val="3"/>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center"/>
              <w:ind w:left="54"/>
              <w:spacing w:after="0"/>
              <w:rPr>
                <w:sz w:val="20"/>
                <w:szCs w:val="20"/>
                <w:color w:val="auto"/>
              </w:rPr>
            </w:pPr>
            <w:r>
              <w:rPr>
                <w:rFonts w:ascii="Arial" w:cs="Arial" w:eastAsia="Arial" w:hAnsi="Arial"/>
                <w:sz w:val="14"/>
                <w:szCs w:val="14"/>
                <w:b w:val="1"/>
                <w:bCs w:val="1"/>
                <w:color w:val="auto"/>
                <w:w w:val="91"/>
              </w:rPr>
              <w:t>December 31, 2015</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Borders>
              <w:bottom w:val="single" w:sz="8" w:color="auto"/>
            </w:tcBorders>
            <w:gridSpan w:val="4"/>
          </w:tcPr>
          <w:p>
            <w:pPr>
              <w:jc w:val="right"/>
              <w:ind w:right="439"/>
              <w:spacing w:after="0" w:line="142" w:lineRule="exact"/>
              <w:rPr>
                <w:sz w:val="20"/>
                <w:szCs w:val="20"/>
                <w:color w:val="auto"/>
              </w:rPr>
            </w:pPr>
            <w:r>
              <w:rPr>
                <w:rFonts w:ascii="Arial" w:cs="Arial" w:eastAsia="Arial" w:hAnsi="Arial"/>
                <w:sz w:val="14"/>
                <w:szCs w:val="14"/>
                <w:b w:val="1"/>
                <w:bCs w:val="1"/>
                <w:color w:val="auto"/>
              </w:rPr>
              <w:t>Illinois</w:t>
            </w: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554"/>
              <w:spacing w:after="0" w:line="142" w:lineRule="exact"/>
              <w:rPr>
                <w:sz w:val="20"/>
                <w:szCs w:val="20"/>
                <w:color w:val="auto"/>
              </w:rPr>
            </w:pPr>
            <w:r>
              <w:rPr>
                <w:rFonts w:ascii="Arial" w:cs="Arial" w:eastAsia="Arial" w:hAnsi="Arial"/>
                <w:sz w:val="14"/>
                <w:szCs w:val="14"/>
                <w:b w:val="1"/>
                <w:bCs w:val="1"/>
                <w:color w:val="auto"/>
                <w:w w:val="98"/>
              </w:rPr>
              <w:t>Florida</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Indiana</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tcPr>
          <w:p>
            <w:pPr>
              <w:jc w:val="center"/>
              <w:ind w:right="19"/>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606,542</w:t>
            </w:r>
          </w:p>
        </w:tc>
        <w:tc>
          <w:tcPr>
            <w:tcW w:w="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16,141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33,893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907,628</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94"/>
              <w:spacing w:after="0"/>
              <w:rPr>
                <w:sz w:val="20"/>
                <w:szCs w:val="20"/>
                <w:color w:val="auto"/>
              </w:rPr>
            </w:pPr>
            <w:r>
              <w:rPr>
                <w:rFonts w:ascii="Arial" w:cs="Arial" w:eastAsia="Arial" w:hAnsi="Arial"/>
                <w:sz w:val="18"/>
                <w:szCs w:val="18"/>
                <w:color w:val="auto"/>
                <w:w w:val="89"/>
              </w:rPr>
              <w:t>166,885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133,916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1,208,429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47,466</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15,032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34,070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2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Retail real estate</w:t>
            </w: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w w:val="95"/>
              </w:rPr>
              <w:t>532,001</w:t>
            </w:r>
          </w:p>
        </w:tc>
        <w:tc>
          <w:tcPr>
            <w:tcW w:w="6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ind w:right="94"/>
              <w:spacing w:after="0"/>
              <w:rPr>
                <w:sz w:val="20"/>
                <w:szCs w:val="20"/>
                <w:color w:val="auto"/>
              </w:rPr>
            </w:pPr>
            <w:r>
              <w:rPr>
                <w:rFonts w:ascii="Arial" w:cs="Arial" w:eastAsia="Arial" w:hAnsi="Arial"/>
                <w:sz w:val="18"/>
                <w:szCs w:val="18"/>
                <w:color w:val="auto"/>
                <w:w w:val="89"/>
              </w:rPr>
              <w:t>108,978</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19,563</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660,542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-1238250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-1238250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35" w:name="page36"/>
    <w:bookmarkEnd w:id="3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14,125</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Total gross loans</w:t>
            </w:r>
          </w:p>
        </w:tc>
        <w:tc>
          <w:tcPr>
            <w:tcW w:w="1400" w:type="dxa"/>
            <w:vAlign w:val="bottom"/>
          </w:tcPr>
          <w:p>
            <w:pPr>
              <w:spacing w:after="0"/>
              <w:rPr>
                <w:sz w:val="18"/>
                <w:szCs w:val="18"/>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2,107,762</w:t>
            </w:r>
          </w:p>
        </w:tc>
        <w:tc>
          <w:tcPr>
            <w:tcW w:w="30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307,886</w:t>
            </w:r>
          </w:p>
        </w:tc>
        <w:tc>
          <w:tcPr>
            <w:tcW w:w="28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221,442</w:t>
            </w:r>
          </w:p>
        </w:tc>
        <w:tc>
          <w:tcPr>
            <w:tcW w:w="28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2,637,090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Less loans held for sale(1)</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9,351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portfolio loans</w:t>
            </w:r>
          </w:p>
        </w:tc>
        <w:tc>
          <w:tcPr>
            <w:tcW w:w="1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2,627,739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portfolio loans</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2,580,252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(1)Loans held for sale are included in retail real estate.</w:t>
      </w:r>
    </w:p>
    <w:p>
      <w:pPr>
        <w:spacing w:after="0" w:line="225"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Total gross loans as of September 30, 2016 increased $1.4 billion from December 31, 2015 as a result of the Pulaski acquisition. During the quarter ended September 30, 2016, the Company saw a favorable shift in the mix of its portfolio loans, which included an increase of $59.5 million in commercial loans, partially offset by a $29.8 million decrease in commercial real estate and real estate construction loans compared to the second quarter of 2016. Strong residential loan demand drove an increase in loans held for sale at September 30, 2016 to $266.4 million from $9.4 million on December 31, 2015, with Pulaski contributing $241.9 million of the change. The increased loans held for sale balance adds positive momentum going into the fourth quarter by generating net interest income until loans are delivered to investors, at which point gains on sale of loans are recognized.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Our allowance for loan losses was $47.8 million, or 1.2% of total gross loans, at September 30, 2016, compared to $47.5 million, or 1.8% of total gross loans, at December 31, 2015. Our allowance for loan losses was 1.3% of gross portfolio loans at September 30, 2016, compared to 1.8% at December 31, 2015.</w:t>
      </w:r>
    </w:p>
    <w:p>
      <w:pPr>
        <w:spacing w:after="0" w:line="12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Typically, when we move loans into non-accrual status, the loans are collateral dependent and charged down through the allowance for loan losses to the fair value of our interest in the underlying collateral less estimated costs to sell. Our loan portfolio is collateralized primarily by real estate.</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September 30, 2016, management believed the level of the allowance and coverage of non-performing loans to be appropriate based upon the information available. However, additional losses may be identified in our loan portfolio as new information is obtained. We may need to provide for additional loan losses in the future as management continues to identify potential problem loans and gains further information concerning existing problem loans.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provision for loan losses is a current charge against income and represents an amount which management believes is sufficient to maintain an appropriate allowance for known and probable losses in the loan portfolio. In assessing the appropriateness of the allowance for loan losses, management considers the size and quality of the loan portfolio measured against prevailing economic conditions, regulatory guidelines, historical loan loss experience and credit quality of the portfolio. When a determination is made by management to charge-off a loan balance, such write-off is charged against the allowance for loan losses. We continue to attempt to identify problem loan situations on a proactive basis. Once problem loans are identified, adjustments to the provision for loan losses are made based upon all information available at that time. The provision reflects management’s analysis of additional allowance for loan losses necessary to cover probable losses in our loan portfolio.</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provision for loan losses increased to $2.0 million for the second quarter of 2016 compared $0.1 million in the same period of 2015. The provision for loan losses for the nine months ended September 30, 2016 increased to $4.1 million compared to $0.6 million in the same period of 2015. Pulaski Bank recorded $2.0 million in provision expense in the third quarter of 2016 related to new and renewed production.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Sensitive assets include non-accrual loans, loans on our classified loan reports and other loans identified as having more than reasonable potential for loss. Management reviews sensitive assets on at least a quarterly basis for changes in each applicable customer’s ability to pay and changes in valuation of underlying collateral in order to estimate probable losses. The majority of these loans are being repaid in conformance with their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Loans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non-performing loans as of each of the dates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September 30,</w:t>
            </w:r>
          </w:p>
        </w:tc>
        <w:tc>
          <w:tcPr>
            <w:tcW w:w="26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6"/>
          </w:tcPr>
          <w:p>
            <w:pPr>
              <w:jc w:val="right"/>
              <w:ind w:right="10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16,253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22,443</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Loans 90+ days past due and still accruing</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3,830</w:t>
            </w: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22,777</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12,763</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3,267</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22,407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26,044</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47,847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45,358</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Allowance for loan losses to total gross loans</w:t>
            </w: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97"/>
        </w:trPr>
        <w:tc>
          <w:tcPr>
            <w:tcW w:w="20" w:type="dxa"/>
            <w:vAlign w:val="bottom"/>
            <w:shd w:val="clear" w:color="auto" w:fill="CCEEFF"/>
          </w:tcPr>
          <w:p>
            <w:pPr>
              <w:spacing w:after="0"/>
              <w:rPr>
                <w:sz w:val="8"/>
                <w:szCs w:val="8"/>
                <w:color w:val="auto"/>
              </w:rPr>
            </w:pPr>
          </w:p>
        </w:tc>
        <w:tc>
          <w:tcPr>
            <w:tcW w:w="48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36" w:name="page37"/>
    <w:bookmarkEnd w:id="36"/>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gross portfolio loans</w:t>
            </w:r>
          </w:p>
        </w:tc>
        <w:tc>
          <w:tcPr>
            <w:tcW w:w="1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w:t>
            </w:r>
          </w:p>
        </w:tc>
        <w:tc>
          <w:tcPr>
            <w:tcW w:w="1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w:t>
            </w:r>
          </w:p>
        </w:tc>
        <w:tc>
          <w:tcPr>
            <w:tcW w:w="1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1.8%</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Allowance for loan losses to non-performing loans</w:t>
            </w: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238.2%</w:t>
            </w: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199.1%</w:t>
            </w:r>
          </w:p>
        </w:tc>
        <w:tc>
          <w:tcPr>
            <w:tcW w:w="1640" w:type="dxa"/>
            <w:vAlign w:val="bottom"/>
          </w:tcPr>
          <w:p>
            <w:pPr>
              <w:jc w:val="right"/>
              <w:ind w:right="450"/>
              <w:spacing w:after="0"/>
              <w:rPr>
                <w:sz w:val="20"/>
                <w:szCs w:val="20"/>
                <w:color w:val="auto"/>
              </w:rPr>
            </w:pPr>
            <w:r>
              <w:rPr>
                <w:rFonts w:ascii="Arial" w:cs="Arial" w:eastAsia="Arial" w:hAnsi="Arial"/>
                <w:sz w:val="18"/>
                <w:szCs w:val="18"/>
                <w:color w:val="auto"/>
              </w:rPr>
              <w:t>253.5%</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372.1%</w:t>
            </w:r>
          </w:p>
        </w:tc>
      </w:tr>
      <w:tr>
        <w:trPr>
          <w:trHeight w:val="202"/>
        </w:trPr>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loans to loans, before allowance for loan</w:t>
            </w:r>
          </w:p>
        </w:tc>
        <w:tc>
          <w:tcPr>
            <w:tcW w:w="18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w:t>
            </w:r>
          </w:p>
        </w:tc>
        <w:tc>
          <w:tcPr>
            <w:tcW w:w="1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0.5%</w:t>
            </w:r>
          </w:p>
        </w:tc>
        <w:tc>
          <w:tcPr>
            <w:tcW w:w="1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0.6%</w:t>
            </w:r>
          </w:p>
        </w:tc>
        <w:tc>
          <w:tcPr>
            <w:tcW w:w="1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0.7%</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r>
      <w:tr>
        <w:trPr>
          <w:trHeight w:val="202"/>
        </w:trPr>
        <w:tc>
          <w:tcPr>
            <w:tcW w:w="5080" w:type="dxa"/>
            <w:vAlign w:val="bottom"/>
          </w:tcPr>
          <w:p>
            <w:pPr>
              <w:spacing w:after="0" w:line="201" w:lineRule="exact"/>
              <w:rPr>
                <w:sz w:val="20"/>
                <w:szCs w:val="20"/>
                <w:color w:val="auto"/>
              </w:rPr>
            </w:pPr>
            <w:r>
              <w:rPr>
                <w:rFonts w:ascii="Arial" w:cs="Arial" w:eastAsia="Arial" w:hAnsi="Arial"/>
                <w:sz w:val="18"/>
                <w:szCs w:val="18"/>
                <w:color w:val="auto"/>
              </w:rPr>
              <w:t>Non-performing loans and OREO to loans, before allowance</w:t>
            </w:r>
          </w:p>
        </w:tc>
        <w:tc>
          <w:tcPr>
            <w:tcW w:w="1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for loan losses</w:t>
            </w: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0.5%</w:t>
            </w: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0.6%</w:t>
            </w:r>
          </w:p>
        </w:tc>
        <w:tc>
          <w:tcPr>
            <w:tcW w:w="1640" w:type="dxa"/>
            <w:vAlign w:val="bottom"/>
          </w:tcPr>
          <w:p>
            <w:pPr>
              <w:jc w:val="right"/>
              <w:ind w:right="450"/>
              <w:spacing w:after="0"/>
              <w:rPr>
                <w:sz w:val="20"/>
                <w:szCs w:val="20"/>
                <w:color w:val="auto"/>
              </w:rPr>
            </w:pPr>
            <w:r>
              <w:rPr>
                <w:rFonts w:ascii="Arial" w:cs="Arial" w:eastAsia="Arial" w:hAnsi="Arial"/>
                <w:sz w:val="18"/>
                <w:szCs w:val="18"/>
                <w:color w:val="auto"/>
              </w:rPr>
              <w:t>0.7%</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0.5%</w:t>
            </w: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September 30, 2016 asset metrics reflect the post combination results of acquiring Pulaski. Total non-performing assets were $22.4 million at September 30, 2016, compared to $13.5 million at December 31, 2015. Non-performing assets as a percentage of total loans and non-performing assets continued to be favorably low at 0.5% on September 30, 2016, as this ratio has varied between 0.3% and 1.3% over the last three years. Asset quality metrics can be generally influenced by market-specific economic conditions beyond the control of the Company, and specific measures may fluctuate from quarter to quarter. The Company continues to proactively address credit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Problem Loans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Potential problem loans are those loans which are not categorized as impaired, restructured, non-accrual or 90+ days past due, but where current information indicates that the borrower may not be able to comply with present loan repayment terms. Management assesses the potential for loss on such loans as it would with other problem loans and has considered the effect of any potential loss in determining its provision for probable loan losses. Potential problem loans totaled $46.1 million at September 30, 2016, compared to $29.2 million at December 31, 2015. Management continues to monitor these credits and anticipates that restructurings, guarantees, additional collateral or other planned actions will result in full repayment of the debts. As of September 30, 2016, management identified no other loans that represent or result from trends or uncertainties which management reasonably expected to materially impact future operating results, liquidity or capital resources. As of September 30, 2016, management was not aware of any information about any other credits which caused management to have serious doubts as to the ability of such borrower(s) to comply with the loan repayment terms.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if needed, federal funds sold. The balances of these assets are dependent on the Company’s operating, investing, lending, and financing activities during any given period.</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First Busey’s primary sources of funds consist of deposits, investment maturities and sales, loan principal repayments, and capital funds. Additional liquidity is provided by repurchase agreements, the ability to borrow from the Federal Reserve and the FHLB, and brokered deposits. Management intends to satisfy long-term liquidity needs primarily through retention of capital funds.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September 30, 2016,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At September 30, 2016, the Company had outstanding standby letters of credit of $17.0 million and commitments to extend credit of $939.7 million to its customers. Since these commitments generally have fixed expiration dates and many will expire without being drawn upon, the total commitment level does not necessarily represent future cash requirements. These commitments are made in the ordinary course of business to meet the financing needs of the Company’s customers. As of September 30, 2016, no amounts were recorded as liabilities for the Company’s potential obligations under these commitments.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For 2016, the guidelines, including the capital conservation buffer, require bank holding companies and their subsidiary banks to maintain a total capital to total risk-weighted asset ratio of not less than 8.625%, Tier 1 capital to total risk-weighted asset ratio of not less than 6.625%, Common Equity Tier 1 capital to total risk-weighted asset ratio of not less than 5.125% and a Tier 1 leverage ratio of not less than 4.00%. These minimum capital requirements increase annually until the Basel III Rules are fully phased-in on January 1, 2019. As of September 30, 2016, First Busey had a total capital to total risk-weighted asset ratio of 13.91%, a Tier 1 capital to risk-weighted asset ratio of 12.80%, Common Equity Tier 1 capital to risk-weighted asset ratio of 11.10% and a Tier 1 leverage ratio of 10.26%; Busey Bank had ratios of 14.24%, 12.98%, 12.98% and 10.17%, respectively; and Pulaski Bank had ratios of 11.20%, 10.91%, 10.91% and 9.12%,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Statements made in this report, other than those concerning historical financial information, may be considered forward-looking statements within the meaning of the Private Securities Litigation Reform Act of 1995 with respect to the financial condition, results of operations, plans, objectives, future performance and business of First Busey. Forward-looking statements, which may be based upon beliefs, expectations and assumptions of First Busey’s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we undertake no obligation to update any statement in light of new information or future events. A number of factors, many of which are beyond our ability to control or predict, could cause actual results to differ materially from those in our forward-looking statements. These factors include, among others, the following: (i) the strength of the local, national and international economy; (ii) the economic impact of any future terrorist threats or attacks; (iii) changes in state and federal laws, regulations and governmental policies concerning First Busey’s general business (including the impact of the Dodd-Frank Act and the extensive regulations to be promulgated</w:t>
      </w:r>
    </w:p>
    <w:p>
      <w:pPr>
        <w:sectPr>
          <w:pgSz w:w="11900" w:h="16863" w:orient="portrait"/>
          <w:cols w:equalWidth="0" w:num="1">
            <w:col w:w="11420"/>
          </w:cols>
          <w:pgMar w:left="240" w:top="140" w:right="239" w:bottom="0" w:gutter="0" w:footer="0" w:header="0"/>
        </w:sectPr>
      </w:pPr>
    </w:p>
    <w:bookmarkStart w:id="37" w:name="page38"/>
    <w:bookmarkEnd w:id="37"/>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thereunder, as well as the Basel III Rules); (iv) changes in interest rates and prepayment rates of First Busey’s assets; (v) increased competition in the financial services sector and the inability to attract new customers; (vi) changes in technology and the ability to develop and maintain secure and reliable electronic systems; (vii) the loss of key executives or employees; (viii) changes in consumer spending; (ix) unexpected results of acquisitions (including the acquisition of Pulaski), which may include failure to realize the anticipated benefits of the acquisition and the possibility that the transaction costs may be greater than anticipated; (x) unexpected outcomes of existing or new litigation involving First Busey; (xi) changes in accounting policies and practices; and</w:t>
      </w:r>
    </w:p>
    <w:p>
      <w:pPr>
        <w:spacing w:after="0" w:line="2" w:lineRule="exact"/>
        <w:rPr>
          <w:sz w:val="20"/>
          <w:szCs w:val="20"/>
          <w:color w:val="auto"/>
        </w:rPr>
      </w:pPr>
    </w:p>
    <w:p>
      <w:pPr>
        <w:jc w:val="both"/>
        <w:ind w:right="80" w:firstLine="8"/>
        <w:spacing w:after="0" w:line="254" w:lineRule="auto"/>
        <w:tabs>
          <w:tab w:leader="none" w:pos="3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economic impact of exceptional weather occurrences such as tornadoes, hurricanes, floods, and blizzards. These risks and uncertainties should be considered in evaluating forward-looking statements and undue reliance should not be placed on such statements. Additional information concerning First Busey and its business, including additional factors that could materially affect its financial results, is included in First Busey’s filings with the Securities and Exchange Commission.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estimates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w:t>
      </w:r>
    </w:p>
    <w:p>
      <w:pPr>
        <w:spacing w:after="0" w:line="17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Our significant accounting policies are described in Note 1 of the Company’s Annual Report on Form 10-K for the year ended December 31, 2015. The majority of these accounting policies do not require management to make difficult, subjective or complex judgments or estimates or the variability of the estimates is not material. However, the following policies could be deemed critical:</w:t>
      </w:r>
    </w:p>
    <w:p>
      <w:pPr>
        <w:spacing w:after="0" w:line="18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b w:val="1"/>
          <w:bCs w:val="1"/>
          <w:i w:val="1"/>
          <w:iCs w:val="1"/>
          <w:color w:val="auto"/>
        </w:rPr>
        <w:t xml:space="preserve">Fair Value of Investment Securities. </w:t>
      </w:r>
      <w:r>
        <w:rPr>
          <w:rFonts w:ascii="Arial" w:cs="Arial" w:eastAsia="Arial" w:hAnsi="Arial"/>
          <w:sz w:val="17"/>
          <w:szCs w:val="17"/>
          <w:color w:val="auto"/>
        </w:rPr>
        <w:t>Securities are classified as held to maturity when First Busey has the ability and management has the positive intent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 those securities to maturity. Accordingly, they are stated at cost, adjusted for amortization of premiums and accretion of discounts. First Busey had $50.5 million of securities classified as held to maturity at September 30, 2016. First Busey had no securities classified as trading at September 30, 2016. Securities are classified as available for sale when First Busey may decide to sell those securities due to changes in market interest rates, liquidity needs, changes in yields on alternative investments, and for other reasons. They are carried at fair value with unrealized gains and losses, net of taxes, reported in other comprehensive income. As of September 30, 2016, First Busey had $774.7 million of securities classified as available for sale. For equity securities, unadjusted quoted prices in active markets for identical assets are utilized to determine fair value at the measurement date. For all other securities, we obtain fair value measurements from an independent pricing service. The fair value measurements consider observable data that may include dealer quotes, market spreads, cash flows, the U.S. Treasury yield curve, live trading levels, trade execution data, market consensus prepayment speeds, credit information and the security’s terms and conditions, among other things. Due to the limited nature of the market for certain securities, the fair value and potential sale proceeds could be materially different in the event of a sale.</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Realized securities gains or losses are reported in security gains (losses), net in the Consolidated Statements of Income. The cost of securities sold is based on the specific identification method. Declines in the fair value of securities below their amortized cost are evaluated to determine whether they are temporary or OTTI. If the Company (a) has the intent to sell a debt security or (b) will more-likely-than-not be required to sell the debt security before its anticipated recovery, then the Company recognizes the entire unrealized loss in earnings as an OTTI loss. If neither of these conditions are met, the Company evaluates whether a credit loss exists. The impairment is separated into the amount of the total impairment related to the credit loss and the amount of total impairment related to all other factors. The amount of the total OTTI related to the credit loss is recognized in earnings, and the amount related to all other factors is recognized in other comprehensive income.</w:t>
      </w:r>
    </w:p>
    <w:p>
      <w:pPr>
        <w:spacing w:after="0" w:line="18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also evaluates whether the decline in fair value of an equity security is temporary or OTTI. In determining whether an unrealized loss on an equity security is temporary or OTTI, management considers various factors including the magnitude and duration of the impairment, the financial condition and near-term prospects of the issuer, and the intent and ability of the Company to hold the equity security to forecasted recovery.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Fair Value of Assets Acquired and Liabilities Assumed in Business Combinations. </w:t>
      </w:r>
      <w:r>
        <w:rPr>
          <w:rFonts w:ascii="Arial" w:cs="Arial" w:eastAsia="Arial" w:hAnsi="Arial"/>
          <w:sz w:val="17"/>
          <w:szCs w:val="17"/>
          <w:color w:val="auto"/>
        </w:rPr>
        <w:t>Business combinations are accounted for using the acquisition method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accounting. Under the acquisition method of accounting, assets acquired and liabilities assumed are recorded at their estimated fair value on the date of acquisition. Analysis is conducted under the standard of fair value which is defined in FASB ASC Topic 820 —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 “the price that would be received to sell an asset or paid to transfer a liability in an orderly transaction between market participants at the measurement date.” The fair value of a loan portfolio acquired in a business combination generally requires greater levels of management estimates and judgment than the remainder of assets acquired or liabilities assumed. At the date of acquisition, when the loans have evidence of credit deterioration since origination and it is probable that the Company will not collect all contractually required principal and interest payments, the difference between contractually required payments and the cash flows expected to be collected at acquisition is referred to as the non-accretable difference. The Company must estimate expected cash flows at each future reporting date. Subsequent decreases in the expected cash flows will generally result in a provision for loan losses. Subsequent increases in the expected cash flows will generally result in a credit to the provision for loan losses up to the amount of the non-accretable difference, then adjustments to the accretable yield, which will increase interest income.</w:t>
      </w:r>
    </w:p>
    <w:p>
      <w:pPr>
        <w:spacing w:after="0" w:line="183"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Allowance for Loan Losses. </w:t>
      </w:r>
      <w:r>
        <w:rPr>
          <w:rFonts w:ascii="Arial" w:cs="Arial" w:eastAsia="Arial" w:hAnsi="Arial"/>
          <w:sz w:val="16"/>
          <w:szCs w:val="16"/>
          <w:color w:val="auto"/>
        </w:rPr>
        <w:t>First Busey has established an allowance for loan losses which represents its estimate of the probable losses inherent in the loan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as of the date of the financial statements and reduces the total loans outstanding by an estimate of uncollectible loans. Loans deemed uncollectible are charged against and reduce the allowance. A provision for loan losses is charged to current expense. This provision acts to replenish the allowance for loan losses and to maintain the allowance at a level that management deems adequate. Acquired loans from business combinations with uncollected principal balances are carried net of a fair value adjustment for credit and interest rates. These loans are only included in the allowance calculation to the extent that the reserve requirement exceeds the fair value adjustment. However, as the acquired loans renew, it is generally necessary to establish an allowance which represents an amount that, in management’s opinion, will be adequate to absorb probable credit losses in such loans.</w:t>
      </w:r>
    </w:p>
    <w:p>
      <w:pPr>
        <w:spacing w:after="0" w:line="16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To determine the adequacy of the allowance for loan losses, a formal analysis is completed quarterly to assess the risk within the loan portfolio. This assessment is reviewed by the Company’s senior management. The analysis includes a review of historical performance, dollar amount and trends of past due</w:t>
      </w:r>
    </w:p>
    <w:p>
      <w:pPr>
        <w:sectPr>
          <w:pgSz w:w="11900" w:h="16975" w:orient="portrait"/>
          <w:cols w:equalWidth="0" w:num="1">
            <w:col w:w="11420"/>
          </w:cols>
          <w:pgMar w:left="240" w:top="341" w:right="239" w:bottom="0" w:gutter="0" w:footer="0" w:header="0"/>
        </w:sectPr>
      </w:pPr>
    </w:p>
    <w:bookmarkStart w:id="38" w:name="page39"/>
    <w:bookmarkEnd w:id="38"/>
    <w:p>
      <w:pPr>
        <w:ind w:right="80"/>
        <w:spacing w:after="0" w:line="308" w:lineRule="auto"/>
        <w:rPr>
          <w:sz w:val="20"/>
          <w:szCs w:val="20"/>
          <w:color w:val="auto"/>
        </w:rPr>
      </w:pPr>
      <w:r>
        <w:rPr>
          <w:rFonts w:ascii="Arial" w:cs="Arial" w:eastAsia="Arial" w:hAnsi="Arial"/>
          <w:sz w:val="17"/>
          <w:szCs w:val="17"/>
          <w:color w:val="auto"/>
        </w:rPr>
        <w:t>loans, dollar amount and trends in non-performing loans, certain impaired loans, and loans identified as sensitive assets. Sensitive assets include non-accrual loans, past-due loans, loans on First Busey’s watch loan reports and other loans identified as having probable potential for loss.</w:t>
      </w:r>
    </w:p>
    <w:p>
      <w:pPr>
        <w:spacing w:after="0" w:line="14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allowance consists of specific and general components. The specific component considers loans that are classified as impaired. For such loans that are classified as impaired, an allowance is established when the discounted cash flows (or collateral value or observable market price) of the impaired loan is lower than the carrying amount of that loan. The general component covers non-classified loans and classified loans not considered impaired, and is based on historical loss experience adjusted for qualitative factors. Other adjustments may be made to the allowance for pools of loans after an assessment of internal or external influences on credit quality that are not fully reflected in the historical loss experience.</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loan is considered to be impaired when, based on current information and events, it is probable First Busey will not be able to collect all principal and interest amounts due according to the contractual terms of the loan agreement. When a loan becomes impaired, management generally calculates the impairment based on the present value of expected future cash flows discounted at the loan’s effective interest rate. If the loan is collateral dependent, the fair value of the collateral is used to measure the amount of impairment. The amount of impairment and any subsequent changes are recorded through a charge to the provision for loan losses. For collateral dependent loans, First Busey has determined the required allowance on these loans based upon the estimated fair value, net of selling costs, of the applicable collateral. The required allowance or actual losses on these impaired loans could differ significantly if the ultimate fair value of the collateral is significantly different from the fair value estimates used by First Busey in estimating such potential losses.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DISCLOSURES ABOUT MARKET RISK</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Market risk is the risk of changes in asset values due to movements in underlying market rates and prices. Interest rate risk is the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First Busey has an asset-liability committee, whose policy is to meet at least quarterly, to review current market conditions and attempts to structure the balance sheet to ensure stable net interest income despite potential changes in interest rates with all other variables constant.</w:t>
      </w:r>
    </w:p>
    <w:p>
      <w:pPr>
        <w:spacing w:after="0" w:line="14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year-one time horizon and a year-two time horizon, and net interest income is calculated under current market rates and then assuming permanent instantaneous shifts of +/-100, +/-200, +/-300 and +/-400 basis points. Management measures such changes assuming immediate and sustained shifts in the federal funds rate and other market rate indices and the corresponding shifts in other non-market rate indices based on their historical changes relative to changes in the federal funds rate and other market indices. The model assumes assets and liabilities remain constant at the measurement date balances. The model uses repricing frequency on all variable-rate assets and liabilities. Prepayment speeds on loans have been adjusted to incorporate expected prepayment speeds in both a declining and rising rate environment. As of September 30, 2016 and December 31, 2015, due to the current low interest rate environment, a downward adjustment in federal fund rates was not meaningful.</w:t>
      </w:r>
    </w:p>
    <w:p>
      <w:pPr>
        <w:spacing w:after="0" w:line="16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Utilizing this measurement concept, the interest rate risk of First Busey due to an immediate and sustained change in interest rates, expressed as a change in net interest income as a percentage of the net interest income calculated in the constant base model,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Year-One: Basis Point Changes</w:t>
            </w: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2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-400</w:t>
            </w:r>
          </w:p>
        </w:tc>
        <w:tc>
          <w:tcPr>
            <w:tcW w:w="240" w:type="dxa"/>
            <w:vAlign w:val="bottom"/>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-300</w:t>
            </w:r>
          </w:p>
        </w:tc>
        <w:tc>
          <w:tcPr>
            <w:tcW w:w="220" w:type="dxa"/>
            <w:vAlign w:val="bottom"/>
          </w:tcPr>
          <w:p>
            <w:pPr>
              <w:spacing w:after="0"/>
              <w:rPr>
                <w:sz w:val="12"/>
                <w:szCs w:val="12"/>
                <w:color w:val="auto"/>
              </w:rPr>
            </w:pPr>
          </w:p>
        </w:tc>
        <w:tc>
          <w:tcPr>
            <w:tcW w:w="92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-200</w:t>
            </w:r>
          </w:p>
        </w:tc>
        <w:tc>
          <w:tcPr>
            <w:tcW w:w="240" w:type="dxa"/>
            <w:vAlign w:val="bottom"/>
          </w:tcPr>
          <w:p>
            <w:pPr>
              <w:spacing w:after="0"/>
              <w:rPr>
                <w:sz w:val="12"/>
                <w:szCs w:val="12"/>
                <w:color w:val="auto"/>
              </w:rPr>
            </w:pPr>
          </w:p>
        </w:tc>
        <w:tc>
          <w:tcPr>
            <w:tcW w:w="90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-100</w:t>
            </w:r>
          </w:p>
        </w:tc>
        <w:tc>
          <w:tcPr>
            <w:tcW w:w="24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+100</w:t>
            </w:r>
          </w:p>
        </w:tc>
        <w:tc>
          <w:tcPr>
            <w:tcW w:w="22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+200</w:t>
            </w:r>
          </w:p>
        </w:tc>
        <w:tc>
          <w:tcPr>
            <w:tcW w:w="20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+300</w:t>
            </w:r>
          </w:p>
        </w:tc>
        <w:tc>
          <w:tcPr>
            <w:tcW w:w="20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+400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2016</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(0.42)%</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(1.96)%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(0.01)%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(0.33)%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(1.00)%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Year-Two: Basis Point Changes</w:t>
            </w: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2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-400</w:t>
            </w:r>
          </w:p>
        </w:tc>
        <w:tc>
          <w:tcPr>
            <w:tcW w:w="240" w:type="dxa"/>
            <w:vAlign w:val="bottom"/>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-300</w:t>
            </w:r>
          </w:p>
        </w:tc>
        <w:tc>
          <w:tcPr>
            <w:tcW w:w="220" w:type="dxa"/>
            <w:vAlign w:val="bottom"/>
          </w:tcPr>
          <w:p>
            <w:pPr>
              <w:spacing w:after="0"/>
              <w:rPr>
                <w:sz w:val="12"/>
                <w:szCs w:val="12"/>
                <w:color w:val="auto"/>
              </w:rPr>
            </w:pPr>
          </w:p>
        </w:tc>
        <w:tc>
          <w:tcPr>
            <w:tcW w:w="92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-200</w:t>
            </w:r>
          </w:p>
        </w:tc>
        <w:tc>
          <w:tcPr>
            <w:tcW w:w="240" w:type="dxa"/>
            <w:vAlign w:val="bottom"/>
          </w:tcPr>
          <w:p>
            <w:pPr>
              <w:spacing w:after="0"/>
              <w:rPr>
                <w:sz w:val="12"/>
                <w:szCs w:val="12"/>
                <w:color w:val="auto"/>
              </w:rPr>
            </w:pPr>
          </w:p>
        </w:tc>
        <w:tc>
          <w:tcPr>
            <w:tcW w:w="90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-100</w:t>
            </w:r>
          </w:p>
        </w:tc>
        <w:tc>
          <w:tcPr>
            <w:tcW w:w="24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+100</w:t>
            </w:r>
          </w:p>
        </w:tc>
        <w:tc>
          <w:tcPr>
            <w:tcW w:w="22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+200</w:t>
            </w:r>
          </w:p>
        </w:tc>
        <w:tc>
          <w:tcPr>
            <w:tcW w:w="20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+300</w:t>
            </w:r>
          </w:p>
        </w:tc>
        <w:tc>
          <w:tcPr>
            <w:tcW w:w="20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+400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2016</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2.83%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4.90%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6.91%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3.04%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5.58%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7.59%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8.95%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risk is monitored and managed within approved policy limits. The calculation of potential effects of hypothetical interest rate changes was based on numerous assumptions and should not be relied upon as indicative of actual results. Actual results will differ from simulated results due to timing, magnitude and frequency of interest rate changes as well as changes in market conditions and management strategies. The above results do not take into account any management action to mitigate potential risk.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 evaluation of our disclosure controls and procedures (as defined in Rule 13a-15(e) under the Securities Exchange Act of 1934, as amended (the “Exchange Act”)) was carried out as of September 30, 2016, under the supervision and with the participation of our Chief Executive Officer, Chief Financial Officer and several other members of our senior management. Based on this evaluation, our Chief Executive Officer and Chief Financial Officer concluded that, as of September 30, 2016, our disclosure controls and procedures were effective in ensuring that the information we are required to disclose in the reports we file or submit under the Exchange Act is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ectPr>
          <w:pgSz w:w="11900" w:h="16838" w:orient="portrait"/>
          <w:cols w:equalWidth="0" w:num="1">
            <w:col w:w="11420"/>
          </w:cols>
          <w:pgMar w:left="240" w:top="125" w:right="239" w:bottom="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5" w:right="239" w:bottom="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Changes in Internal Control over Financial Reporting</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quarter ended September 30, 2016, First Busey did not make any changes in its internal control over financial reporting or other factors that have materially affected, or are reasonably likely to materially affect, its internal control over financial reporting.</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ordinary course of business, First Busey and its subsidiaries are parties to litigation that is incidental to their regular business activities.</w:t>
      </w:r>
    </w:p>
    <w:p>
      <w:pPr>
        <w:spacing w:after="0" w:line="237" w:lineRule="exact"/>
        <w:rPr>
          <w:sz w:val="20"/>
          <w:szCs w:val="20"/>
          <w:color w:val="auto"/>
        </w:rPr>
      </w:pPr>
    </w:p>
    <w:p>
      <w:pPr>
        <w:jc w:val="both"/>
        <w:ind w:right="580"/>
        <w:spacing w:after="0" w:line="286" w:lineRule="auto"/>
        <w:rPr>
          <w:sz w:val="20"/>
          <w:szCs w:val="20"/>
          <w:color w:val="auto"/>
        </w:rPr>
      </w:pPr>
      <w:r>
        <w:rPr>
          <w:rFonts w:ascii="Arial" w:cs="Arial" w:eastAsia="Arial" w:hAnsi="Arial"/>
          <w:sz w:val="17"/>
          <w:szCs w:val="17"/>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disclosed in Item 1A of Part I of the Company’s 2015 Annual Report on Form 10-K.</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On February 3, 2015, First Busey’s board of directors authorized the Company to repurchase up to an aggregate of 666,667 shares of its common stock. The repurchase plan has no expiration date and replaced the prior repurchase plan that was originally approved in 2008. There were no purchases made by or on behalf of First Busey of shares of its common stock during the quarter ended September 30, 2016. At September 30, 2016, the Company had 333,334 shares that may yet be purchased under the plan.</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3.  DEFAULTS UPON SENIOR SECURITES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10160" w:type="dxa"/>
            <w:vAlign w:val="bottom"/>
          </w:tcPr>
          <w:p>
            <w:pPr>
              <w:ind w:left="4320"/>
              <w:spacing w:after="0"/>
              <w:rPr>
                <w:sz w:val="20"/>
                <w:szCs w:val="20"/>
                <w:color w:val="auto"/>
              </w:rPr>
            </w:pPr>
            <w:r>
              <w:rPr>
                <w:rFonts w:ascii="Arial" w:cs="Arial" w:eastAsia="Arial" w:hAnsi="Arial"/>
                <w:sz w:val="18"/>
                <w:szCs w:val="18"/>
                <w:color w:val="auto"/>
              </w:rPr>
              <w:t>61</w:t>
            </w:r>
          </w:p>
        </w:tc>
      </w:tr>
      <w:tr>
        <w:trPr>
          <w:trHeight w:val="132"/>
        </w:trPr>
        <w:tc>
          <w:tcPr>
            <w:tcW w:w="1300" w:type="dxa"/>
            <w:vAlign w:val="bottom"/>
            <w:tcBorders>
              <w:bottom w:val="single" w:sz="8" w:color="808080"/>
            </w:tcBorders>
          </w:tcPr>
          <w:p>
            <w:pPr>
              <w:spacing w:after="0"/>
              <w:rPr>
                <w:sz w:val="11"/>
                <w:szCs w:val="11"/>
                <w:color w:val="auto"/>
              </w:rPr>
            </w:pPr>
          </w:p>
        </w:tc>
        <w:tc>
          <w:tcPr>
            <w:tcW w:w="10160" w:type="dxa"/>
            <w:vAlign w:val="bottom"/>
            <w:tcBorders>
              <w:bottom w:val="single" w:sz="8" w:color="808080"/>
            </w:tcBorders>
          </w:tcPr>
          <w:p>
            <w:pPr>
              <w:spacing w:after="0"/>
              <w:rPr>
                <w:sz w:val="11"/>
                <w:szCs w:val="11"/>
                <w:color w:val="auto"/>
              </w:rPr>
            </w:pPr>
          </w:p>
        </w:tc>
      </w:tr>
      <w:tr>
        <w:trPr>
          <w:trHeight w:val="780"/>
        </w:trPr>
        <w:tc>
          <w:tcPr>
            <w:tcW w:w="1300" w:type="dxa"/>
            <w:vAlign w:val="bottom"/>
          </w:tcPr>
          <w:p>
            <w:pPr>
              <w:spacing w:after="0"/>
              <w:rPr>
                <w:sz w:val="24"/>
                <w:szCs w:val="24"/>
                <w:color w:val="auto"/>
              </w:rPr>
            </w:pPr>
          </w:p>
        </w:tc>
        <w:tc>
          <w:tcPr>
            <w:tcW w:w="10160" w:type="dxa"/>
            <w:vAlign w:val="bottom"/>
          </w:tcPr>
          <w:p>
            <w:pPr>
              <w:ind w:left="3580"/>
              <w:spacing w:after="0"/>
              <w:rPr>
                <w:sz w:val="20"/>
                <w:szCs w:val="20"/>
                <w:color w:val="auto"/>
              </w:rPr>
            </w:pPr>
            <w:r>
              <w:rPr>
                <w:rFonts w:ascii="Arial" w:cs="Arial" w:eastAsia="Arial" w:hAnsi="Arial"/>
                <w:sz w:val="18"/>
                <w:szCs w:val="18"/>
                <w:b w:val="1"/>
                <w:bCs w:val="1"/>
                <w:color w:val="auto"/>
              </w:rPr>
              <w:t>ITEM 6.  EXHIBITS</w:t>
            </w:r>
          </w:p>
        </w:tc>
      </w:tr>
      <w:tr>
        <w:trPr>
          <w:trHeight w:val="432"/>
        </w:trPr>
        <w:tc>
          <w:tcPr>
            <w:tcW w:w="1300" w:type="dxa"/>
            <w:vAlign w:val="bottom"/>
          </w:tcPr>
          <w:p>
            <w:pPr>
              <w:ind w:left="540"/>
              <w:spacing w:after="0"/>
              <w:rPr>
                <w:sz w:val="20"/>
                <w:szCs w:val="20"/>
                <w:color w:val="auto"/>
              </w:rPr>
            </w:pPr>
            <w:r>
              <w:rPr>
                <w:rFonts w:ascii="Arial" w:cs="Arial" w:eastAsia="Arial" w:hAnsi="Arial"/>
                <w:sz w:val="18"/>
                <w:szCs w:val="18"/>
                <w:color w:val="auto"/>
              </w:rPr>
              <w:t>*10.1</w:t>
            </w:r>
          </w:p>
        </w:tc>
        <w:tc>
          <w:tcPr>
            <w:tcW w:w="10160" w:type="dxa"/>
            <w:vAlign w:val="bottom"/>
          </w:tcPr>
          <w:p>
            <w:pPr>
              <w:ind w:left="320"/>
              <w:spacing w:after="0"/>
              <w:rPr>
                <w:sz w:val="20"/>
                <w:szCs w:val="20"/>
                <w:color w:val="auto"/>
              </w:rPr>
            </w:pPr>
            <w:r>
              <w:rPr>
                <w:rFonts w:ascii="Arial" w:cs="Arial" w:eastAsia="Arial" w:hAnsi="Arial"/>
                <w:sz w:val="18"/>
                <w:szCs w:val="18"/>
                <w:color w:val="auto"/>
              </w:rPr>
              <w:t>Employment Agreement by and among First Busey Corporation, Busey Bank and Curt Anderson, dated February 1, 2014.</w:t>
            </w:r>
          </w:p>
        </w:tc>
      </w:tr>
      <w:tr>
        <w:trPr>
          <w:trHeight w:val="432"/>
        </w:trPr>
        <w:tc>
          <w:tcPr>
            <w:tcW w:w="1300" w:type="dxa"/>
            <w:vAlign w:val="bottom"/>
          </w:tcPr>
          <w:p>
            <w:pPr>
              <w:ind w:left="540"/>
              <w:spacing w:after="0"/>
              <w:rPr>
                <w:sz w:val="20"/>
                <w:szCs w:val="20"/>
                <w:color w:val="auto"/>
              </w:rPr>
            </w:pPr>
            <w:r>
              <w:rPr>
                <w:rFonts w:ascii="Arial" w:cs="Arial" w:eastAsia="Arial" w:hAnsi="Arial"/>
                <w:sz w:val="18"/>
                <w:szCs w:val="18"/>
                <w:color w:val="auto"/>
              </w:rPr>
              <w:t>*10.2</w:t>
            </w:r>
          </w:p>
        </w:tc>
        <w:tc>
          <w:tcPr>
            <w:tcW w:w="10160" w:type="dxa"/>
            <w:vAlign w:val="bottom"/>
          </w:tcPr>
          <w:p>
            <w:pPr>
              <w:ind w:left="320"/>
              <w:spacing w:after="0"/>
              <w:rPr>
                <w:sz w:val="20"/>
                <w:szCs w:val="20"/>
                <w:color w:val="auto"/>
              </w:rPr>
            </w:pPr>
            <w:r>
              <w:rPr>
                <w:rFonts w:ascii="Arial" w:cs="Arial" w:eastAsia="Arial" w:hAnsi="Arial"/>
                <w:sz w:val="18"/>
                <w:szCs w:val="18"/>
                <w:color w:val="auto"/>
              </w:rPr>
              <w:t>Employment Agreement by and among First Busey Corporation, Busey Bank and Amy Randolph, dated February 1, 2014.</w:t>
            </w:r>
          </w:p>
        </w:tc>
      </w:tr>
      <w:tr>
        <w:trPr>
          <w:trHeight w:val="432"/>
        </w:trPr>
        <w:tc>
          <w:tcPr>
            <w:tcW w:w="1300" w:type="dxa"/>
            <w:vAlign w:val="bottom"/>
          </w:tcPr>
          <w:p>
            <w:pPr>
              <w:ind w:left="540"/>
              <w:spacing w:after="0"/>
              <w:rPr>
                <w:sz w:val="20"/>
                <w:szCs w:val="20"/>
                <w:color w:val="auto"/>
              </w:rPr>
            </w:pPr>
            <w:r>
              <w:rPr>
                <w:rFonts w:ascii="Arial" w:cs="Arial" w:eastAsia="Arial" w:hAnsi="Arial"/>
                <w:sz w:val="18"/>
                <w:szCs w:val="18"/>
                <w:color w:val="auto"/>
              </w:rPr>
              <w:t>*31.1</w:t>
            </w:r>
          </w:p>
        </w:tc>
        <w:tc>
          <w:tcPr>
            <w:tcW w:w="10160" w:type="dxa"/>
            <w:vAlign w:val="bottom"/>
          </w:tcPr>
          <w:p>
            <w:pPr>
              <w:ind w:left="320"/>
              <w:spacing w:after="0"/>
              <w:rPr>
                <w:sz w:val="20"/>
                <w:szCs w:val="20"/>
                <w:color w:val="auto"/>
              </w:rPr>
            </w:pPr>
            <w:r>
              <w:rPr>
                <w:rFonts w:ascii="Arial" w:cs="Arial" w:eastAsia="Arial" w:hAnsi="Arial"/>
                <w:sz w:val="18"/>
                <w:szCs w:val="18"/>
                <w:color w:val="auto"/>
              </w:rPr>
              <w:t>Certification of Principal Executive Officer, pursuant to Rule 13a-14(a) and Rule 15d-14(a).</w:t>
            </w:r>
          </w:p>
        </w:tc>
      </w:tr>
      <w:tr>
        <w:trPr>
          <w:trHeight w:val="432"/>
        </w:trPr>
        <w:tc>
          <w:tcPr>
            <w:tcW w:w="1300" w:type="dxa"/>
            <w:vAlign w:val="bottom"/>
          </w:tcPr>
          <w:p>
            <w:pPr>
              <w:ind w:left="540"/>
              <w:spacing w:after="0"/>
              <w:rPr>
                <w:sz w:val="20"/>
                <w:szCs w:val="20"/>
                <w:color w:val="auto"/>
              </w:rPr>
            </w:pPr>
            <w:r>
              <w:rPr>
                <w:rFonts w:ascii="Arial" w:cs="Arial" w:eastAsia="Arial" w:hAnsi="Arial"/>
                <w:sz w:val="18"/>
                <w:szCs w:val="18"/>
                <w:color w:val="auto"/>
              </w:rPr>
              <w:t>*31.2</w:t>
            </w:r>
          </w:p>
        </w:tc>
        <w:tc>
          <w:tcPr>
            <w:tcW w:w="10160" w:type="dxa"/>
            <w:vAlign w:val="bottom"/>
          </w:tcPr>
          <w:p>
            <w:pPr>
              <w:ind w:left="320"/>
              <w:spacing w:after="0"/>
              <w:rPr>
                <w:sz w:val="20"/>
                <w:szCs w:val="20"/>
                <w:color w:val="auto"/>
              </w:rPr>
            </w:pPr>
            <w:r>
              <w:rPr>
                <w:rFonts w:ascii="Arial" w:cs="Arial" w:eastAsia="Arial" w:hAnsi="Arial"/>
                <w:sz w:val="18"/>
                <w:szCs w:val="18"/>
                <w:color w:val="auto"/>
              </w:rPr>
              <w:t>Certification of Principal Financial Officer, pursuant to Rule 13a-14(a) and Rule 15d-14(a).</w:t>
            </w:r>
          </w:p>
        </w:tc>
      </w:tr>
      <w:tr>
        <w:trPr>
          <w:trHeight w:val="418"/>
        </w:trPr>
        <w:tc>
          <w:tcPr>
            <w:tcW w:w="1300" w:type="dxa"/>
            <w:vAlign w:val="bottom"/>
          </w:tcPr>
          <w:p>
            <w:pPr>
              <w:ind w:left="540"/>
              <w:spacing w:after="0"/>
              <w:rPr>
                <w:sz w:val="20"/>
                <w:szCs w:val="20"/>
                <w:color w:val="auto"/>
              </w:rPr>
            </w:pPr>
            <w:r>
              <w:rPr>
                <w:rFonts w:ascii="Arial" w:cs="Arial" w:eastAsia="Arial" w:hAnsi="Arial"/>
                <w:sz w:val="18"/>
                <w:szCs w:val="18"/>
                <w:color w:val="auto"/>
              </w:rPr>
              <w:t>*32.1</w:t>
            </w:r>
          </w:p>
        </w:tc>
        <w:tc>
          <w:tcPr>
            <w:tcW w:w="10160" w:type="dxa"/>
            <w:vAlign w:val="bottom"/>
          </w:tcPr>
          <w:p>
            <w:pPr>
              <w:ind w:left="320"/>
              <w:spacing w:after="0"/>
              <w:rPr>
                <w:sz w:val="20"/>
                <w:szCs w:val="20"/>
                <w:color w:val="auto"/>
              </w:rPr>
            </w:pPr>
            <w:r>
              <w:rPr>
                <w:rFonts w:ascii="Arial" w:cs="Arial" w:eastAsia="Arial" w:hAnsi="Arial"/>
                <w:sz w:val="18"/>
                <w:szCs w:val="18"/>
                <w:color w:val="auto"/>
                <w:w w:val="95"/>
              </w:rPr>
              <w:t>Certification pursuant to 18 U.S.C. Section 1350, as adopted pursuant to Section 906 of the Sarbanes-Oxley Act of 2002, from the</w:t>
            </w:r>
          </w:p>
        </w:tc>
      </w:tr>
      <w:tr>
        <w:trPr>
          <w:trHeight w:val="230"/>
        </w:trPr>
        <w:tc>
          <w:tcPr>
            <w:tcW w:w="1300" w:type="dxa"/>
            <w:vAlign w:val="bottom"/>
          </w:tcPr>
          <w:p>
            <w:pPr>
              <w:spacing w:after="0"/>
              <w:rPr>
                <w:sz w:val="20"/>
                <w:szCs w:val="20"/>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rPr>
              <w:t>Company’s Chief Executive Officer.</w:t>
            </w:r>
          </w:p>
        </w:tc>
      </w:tr>
      <w:tr>
        <w:trPr>
          <w:trHeight w:val="418"/>
        </w:trPr>
        <w:tc>
          <w:tcPr>
            <w:tcW w:w="1300" w:type="dxa"/>
            <w:vAlign w:val="bottom"/>
          </w:tcPr>
          <w:p>
            <w:pPr>
              <w:ind w:left="540"/>
              <w:spacing w:after="0"/>
              <w:rPr>
                <w:sz w:val="20"/>
                <w:szCs w:val="20"/>
                <w:color w:val="auto"/>
              </w:rPr>
            </w:pPr>
            <w:r>
              <w:rPr>
                <w:rFonts w:ascii="Arial" w:cs="Arial" w:eastAsia="Arial" w:hAnsi="Arial"/>
                <w:sz w:val="18"/>
                <w:szCs w:val="18"/>
                <w:color w:val="auto"/>
              </w:rPr>
              <w:t>*32.2</w:t>
            </w:r>
          </w:p>
        </w:tc>
        <w:tc>
          <w:tcPr>
            <w:tcW w:w="10160" w:type="dxa"/>
            <w:vAlign w:val="bottom"/>
          </w:tcPr>
          <w:p>
            <w:pPr>
              <w:ind w:left="320"/>
              <w:spacing w:after="0"/>
              <w:rPr>
                <w:sz w:val="20"/>
                <w:szCs w:val="20"/>
                <w:color w:val="auto"/>
              </w:rPr>
            </w:pPr>
            <w:r>
              <w:rPr>
                <w:rFonts w:ascii="Arial" w:cs="Arial" w:eastAsia="Arial" w:hAnsi="Arial"/>
                <w:sz w:val="18"/>
                <w:szCs w:val="18"/>
                <w:color w:val="auto"/>
                <w:w w:val="95"/>
              </w:rPr>
              <w:t>Certification pursuant to 18 U.S.C. Section 1350, as adopted pursuant to Section 906 of the Sarbanes-Oxley Act of 2002, from the</w:t>
            </w:r>
          </w:p>
        </w:tc>
      </w:tr>
      <w:tr>
        <w:trPr>
          <w:trHeight w:val="230"/>
        </w:trPr>
        <w:tc>
          <w:tcPr>
            <w:tcW w:w="1300" w:type="dxa"/>
            <w:vAlign w:val="bottom"/>
          </w:tcPr>
          <w:p>
            <w:pPr>
              <w:spacing w:after="0"/>
              <w:rPr>
                <w:sz w:val="20"/>
                <w:szCs w:val="20"/>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rPr>
              <w:t>Company’s Chief Financial Officer.</w:t>
            </w:r>
          </w:p>
        </w:tc>
      </w:tr>
      <w:tr>
        <w:trPr>
          <w:trHeight w:val="432"/>
        </w:trPr>
        <w:tc>
          <w:tcPr>
            <w:tcW w:w="1300" w:type="dxa"/>
            <w:vAlign w:val="bottom"/>
          </w:tcPr>
          <w:p>
            <w:pPr>
              <w:ind w:left="540"/>
              <w:spacing w:after="0"/>
              <w:rPr>
                <w:sz w:val="20"/>
                <w:szCs w:val="20"/>
                <w:color w:val="auto"/>
              </w:rPr>
            </w:pPr>
            <w:r>
              <w:rPr>
                <w:rFonts w:ascii="Arial" w:cs="Arial" w:eastAsia="Arial" w:hAnsi="Arial"/>
                <w:sz w:val="18"/>
                <w:szCs w:val="18"/>
                <w:color w:val="auto"/>
              </w:rPr>
              <w:t>*101</w:t>
            </w:r>
          </w:p>
        </w:tc>
        <w:tc>
          <w:tcPr>
            <w:tcW w:w="10160" w:type="dxa"/>
            <w:vAlign w:val="bottom"/>
          </w:tcPr>
          <w:p>
            <w:pPr>
              <w:ind w:left="320"/>
              <w:spacing w:after="0"/>
              <w:rPr>
                <w:sz w:val="20"/>
                <w:szCs w:val="20"/>
                <w:color w:val="auto"/>
              </w:rPr>
            </w:pPr>
            <w:r>
              <w:rPr>
                <w:rFonts w:ascii="Arial" w:cs="Arial" w:eastAsia="Arial" w:hAnsi="Arial"/>
                <w:sz w:val="18"/>
                <w:szCs w:val="18"/>
                <w:color w:val="auto"/>
              </w:rPr>
              <w:t>Interactive Data File</w:t>
            </w:r>
          </w:p>
        </w:tc>
      </w:tr>
      <w:tr>
        <w:trPr>
          <w:trHeight w:val="432"/>
        </w:trPr>
        <w:tc>
          <w:tcPr>
            <w:tcW w:w="1300" w:type="dxa"/>
            <w:vAlign w:val="bottom"/>
          </w:tcPr>
          <w:p>
            <w:pPr>
              <w:spacing w:after="0"/>
              <w:rPr>
                <w:sz w:val="24"/>
                <w:szCs w:val="24"/>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w w:val="90"/>
              </w:rPr>
              <w:t>Interactive data files pursuant to Rule 405 of Regulation S-T: (i) Consolidated Balance Sheets at September 30, 2016 and December 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-2994660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-2994660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620" w:right="60"/>
        <w:spacing w:after="0" w:line="295" w:lineRule="auto"/>
        <w:rPr>
          <w:sz w:val="20"/>
          <w:szCs w:val="20"/>
          <w:color w:val="auto"/>
        </w:rPr>
      </w:pPr>
      <w:r>
        <w:rPr>
          <w:rFonts w:ascii="Arial" w:cs="Arial" w:eastAsia="Arial" w:hAnsi="Arial"/>
          <w:sz w:val="16"/>
          <w:szCs w:val="16"/>
          <w:color w:val="auto"/>
        </w:rPr>
        <w:t>2015; (ii) Consolidated Statements of Income for the three and nine months ended September 30, 2016 and 2015; (iii) Consolidated Statements of Comprehensive Income for the three and nine months ended September 30, 2016 and 2015; (iv) Consolidated Statements of Stockholders’ Equity for the nine months ended September 30, 2016 and 2015; (v) Consolidated Statements of Cash Flows for the nine months ended September 30, 2016 and 2015; and (vi)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8268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733" w:right="199" w:bottom="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27" w:lineRule="exact"/>
        <w:rPr>
          <w:sz w:val="20"/>
          <w:szCs w:val="20"/>
          <w:color w:val="auto"/>
        </w:rPr>
      </w:pPr>
    </w:p>
    <w:p>
      <w:pPr>
        <w:jc w:val="center"/>
        <w:ind w:left="5580"/>
        <w:spacing w:after="0"/>
        <w:tabs>
          <w:tab w:leader="none" w:pos="200" w:val="left"/>
        </w:tabs>
        <w:rPr>
          <w:sz w:val="20"/>
          <w:szCs w:val="20"/>
          <w:color w:val="auto"/>
        </w:rPr>
      </w:pPr>
      <w:r>
        <w:rPr>
          <w:rFonts w:ascii="Arial" w:cs="Arial" w:eastAsia="Arial" w:hAnsi="Arial"/>
          <w:sz w:val="18"/>
          <w:szCs w:val="18"/>
          <w:color w:val="auto"/>
        </w:rPr>
        <w:t>By:</w:t>
        <w:tab/>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33191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1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33191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1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SUSAN K.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33191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1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Susan K. Miller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Deputy Chief Financial Officer and Chief Accounting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2016</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580" w:right="37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u w:val="single" w:color="auto"/>
          <w:color w:val="auto"/>
        </w:rPr>
        <w:t>Execution Copy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EMPLOYMENT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by and among First Busey Corporation (“</w:t>
      </w:r>
      <w:r>
        <w:rPr>
          <w:rFonts w:ascii="Arial" w:cs="Arial" w:eastAsia="Arial" w:hAnsi="Arial"/>
          <w:sz w:val="18"/>
          <w:szCs w:val="18"/>
          <w:b w:val="1"/>
          <w:bCs w:val="1"/>
          <w:color w:val="auto"/>
        </w:rPr>
        <w:t>First Busey</w:t>
      </w:r>
      <w:r>
        <w:rPr>
          <w:rFonts w:ascii="Arial" w:cs="Arial" w:eastAsia="Arial" w:hAnsi="Arial"/>
          <w:sz w:val="18"/>
          <w:szCs w:val="18"/>
          <w:color w:val="auto"/>
        </w:rPr>
        <w:t>”), Busey Bank (the “</w:t>
      </w:r>
      <w:r>
        <w:rPr>
          <w:rFonts w:ascii="Arial" w:cs="Arial" w:eastAsia="Arial" w:hAnsi="Arial"/>
          <w:sz w:val="18"/>
          <w:szCs w:val="18"/>
          <w:b w:val="1"/>
          <w:bCs w:val="1"/>
          <w:color w:val="auto"/>
        </w:rPr>
        <w:t>Bank</w:t>
      </w:r>
      <w:r>
        <w:rPr>
          <w:rFonts w:ascii="Arial" w:cs="Arial" w:eastAsia="Arial" w:hAnsi="Arial"/>
          <w:sz w:val="18"/>
          <w:szCs w:val="18"/>
          <w:color w:val="auto"/>
        </w:rPr>
        <w:t>,” and together with First Busey, “</w:t>
      </w:r>
      <w:r>
        <w:rPr>
          <w:rFonts w:ascii="Arial" w:cs="Arial" w:eastAsia="Arial" w:hAnsi="Arial"/>
          <w:sz w:val="18"/>
          <w:szCs w:val="18"/>
          <w:b w:val="1"/>
          <w:bCs w:val="1"/>
          <w:color w:val="auto"/>
        </w:rPr>
        <w:t>Employer</w:t>
      </w:r>
      <w:r>
        <w:rPr>
          <w:rFonts w:ascii="Arial" w:cs="Arial" w:eastAsia="Arial" w:hAnsi="Arial"/>
          <w:sz w:val="18"/>
          <w:szCs w:val="18"/>
          <w:color w:val="auto"/>
        </w:rPr>
        <w:t>”) and Curt Anderson (“</w:t>
      </w:r>
      <w:r>
        <w:rPr>
          <w:rFonts w:ascii="Arial" w:cs="Arial" w:eastAsia="Arial" w:hAnsi="Arial"/>
          <w:sz w:val="18"/>
          <w:szCs w:val="18"/>
          <w:b w:val="1"/>
          <w:bCs w:val="1"/>
          <w:color w:val="auto"/>
        </w:rPr>
        <w:t>Executive</w:t>
      </w:r>
      <w:r>
        <w:rPr>
          <w:rFonts w:ascii="Arial" w:cs="Arial" w:eastAsia="Arial" w:hAnsi="Arial"/>
          <w:sz w:val="18"/>
          <w:szCs w:val="18"/>
          <w:color w:val="auto"/>
        </w:rPr>
        <w:t>,” and together with Employer,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380" w:hanging="724"/>
        <w:spacing w:after="0"/>
        <w:tabs>
          <w:tab w:leader="none" w:pos="13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Bank is a wholly owned subsidiary of First Busey.</w:t>
      </w:r>
    </w:p>
    <w:p>
      <w:pPr>
        <w:spacing w:after="0" w:line="225" w:lineRule="exact"/>
        <w:rPr>
          <w:rFonts w:ascii="Arial" w:cs="Arial" w:eastAsia="Arial" w:hAnsi="Arial"/>
          <w:sz w:val="18"/>
          <w:szCs w:val="18"/>
          <w:b w:val="1"/>
          <w:bCs w:val="1"/>
          <w:color w:val="auto"/>
        </w:rPr>
      </w:pPr>
    </w:p>
    <w:p>
      <w:pPr>
        <w:ind w:right="620" w:firstLine="656"/>
        <w:spacing w:after="0" w:line="277" w:lineRule="auto"/>
        <w:tabs>
          <w:tab w:leader="none" w:pos="1353"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Executive is currently employed by Employer pursuant to that certain employment agreement dated July 30, 2007, as subsequently amended (the “</w:t>
      </w:r>
      <w:r>
        <w:rPr>
          <w:rFonts w:ascii="Arial" w:cs="Arial" w:eastAsia="Arial" w:hAnsi="Arial"/>
          <w:sz w:val="18"/>
          <w:szCs w:val="18"/>
          <w:b w:val="1"/>
          <w:bCs w:val="1"/>
          <w:color w:val="auto"/>
        </w:rPr>
        <w:t>Prior Employment Agreement</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right="380" w:firstLine="656"/>
        <w:spacing w:after="0" w:line="277" w:lineRule="auto"/>
        <w:tabs>
          <w:tab w:leader="none" w:pos="1363"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Employer has determined it to be in its best interests to enter into this Agreement pertaining to the employment of Executive as of and following the Effective Date (as defined below).</w:t>
      </w:r>
    </w:p>
    <w:p>
      <w:pPr>
        <w:spacing w:after="0" w:line="170" w:lineRule="exact"/>
        <w:rPr>
          <w:rFonts w:ascii="Arial" w:cs="Arial" w:eastAsia="Arial" w:hAnsi="Arial"/>
          <w:sz w:val="18"/>
          <w:szCs w:val="18"/>
          <w:b w:val="1"/>
          <w:bCs w:val="1"/>
          <w:color w:val="auto"/>
        </w:rPr>
      </w:pPr>
    </w:p>
    <w:p>
      <w:pPr>
        <w:ind w:left="1380" w:hanging="724"/>
        <w:spacing w:after="0"/>
        <w:tabs>
          <w:tab w:leader="none" w:pos="138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Executive desires to be employed by Employer as of and following the Effective Date in accordance with the terms of this Agreement.</w:t>
      </w:r>
    </w:p>
    <w:p>
      <w:pPr>
        <w:spacing w:after="0" w:line="233"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and of the respective covenants and agreements of the Parties contained herein,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AGREEMENTS</w:t>
      </w:r>
    </w:p>
    <w:p>
      <w:pPr>
        <w:spacing w:after="0" w:line="225" w:lineRule="exact"/>
        <w:rPr>
          <w:sz w:val="20"/>
          <w:szCs w:val="20"/>
          <w:color w:val="auto"/>
        </w:rPr>
      </w:pPr>
    </w:p>
    <w:p>
      <w:pPr>
        <w:ind w:right="80" w:firstLine="778"/>
        <w:spacing w:after="0" w:line="266"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Prior Employment Agreement</w:t>
      </w:r>
      <w:r>
        <w:rPr>
          <w:rFonts w:ascii="Arial" w:cs="Arial" w:eastAsia="Arial" w:hAnsi="Arial"/>
          <w:sz w:val="18"/>
          <w:szCs w:val="18"/>
          <w:color w:val="auto"/>
        </w:rPr>
        <w:t>. This Agreement supersedes all of the terms and conditions of the Prior Employment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such Prior Employment Agreement shall become null and void as of the Effective Time, and the parties thereunder shall have no rights or interests therein.</w:t>
      </w:r>
    </w:p>
    <w:p>
      <w:pPr>
        <w:spacing w:after="0" w:line="176" w:lineRule="exact"/>
        <w:rPr>
          <w:sz w:val="20"/>
          <w:szCs w:val="20"/>
          <w:color w:val="auto"/>
        </w:rPr>
      </w:pPr>
    </w:p>
    <w:p>
      <w:pPr>
        <w:ind w:right="60" w:firstLine="778"/>
        <w:spacing w:after="0" w:line="258"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Term with Automatic Renewal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effective as of February 1, 2014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of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and Executive’s employment hereunder shall be for a period of one (1) year commencing as of the Effective Date. The Term shall automatically renew for one (1) additional year at the end of the then existing Term, unless either Party provides written notice to the other Party not less than ninety (90) days prior to the end of the then existing Term that such Party does not wish to extend the Term.</w:t>
      </w:r>
    </w:p>
    <w:p>
      <w:pPr>
        <w:spacing w:after="0" w:line="184" w:lineRule="exact"/>
        <w:rPr>
          <w:sz w:val="20"/>
          <w:szCs w:val="20"/>
          <w:color w:val="auto"/>
        </w:rPr>
      </w:pPr>
    </w:p>
    <w:p>
      <w:pPr>
        <w:ind w:left="780"/>
        <w:spacing w:after="0"/>
        <w:tabs>
          <w:tab w:leader="none" w:pos="200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u w:val="single" w:color="auto"/>
          <w:color w:val="auto"/>
        </w:rPr>
        <w:t>Employment</w:t>
      </w:r>
      <w:r>
        <w:rPr>
          <w:rFonts w:ascii="Arial" w:cs="Arial" w:eastAsia="Arial" w:hAnsi="Arial"/>
          <w:sz w:val="16"/>
          <w:szCs w:val="16"/>
          <w:b w:val="1"/>
          <w:bCs w:val="1"/>
          <w:color w:val="auto"/>
        </w:rPr>
        <w:t>.</w:t>
      </w:r>
    </w:p>
    <w:p>
      <w:pPr>
        <w:spacing w:after="0" w:line="225" w:lineRule="exact"/>
        <w:rPr>
          <w:sz w:val="20"/>
          <w:szCs w:val="20"/>
          <w:color w:val="auto"/>
        </w:rPr>
      </w:pPr>
    </w:p>
    <w:p>
      <w:pPr>
        <w:ind w:right="20" w:firstLine="1305"/>
        <w:spacing w:after="0" w:line="258" w:lineRule="auto"/>
        <w:tabs>
          <w:tab w:leader="none" w:pos="2001"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Positions and Duties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of this Agreement, Executive shall devote Executive’s full business time, energies and</w:t>
      </w:r>
      <w:r>
        <w:rPr>
          <w:rFonts w:ascii="Arial" w:cs="Arial" w:eastAsia="Arial" w:hAnsi="Arial"/>
          <w:sz w:val="18"/>
          <w:szCs w:val="18"/>
          <w:b w:val="1"/>
          <w:bCs w:val="1"/>
          <w:color w:val="auto"/>
        </w:rPr>
        <w:t xml:space="preserve"> </w:t>
      </w:r>
      <w:r>
        <w:rPr>
          <w:rFonts w:ascii="Arial" w:cs="Arial" w:eastAsia="Arial" w:hAnsi="Arial"/>
          <w:sz w:val="18"/>
          <w:szCs w:val="18"/>
          <w:color w:val="auto"/>
        </w:rPr>
        <w:t>talent to serving as the Executive Vice President, Senior Managing Director of Busey Wealth Management, at the direction of the President and Chief Executive Officer of Busey Wealth Management (the “</w:t>
      </w:r>
      <w:r>
        <w:rPr>
          <w:rFonts w:ascii="Arial" w:cs="Arial" w:eastAsia="Arial" w:hAnsi="Arial"/>
          <w:sz w:val="18"/>
          <w:szCs w:val="18"/>
          <w:b w:val="1"/>
          <w:bCs w:val="1"/>
          <w:color w:val="auto"/>
        </w:rPr>
        <w:t>CEO</w:t>
      </w:r>
      <w:r>
        <w:rPr>
          <w:rFonts w:ascii="Arial" w:cs="Arial" w:eastAsia="Arial" w:hAnsi="Arial"/>
          <w:sz w:val="18"/>
          <w:szCs w:val="18"/>
          <w:color w:val="auto"/>
        </w:rPr>
        <w:t>”) and the Executive Managing Director of Busey Wealth Management (the “</w:t>
      </w:r>
      <w:r>
        <w:rPr>
          <w:rFonts w:ascii="Arial" w:cs="Arial" w:eastAsia="Arial" w:hAnsi="Arial"/>
          <w:sz w:val="18"/>
          <w:szCs w:val="18"/>
          <w:b w:val="1"/>
          <w:bCs w:val="1"/>
          <w:color w:val="auto"/>
        </w:rPr>
        <w:t>EMD</w:t>
      </w:r>
      <w:r>
        <w:rPr>
          <w:rFonts w:ascii="Arial" w:cs="Arial" w:eastAsia="Arial" w:hAnsi="Arial"/>
          <w:sz w:val="18"/>
          <w:szCs w:val="18"/>
          <w:color w:val="auto"/>
        </w:rPr>
        <w:t>” and individually or collectively with the CEO, “</w:t>
      </w:r>
      <w:r>
        <w:rPr>
          <w:rFonts w:ascii="Arial" w:cs="Arial" w:eastAsia="Arial" w:hAnsi="Arial"/>
          <w:sz w:val="18"/>
          <w:szCs w:val="18"/>
          <w:b w:val="1"/>
          <w:bCs w:val="1"/>
          <w:color w:val="auto"/>
        </w:rPr>
        <w:t>CEO/EMD</w:t>
      </w:r>
      <w:r>
        <w:rPr>
          <w:rFonts w:ascii="Arial" w:cs="Arial" w:eastAsia="Arial" w:hAnsi="Arial"/>
          <w:sz w:val="18"/>
          <w:szCs w:val="18"/>
          <w:color w:val="auto"/>
        </w:rPr>
        <w:t>”). Executive shall perform all duties assigned to Executive faithfully, loyally and efficiently, and shall have such duties, authority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responsibilities as may be assigned to Executive from time to time by the CEO/EMD, which duties, authority and responsibilities shall include those customarily held by such officer of comparable companies, subject always to the charter and bylaw provisions and policies of Employer and the directions of the CEO/EMD. Executive shall perform the duties required by this Agreement at Employer’s principal place of business unless the nature of such duties requires otherwise. Notwithstanding the foregoing, during the Term, Executive may devote reasonable time to activities other than those required under this Agreement, including activities of a charitable, educational, religious or similar nature (including professional associations) to the extent such activities do not in any material way inhibit, prohibit, interfere with or conflict with Executive’s duties under this Agreement or conflict in any material way with the business of Employer.</w:t>
      </w:r>
    </w:p>
    <w:p>
      <w:pPr>
        <w:spacing w:after="0" w:line="185" w:lineRule="exact"/>
        <w:rPr>
          <w:sz w:val="20"/>
          <w:szCs w:val="20"/>
          <w:color w:val="auto"/>
        </w:rPr>
      </w:pPr>
    </w:p>
    <w:p>
      <w:pPr>
        <w:jc w:val="both"/>
        <w:ind w:right="120" w:firstLine="1305"/>
        <w:spacing w:after="0" w:line="266" w:lineRule="auto"/>
        <w:tabs>
          <w:tab w:leader="none" w:pos="2011"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of First Busey (the “</w:t>
      </w:r>
      <w:r>
        <w:rPr>
          <w:rFonts w:ascii="Arial" w:cs="Arial" w:eastAsia="Arial" w:hAnsi="Arial"/>
          <w:sz w:val="18"/>
          <w:szCs w:val="18"/>
          <w:b w:val="1"/>
          <w:bCs w:val="1"/>
          <w:color w:val="auto"/>
        </w:rPr>
        <w:t>Board</w:t>
      </w:r>
      <w:r>
        <w:rPr>
          <w:rFonts w:ascii="Arial" w:cs="Arial" w:eastAsia="Arial" w:hAnsi="Arial"/>
          <w:sz w:val="18"/>
          <w:szCs w:val="18"/>
          <w:color w:val="auto"/>
        </w:rPr>
        <w:t>”) may, in its sole discretion, cause Executive’s employment to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from Employer to any wholly-owned subsidiary of First Busey, in which case all references in this Agreement to “</w:t>
      </w:r>
      <w:r>
        <w:rPr>
          <w:rFonts w:ascii="Arial" w:cs="Arial" w:eastAsia="Arial" w:hAnsi="Arial"/>
          <w:sz w:val="18"/>
          <w:szCs w:val="18"/>
          <w:b w:val="1"/>
          <w:bCs w:val="1"/>
          <w:color w:val="auto"/>
        </w:rPr>
        <w:t>Employer</w:t>
      </w:r>
      <w:r>
        <w:rPr>
          <w:rFonts w:ascii="Arial" w:cs="Arial" w:eastAsia="Arial" w:hAnsi="Arial"/>
          <w:sz w:val="18"/>
          <w:szCs w:val="18"/>
          <w:color w:val="auto"/>
        </w:rPr>
        <w:t>” shall be deemed to refer to such subsidiary (and First Busey, if applicable).</w:t>
      </w:r>
    </w:p>
    <w:p>
      <w:pPr>
        <w:spacing w:after="0" w:line="176" w:lineRule="exact"/>
        <w:rPr>
          <w:sz w:val="20"/>
          <w:szCs w:val="20"/>
          <w:color w:val="auto"/>
        </w:rPr>
      </w:pPr>
    </w:p>
    <w:p>
      <w:pPr>
        <w:ind w:right="600" w:firstLine="778"/>
        <w:spacing w:after="0" w:line="282"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Compensation and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of this Agreement, during the Term of this Agreement, Employer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compensate Executive for Executive’s services as follows:</w:t>
      </w:r>
    </w:p>
    <w:p>
      <w:pPr>
        <w:spacing w:after="0" w:line="162" w:lineRule="exact"/>
        <w:rPr>
          <w:sz w:val="20"/>
          <w:szCs w:val="20"/>
          <w:color w:val="auto"/>
        </w:rPr>
      </w:pPr>
    </w:p>
    <w:p>
      <w:pPr>
        <w:ind w:left="2000" w:hanging="695"/>
        <w:spacing w:after="0"/>
        <w:tabs>
          <w:tab w:leader="none" w:pos="20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annual base salary rate shall be Two Hundred and Twenty-Five Thousand Dollars</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($225,000.00) (the “</w:t>
      </w:r>
      <w:r>
        <w:rPr>
          <w:rFonts w:ascii="Arial" w:cs="Arial" w:eastAsia="Arial" w:hAnsi="Arial"/>
          <w:sz w:val="18"/>
          <w:szCs w:val="18"/>
          <w:b w:val="1"/>
          <w:bCs w:val="1"/>
          <w:color w:val="auto"/>
        </w:rPr>
        <w:t>Base Salary</w:t>
      </w:r>
      <w:r>
        <w:rPr>
          <w:rFonts w:ascii="Arial" w:cs="Arial" w:eastAsia="Arial" w:hAnsi="Arial"/>
          <w:sz w:val="18"/>
          <w:szCs w:val="18"/>
          <w:color w:val="auto"/>
        </w:rPr>
        <w:t>”), which shall be payable in accordance with Employer’s normal payroll practices as are in effect from time to time. Beginning in 2014 and annually thereafter, the Board shall review Executive’s Base Salary at such time as it reviews Employer’s executive compensation to determine whether Executive’s Base Salary should be maintained at its existing level or increased, with any increase being effective as determined by the Board.</w:t>
      </w:r>
    </w:p>
    <w:p>
      <w:pPr>
        <w:spacing w:after="0" w:line="186" w:lineRule="exact"/>
        <w:rPr>
          <w:sz w:val="20"/>
          <w:szCs w:val="20"/>
          <w:color w:val="auto"/>
        </w:rPr>
      </w:pPr>
    </w:p>
    <w:p>
      <w:pPr>
        <w:ind w:right="60" w:firstLine="1305"/>
        <w:spacing w:after="0" w:line="255" w:lineRule="auto"/>
        <w:tabs>
          <w:tab w:leader="none" w:pos="2011"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Discretionary Performance Bonus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shall consider Executive for a bonus each year during the Term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criteria established by the Board and/or the CEO/EMD and any other factors deemed by the Board to be appropriate. Bonuses shall be awarded, if at all, in the sole discretion of the Board, and nothing in this Agreement shall require the payment of a bonus in any given year. For purposes of this Agreement, bonuses shall be considered earned when all corporate action has been taken to determine such bonuses. Payment of any such bonus shall be made as soon as practicable after it is earned, but in no event later than two and one-half (2½) months following the end of the calendar year in which it is earned; provided that, Bonuses shall not be considered earned until the Board has made all determinations and taken all actions necessary to establish such bonuses.</w:t>
      </w:r>
    </w:p>
    <w:p>
      <w:pPr>
        <w:sectPr>
          <w:pgSz w:w="11900" w:h="16838" w:orient="portrait"/>
          <w:cols w:equalWidth="0" w:num="1">
            <w:col w:w="11420"/>
          </w:cols>
          <w:pgMar w:left="240" w:top="121" w:right="239" w:bottom="0" w:gutter="0" w:footer="0" w:header="0"/>
        </w:sectPr>
      </w:pPr>
    </w:p>
    <w:bookmarkStart w:id="42" w:name="page43"/>
    <w:bookmarkEnd w:id="42"/>
    <w:p>
      <w:pPr>
        <w:spacing w:after="0" w:line="71" w:lineRule="exact"/>
        <w:rPr>
          <w:sz w:val="20"/>
          <w:szCs w:val="20"/>
          <w:color w:val="auto"/>
        </w:rPr>
      </w:pPr>
    </w:p>
    <w:p>
      <w:pPr>
        <w:ind w:right="140" w:firstLine="1305"/>
        <w:spacing w:after="0" w:line="282" w:lineRule="auto"/>
        <w:tabs>
          <w:tab w:leader="none" w:pos="1991"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 Term Incentive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be eligible to participate in Employer’s long-term equity incentive program,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the sole discretion of the Board (or an authorized committee thereof).</w:t>
      </w:r>
    </w:p>
    <w:p>
      <w:pPr>
        <w:spacing w:after="0" w:line="161" w:lineRule="exact"/>
        <w:rPr>
          <w:rFonts w:ascii="Arial" w:cs="Arial" w:eastAsia="Arial" w:hAnsi="Arial"/>
          <w:sz w:val="18"/>
          <w:szCs w:val="18"/>
          <w:b w:val="1"/>
          <w:bCs w:val="1"/>
          <w:color w:val="auto"/>
        </w:rPr>
      </w:pPr>
    </w:p>
    <w:p>
      <w:pPr>
        <w:ind w:right="140" w:firstLine="1305"/>
        <w:spacing w:after="0" w:line="282" w:lineRule="auto"/>
        <w:tabs>
          <w:tab w:leader="none" w:pos="2011"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Profit Sharing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be eligible to receive an annual profit sharing benefit based on the combined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Base Salary and, if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applicable, Executive’s discretionary performance bonus, after Executive meets the eligibility requirements of the applicable profit sharing plan. The Board shall decide the exact amount of this benefit annually in its sole discretion. Employer shall contribute this benefit for the account of Executive to Employer’s tax-qualified retirement plan and/or any nonqualified deferred compensation plan that Employer establishes or maintains. All such profit sharing benefit payments shall be determined and governed by the terms of the applicable plan. Employer shall have no obligation to continue to maintain any particular benefit plan or arrangement and the profit sharing benefit described in this </w:t>
      </w:r>
      <w:r>
        <w:rPr>
          <w:rFonts w:ascii="Arial" w:cs="Arial" w:eastAsia="Arial" w:hAnsi="Arial"/>
          <w:sz w:val="16"/>
          <w:szCs w:val="16"/>
          <w:b w:val="1"/>
          <w:bCs w:val="1"/>
          <w:color w:val="auto"/>
        </w:rPr>
        <w:t>Section 4(d)</w:t>
      </w:r>
      <w:r>
        <w:rPr>
          <w:rFonts w:ascii="Arial" w:cs="Arial" w:eastAsia="Arial" w:hAnsi="Arial"/>
          <w:sz w:val="16"/>
          <w:szCs w:val="16"/>
          <w:color w:val="auto"/>
        </w:rPr>
        <w:t xml:space="preserve"> may be amended or terminated by Employer at any time for any reason or no reason,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amendment or termination applies to all other similarly situated senior executives of Employer.</w:t>
      </w:r>
    </w:p>
    <w:p>
      <w:pPr>
        <w:spacing w:after="0" w:line="161" w:lineRule="exact"/>
        <w:rPr>
          <w:sz w:val="20"/>
          <w:szCs w:val="20"/>
          <w:color w:val="auto"/>
        </w:rPr>
      </w:pPr>
    </w:p>
    <w:p>
      <w:pPr>
        <w:ind w:right="20" w:firstLine="1305"/>
        <w:spacing w:after="0" w:line="258" w:lineRule="auto"/>
        <w:tabs>
          <w:tab w:leader="none" w:pos="1991"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Reimbursement of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shall reimburse Executive for all travel, entertainment and other out-of-pocket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that Executive reasonably and necessarily incurs in the performance of Executive’s duties under this Agreement. Executive shall document these expenses to the extent necessary to comply with all applicable laws and Employer policies. Any reimbursement payments hereunder shall be made as soon as practicable, and when taxable to Executive, in no event later than two and one-half (2½) months following the end of the year in which the corresponding expenses are incurred.</w:t>
      </w:r>
    </w:p>
    <w:p>
      <w:pPr>
        <w:spacing w:after="0" w:line="183" w:lineRule="exact"/>
        <w:rPr>
          <w:rFonts w:ascii="Arial" w:cs="Arial" w:eastAsia="Arial" w:hAnsi="Arial"/>
          <w:sz w:val="18"/>
          <w:szCs w:val="18"/>
          <w:b w:val="1"/>
          <w:bCs w:val="1"/>
          <w:color w:val="auto"/>
        </w:rPr>
      </w:pPr>
    </w:p>
    <w:p>
      <w:pPr>
        <w:ind w:right="160" w:firstLine="1305"/>
        <w:spacing w:after="0" w:line="303" w:lineRule="auto"/>
        <w:tabs>
          <w:tab w:leader="none" w:pos="2016"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Other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shall be eligible to participate, subject to the terms thereof, in all Employer retirement plans and</w:t>
      </w:r>
      <w:r>
        <w:rPr>
          <w:rFonts w:ascii="Arial" w:cs="Arial" w:eastAsia="Arial" w:hAnsi="Arial"/>
          <w:sz w:val="16"/>
          <w:szCs w:val="16"/>
          <w:b w:val="1"/>
          <w:bCs w:val="1"/>
          <w:color w:val="auto"/>
        </w:rPr>
        <w:t xml:space="preserve"> </w:t>
      </w:r>
      <w:r>
        <w:rPr>
          <w:rFonts w:ascii="Arial" w:cs="Arial" w:eastAsia="Arial" w:hAnsi="Arial"/>
          <w:sz w:val="16"/>
          <w:szCs w:val="16"/>
          <w:color w:val="auto"/>
        </w:rPr>
        <w:t>health, dental, life insurance and similar plans, as may be in effect from time to time with respect to similarly situated senior executives. In addition to the foregoing benefits, Executive shall continue to be eligible to participate in Employer’s key life insurance program following the Effective Date (which entry date was March 1, 2009) with a death benefit amount of one million dollars ($1,000,000.00), subject to insurability and all other terms of such program.</w:t>
      </w:r>
    </w:p>
    <w:p>
      <w:pPr>
        <w:spacing w:after="0" w:line="151" w:lineRule="exact"/>
        <w:rPr>
          <w:rFonts w:ascii="Arial" w:cs="Arial" w:eastAsia="Arial" w:hAnsi="Arial"/>
          <w:sz w:val="16"/>
          <w:szCs w:val="16"/>
          <w:b w:val="1"/>
          <w:bCs w:val="1"/>
          <w:color w:val="auto"/>
        </w:rPr>
      </w:pPr>
    </w:p>
    <w:p>
      <w:pPr>
        <w:ind w:right="460" w:firstLine="1305"/>
        <w:spacing w:after="0" w:line="282" w:lineRule="auto"/>
        <w:tabs>
          <w:tab w:leader="none" w:pos="2001"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Vacations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be subject to Employer’s general vacation policy as may be in effect from time to time, but shall</w:t>
      </w:r>
      <w:r>
        <w:rPr>
          <w:rFonts w:ascii="Arial" w:cs="Arial" w:eastAsia="Arial" w:hAnsi="Arial"/>
          <w:sz w:val="18"/>
          <w:szCs w:val="18"/>
          <w:b w:val="1"/>
          <w:bCs w:val="1"/>
          <w:color w:val="auto"/>
        </w:rPr>
        <w:t xml:space="preserve"> </w:t>
      </w:r>
      <w:r>
        <w:rPr>
          <w:rFonts w:ascii="Arial" w:cs="Arial" w:eastAsia="Arial" w:hAnsi="Arial"/>
          <w:sz w:val="18"/>
          <w:szCs w:val="18"/>
          <w:color w:val="auto"/>
        </w:rPr>
        <w:t>accrue not less than twenty-five (25) days of paid vacation annually.</w:t>
      </w:r>
    </w:p>
    <w:p>
      <w:pPr>
        <w:spacing w:after="0" w:line="161" w:lineRule="exact"/>
        <w:rPr>
          <w:rFonts w:ascii="Arial" w:cs="Arial" w:eastAsia="Arial" w:hAnsi="Arial"/>
          <w:sz w:val="18"/>
          <w:szCs w:val="18"/>
          <w:b w:val="1"/>
          <w:bCs w:val="1"/>
          <w:color w:val="auto"/>
        </w:rPr>
      </w:pPr>
    </w:p>
    <w:p>
      <w:pPr>
        <w:ind w:right="300" w:firstLine="1305"/>
        <w:spacing w:after="0" w:line="282" w:lineRule="auto"/>
        <w:tabs>
          <w:tab w:leader="none" w:pos="2011"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may withhold any applicable federal, state and local withholding and other taxes from payments that</w:t>
      </w:r>
      <w:r>
        <w:rPr>
          <w:rFonts w:ascii="Arial" w:cs="Arial" w:eastAsia="Arial" w:hAnsi="Arial"/>
          <w:sz w:val="18"/>
          <w:szCs w:val="18"/>
          <w:b w:val="1"/>
          <w:bCs w:val="1"/>
          <w:color w:val="auto"/>
        </w:rPr>
        <w:t xml:space="preserve"> </w:t>
      </w:r>
      <w:r>
        <w:rPr>
          <w:rFonts w:ascii="Arial" w:cs="Arial" w:eastAsia="Arial" w:hAnsi="Arial"/>
          <w:sz w:val="18"/>
          <w:szCs w:val="18"/>
          <w:color w:val="auto"/>
        </w:rPr>
        <w:t>become due or allowances that are provided to Executive.</w:t>
      </w:r>
    </w:p>
    <w:p>
      <w:pPr>
        <w:spacing w:after="0" w:line="161" w:lineRule="exact"/>
        <w:rPr>
          <w:rFonts w:ascii="Arial" w:cs="Arial" w:eastAsia="Arial" w:hAnsi="Arial"/>
          <w:sz w:val="18"/>
          <w:szCs w:val="18"/>
          <w:b w:val="1"/>
          <w:bCs w:val="1"/>
          <w:color w:val="auto"/>
        </w:rPr>
      </w:pPr>
    </w:p>
    <w:p>
      <w:pPr>
        <w:ind w:right="140" w:firstLine="1305"/>
        <w:spacing w:after="0" w:line="258" w:lineRule="auto"/>
        <w:tabs>
          <w:tab w:leader="none" w:pos="200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shall grant to Executive during each of 2014, 2015, and 2016, at the time equity grants are</w:t>
      </w:r>
      <w:r>
        <w:rPr>
          <w:rFonts w:ascii="Arial" w:cs="Arial" w:eastAsia="Arial" w:hAnsi="Arial"/>
          <w:sz w:val="18"/>
          <w:szCs w:val="18"/>
          <w:b w:val="1"/>
          <w:bCs w:val="1"/>
          <w:color w:val="auto"/>
        </w:rPr>
        <w:t xml:space="preserve"> </w:t>
      </w:r>
      <w:r>
        <w:rPr>
          <w:rFonts w:ascii="Arial" w:cs="Arial" w:eastAsia="Arial" w:hAnsi="Arial"/>
          <w:sz w:val="18"/>
          <w:szCs w:val="18"/>
          <w:color w:val="auto"/>
        </w:rPr>
        <w:t>made to other senior officers of the Employer, restricted stock units, with a grant date fair value of One Hundred Thousand Dollars ($100,000.00) each, with such awards to be based upon the standard terms and conditions of the Employer’s restricted stock unit award agreements, with such awards cliff-vesting in their entirety on their respective fifth anniversary of grant provided that Executive has remained employed with Employer at all times through such vesting dates.</w:t>
      </w:r>
    </w:p>
    <w:p>
      <w:pPr>
        <w:spacing w:after="0" w:line="184" w:lineRule="exact"/>
        <w:rPr>
          <w:sz w:val="20"/>
          <w:szCs w:val="20"/>
          <w:color w:val="auto"/>
        </w:rPr>
      </w:pPr>
    </w:p>
    <w:p>
      <w:pPr>
        <w:ind w:right="120" w:firstLine="778"/>
        <w:spacing w:after="0" w:line="282"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Rights and Payments Upon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Either Party may terminate Executive’s employment under this Agreement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the terms of this </w:t>
      </w:r>
      <w:r>
        <w:rPr>
          <w:rFonts w:ascii="Arial" w:cs="Arial" w:eastAsia="Arial" w:hAnsi="Arial"/>
          <w:sz w:val="18"/>
          <w:szCs w:val="18"/>
          <w:b w:val="1"/>
          <w:bCs w:val="1"/>
          <w:color w:val="auto"/>
        </w:rPr>
        <w:t>Section 5</w:t>
      </w:r>
      <w:r>
        <w:rPr>
          <w:rFonts w:ascii="Arial" w:cs="Arial" w:eastAsia="Arial" w:hAnsi="Arial"/>
          <w:sz w:val="18"/>
          <w:szCs w:val="18"/>
          <w:color w:val="auto"/>
        </w:rPr>
        <w:t>. Executive’s right to benefits and payments, if any, for periods after the effective date 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Executive’s termination of employment with Employer (the “</w:t>
      </w:r>
      <w:r>
        <w:rPr>
          <w:rFonts w:ascii="Arial" w:cs="Arial" w:eastAsia="Arial" w:hAnsi="Arial"/>
          <w:sz w:val="18"/>
          <w:szCs w:val="18"/>
          <w:b w:val="1"/>
          <w:bCs w:val="1"/>
          <w:color w:val="auto"/>
        </w:rPr>
        <w:t>Termination Date</w:t>
      </w:r>
      <w:r>
        <w:rPr>
          <w:rFonts w:ascii="Arial" w:cs="Arial" w:eastAsia="Arial" w:hAnsi="Arial"/>
          <w:sz w:val="18"/>
          <w:szCs w:val="18"/>
          <w:color w:val="auto"/>
        </w:rPr>
        <w:t xml:space="preserve">”) shall be determined in accordance with this </w:t>
      </w:r>
      <w:r>
        <w:rPr>
          <w:rFonts w:ascii="Arial" w:cs="Arial" w:eastAsia="Arial" w:hAnsi="Arial"/>
          <w:sz w:val="18"/>
          <w:szCs w:val="18"/>
          <w:b w:val="1"/>
          <w:bCs w:val="1"/>
          <w:color w:val="auto"/>
        </w:rPr>
        <w:t>Section 5</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70" w:lineRule="auto"/>
        <w:tabs>
          <w:tab w:leader="none" w:pos="2001" w:val="left"/>
        </w:tabs>
        <w:numPr>
          <w:ilvl w:val="1"/>
          <w:numId w:val="1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 Without Cause</w:t>
      </w:r>
      <w:r>
        <w:rPr>
          <w:rFonts w:ascii="Arial" w:cs="Arial" w:eastAsia="Arial" w:hAnsi="Arial"/>
          <w:sz w:val="17"/>
          <w:szCs w:val="17"/>
          <w:b w:val="1"/>
          <w:bCs w:val="1"/>
          <w:color w:val="auto"/>
        </w:rPr>
        <w:t xml:space="preserve">. </w:t>
      </w:r>
      <w:r>
        <w:rPr>
          <w:rFonts w:ascii="Arial" w:cs="Arial" w:eastAsia="Arial" w:hAnsi="Arial"/>
          <w:sz w:val="17"/>
          <w:szCs w:val="17"/>
          <w:color w:val="auto"/>
        </w:rPr>
        <w:t>Either Party may terminate this Agreement and Executive’s employment hereunder for any reason</w:t>
      </w:r>
      <w:r>
        <w:rPr>
          <w:rFonts w:ascii="Arial" w:cs="Arial" w:eastAsia="Arial" w:hAnsi="Arial"/>
          <w:sz w:val="17"/>
          <w:szCs w:val="17"/>
          <w:b w:val="1"/>
          <w:bCs w:val="1"/>
          <w:color w:val="auto"/>
        </w:rPr>
        <w:t xml:space="preserve"> </w:t>
      </w:r>
      <w:r>
        <w:rPr>
          <w:rFonts w:ascii="Arial" w:cs="Arial" w:eastAsia="Arial" w:hAnsi="Arial"/>
          <w:sz w:val="17"/>
          <w:szCs w:val="17"/>
          <w:color w:val="auto"/>
        </w:rPr>
        <w:t>by delivering written notice of termination to the other Party no fewer than thirty (30) days before the Termination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notice shall not be required in a Termination for Cause (as defined below)), which date shall be specified in the notice of termination. Employer may provide for an earlier Termination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Employer pays to Executive the Base Salary that would have been earned during such notice period. Any payment in lieu of notice pursuant to this </w:t>
      </w:r>
      <w:r>
        <w:rPr>
          <w:rFonts w:ascii="Arial" w:cs="Arial" w:eastAsia="Arial" w:hAnsi="Arial"/>
          <w:sz w:val="17"/>
          <w:szCs w:val="17"/>
          <w:b w:val="1"/>
          <w:bCs w:val="1"/>
          <w:color w:val="auto"/>
        </w:rPr>
        <w:t>Section 5(a)</w:t>
      </w:r>
      <w:r>
        <w:rPr>
          <w:rFonts w:ascii="Arial" w:cs="Arial" w:eastAsia="Arial" w:hAnsi="Arial"/>
          <w:sz w:val="17"/>
          <w:szCs w:val="17"/>
          <w:color w:val="auto"/>
        </w:rPr>
        <w:t xml:space="preserve"> shall be made in a single lump sum on the first payroll date following the Termination Date. If Executive voluntarily terminates Executive’s employment under this Agreement other than pursuant to </w:t>
      </w:r>
      <w:r>
        <w:rPr>
          <w:rFonts w:ascii="Arial" w:cs="Arial" w:eastAsia="Arial" w:hAnsi="Arial"/>
          <w:sz w:val="17"/>
          <w:szCs w:val="17"/>
          <w:b w:val="1"/>
          <w:bCs w:val="1"/>
          <w:color w:val="auto"/>
        </w:rPr>
        <w:t>Section 5(c)</w:t>
      </w:r>
      <w:r>
        <w:rPr>
          <w:rFonts w:ascii="Arial" w:cs="Arial" w:eastAsia="Arial" w:hAnsi="Arial"/>
          <w:sz w:val="17"/>
          <w:szCs w:val="17"/>
          <w:color w:val="auto"/>
        </w:rPr>
        <w:t xml:space="preserve"> (Termination for Good Reason), then Employer shall be required to pay Executive the Accrued Amounts, and Employer shall have no further obligations to Executive under this Agreement. “</w:t>
      </w:r>
      <w:r>
        <w:rPr>
          <w:rFonts w:ascii="Arial" w:cs="Arial" w:eastAsia="Arial" w:hAnsi="Arial"/>
          <w:sz w:val="17"/>
          <w:szCs w:val="17"/>
          <w:b w:val="1"/>
          <w:bCs w:val="1"/>
          <w:color w:val="auto"/>
        </w:rPr>
        <w:t>Accrued Amounts</w:t>
      </w:r>
      <w:r>
        <w:rPr>
          <w:rFonts w:ascii="Arial" w:cs="Arial" w:eastAsia="Arial" w:hAnsi="Arial"/>
          <w:sz w:val="17"/>
          <w:szCs w:val="17"/>
          <w:color w:val="auto"/>
        </w:rPr>
        <w:t xml:space="preserve">” shall be the following amounts as have accrued through the Termination Date: (i) earned but unpaid Base Salary, (ii) earned but unpaid bonus under </w:t>
      </w:r>
      <w:r>
        <w:rPr>
          <w:rFonts w:ascii="Arial" w:cs="Arial" w:eastAsia="Arial" w:hAnsi="Arial"/>
          <w:sz w:val="17"/>
          <w:szCs w:val="17"/>
          <w:b w:val="1"/>
          <w:bCs w:val="1"/>
          <w:color w:val="auto"/>
        </w:rPr>
        <w:t>Section 4(b)</w:t>
      </w:r>
      <w:r>
        <w:rPr>
          <w:rFonts w:ascii="Arial" w:cs="Arial" w:eastAsia="Arial" w:hAnsi="Arial"/>
          <w:sz w:val="17"/>
          <w:szCs w:val="17"/>
          <w:color w:val="auto"/>
        </w:rPr>
        <w:t>, (iii) accrued but unpaid vacation pay; and (iv) provided Executive submits the required documentation in accordance with established policies</w:t>
      </w:r>
      <w:r>
        <w:rPr>
          <w:rFonts w:ascii="Arial" w:cs="Arial" w:eastAsia="Arial" w:hAnsi="Arial"/>
          <w:sz w:val="17"/>
          <w:szCs w:val="17"/>
          <w:b w:val="1"/>
          <w:bCs w:val="1"/>
          <w:color w:val="auto"/>
        </w:rPr>
        <w:t xml:space="preserve"> </w:t>
      </w:r>
      <w:r>
        <w:rPr>
          <w:rFonts w:ascii="Arial" w:cs="Arial" w:eastAsia="Arial" w:hAnsi="Arial"/>
          <w:sz w:val="17"/>
          <w:szCs w:val="17"/>
          <w:color w:val="auto"/>
        </w:rPr>
        <w:t>and within thirty (30) days of the Termination Date, unreimbursed business expenses incurred during the Term.</w:t>
      </w:r>
    </w:p>
    <w:p>
      <w:pPr>
        <w:spacing w:after="0" w:line="177" w:lineRule="exact"/>
        <w:rPr>
          <w:rFonts w:ascii="Arial" w:cs="Arial" w:eastAsia="Arial" w:hAnsi="Arial"/>
          <w:sz w:val="17"/>
          <w:szCs w:val="17"/>
          <w:b w:val="1"/>
          <w:bCs w:val="1"/>
          <w:color w:val="auto"/>
        </w:rPr>
      </w:pPr>
    </w:p>
    <w:p>
      <w:pPr>
        <w:ind w:right="20" w:firstLine="1305"/>
        <w:spacing w:after="0" w:line="283" w:lineRule="auto"/>
        <w:tabs>
          <w:tab w:leader="none" w:pos="2011" w:val="left"/>
        </w:tabs>
        <w:numPr>
          <w:ilvl w:val="1"/>
          <w:numId w:val="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may terminate this Agreement and Executive’s employment hereunder immediately for</w:t>
      </w:r>
      <w:r>
        <w:rPr>
          <w:rFonts w:ascii="Arial" w:cs="Arial" w:eastAsia="Arial" w:hAnsi="Arial"/>
          <w:sz w:val="16"/>
          <w:szCs w:val="16"/>
          <w:b w:val="1"/>
          <w:bCs w:val="1"/>
          <w:color w:val="auto"/>
        </w:rPr>
        <w:t xml:space="preserve"> </w:t>
      </w:r>
      <w:r>
        <w:rPr>
          <w:rFonts w:ascii="Arial" w:cs="Arial" w:eastAsia="Arial" w:hAnsi="Arial"/>
          <w:sz w:val="16"/>
          <w:szCs w:val="16"/>
          <w:color w:val="auto"/>
        </w:rPr>
        <w:t>Cause by delivering written notice of termination to Executive (with such notice being delivered no less than thirty (30) days before the Termination Date in the event of a termination based on either a curable breach or failure under subsection (vii) below or subsection (viii) below). “</w:t>
      </w:r>
      <w:r>
        <w:rPr>
          <w:rFonts w:ascii="Arial" w:cs="Arial" w:eastAsia="Arial" w:hAnsi="Arial"/>
          <w:sz w:val="16"/>
          <w:szCs w:val="16"/>
          <w:b w:val="1"/>
          <w:bCs w:val="1"/>
          <w:color w:val="auto"/>
        </w:rPr>
        <w:t>Cause</w:t>
      </w:r>
      <w:r>
        <w:rPr>
          <w:rFonts w:ascii="Arial" w:cs="Arial" w:eastAsia="Arial" w:hAnsi="Arial"/>
          <w:sz w:val="16"/>
          <w:szCs w:val="16"/>
          <w:color w:val="auto"/>
        </w:rPr>
        <w:t>” for termination shall exist if: (i) Executive engages in one (1) or more unsafe or unsound banking practices or material violations of a law or regulation applicable to Employer or any subsidiary; (ii) Executive engages in any repeated violations of a policy of Employer after being warned in writing by the Board or the CEO/EMD not to violate such policy; (iii) Executive engages in any single violation of a policy of Employer if such violation materially and adversely affects the business or affairs of Employer; (iv) Executive fails to timely implement a direction or order of the Board or the CEO/EMD, unless such direction or order would violate the law; (v) Executive engages in a breach of fiduciary duty or act of dishonesty involving the affairs of Employer; (vi) Executive is removed or suspended from banking pursuant to Section 8(e) of the Federal Deposit Insurance Act or any other applicable state or federal law; (vii) Executive commits a material breach of Executive’s obligations under this Agreement, and if such breach is determined to be curable by the CEO/EMD or the Board, Executive fails to cure such breach during the thirty (30)-day notice period, if applicable; (viii) Executive materially fails to perform Executive’s duties to Employer with the degree of skill, care or competence expected by the Board or the CEO/EMD following written notice by the CEO/EMD or the Board, and if such failure is determined to be curable by the CEO/EMD or the Board, Executive fails to cure such failure during the thirty (30)-day notice period, if applicable; or</w:t>
      </w:r>
    </w:p>
    <w:p>
      <w:pPr>
        <w:spacing w:after="0" w:line="7" w:lineRule="exact"/>
        <w:rPr>
          <w:rFonts w:ascii="Arial" w:cs="Arial" w:eastAsia="Arial" w:hAnsi="Arial"/>
          <w:sz w:val="16"/>
          <w:szCs w:val="16"/>
          <w:b w:val="1"/>
          <w:bCs w:val="1"/>
          <w:color w:val="auto"/>
        </w:rPr>
      </w:pPr>
    </w:p>
    <w:p>
      <w:pPr>
        <w:ind w:right="40" w:firstLine="8"/>
        <w:spacing w:after="0" w:line="255" w:lineRule="auto"/>
        <w:tabs>
          <w:tab w:leader="none" w:pos="3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Executive is found guilty of, or pleads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or an act of dishonesty in connection with the performance of Executive’s duties as an officer of Employer, or an act that disqualifies Executive from serving as an officer or director of Employer. If Executive’s employment is terminated pursuant to this </w:t>
      </w:r>
      <w:r>
        <w:rPr>
          <w:rFonts w:ascii="Arial" w:cs="Arial" w:eastAsia="Arial" w:hAnsi="Arial"/>
          <w:sz w:val="18"/>
          <w:szCs w:val="18"/>
          <w:b w:val="1"/>
          <w:bCs w:val="1"/>
          <w:color w:val="auto"/>
        </w:rPr>
        <w:t>Section 5(b)</w:t>
      </w:r>
      <w:r>
        <w:rPr>
          <w:rFonts w:ascii="Arial" w:cs="Arial" w:eastAsia="Arial" w:hAnsi="Arial"/>
          <w:sz w:val="18"/>
          <w:szCs w:val="18"/>
          <w:color w:val="auto"/>
        </w:rPr>
        <w:t>, then</w:t>
      </w:r>
    </w:p>
    <w:p>
      <w:pPr>
        <w:sectPr>
          <w:pgSz w:w="11900" w:h="16909" w:orient="portrait"/>
          <w:cols w:equalWidth="0" w:num="1">
            <w:col w:w="11420"/>
          </w:cols>
          <w:pgMar w:left="240" w:top="121" w:right="239" w:bottom="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Employer shall be required to pay Executive the Accrued Amounts, and Employer shall have no further obligations to Executive under this Agreement.</w:t>
      </w:r>
    </w:p>
    <w:p>
      <w:pPr>
        <w:spacing w:after="0" w:line="233" w:lineRule="exact"/>
        <w:rPr>
          <w:sz w:val="20"/>
          <w:szCs w:val="20"/>
          <w:color w:val="auto"/>
        </w:rPr>
      </w:pPr>
    </w:p>
    <w:p>
      <w:pPr>
        <w:ind w:right="40" w:firstLine="1305"/>
        <w:spacing w:after="0" w:line="276" w:lineRule="auto"/>
        <w:tabs>
          <w:tab w:leader="none" w:pos="1991" w:val="left"/>
        </w:tabs>
        <w:numPr>
          <w:ilvl w:val="1"/>
          <w:numId w:val="1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for Good Reason</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Executive’s termination for Good Reason (as defined below), Executive shall give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written notice of the occurrence of the event or condition that Executive believes constitutes a Good Reason within thirty (30) days of the initial existence of such event or condition, which written notice shall provide detailed facts, and not mere conclusions, to support Executive’s claim of termination for Good Reason. If Employer determines that the events or conditions exist as alleged by Executive, and does not cure such events or conditions within thirty (30) days of Executive’s written notice, then this Agreement and Executive’s employment hereunder shall terminate on the thirtieth (30</w:t>
      </w:r>
      <w:r>
        <w:rPr>
          <w:rFonts w:ascii="Arial" w:cs="Arial" w:eastAsia="Arial" w:hAnsi="Arial"/>
          <w:sz w:val="20"/>
          <w:szCs w:val="20"/>
          <w:color w:val="auto"/>
          <w:vertAlign w:val="superscript"/>
        </w:rPr>
        <w:t>th</w:t>
      </w:r>
      <w:r>
        <w:rPr>
          <w:rFonts w:ascii="Arial" w:cs="Arial" w:eastAsia="Arial" w:hAnsi="Arial"/>
          <w:sz w:val="16"/>
          <w:szCs w:val="16"/>
          <w:color w:val="auto"/>
        </w:rPr>
        <w:t>) day following Executive’s written notice. “</w:t>
      </w:r>
      <w:r>
        <w:rPr>
          <w:rFonts w:ascii="Arial" w:cs="Arial" w:eastAsia="Arial" w:hAnsi="Arial"/>
          <w:sz w:val="16"/>
          <w:szCs w:val="16"/>
          <w:b w:val="1"/>
          <w:bCs w:val="1"/>
          <w:color w:val="auto"/>
        </w:rPr>
        <w:t>Good Reason</w:t>
      </w:r>
      <w:r>
        <w:rPr>
          <w:rFonts w:ascii="Arial" w:cs="Arial" w:eastAsia="Arial" w:hAnsi="Arial"/>
          <w:sz w:val="16"/>
          <w:szCs w:val="16"/>
          <w:color w:val="auto"/>
        </w:rPr>
        <w:t xml:space="preserve">” means the occurrence of any one (1) or more of the following, without Executive’s prior consent: (i) a material adverse change in the nature, scope or status of Executive’s position, authorities or duties from those in effect in accordance with </w:t>
      </w:r>
      <w:r>
        <w:rPr>
          <w:rFonts w:ascii="Arial" w:cs="Arial" w:eastAsia="Arial" w:hAnsi="Arial"/>
          <w:sz w:val="16"/>
          <w:szCs w:val="16"/>
          <w:b w:val="1"/>
          <w:bCs w:val="1"/>
          <w:color w:val="auto"/>
        </w:rPr>
        <w:t>Section 3(a)</w:t>
      </w:r>
      <w:r>
        <w:rPr>
          <w:rFonts w:ascii="Arial" w:cs="Arial" w:eastAsia="Arial" w:hAnsi="Arial"/>
          <w:sz w:val="16"/>
          <w:szCs w:val="16"/>
          <w:color w:val="auto"/>
        </w:rPr>
        <w:t xml:space="preserve"> immediately following the Effective Date; (ii) a reduction in Executive’s Base Salary, unless such reduction applies to all similarly situated senior executives of Employer;</w:t>
      </w:r>
    </w:p>
    <w:p>
      <w:pPr>
        <w:spacing w:after="0" w:line="1" w:lineRule="exact"/>
        <w:rPr>
          <w:rFonts w:ascii="Arial" w:cs="Arial" w:eastAsia="Arial" w:hAnsi="Arial"/>
          <w:sz w:val="16"/>
          <w:szCs w:val="16"/>
          <w:b w:val="1"/>
          <w:bCs w:val="1"/>
          <w:color w:val="auto"/>
        </w:rPr>
      </w:pPr>
    </w:p>
    <w:p>
      <w:pPr>
        <w:ind w:right="360" w:firstLine="8"/>
        <w:spacing w:after="0" w:line="290" w:lineRule="auto"/>
        <w:tabs>
          <w:tab w:leader="none" w:pos="3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Employer changes the primary location of Executive’s employment to a place that is more than fifty (50) miles from Executive’s primary location of employment as of the Effective Date; or (iv) Employer otherwise commits a material breach of its obligations under this Agreement.</w:t>
      </w:r>
    </w:p>
    <w:p>
      <w:pPr>
        <w:spacing w:after="0" w:line="157" w:lineRule="exact"/>
        <w:rPr>
          <w:rFonts w:ascii="Arial" w:cs="Arial" w:eastAsia="Arial" w:hAnsi="Arial"/>
          <w:sz w:val="17"/>
          <w:szCs w:val="17"/>
          <w:color w:val="auto"/>
        </w:rPr>
      </w:pPr>
    </w:p>
    <w:p>
      <w:pPr>
        <w:ind w:right="80" w:firstLine="1305"/>
        <w:spacing w:after="0" w:line="266" w:lineRule="auto"/>
        <w:tabs>
          <w:tab w:leader="none" w:pos="2011"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upon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 Change in Control, this Agreement and Executive’s employment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may be terminated in accordance with </w:t>
      </w:r>
      <w:r>
        <w:rPr>
          <w:rFonts w:ascii="Arial" w:cs="Arial" w:eastAsia="Arial" w:hAnsi="Arial"/>
          <w:sz w:val="18"/>
          <w:szCs w:val="18"/>
          <w:b w:val="1"/>
          <w:bCs w:val="1"/>
          <w:color w:val="auto"/>
        </w:rPr>
        <w:t>Section 5(a)</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8"/>
          <w:szCs w:val="18"/>
          <w:color w:val="auto"/>
        </w:rPr>
        <w:t xml:space="preserve">, or </w:t>
      </w:r>
      <w:r>
        <w:rPr>
          <w:rFonts w:ascii="Arial" w:cs="Arial" w:eastAsia="Arial" w:hAnsi="Arial"/>
          <w:sz w:val="18"/>
          <w:szCs w:val="18"/>
          <w:b w:val="1"/>
          <w:bCs w:val="1"/>
          <w:color w:val="auto"/>
        </w:rPr>
        <w:t>(c)</w:t>
      </w:r>
      <w:r>
        <w:rPr>
          <w:rFonts w:ascii="Arial" w:cs="Arial" w:eastAsia="Arial" w:hAnsi="Arial"/>
          <w:sz w:val="18"/>
          <w:szCs w:val="18"/>
          <w:color w:val="auto"/>
        </w:rPr>
        <w:t xml:space="preserve"> by delivering written notice of termination to the other Party no less than thirty (30) days before the Termination Date.</w:t>
      </w:r>
    </w:p>
    <w:p>
      <w:pPr>
        <w:spacing w:after="0" w:line="176" w:lineRule="exact"/>
        <w:rPr>
          <w:rFonts w:ascii="Arial" w:cs="Arial" w:eastAsia="Arial" w:hAnsi="Arial"/>
          <w:sz w:val="18"/>
          <w:szCs w:val="18"/>
          <w:b w:val="1"/>
          <w:bCs w:val="1"/>
          <w:color w:val="auto"/>
        </w:rPr>
      </w:pPr>
    </w:p>
    <w:p>
      <w:pPr>
        <w:ind w:right="100" w:firstLine="1953"/>
        <w:spacing w:after="0" w:line="286" w:lineRule="auto"/>
        <w:tabs>
          <w:tab w:leader="none" w:pos="2655" w:val="left"/>
        </w:tabs>
        <w:numPr>
          <w:ilvl w:val="2"/>
          <w:numId w:val="19"/>
        </w:numPr>
        <w:rPr>
          <w:rFonts w:ascii="Arial" w:cs="Arial" w:eastAsia="Arial" w:hAnsi="Arial"/>
          <w:sz w:val="16"/>
          <w:szCs w:val="16"/>
          <w:b w:val="1"/>
          <w:bCs w:val="1"/>
          <w:color w:val="auto"/>
        </w:rPr>
      </w:pPr>
      <w:r>
        <w:rPr>
          <w:rFonts w:ascii="Arial" w:cs="Arial" w:eastAsia="Arial" w:hAnsi="Arial"/>
          <w:sz w:val="16"/>
          <w:szCs w:val="16"/>
          <w:color w:val="auto"/>
        </w:rPr>
        <w:t>A “</w:t>
      </w:r>
      <w:r>
        <w:rPr>
          <w:rFonts w:ascii="Arial" w:cs="Arial" w:eastAsia="Arial" w:hAnsi="Arial"/>
          <w:sz w:val="16"/>
          <w:szCs w:val="16"/>
          <w:b w:val="1"/>
          <w:bCs w:val="1"/>
          <w:color w:val="auto"/>
        </w:rPr>
        <w:t>Change in Control</w:t>
      </w:r>
      <w:r>
        <w:rPr>
          <w:rFonts w:ascii="Arial" w:cs="Arial" w:eastAsia="Arial" w:hAnsi="Arial"/>
          <w:sz w:val="16"/>
          <w:szCs w:val="16"/>
          <w:color w:val="auto"/>
        </w:rPr>
        <w:t>” shall be deemed to have occurred upon the first to occur of the following: (A) any “person” (within the meaning of Section 13(d) or 14(d) of the Securities Exchange Act of 1934 (the “</w:t>
      </w:r>
      <w:r>
        <w:rPr>
          <w:rFonts w:ascii="Arial" w:cs="Arial" w:eastAsia="Arial" w:hAnsi="Arial"/>
          <w:sz w:val="16"/>
          <w:szCs w:val="16"/>
          <w:b w:val="1"/>
          <w:bCs w:val="1"/>
          <w:color w:val="auto"/>
        </w:rPr>
        <w:t>1934 Act</w:t>
      </w:r>
      <w:r>
        <w:rPr>
          <w:rFonts w:ascii="Arial" w:cs="Arial" w:eastAsia="Arial" w:hAnsi="Arial"/>
          <w:sz w:val="16"/>
          <w:szCs w:val="16"/>
          <w:color w:val="auto"/>
        </w:rPr>
        <w:t>”)), other than a trustee or other fiduciary holding securities under an employee benefit plan of First Busey or a corporation owned directly or indirectly by the stockholders of First Busey in substantially the same proportions as their ownership of stock of First Busey, is or becomes a “beneficial owner” (within the meaning of Rule 13d-3 of the 1934 Act), directly or indirectly, of securities representing more than fifty percent (50%) of the combined voting power of the then outstanding voting securities of First Busey;</w:t>
      </w:r>
    </w:p>
    <w:p>
      <w:pPr>
        <w:spacing w:after="0" w:line="2" w:lineRule="exact"/>
        <w:rPr>
          <w:rFonts w:ascii="Arial" w:cs="Arial" w:eastAsia="Arial" w:hAnsi="Arial"/>
          <w:sz w:val="16"/>
          <w:szCs w:val="16"/>
          <w:b w:val="1"/>
          <w:bCs w:val="1"/>
          <w:color w:val="auto"/>
        </w:rPr>
      </w:pPr>
    </w:p>
    <w:p>
      <w:pPr>
        <w:ind w:right="2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(B) during any period of twelve (12) consecutive months, the individuals who at the beginning of such period constitute the Board (and any new director whose election by the Board or nomination for election by First Busey’s stockholders was approved by a vote of at least a majority of the directors when still in office who either were directors at the beginning of the period or whose election or nomination for election was previously so approved) cease for any reason to constitute a majority of the Board; or (C) the consummation of (1) a merger or consolidation of First Busey with any other corporation, other than a merger or consolidation that would result in the voting securities of First Busey outstanding immediately prior thereto continuing to represent (either by remaining outstanding or by being converted into voting securities of the surviving entity) more than fifty percent (50%) of the total voting power represented by the voting securities of First Busey or such surviving entity outstanding immediately after such merger or consolidation; or (2) a complete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liquidation or dissolution of, or an agreement for the sale or other disposition of all or substantially all of the assets of, First Busey.</w:t>
      </w:r>
    </w:p>
    <w:p>
      <w:pPr>
        <w:spacing w:after="0" w:line="221" w:lineRule="exact"/>
        <w:rPr>
          <w:sz w:val="20"/>
          <w:szCs w:val="20"/>
          <w:color w:val="auto"/>
        </w:rPr>
      </w:pPr>
    </w:p>
    <w:p>
      <w:pPr>
        <w:ind w:right="540" w:firstLine="1953"/>
        <w:spacing w:after="0" w:line="313" w:lineRule="auto"/>
        <w:tabs>
          <w:tab w:leader="none" w:pos="2660" w:val="left"/>
        </w:tabs>
        <w:numPr>
          <w:ilvl w:val="1"/>
          <w:numId w:val="20"/>
        </w:numPr>
        <w:rPr>
          <w:rFonts w:ascii="Arial" w:cs="Arial" w:eastAsia="Arial" w:hAnsi="Arial"/>
          <w:sz w:val="17"/>
          <w:szCs w:val="17"/>
          <w:b w:val="1"/>
          <w:bCs w:val="1"/>
          <w:color w:val="auto"/>
        </w:rPr>
      </w:pPr>
      <w:r>
        <w:rPr>
          <w:rFonts w:ascii="Arial" w:cs="Arial" w:eastAsia="Arial" w:hAnsi="Arial"/>
          <w:sz w:val="17"/>
          <w:szCs w:val="17"/>
          <w:color w:val="auto"/>
        </w:rPr>
        <w:t xml:space="preserve">Notwithstanding </w:t>
      </w:r>
      <w:r>
        <w:rPr>
          <w:rFonts w:ascii="Arial" w:cs="Arial" w:eastAsia="Arial" w:hAnsi="Arial"/>
          <w:sz w:val="17"/>
          <w:szCs w:val="17"/>
          <w:b w:val="1"/>
          <w:bCs w:val="1"/>
          <w:color w:val="auto"/>
        </w:rPr>
        <w:t>Section 5(d)(i)</w:t>
      </w:r>
      <w:r>
        <w:rPr>
          <w:rFonts w:ascii="Arial" w:cs="Arial" w:eastAsia="Arial" w:hAnsi="Arial"/>
          <w:sz w:val="17"/>
          <w:szCs w:val="17"/>
          <w:color w:val="auto"/>
        </w:rPr>
        <w:t>, a Change in Control shall not be deemed to have occurred if Executive agrees in writing that the transaction or event in question does not constitute a Change in Control for the purposes of this Agreement.</w:t>
      </w:r>
    </w:p>
    <w:p>
      <w:pPr>
        <w:spacing w:after="0" w:line="138" w:lineRule="exact"/>
        <w:rPr>
          <w:rFonts w:ascii="Arial" w:cs="Arial" w:eastAsia="Arial" w:hAnsi="Arial"/>
          <w:sz w:val="17"/>
          <w:szCs w:val="17"/>
          <w:b w:val="1"/>
          <w:bCs w:val="1"/>
          <w:color w:val="auto"/>
        </w:rPr>
      </w:pPr>
    </w:p>
    <w:p>
      <w:pPr>
        <w:ind w:right="40" w:firstLine="1305"/>
        <w:spacing w:after="0" w:line="303" w:lineRule="auto"/>
        <w:tabs>
          <w:tab w:leader="none" w:pos="1991"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upon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shall not terminate this Agreement and Executive’s employment hereunder if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becomes “disabled” within the meaning of Employer’s then current employee disability program or, at Employer’s election, as determined by a physician selected by Employer, unless, as a result of such disability, Executive is unable to perform Executive’s duties with the requisite level of skill and competence for a period of six (6) consecutive months. Thereafter, Employer may terminate this Agreement for Cause in accordance with </w:t>
      </w:r>
      <w:r>
        <w:rPr>
          <w:rFonts w:ascii="Arial" w:cs="Arial" w:eastAsia="Arial" w:hAnsi="Arial"/>
          <w:sz w:val="16"/>
          <w:szCs w:val="16"/>
          <w:b w:val="1"/>
          <w:bCs w:val="1"/>
          <w:color w:val="auto"/>
        </w:rPr>
        <w:t>Section 5(b)</w:t>
      </w:r>
      <w:r>
        <w:rPr>
          <w:rFonts w:ascii="Arial" w:cs="Arial" w:eastAsia="Arial" w:hAnsi="Arial"/>
          <w:sz w:val="16"/>
          <w:szCs w:val="16"/>
          <w:color w:val="auto"/>
        </w:rPr>
        <w:t>.</w:t>
      </w:r>
    </w:p>
    <w:p>
      <w:pPr>
        <w:spacing w:after="0" w:line="151" w:lineRule="exact"/>
        <w:rPr>
          <w:rFonts w:ascii="Arial" w:cs="Arial" w:eastAsia="Arial" w:hAnsi="Arial"/>
          <w:sz w:val="16"/>
          <w:szCs w:val="16"/>
          <w:b w:val="1"/>
          <w:bCs w:val="1"/>
          <w:color w:val="auto"/>
        </w:rPr>
      </w:pPr>
    </w:p>
    <w:p>
      <w:pPr>
        <w:ind w:firstLine="1305"/>
        <w:spacing w:after="0" w:line="261" w:lineRule="auto"/>
        <w:tabs>
          <w:tab w:leader="none" w:pos="2016"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upon Death</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terminate if Executive dies during the Term, effective on the date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death. Any payments that are owing to Executive under this Agreement or otherwise at the time of Executive’s death shall be made to whomever Executive may designate in writing as Executive’s beneficiary, or absent such a designation, to the executor or administrator of Executive’s estate. Termination of this Agreement under this </w:t>
      </w:r>
      <w:r>
        <w:rPr>
          <w:rFonts w:ascii="Arial" w:cs="Arial" w:eastAsia="Arial" w:hAnsi="Arial"/>
          <w:sz w:val="18"/>
          <w:szCs w:val="18"/>
          <w:b w:val="1"/>
          <w:bCs w:val="1"/>
          <w:color w:val="auto"/>
        </w:rPr>
        <w:t>Section 5(f)</w:t>
      </w:r>
      <w:r>
        <w:rPr>
          <w:rFonts w:ascii="Arial" w:cs="Arial" w:eastAsia="Arial" w:hAnsi="Arial"/>
          <w:sz w:val="18"/>
          <w:szCs w:val="18"/>
          <w:color w:val="auto"/>
        </w:rPr>
        <w:t xml:space="preserve"> shall be deemed to be a termination in accordance with </w:t>
      </w:r>
      <w:r>
        <w:rPr>
          <w:rFonts w:ascii="Arial" w:cs="Arial" w:eastAsia="Arial" w:hAnsi="Arial"/>
          <w:sz w:val="18"/>
          <w:szCs w:val="18"/>
          <w:b w:val="1"/>
          <w:bCs w:val="1"/>
          <w:color w:val="auto"/>
        </w:rPr>
        <w:t>Section 5(b)</w:t>
      </w:r>
      <w:r>
        <w:rPr>
          <w:rFonts w:ascii="Arial" w:cs="Arial" w:eastAsia="Arial" w:hAnsi="Arial"/>
          <w:sz w:val="18"/>
          <w:szCs w:val="18"/>
          <w:color w:val="auto"/>
        </w:rPr>
        <w:t>.</w:t>
      </w:r>
    </w:p>
    <w:p>
      <w:pPr>
        <w:spacing w:after="0" w:line="180" w:lineRule="exact"/>
        <w:rPr>
          <w:rFonts w:ascii="Arial" w:cs="Arial" w:eastAsia="Arial" w:hAnsi="Arial"/>
          <w:sz w:val="18"/>
          <w:szCs w:val="18"/>
          <w:b w:val="1"/>
          <w:bCs w:val="1"/>
          <w:color w:val="auto"/>
        </w:rPr>
      </w:pPr>
    </w:p>
    <w:p>
      <w:pPr>
        <w:ind w:left="2000" w:hanging="695"/>
        <w:spacing w:after="0"/>
        <w:tabs>
          <w:tab w:leader="none" w:pos="20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shall pay severance benefits to Executive as follows:</w:t>
      </w:r>
    </w:p>
    <w:p>
      <w:pPr>
        <w:spacing w:after="0" w:line="229" w:lineRule="exact"/>
        <w:rPr>
          <w:rFonts w:ascii="Arial" w:cs="Arial" w:eastAsia="Arial" w:hAnsi="Arial"/>
          <w:sz w:val="18"/>
          <w:szCs w:val="18"/>
          <w:b w:val="1"/>
          <w:bCs w:val="1"/>
          <w:color w:val="auto"/>
        </w:rPr>
      </w:pPr>
    </w:p>
    <w:p>
      <w:pPr>
        <w:ind w:right="180" w:firstLine="1953"/>
        <w:spacing w:after="0" w:line="288" w:lineRule="auto"/>
        <w:tabs>
          <w:tab w:leader="none" w:pos="2655" w:val="left"/>
        </w:tabs>
        <w:numPr>
          <w:ilvl w:val="1"/>
          <w:numId w:val="21"/>
        </w:numPr>
        <w:rPr>
          <w:rFonts w:ascii="Arial" w:cs="Arial" w:eastAsia="Arial" w:hAnsi="Arial"/>
          <w:sz w:val="16"/>
          <w:szCs w:val="16"/>
          <w:b w:val="1"/>
          <w:bCs w:val="1"/>
          <w:color w:val="auto"/>
        </w:rPr>
      </w:pPr>
      <w:r>
        <w:rPr>
          <w:rFonts w:ascii="Arial" w:cs="Arial" w:eastAsia="Arial" w:hAnsi="Arial"/>
          <w:sz w:val="16"/>
          <w:szCs w:val="16"/>
          <w:color w:val="auto"/>
        </w:rPr>
        <w:t xml:space="preserve">If this Agreement and Executive’s employment hereunder are terminated by Employer without Cause pursuant to </w:t>
      </w:r>
      <w:r>
        <w:rPr>
          <w:rFonts w:ascii="Arial" w:cs="Arial" w:eastAsia="Arial" w:hAnsi="Arial"/>
          <w:sz w:val="16"/>
          <w:szCs w:val="16"/>
          <w:b w:val="1"/>
          <w:bCs w:val="1"/>
          <w:color w:val="auto"/>
        </w:rPr>
        <w:t>Section 5(a)</w:t>
      </w:r>
      <w:r>
        <w:rPr>
          <w:rFonts w:ascii="Arial" w:cs="Arial" w:eastAsia="Arial" w:hAnsi="Arial"/>
          <w:sz w:val="16"/>
          <w:szCs w:val="16"/>
          <w:color w:val="auto"/>
        </w:rPr>
        <w:t>, or by Executive for Good Reason pursuant to</w:t>
      </w:r>
      <w:r>
        <w:rPr>
          <w:rFonts w:ascii="Arial" w:cs="Arial" w:eastAsia="Arial" w:hAnsi="Arial"/>
          <w:sz w:val="16"/>
          <w:szCs w:val="16"/>
          <w:b w:val="1"/>
          <w:bCs w:val="1"/>
          <w:color w:val="auto"/>
        </w:rPr>
        <w:t xml:space="preserve"> Section 5(c)</w:t>
      </w:r>
      <w:r>
        <w:rPr>
          <w:rFonts w:ascii="Arial" w:cs="Arial" w:eastAsia="Arial" w:hAnsi="Arial"/>
          <w:sz w:val="16"/>
          <w:szCs w:val="16"/>
          <w:color w:val="auto"/>
        </w:rPr>
        <w:t>, Employer shall pay Executive an amount equal to one hundred percent (100%) (or</w:t>
      </w:r>
      <w:r>
        <w:rPr>
          <w:rFonts w:ascii="Arial" w:cs="Arial" w:eastAsia="Arial" w:hAnsi="Arial"/>
          <w:sz w:val="16"/>
          <w:szCs w:val="16"/>
          <w:b w:val="1"/>
          <w:bCs w:val="1"/>
          <w:color w:val="auto"/>
        </w:rPr>
        <w:t xml:space="preserve"> </w:t>
      </w:r>
      <w:r>
        <w:rPr>
          <w:rFonts w:ascii="Arial" w:cs="Arial" w:eastAsia="Arial" w:hAnsi="Arial"/>
          <w:sz w:val="16"/>
          <w:szCs w:val="16"/>
          <w:color w:val="auto"/>
        </w:rPr>
        <w:t>two hundred percent (200%) if the foregoing terminations occur within one (1) year after the occurrence of a Change in Control) of the sum of</w:t>
      </w:r>
    </w:p>
    <w:p>
      <w:pPr>
        <w:ind w:right="20" w:firstLine="8"/>
        <w:spacing w:after="0" w:line="269" w:lineRule="auto"/>
        <w:tabs>
          <w:tab w:leader="none" w:pos="2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Executive’s then applicable Base Salary, plus (B) the amount of the most recent performance bonus that Employer paid to Executive pursuant to </w:t>
      </w:r>
      <w:r>
        <w:rPr>
          <w:rFonts w:ascii="Arial" w:cs="Arial" w:eastAsia="Arial" w:hAnsi="Arial"/>
          <w:sz w:val="17"/>
          <w:szCs w:val="17"/>
          <w:b w:val="1"/>
          <w:bCs w:val="1"/>
          <w:color w:val="auto"/>
        </w:rPr>
        <w:t xml:space="preserve">Section 4(b) </w:t>
      </w:r>
      <w:r>
        <w:rPr>
          <w:rFonts w:ascii="Arial" w:cs="Arial" w:eastAsia="Arial" w:hAnsi="Arial"/>
          <w:sz w:val="17"/>
          <w:szCs w:val="17"/>
          <w:color w:val="auto"/>
        </w:rPr>
        <w:t>(the “</w:t>
      </w:r>
      <w:r>
        <w:rPr>
          <w:rFonts w:ascii="Arial" w:cs="Arial" w:eastAsia="Arial" w:hAnsi="Arial"/>
          <w:sz w:val="17"/>
          <w:szCs w:val="17"/>
          <w:b w:val="1"/>
          <w:bCs w:val="1"/>
          <w:color w:val="auto"/>
        </w:rPr>
        <w:t>Severance Payment</w:t>
      </w:r>
      <w:r>
        <w:rPr>
          <w:rFonts w:ascii="Arial" w:cs="Arial" w:eastAsia="Arial" w:hAnsi="Arial"/>
          <w:sz w:val="17"/>
          <w:szCs w:val="17"/>
          <w:color w:val="auto"/>
        </w:rPr>
        <w:t>”). Employer shall also reimburse Executive for up to twelve (12) months (or eighteen (18) months if the foregoing</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terminations occur within one (1) year after the occurrence of a Change in Control) for continuing coverage under Employer’s health insurance pursuant to the health care continuation rules of the Consolidated Omnibus Budget Reconciliation Act of 1985 (“</w:t>
      </w:r>
      <w:r>
        <w:rPr>
          <w:rFonts w:ascii="Arial" w:cs="Arial" w:eastAsia="Arial" w:hAnsi="Arial"/>
          <w:sz w:val="17"/>
          <w:szCs w:val="17"/>
          <w:b w:val="1"/>
          <w:bCs w:val="1"/>
          <w:color w:val="auto"/>
        </w:rPr>
        <w:t>COBRA</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Executive remains eligible for, and elects, such COBRA continuation for such period following the Termination Date,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to the extent Executive paid a portion of the premium for such benefits while employed, Executive shall continue to pay such portion during the period of continuation hereunder, and any period of continuation hereunder shall be credited against Executive’s continuation rights under COBRA.</w:t>
      </w:r>
    </w:p>
    <w:p>
      <w:pPr>
        <w:spacing w:after="0" w:line="176" w:lineRule="exact"/>
        <w:rPr>
          <w:rFonts w:ascii="Arial" w:cs="Arial" w:eastAsia="Arial" w:hAnsi="Arial"/>
          <w:sz w:val="17"/>
          <w:szCs w:val="17"/>
          <w:color w:val="auto"/>
        </w:rPr>
      </w:pPr>
    </w:p>
    <w:p>
      <w:pPr>
        <w:ind w:right="220" w:firstLine="1953"/>
        <w:spacing w:after="0" w:line="313" w:lineRule="auto"/>
        <w:tabs>
          <w:tab w:leader="none" w:pos="2660" w:val="left"/>
        </w:tabs>
        <w:numPr>
          <w:ilvl w:val="1"/>
          <w:numId w:val="22"/>
        </w:numPr>
        <w:rPr>
          <w:rFonts w:ascii="Arial" w:cs="Arial" w:eastAsia="Arial" w:hAnsi="Arial"/>
          <w:sz w:val="17"/>
          <w:szCs w:val="17"/>
          <w:b w:val="1"/>
          <w:bCs w:val="1"/>
          <w:color w:val="auto"/>
        </w:rPr>
      </w:pPr>
      <w:r>
        <w:rPr>
          <w:rFonts w:ascii="Arial" w:cs="Arial" w:eastAsia="Arial" w:hAnsi="Arial"/>
          <w:sz w:val="17"/>
          <w:szCs w:val="17"/>
          <w:color w:val="auto"/>
        </w:rPr>
        <w:t xml:space="preserve">Subject to Executive’s execution of an irrevocable general release and waiver of claims as required by </w:t>
      </w:r>
      <w:r>
        <w:rPr>
          <w:rFonts w:ascii="Arial" w:cs="Arial" w:eastAsia="Arial" w:hAnsi="Arial"/>
          <w:sz w:val="17"/>
          <w:szCs w:val="17"/>
          <w:b w:val="1"/>
          <w:bCs w:val="1"/>
          <w:color w:val="auto"/>
        </w:rPr>
        <w:t>Section 5(j)</w:t>
      </w:r>
      <w:r>
        <w:rPr>
          <w:rFonts w:ascii="Arial" w:cs="Arial" w:eastAsia="Arial" w:hAnsi="Arial"/>
          <w:sz w:val="17"/>
          <w:szCs w:val="17"/>
          <w:color w:val="auto"/>
        </w:rPr>
        <w:t xml:space="preserve">, all payments that become due to Executive under this </w:t>
      </w:r>
      <w:r>
        <w:rPr>
          <w:rFonts w:ascii="Arial" w:cs="Arial" w:eastAsia="Arial" w:hAnsi="Arial"/>
          <w:sz w:val="17"/>
          <w:szCs w:val="17"/>
          <w:b w:val="1"/>
          <w:bCs w:val="1"/>
          <w:color w:val="auto"/>
        </w:rPr>
        <w:t>Section 5(g)</w:t>
      </w:r>
      <w:r>
        <w:rPr>
          <w:rFonts w:ascii="Arial" w:cs="Arial" w:eastAsia="Arial" w:hAnsi="Arial"/>
          <w:sz w:val="17"/>
          <w:szCs w:val="17"/>
          <w:color w:val="auto"/>
        </w:rPr>
        <w:t xml:space="preserve"> shall be made in substantially equal installments in accordance with</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680" w:gutter="0" w:footer="0" w:header="0"/>
        </w:sectPr>
      </w:pPr>
    </w:p>
    <w:bookmarkStart w:id="44" w:name="page45"/>
    <w:bookmarkEnd w:id="44"/>
    <w:p>
      <w:pPr>
        <w:spacing w:after="0" w:line="293" w:lineRule="auto"/>
        <w:rPr>
          <w:sz w:val="20"/>
          <w:szCs w:val="20"/>
          <w:color w:val="auto"/>
        </w:rPr>
      </w:pPr>
      <w:r>
        <w:rPr>
          <w:rFonts w:ascii="Arial" w:cs="Arial" w:eastAsia="Arial" w:hAnsi="Arial"/>
          <w:sz w:val="16"/>
          <w:szCs w:val="16"/>
          <w:color w:val="auto"/>
        </w:rPr>
        <w:t xml:space="preserve">Employer’s regular payroll practices then in effect for a one (1)-year period (or two (2)-year period if following a Change in Control) beginning on the regular payroll date occurring on or closest before the sixtieth (60th) day following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Termination Date occurs on or after November 2nd in any year, such payments shall not commence until the first payroll date in January of the next year. Employer shall be obligated to make all payments that become due to Executive under this </w:t>
      </w:r>
      <w:r>
        <w:rPr>
          <w:rFonts w:ascii="Arial" w:cs="Arial" w:eastAsia="Arial" w:hAnsi="Arial"/>
          <w:sz w:val="16"/>
          <w:szCs w:val="16"/>
          <w:b w:val="1"/>
          <w:bCs w:val="1"/>
          <w:color w:val="auto"/>
        </w:rPr>
        <w:t>Section 5(g)</w:t>
      </w:r>
      <w:r>
        <w:rPr>
          <w:rFonts w:ascii="Arial" w:cs="Arial" w:eastAsia="Arial" w:hAnsi="Arial"/>
          <w:sz w:val="16"/>
          <w:szCs w:val="16"/>
          <w:color w:val="auto"/>
        </w:rPr>
        <w:t xml:space="preserve"> whether or not Executive obtains other employment following termination or takes steps to mitigate any damages that Executive claims to have sustained as a result of termination. The payments provided for in this </w:t>
      </w:r>
      <w:r>
        <w:rPr>
          <w:rFonts w:ascii="Arial" w:cs="Arial" w:eastAsia="Arial" w:hAnsi="Arial"/>
          <w:sz w:val="16"/>
          <w:szCs w:val="16"/>
          <w:b w:val="1"/>
          <w:bCs w:val="1"/>
          <w:color w:val="auto"/>
        </w:rPr>
        <w:t>Section 5(g)</w:t>
      </w:r>
      <w:r>
        <w:rPr>
          <w:rFonts w:ascii="Arial" w:cs="Arial" w:eastAsia="Arial" w:hAnsi="Arial"/>
          <w:sz w:val="16"/>
          <w:szCs w:val="16"/>
          <w:color w:val="auto"/>
        </w:rPr>
        <w:t xml:space="preserve"> are intended to supplement any compensation or other benefits that have accrued or vested with respect to Executive or for Executive’s account as of the Termination Date.</w:t>
      </w:r>
    </w:p>
    <w:p>
      <w:pPr>
        <w:spacing w:after="0" w:line="165" w:lineRule="exact"/>
        <w:rPr>
          <w:sz w:val="20"/>
          <w:szCs w:val="20"/>
          <w:color w:val="auto"/>
        </w:rPr>
      </w:pPr>
    </w:p>
    <w:p>
      <w:pPr>
        <w:ind w:right="100" w:firstLine="1953"/>
        <w:spacing w:after="0" w:line="255" w:lineRule="auto"/>
        <w:tabs>
          <w:tab w:leader="none" w:pos="2620"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The Parties intend that no portion of any payment under this Agreement, or payments to or for the benefit of Executive under any other agreement or plan, be deemed to be an “</w:t>
      </w:r>
      <w:r>
        <w:rPr>
          <w:rFonts w:ascii="Arial" w:cs="Arial" w:eastAsia="Arial" w:hAnsi="Arial"/>
          <w:sz w:val="18"/>
          <w:szCs w:val="18"/>
          <w:b w:val="1"/>
          <w:bCs w:val="1"/>
          <w:color w:val="auto"/>
        </w:rPr>
        <w:t>Excess Parachute Payment</w:t>
      </w:r>
      <w:r>
        <w:rPr>
          <w:rFonts w:ascii="Arial" w:cs="Arial" w:eastAsia="Arial" w:hAnsi="Arial"/>
          <w:sz w:val="18"/>
          <w:szCs w:val="18"/>
          <w:color w:val="auto"/>
        </w:rPr>
        <w:t>” as defined in Section 280G of the Internal Revenue Code of 1986 (the “</w:t>
      </w:r>
      <w:r>
        <w:rPr>
          <w:rFonts w:ascii="Arial" w:cs="Arial" w:eastAsia="Arial" w:hAnsi="Arial"/>
          <w:sz w:val="18"/>
          <w:szCs w:val="18"/>
          <w:b w:val="1"/>
          <w:bCs w:val="1"/>
          <w:color w:val="auto"/>
        </w:rPr>
        <w:t>Code</w:t>
      </w:r>
      <w:r>
        <w:rPr>
          <w:rFonts w:ascii="Arial" w:cs="Arial" w:eastAsia="Arial" w:hAnsi="Arial"/>
          <w:sz w:val="18"/>
          <w:szCs w:val="18"/>
          <w:color w:val="auto"/>
        </w:rPr>
        <w:t>”). The present value of any payments to or for the benefit of Executive in the nature of compensation, as determined by the legal counsel or certified public accountants for Employer in accordance with Code Section 280G(d)(4), receipt of which is contingent on a Change in Control, and to which Code Section 280G applies (in the aggregate “</w:t>
      </w:r>
      <w:r>
        <w:rPr>
          <w:rFonts w:ascii="Arial" w:cs="Arial" w:eastAsia="Arial" w:hAnsi="Arial"/>
          <w:sz w:val="18"/>
          <w:szCs w:val="18"/>
          <w:b w:val="1"/>
          <w:bCs w:val="1"/>
          <w:color w:val="auto"/>
        </w:rPr>
        <w:t>Total Payments</w:t>
      </w:r>
      <w:r>
        <w:rPr>
          <w:rFonts w:ascii="Arial" w:cs="Arial" w:eastAsia="Arial" w:hAnsi="Arial"/>
          <w:sz w:val="18"/>
          <w:szCs w:val="18"/>
          <w:color w:val="auto"/>
        </w:rPr>
        <w:t xml:space="preserve">”), shall be reduced, as necessary, such that the payment does not exceed an amount equal to one dollar ($1.00) less than the maximum amount that Employer may pay without loss of deduction under Code Section 280G(a),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reduction shall be in accordance with Code Section 409A.</w:t>
      </w:r>
    </w:p>
    <w:p>
      <w:pPr>
        <w:spacing w:after="0" w:line="185" w:lineRule="exact"/>
        <w:rPr>
          <w:rFonts w:ascii="Arial" w:cs="Arial" w:eastAsia="Arial" w:hAnsi="Arial"/>
          <w:sz w:val="18"/>
          <w:szCs w:val="18"/>
          <w:b w:val="1"/>
          <w:bCs w:val="1"/>
          <w:color w:val="auto"/>
        </w:rPr>
      </w:pPr>
    </w:p>
    <w:p>
      <w:pPr>
        <w:ind w:right="40" w:firstLine="1953"/>
        <w:spacing w:after="0" w:line="295" w:lineRule="auto"/>
        <w:tabs>
          <w:tab w:leader="none" w:pos="2655" w:val="left"/>
        </w:tabs>
        <w:numPr>
          <w:ilvl w:val="1"/>
          <w:numId w:val="23"/>
        </w:numPr>
        <w:rPr>
          <w:rFonts w:ascii="Arial" w:cs="Arial" w:eastAsia="Arial" w:hAnsi="Arial"/>
          <w:sz w:val="16"/>
          <w:szCs w:val="16"/>
          <w:b w:val="1"/>
          <w:bCs w:val="1"/>
          <w:color w:val="auto"/>
        </w:rPr>
      </w:pPr>
      <w:r>
        <w:rPr>
          <w:rFonts w:ascii="Arial" w:cs="Arial" w:eastAsia="Arial" w:hAnsi="Arial"/>
          <w:sz w:val="16"/>
          <w:szCs w:val="16"/>
          <w:color w:val="auto"/>
        </w:rPr>
        <w:t xml:space="preserve">If Employer is not permitted to make any payments that may become due to Executive under this </w:t>
      </w:r>
      <w:r>
        <w:rPr>
          <w:rFonts w:ascii="Arial" w:cs="Arial" w:eastAsia="Arial" w:hAnsi="Arial"/>
          <w:sz w:val="16"/>
          <w:szCs w:val="16"/>
          <w:b w:val="1"/>
          <w:bCs w:val="1"/>
          <w:color w:val="auto"/>
        </w:rPr>
        <w:t>Section 5(g)</w:t>
      </w:r>
      <w:r>
        <w:rPr>
          <w:rFonts w:ascii="Arial" w:cs="Arial" w:eastAsia="Arial" w:hAnsi="Arial"/>
          <w:sz w:val="16"/>
          <w:szCs w:val="16"/>
          <w:color w:val="auto"/>
        </w:rPr>
        <w:t xml:space="preserve"> because First Busey or the Bank is not in compliance with any regulatory-mandated minimum capital requirements or if making the payments would cause the Bank’s capital to fall below such minimum capital requirements, then Employer shall delay making such payments until the earliest possible date it could resume making the payments without violating such minimum capital requirements. Further, if Employer is not permitted to make any payments that may become due to Executive under this </w:t>
      </w:r>
      <w:r>
        <w:rPr>
          <w:rFonts w:ascii="Arial" w:cs="Arial" w:eastAsia="Arial" w:hAnsi="Arial"/>
          <w:sz w:val="16"/>
          <w:szCs w:val="16"/>
          <w:b w:val="1"/>
          <w:bCs w:val="1"/>
          <w:color w:val="auto"/>
        </w:rPr>
        <w:t>Section 5(g)</w:t>
      </w:r>
      <w:r>
        <w:rPr>
          <w:rFonts w:ascii="Arial" w:cs="Arial" w:eastAsia="Arial" w:hAnsi="Arial"/>
          <w:sz w:val="16"/>
          <w:szCs w:val="16"/>
          <w:color w:val="auto"/>
        </w:rPr>
        <w:t xml:space="preserve"> because of the operation of any other applicable law or regulation, then Employer shall delay making such payments until the earliest possible date it could resume making the payments without violating such applicable law or regulation.</w:t>
      </w:r>
    </w:p>
    <w:p>
      <w:pPr>
        <w:spacing w:after="0" w:line="155" w:lineRule="exact"/>
        <w:rPr>
          <w:rFonts w:ascii="Arial" w:cs="Arial" w:eastAsia="Arial" w:hAnsi="Arial"/>
          <w:sz w:val="16"/>
          <w:szCs w:val="16"/>
          <w:b w:val="1"/>
          <w:bCs w:val="1"/>
          <w:color w:val="auto"/>
        </w:rPr>
      </w:pPr>
    </w:p>
    <w:p>
      <w:pPr>
        <w:jc w:val="both"/>
        <w:ind w:right="60" w:firstLine="1305"/>
        <w:spacing w:after="0" w:line="261" w:lineRule="auto"/>
        <w:tabs>
          <w:tab w:leader="none" w:pos="2011"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Equalization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If Employer is paying, or in the case of a lump sum, has paid, Executive a Severance Payment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w:t>
      </w:r>
      <w:r>
        <w:rPr>
          <w:rFonts w:ascii="Arial" w:cs="Arial" w:eastAsia="Arial" w:hAnsi="Arial"/>
          <w:sz w:val="18"/>
          <w:szCs w:val="18"/>
          <w:b w:val="1"/>
          <w:bCs w:val="1"/>
          <w:color w:val="auto"/>
        </w:rPr>
        <w:t>Section 5(g)(i)</w:t>
      </w:r>
      <w:r>
        <w:rPr>
          <w:rFonts w:ascii="Arial" w:cs="Arial" w:eastAsia="Arial" w:hAnsi="Arial"/>
          <w:sz w:val="18"/>
          <w:szCs w:val="18"/>
          <w:color w:val="auto"/>
        </w:rPr>
        <w:t>, then Executive shall not seek or apply for unemployment compensation under the Illinois Unemployment Act 820 ILCS 405/100 et seq. or any other state or federal unemployment compensation law at any time prior to a date following the final payment made hereunder or with respect to the period during which such payments were or were to be made until the final payment is made.</w:t>
      </w:r>
    </w:p>
    <w:p>
      <w:pPr>
        <w:spacing w:after="0" w:line="180" w:lineRule="exact"/>
        <w:rPr>
          <w:rFonts w:ascii="Arial" w:cs="Arial" w:eastAsia="Arial" w:hAnsi="Arial"/>
          <w:sz w:val="18"/>
          <w:szCs w:val="18"/>
          <w:b w:val="1"/>
          <w:bCs w:val="1"/>
          <w:color w:val="auto"/>
        </w:rPr>
      </w:pPr>
    </w:p>
    <w:p>
      <w:pPr>
        <w:jc w:val="both"/>
        <w:ind w:right="280" w:firstLine="1305"/>
        <w:spacing w:after="0" w:line="266" w:lineRule="auto"/>
        <w:tabs>
          <w:tab w:leader="none" w:pos="2006"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Specified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If at the time of any payment hereunder Executive is considered to be a Specified Employee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and such payment is required to be treated as deferred compensation under Code Section 409A, then, to the extent required by Code Section 409A, payments shall be delayed to the date that is six (6) months after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Termination Date. For purposes of Code Section 409A, all installment payments of deferred compensation made hereunder, or pursuant to another plan or arrangement, shall be deemed to be separate payments and, accordingly, the aforementioned deferral shall only apply to separate payments that would occur during the six (6)-month deferral period and all other payments shall be unaffected.</w:t>
      </w:r>
    </w:p>
    <w:p>
      <w:pPr>
        <w:spacing w:after="0" w:line="177" w:lineRule="exact"/>
        <w:rPr>
          <w:sz w:val="20"/>
          <w:szCs w:val="20"/>
          <w:color w:val="auto"/>
        </w:rPr>
      </w:pPr>
    </w:p>
    <w:p>
      <w:pPr>
        <w:ind w:right="60" w:firstLine="1953"/>
        <w:spacing w:after="0" w:line="229" w:lineRule="auto"/>
        <w:tabs>
          <w:tab w:leader="none" w:pos="2655"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 xml:space="preserve">All payments delayed pursuant to this </w:t>
      </w:r>
      <w:r>
        <w:rPr>
          <w:rFonts w:ascii="Arial" w:cs="Arial" w:eastAsia="Arial" w:hAnsi="Arial"/>
          <w:sz w:val="18"/>
          <w:szCs w:val="18"/>
          <w:b w:val="1"/>
          <w:bCs w:val="1"/>
          <w:color w:val="auto"/>
        </w:rPr>
        <w:t>Section 5(i)</w:t>
      </w:r>
      <w:r>
        <w:rPr>
          <w:rFonts w:ascii="Arial" w:cs="Arial" w:eastAsia="Arial" w:hAnsi="Arial"/>
          <w:sz w:val="18"/>
          <w:szCs w:val="18"/>
          <w:color w:val="auto"/>
        </w:rPr>
        <w:t xml:space="preserve"> shall be accumulated and paid in a lump-sum, catch-up payment as of the first (1</w:t>
      </w:r>
      <w:r>
        <w:rPr>
          <w:rFonts w:ascii="Arial" w:cs="Arial" w:eastAsia="Arial" w:hAnsi="Arial"/>
          <w:sz w:val="23"/>
          <w:szCs w:val="23"/>
          <w:color w:val="auto"/>
          <w:vertAlign w:val="superscript"/>
        </w:rPr>
        <w:t>st</w:t>
      </w:r>
      <w:r>
        <w:rPr>
          <w:rFonts w:ascii="Arial" w:cs="Arial" w:eastAsia="Arial" w:hAnsi="Arial"/>
          <w:sz w:val="18"/>
          <w:szCs w:val="18"/>
          <w:color w:val="auto"/>
        </w:rPr>
        <w:t>) day of the seventh (7</w:t>
      </w:r>
      <w:r>
        <w:rPr>
          <w:rFonts w:ascii="Arial" w:cs="Arial" w:eastAsia="Arial" w:hAnsi="Arial"/>
          <w:sz w:val="23"/>
          <w:szCs w:val="23"/>
          <w:color w:val="auto"/>
          <w:vertAlign w:val="superscript"/>
        </w:rPr>
        <w:t>th</w:t>
      </w:r>
      <w:r>
        <w:rPr>
          <w:rFonts w:ascii="Arial" w:cs="Arial" w:eastAsia="Arial" w:hAnsi="Arial"/>
          <w:sz w:val="18"/>
          <w:szCs w:val="18"/>
          <w:color w:val="auto"/>
        </w:rPr>
        <w:t>) month following the Termination Date (or, if earlier, the date of death of Executive), with all such delayed payments being credited with interest (compounded monthly) for such period of delay equal to the prime rate in effect on the first (1</w:t>
      </w:r>
      <w:r>
        <w:rPr>
          <w:rFonts w:ascii="Arial" w:cs="Arial" w:eastAsia="Arial" w:hAnsi="Arial"/>
          <w:sz w:val="23"/>
          <w:szCs w:val="23"/>
          <w:color w:val="auto"/>
          <w:vertAlign w:val="superscript"/>
        </w:rPr>
        <w:t>st</w:t>
      </w:r>
      <w:r>
        <w:rPr>
          <w:rFonts w:ascii="Arial" w:cs="Arial" w:eastAsia="Arial" w:hAnsi="Arial"/>
          <w:sz w:val="18"/>
          <w:szCs w:val="18"/>
          <w:color w:val="auto"/>
        </w:rPr>
        <w:t>) day of such six (6)-month period. Any portion of the benefits hereunder that were not otherwise due to be paid during the six (6)-month period following the Termination Date shall be paid to Executive in accordance with the payment schedule established herein.</w:t>
      </w:r>
    </w:p>
    <w:p>
      <w:pPr>
        <w:spacing w:after="0" w:line="199" w:lineRule="exact"/>
        <w:rPr>
          <w:rFonts w:ascii="Arial" w:cs="Arial" w:eastAsia="Arial" w:hAnsi="Arial"/>
          <w:sz w:val="18"/>
          <w:szCs w:val="18"/>
          <w:b w:val="1"/>
          <w:bCs w:val="1"/>
          <w:color w:val="auto"/>
        </w:rPr>
      </w:pPr>
    </w:p>
    <w:p>
      <w:pPr>
        <w:ind w:right="120" w:firstLine="1953"/>
        <w:spacing w:after="0" w:line="234" w:lineRule="auto"/>
        <w:tabs>
          <w:tab w:leader="none" w:pos="2660"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Specified Employee</w:t>
      </w:r>
      <w:r>
        <w:rPr>
          <w:rFonts w:ascii="Arial" w:cs="Arial" w:eastAsia="Arial" w:hAnsi="Arial"/>
          <w:sz w:val="18"/>
          <w:szCs w:val="18"/>
          <w:color w:val="auto"/>
        </w:rPr>
        <w:t>” means any person who holds a position with Employer of senior vice president or higher and has compensation greater than that stated in Code Section 416(i)(1)(A)(i). The determination of whether Executive is a Specified Employee shall be based upon the twelve (12)-month period ending on each December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(such twelve (12)-month period is referred to below as the “identification period”). If Executive is determined to be a Specified Employee during the identification period, he shall be treated as a Specified Employee for purposes of this Agreement during the twelve (12)-month period that begins on the April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following the close of such identification period. For purposes of determining whether Executive is a Specified Employee under Code Section 416(i), compensation shall mean Executive’s W-2 compensation as reported by Employer for a particular calendar year.</w:t>
      </w:r>
    </w:p>
    <w:p>
      <w:pPr>
        <w:spacing w:after="0" w:line="203" w:lineRule="exact"/>
        <w:rPr>
          <w:rFonts w:ascii="Arial" w:cs="Arial" w:eastAsia="Arial" w:hAnsi="Arial"/>
          <w:sz w:val="18"/>
          <w:szCs w:val="18"/>
          <w:b w:val="1"/>
          <w:bCs w:val="1"/>
          <w:color w:val="auto"/>
        </w:rPr>
      </w:pPr>
    </w:p>
    <w:p>
      <w:pPr>
        <w:ind w:right="300" w:firstLine="1305"/>
        <w:spacing w:after="0" w:line="303" w:lineRule="auto"/>
        <w:tabs>
          <w:tab w:leader="none" w:pos="2016"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Release</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to Employer’s obligation to pay any severance benefit under</w:t>
      </w:r>
      <w:r>
        <w:rPr>
          <w:rFonts w:ascii="Arial" w:cs="Arial" w:eastAsia="Arial" w:hAnsi="Arial"/>
          <w:sz w:val="16"/>
          <w:szCs w:val="16"/>
          <w:b w:val="1"/>
          <w:bCs w:val="1"/>
          <w:color w:val="auto"/>
        </w:rPr>
        <w:t xml:space="preserve"> Section 5(g)</w:t>
      </w:r>
      <w:r>
        <w:rPr>
          <w:rFonts w:ascii="Arial" w:cs="Arial" w:eastAsia="Arial" w:hAnsi="Arial"/>
          <w:sz w:val="16"/>
          <w:szCs w:val="16"/>
          <w:color w:val="auto"/>
        </w:rPr>
        <w:t>, Executive shall execute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general release of, and waiver of claims against, Employer and its subsidiaries and affiliates,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on or before the sixtieth (60th) day following the Termination Date. For the avoidance of doubt, in order for such release to be deemed effective for purposes of this Agreement, any applicable revocation period with respect to such release and waiver must have expired on or before such sixtieth (60th) day.</w:t>
      </w:r>
    </w:p>
    <w:p>
      <w:pPr>
        <w:spacing w:after="0" w:line="151" w:lineRule="exact"/>
        <w:rPr>
          <w:sz w:val="20"/>
          <w:szCs w:val="20"/>
          <w:color w:val="auto"/>
        </w:rPr>
      </w:pPr>
    </w:p>
    <w:p>
      <w:pPr>
        <w:ind w:left="780"/>
        <w:spacing w:after="0"/>
        <w:tabs>
          <w:tab w:leader="none" w:pos="200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Executive acknowledges that the nature of Executive’s employment shall require that Executive produce and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have access to records, data, trade secrets and information that are not available to the public regarding Employer and its subsidiaries and affiliates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Executive shall hold in confidence and not directly or indirectly disclose any Confidential Information to third parties unless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disclosure becomes reasonably necessary in connection with Executive’s performance of Executive’s duties hereunder, or the Confidential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lawfully becomes available to the public from other sources, or Executive is authorized in writing by Employer to disclose it or Executive is required to make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disclosure by a law or pursuant to the authority of any administrative agency or judicial body. All Confidential Information and all other records, files,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documents and other materials or copies thereof relating to the business of Employer or any of its subsidiaries or affiliates that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Executive prepares or uses shall be the sole property of Employer. Executive’s access to and use of Employer’s computer systems, networks and equipment, and all Employer information contained therein, shall be restricted to legitimate business purposes on behalf of Employer; any other access to or use of such systems, network and equipment is without authorization and is prohibited. The restrictions contained in this </w:t>
      </w:r>
      <w:r>
        <w:rPr>
          <w:rFonts w:ascii="Arial" w:cs="Arial" w:eastAsia="Arial" w:hAnsi="Arial"/>
          <w:sz w:val="16"/>
          <w:szCs w:val="16"/>
          <w:b w:val="1"/>
          <w:bCs w:val="1"/>
          <w:color w:val="auto"/>
        </w:rPr>
        <w:t>Section 6</w:t>
      </w:r>
      <w:r>
        <w:rPr>
          <w:rFonts w:ascii="Arial" w:cs="Arial" w:eastAsia="Arial" w:hAnsi="Arial"/>
          <w:sz w:val="16"/>
          <w:szCs w:val="16"/>
          <w:color w:val="auto"/>
        </w:rPr>
        <w:t xml:space="preserve"> shall extend to any personal computers or other electronic devices of Executive that are used for business purposes relating to Employer. Executive shall not transfer any Employer information to any personal computer or other electronic device that is not otherwise used for any business purpose relating to Employer. Executive shall</w:t>
      </w:r>
    </w:p>
    <w:p>
      <w:pPr>
        <w:sectPr>
          <w:pgSz w:w="11900" w:h="16838" w:orient="portrait"/>
          <w:cols w:equalWidth="0" w:num="1">
            <w:col w:w="11420"/>
          </w:cols>
          <w:pgMar w:left="240" w:top="125" w:right="239" w:bottom="0" w:gutter="0" w:footer="0" w:header="0"/>
        </w:sectPr>
      </w:pPr>
    </w:p>
    <w:bookmarkStart w:id="45" w:name="page46"/>
    <w:bookmarkEnd w:id="45"/>
    <w:p>
      <w:pPr>
        <w:spacing w:after="0" w:line="1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promptly return all originals and copies of any Confidential Information and other records, files, documents and other materials to Employer if Executive’s employment with Employer is terminated for any reason.</w:t>
      </w:r>
    </w:p>
    <w:p>
      <w:pPr>
        <w:spacing w:after="0" w:line="166" w:lineRule="exact"/>
        <w:rPr>
          <w:sz w:val="20"/>
          <w:szCs w:val="20"/>
          <w:color w:val="auto"/>
        </w:rPr>
      </w:pPr>
    </w:p>
    <w:p>
      <w:pPr>
        <w:ind w:right="140" w:firstLine="778"/>
        <w:spacing w:after="0" w:line="255"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Non-Competition and Non-Solicitation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The primary service area of Employer’s business in which Executive will</w:t>
      </w:r>
      <w:r>
        <w:rPr>
          <w:rFonts w:ascii="Arial" w:cs="Arial" w:eastAsia="Arial" w:hAnsi="Arial"/>
          <w:sz w:val="18"/>
          <w:szCs w:val="18"/>
          <w:b w:val="1"/>
          <w:bCs w:val="1"/>
          <w:color w:val="auto"/>
        </w:rPr>
        <w:t xml:space="preserve"> </w:t>
      </w:r>
      <w:r>
        <w:rPr>
          <w:rFonts w:ascii="Arial" w:cs="Arial" w:eastAsia="Arial" w:hAnsi="Arial"/>
          <w:sz w:val="18"/>
          <w:szCs w:val="18"/>
          <w:color w:val="auto"/>
        </w:rPr>
        <w:t>actively participate extends separately to an area that encompasses a twenty-five (25)-mile radius from each banking and other office location of Employer and its subsidiaries and affiliates and a fifty (50)-mile radius from Employer’s main office in Champaign, Illinois (collectively, the “</w:t>
      </w:r>
      <w:r>
        <w:rPr>
          <w:rFonts w:ascii="Arial" w:cs="Arial" w:eastAsia="Arial" w:hAnsi="Arial"/>
          <w:sz w:val="18"/>
          <w:szCs w:val="18"/>
          <w:b w:val="1"/>
          <w:bCs w:val="1"/>
          <w:color w:val="auto"/>
        </w:rPr>
        <w:t>Restrictive Area</w:t>
      </w:r>
      <w:r>
        <w:rPr>
          <w:rFonts w:ascii="Arial" w:cs="Arial" w:eastAsia="Arial" w:hAnsi="Arial"/>
          <w:sz w:val="18"/>
          <w:szCs w:val="18"/>
          <w:color w:val="auto"/>
        </w:rPr>
        <w:t>”). As an essential ingredient and in consideration of this Agreement and Executive’s employment by Employer, Executive shall not, for a period of one (1) year after termination of Executive’s employment with Employer for any reason and whether such termination of employment is during the Term or after the termination or expiration of the Term (the “</w:t>
      </w:r>
      <w:r>
        <w:rPr>
          <w:rFonts w:ascii="Arial" w:cs="Arial" w:eastAsia="Arial" w:hAnsi="Arial"/>
          <w:sz w:val="18"/>
          <w:szCs w:val="18"/>
          <w:b w:val="1"/>
          <w:bCs w:val="1"/>
          <w:color w:val="auto"/>
        </w:rPr>
        <w:t>Restrictive Period)</w:t>
      </w:r>
      <w:r>
        <w:rPr>
          <w:rFonts w:ascii="Arial" w:cs="Arial" w:eastAsia="Arial" w:hAnsi="Arial"/>
          <w:sz w:val="18"/>
          <w:szCs w:val="18"/>
          <w:color w:val="auto"/>
        </w:rPr>
        <w:t>, directly or indirectly compete with the business of Employer, including by doing any of the following (the “</w:t>
      </w:r>
      <w:r>
        <w:rPr>
          <w:rFonts w:ascii="Arial" w:cs="Arial" w:eastAsia="Arial" w:hAnsi="Arial"/>
          <w:sz w:val="18"/>
          <w:szCs w:val="18"/>
          <w:b w:val="1"/>
          <w:bCs w:val="1"/>
          <w:color w:val="auto"/>
        </w:rPr>
        <w:t>Restrictive Covenant</w:t>
      </w:r>
      <w:r>
        <w:rPr>
          <w:rFonts w:ascii="Arial" w:cs="Arial" w:eastAsia="Arial" w:hAnsi="Arial"/>
          <w:sz w:val="18"/>
          <w:szCs w:val="18"/>
          <w:color w:val="auto"/>
        </w:rPr>
        <w:t>”):</w:t>
      </w:r>
    </w:p>
    <w:p>
      <w:pPr>
        <w:spacing w:after="0" w:line="193" w:lineRule="exact"/>
        <w:rPr>
          <w:sz w:val="20"/>
          <w:szCs w:val="20"/>
          <w:color w:val="auto"/>
        </w:rPr>
      </w:pPr>
    </w:p>
    <w:p>
      <w:pPr>
        <w:ind w:right="60" w:firstLine="1305"/>
        <w:spacing w:after="0" w:line="272" w:lineRule="auto"/>
        <w:tabs>
          <w:tab w:leader="none" w:pos="2001"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engage or invest in, own, manage, operate, control, finance, participate in the ownership, management, operation or control of, be employed by, associate with or in any manner be connected with, serve as an employee, officer or director of or consultant to, lend his name or any similar name to, lend his credit to, or render services or advice to any person, firm, partnership, corporation, trust or other entity that owns or operates, a bank, savings and loan association, credit union or similar financial institution (a “</w:t>
      </w:r>
      <w:r>
        <w:rPr>
          <w:rFonts w:ascii="Arial" w:cs="Arial" w:eastAsia="Arial" w:hAnsi="Arial"/>
          <w:sz w:val="17"/>
          <w:szCs w:val="17"/>
          <w:b w:val="1"/>
          <w:bCs w:val="1"/>
          <w:color w:val="auto"/>
        </w:rPr>
        <w:t>Financial Institution</w:t>
      </w:r>
      <w:r>
        <w:rPr>
          <w:rFonts w:ascii="Arial" w:cs="Arial" w:eastAsia="Arial" w:hAnsi="Arial"/>
          <w:sz w:val="17"/>
          <w:szCs w:val="17"/>
          <w:color w:val="auto"/>
        </w:rPr>
        <w:t xml:space="preserve">”) with any office located, or to be located at an address identified in a filing with any regulatory authority, within the Restrictive Area;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the event a successor to First Busey succeeds to or assumes First Busey’s rights and obligations under this Agreement in connection with a Change in Control, this </w:t>
      </w:r>
      <w:r>
        <w:rPr>
          <w:rFonts w:ascii="Arial" w:cs="Arial" w:eastAsia="Arial" w:hAnsi="Arial"/>
          <w:sz w:val="17"/>
          <w:szCs w:val="17"/>
          <w:b w:val="1"/>
          <w:bCs w:val="1"/>
          <w:color w:val="auto"/>
        </w:rPr>
        <w:t>Section 7(a)</w:t>
      </w:r>
      <w:r>
        <w:rPr>
          <w:rFonts w:ascii="Arial" w:cs="Arial" w:eastAsia="Arial" w:hAnsi="Arial"/>
          <w:sz w:val="17"/>
          <w:szCs w:val="17"/>
          <w:color w:val="auto"/>
        </w:rPr>
        <w:t xml:space="preserve"> shall apply only to the primary service areas of First Busey as they existed immediately before the Change in Control;</w:t>
      </w:r>
    </w:p>
    <w:p>
      <w:pPr>
        <w:spacing w:after="0" w:line="177" w:lineRule="exact"/>
        <w:rPr>
          <w:rFonts w:ascii="Arial" w:cs="Arial" w:eastAsia="Arial" w:hAnsi="Arial"/>
          <w:sz w:val="17"/>
          <w:szCs w:val="17"/>
          <w:b w:val="1"/>
          <w:bCs w:val="1"/>
          <w:color w:val="auto"/>
        </w:rPr>
      </w:pPr>
    </w:p>
    <w:p>
      <w:pPr>
        <w:ind w:firstLine="1305"/>
        <w:spacing w:after="0" w:line="255" w:lineRule="auto"/>
        <w:tabs>
          <w:tab w:leader="none" w:pos="2011"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directly or indirectly, for himself or any Financial Institution: (i) induce or attempt to induce any officer of Employer or any of its subsidiaries or affiliates, or any employee who previously reported to Executive, to leave the employ of Employer or any of its subsidiaries or affiliates; (ii) in any way interfere with the relationship between Employer or any of its subsidiaries or affiliates and any such officer or employee; (iii) employ, or otherwise engage as an employee, independent contractor or otherwise, any such officer or employee; or (iv) induce or attempt to induce any customer, supplier, licensee or business relation of Employer of any of its subsidiaries or affiliates to cease doing business with Employer or any of its subsidiaries or affiliates or in any way interfere with the relationship between Employer or any of its subsidiaries or affiliates and any of their respective customers, suppliers, licensees or business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relations, where Executive had personal contact with, or has accessed Confidential Information in the preceding twelve (12) months with respect to, such customers, suppliers, licensees or business relations; or</w:t>
      </w:r>
    </w:p>
    <w:p>
      <w:pPr>
        <w:spacing w:after="0" w:line="170" w:lineRule="exact"/>
        <w:rPr>
          <w:sz w:val="20"/>
          <w:szCs w:val="20"/>
          <w:color w:val="auto"/>
        </w:rPr>
      </w:pPr>
    </w:p>
    <w:p>
      <w:pPr>
        <w:ind w:right="40" w:firstLine="1305"/>
        <w:spacing w:after="0" w:line="259" w:lineRule="auto"/>
        <w:tabs>
          <w:tab w:leader="none" w:pos="1991"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directly or indirectly, for himself or any Financial Institution, solicit the business of any person or entity known to Executive to be a customer of Employer or any of its subsidiaries or affiliates, where Executive, or any person reporting to Executive, had personal contact with such person or entity, with respect to products, activities or services that compete in whole or in part with the products, activities or services of Employer or any of its subsidiaries or affiliates.</w:t>
      </w:r>
    </w:p>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foregoing Restrictive Covenant shall not prohibit Executive from owning directly or indirectly capital stock or similar securities that are listed on a securities exchange or quoted on the National Association of Securities Dealers Automated Quotation System that do not represent more than one percent (1%) of the outstanding capital stock of any Financial Institution.</w:t>
      </w:r>
    </w:p>
    <w:p>
      <w:pPr>
        <w:spacing w:after="0" w:line="177" w:lineRule="exact"/>
        <w:rPr>
          <w:sz w:val="20"/>
          <w:szCs w:val="20"/>
          <w:color w:val="auto"/>
        </w:rPr>
      </w:pPr>
    </w:p>
    <w:p>
      <w:pPr>
        <w:ind w:right="40" w:firstLine="778"/>
        <w:spacing w:after="0" w:line="286" w:lineRule="auto"/>
        <w:rPr>
          <w:sz w:val="20"/>
          <w:szCs w:val="20"/>
          <w:color w:val="auto"/>
        </w:rPr>
      </w:pPr>
      <w:r>
        <w:rPr>
          <w:rFonts w:ascii="Arial" w:cs="Arial" w:eastAsia="Arial" w:hAnsi="Arial"/>
          <w:sz w:val="16"/>
          <w:szCs w:val="16"/>
          <w:b w:val="1"/>
          <w:bCs w:val="1"/>
          <w:color w:val="auto"/>
        </w:rPr>
        <w:t xml:space="preserve">Section 8. </w:t>
      </w:r>
      <w:r>
        <w:rPr>
          <w:rFonts w:ascii="Arial" w:cs="Arial" w:eastAsia="Arial" w:hAnsi="Arial"/>
          <w:sz w:val="16"/>
          <w:szCs w:val="16"/>
          <w:b w:val="1"/>
          <w:bCs w:val="1"/>
          <w:u w:val="single" w:color="auto"/>
          <w:color w:val="auto"/>
        </w:rPr>
        <w:t>Remedies for Breach</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has reviewed the provisions of this Agreement with legal counsel, or has been given adequate</w:t>
      </w:r>
      <w:r>
        <w:rPr>
          <w:rFonts w:ascii="Arial" w:cs="Arial" w:eastAsia="Arial" w:hAnsi="Arial"/>
          <w:sz w:val="16"/>
          <w:szCs w:val="16"/>
          <w:b w:val="1"/>
          <w:bCs w:val="1"/>
          <w:color w:val="auto"/>
        </w:rPr>
        <w:t xml:space="preserve"> </w:t>
      </w:r>
      <w:r>
        <w:rPr>
          <w:rFonts w:ascii="Arial" w:cs="Arial" w:eastAsia="Arial" w:hAnsi="Arial"/>
          <w:sz w:val="16"/>
          <w:szCs w:val="16"/>
          <w:color w:val="auto"/>
        </w:rPr>
        <w:t>opportunity to seek such counsel, and Executive acknowledges that the covenants contained herein are reasonable with respect to their duration, geographical area and scope. Executive further acknowledges that the restrictions contained in this Agreement are reasonable and necessary for the protection of the legitimate business interests of Employer, that they create no undue hardships, that any violation of these restrictions would cause substantial injury to Employer and its interests, that Employer would not have agreed to enter into this Agreement without receiving Executive’s agreement to be bound by these restrictions and that such restrictions were a material inducement to Employer to enter into this Agreement. During the Restrictive Period, Employer shall have the right to communicate the existence and terms of this Agreement to any third party with whom Executive may seek or obtain future employment or other similar arrangement. In addition, in the event of any violation or threatened violation of the restrictions contained in this Agreement, Employer, in addition to and not in limitation of, any other rights, remedies or damages available to Employer under this Agreement or otherwise at law or in equity, shall be entitled to preliminary and permanent injunctive relief to prevent or restrain any such violation by Executive and any and all persons directly or indirectly acting for or with him, as the case may be. If Executive violates the Restrictive Covenant and Employer brings legal action for injunctive or other relief, Employer shall not, as a result of the time involved in obtaining such relief, be deprived of the benefit of the full period of the Restrictive Covenant. Accordingly, the Restrictive Covenant shall be deemed to have the duration specified herein computed from the date the relief is granted but reduced by the time between the period when the Restrictive Period began to run and the date of the first violation of the Restrictive Covenant by Executive.</w:t>
      </w:r>
    </w:p>
    <w:p>
      <w:pPr>
        <w:spacing w:after="0" w:line="172" w:lineRule="exact"/>
        <w:rPr>
          <w:sz w:val="20"/>
          <w:szCs w:val="20"/>
          <w:color w:val="auto"/>
        </w:rPr>
      </w:pPr>
    </w:p>
    <w:p>
      <w:pPr>
        <w:ind w:left="780"/>
        <w:spacing w:after="0"/>
        <w:tabs>
          <w:tab w:leader="none" w:pos="200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u w:val="single" w:color="auto"/>
          <w:color w:val="auto"/>
        </w:rPr>
        <w:t>Indemnity; Other Protections</w:t>
      </w:r>
      <w:r>
        <w:rPr>
          <w:rFonts w:ascii="Arial" w:cs="Arial" w:eastAsia="Arial" w:hAnsi="Arial"/>
          <w:sz w:val="16"/>
          <w:szCs w:val="16"/>
          <w:b w:val="1"/>
          <w:bCs w:val="1"/>
          <w:color w:val="auto"/>
        </w:rPr>
        <w:t>.</w:t>
      </w:r>
    </w:p>
    <w:p>
      <w:pPr>
        <w:spacing w:after="0" w:line="225" w:lineRule="exact"/>
        <w:rPr>
          <w:sz w:val="20"/>
          <w:szCs w:val="20"/>
          <w:color w:val="auto"/>
        </w:rPr>
      </w:pPr>
    </w:p>
    <w:p>
      <w:pPr>
        <w:ind w:right="840" w:firstLine="1305"/>
        <w:spacing w:after="0" w:line="347" w:lineRule="auto"/>
        <w:tabs>
          <w:tab w:leader="none" w:pos="2001"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shall indemnify Executive (and, upon Executive’s death, Executive’s heirs, executors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administrators) to the fullest extent permitted by law against all expenses, including reasonable attorneys’ fees, court and investigative costs,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45"/>
        <w:spacing w:after="0" w:line="281" w:lineRule="auto"/>
        <w:rPr>
          <w:sz w:val="20"/>
          <w:szCs w:val="20"/>
          <w:color w:val="auto"/>
        </w:rPr>
      </w:pPr>
      <w:r>
        <w:rPr>
          <w:rFonts w:ascii="Arial" w:cs="Arial" w:eastAsia="Arial" w:hAnsi="Arial"/>
          <w:sz w:val="17"/>
          <w:szCs w:val="17"/>
          <w:color w:val="auto"/>
        </w:rPr>
        <w:t>judgments, fines and amounts paid in settlement (collectively, “</w:t>
      </w:r>
      <w:r>
        <w:rPr>
          <w:rFonts w:ascii="Arial" w:cs="Arial" w:eastAsia="Arial" w:hAnsi="Arial"/>
          <w:sz w:val="17"/>
          <w:szCs w:val="17"/>
          <w:b w:val="1"/>
          <w:bCs w:val="1"/>
          <w:color w:val="auto"/>
        </w:rPr>
        <w:t>Expenses</w:t>
      </w:r>
      <w:r>
        <w:rPr>
          <w:rFonts w:ascii="Arial" w:cs="Arial" w:eastAsia="Arial" w:hAnsi="Arial"/>
          <w:sz w:val="17"/>
          <w:szCs w:val="17"/>
          <w:color w:val="auto"/>
        </w:rPr>
        <w:t>”) reasonably incurred by Executive in connection with or arising out of any pending, threatened or completed action, suit or proceeding in which Executive becomes involved by reason of Executive’s having been an officer or director of Employer. The indemnification rights provided for herein are not exclusive and shall supplement any rights to indemnification that Executive may have under any applicable bylaw or charter provision of Employer, or any resolution of Employer or any applicable statute.</w:t>
      </w:r>
    </w:p>
    <w:p>
      <w:pPr>
        <w:spacing w:after="0" w:line="165" w:lineRule="exact"/>
        <w:rPr>
          <w:sz w:val="20"/>
          <w:szCs w:val="20"/>
          <w:color w:val="auto"/>
        </w:rPr>
      </w:pPr>
    </w:p>
    <w:p>
      <w:pPr>
        <w:ind w:right="20" w:firstLine="1305"/>
        <w:spacing w:after="0" w:line="303" w:lineRule="auto"/>
        <w:tabs>
          <w:tab w:leader="none" w:pos="1962"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Advancement of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that Executive becomes a party, or is threatened to be made a party, to any pending,</w:t>
      </w:r>
      <w:r>
        <w:rPr>
          <w:rFonts w:ascii="Arial" w:cs="Arial" w:eastAsia="Arial" w:hAnsi="Arial"/>
          <w:sz w:val="16"/>
          <w:szCs w:val="16"/>
          <w:b w:val="1"/>
          <w:bCs w:val="1"/>
          <w:color w:val="auto"/>
        </w:rPr>
        <w:t xml:space="preserve"> </w:t>
      </w:r>
      <w:r>
        <w:rPr>
          <w:rFonts w:ascii="Arial" w:cs="Arial" w:eastAsia="Arial" w:hAnsi="Arial"/>
          <w:sz w:val="16"/>
          <w:szCs w:val="16"/>
          <w:color w:val="auto"/>
        </w:rPr>
        <w:t>threatened or completed action, suit or proceeding for which Employer is permitted or required to indemnify Executive under this Agreement, any applicable bylaw or charter provision of Employer, any resolution of Employer, or any applicable statute, Employer shall, to the fullest extent permitted by law, advance all Expenses incurred by Executive in connection with the investigation, defense, settlement, or appeal of any threatened, pending or completed action, suit or</w:t>
      </w:r>
    </w:p>
    <w:p>
      <w:pPr>
        <w:sectPr>
          <w:pgSz w:w="11900" w:h="16944" w:orient="portrait"/>
          <w:cols w:equalWidth="0" w:num="1">
            <w:col w:w="11400"/>
          </w:cols>
          <w:pgMar w:left="240" w:top="125" w:right="259" w:bottom="0" w:gutter="0" w:footer="0" w:header="0"/>
        </w:sectPr>
      </w:pPr>
    </w:p>
    <w:bookmarkStart w:id="46" w:name="page47"/>
    <w:bookmarkEnd w:id="46"/>
    <w:p>
      <w:pPr>
        <w:ind w:right="120"/>
        <w:spacing w:after="0" w:line="259" w:lineRule="auto"/>
        <w:rPr>
          <w:sz w:val="20"/>
          <w:szCs w:val="20"/>
          <w:color w:val="auto"/>
        </w:rPr>
      </w:pPr>
      <w:r>
        <w:rPr>
          <w:rFonts w:ascii="Arial" w:cs="Arial" w:eastAsia="Arial" w:hAnsi="Arial"/>
          <w:sz w:val="18"/>
          <w:szCs w:val="18"/>
          <w:color w:val="auto"/>
        </w:rPr>
        <w:t>proceeding, subject to receipt by Employer of a written undertaking from Executive to reimburse Employer for all Expenses actually paid by Employer to or on behalf of Executive in the event it shall be ultimately determined that Employer cannot lawfully indemnify Executive for such Expenses, and to assign to Employer all rights of Executive to indemnification under any policy of directors’ and officers’ liability insurance to the extent of the amount of Expenses actually paid by Employer to or on behalf of Executive.</w:t>
      </w:r>
    </w:p>
    <w:p>
      <w:pPr>
        <w:spacing w:after="0" w:line="183" w:lineRule="exact"/>
        <w:rPr>
          <w:sz w:val="20"/>
          <w:szCs w:val="20"/>
          <w:color w:val="auto"/>
        </w:rPr>
      </w:pPr>
    </w:p>
    <w:p>
      <w:pPr>
        <w:ind w:right="60" w:firstLine="1305"/>
        <w:spacing w:after="0" w:line="261" w:lineRule="auto"/>
        <w:tabs>
          <w:tab w:leader="none" w:pos="195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Unless precluded by an actual or potential conflict of interest, Employer shall have the right to recommend counsel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 to represent Executive in connection with any claim covered by this </w:t>
      </w:r>
      <w:r>
        <w:rPr>
          <w:rFonts w:ascii="Arial" w:cs="Arial" w:eastAsia="Arial" w:hAnsi="Arial"/>
          <w:sz w:val="18"/>
          <w:szCs w:val="18"/>
          <w:b w:val="1"/>
          <w:bCs w:val="1"/>
          <w:color w:val="auto"/>
        </w:rPr>
        <w:t>Section 9</w:t>
      </w:r>
      <w:r>
        <w:rPr>
          <w:rFonts w:ascii="Arial" w:cs="Arial" w:eastAsia="Arial" w:hAnsi="Arial"/>
          <w:sz w:val="18"/>
          <w:szCs w:val="18"/>
          <w:color w:val="auto"/>
        </w:rPr>
        <w:t>. Further, Executive’s choice of counsel, Executive’s decision to contest or settle any such claim and the terms and amount of the settlement of any such claim shall be subject to Employer’s prior written approval, which approval shall not be unreasonably withheld by Employer.</w:t>
      </w:r>
    </w:p>
    <w:p>
      <w:pPr>
        <w:spacing w:after="0" w:line="18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u w:val="single" w:color="auto"/>
          <w:color w:val="auto"/>
        </w:rPr>
        <w:t>General Provisions</w:t>
      </w:r>
      <w:r>
        <w:rPr>
          <w:rFonts w:ascii="Arial" w:cs="Arial" w:eastAsia="Arial" w:hAnsi="Arial"/>
          <w:sz w:val="15"/>
          <w:szCs w:val="15"/>
          <w:b w:val="1"/>
          <w:bCs w:val="1"/>
          <w:color w:val="auto"/>
        </w:rPr>
        <w:t>.</w:t>
      </w:r>
    </w:p>
    <w:p>
      <w:pPr>
        <w:spacing w:after="0" w:line="225" w:lineRule="exact"/>
        <w:rPr>
          <w:sz w:val="20"/>
          <w:szCs w:val="20"/>
          <w:color w:val="auto"/>
        </w:rPr>
      </w:pPr>
    </w:p>
    <w:p>
      <w:pPr>
        <w:ind w:right="80" w:firstLine="1305"/>
        <w:spacing w:after="0" w:line="282" w:lineRule="auto"/>
        <w:tabs>
          <w:tab w:leader="none" w:pos="195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set forth explicitly herein, this Agreement may not be amended or modified except by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Executive and First Busey.</w:t>
      </w:r>
    </w:p>
    <w:p>
      <w:pPr>
        <w:spacing w:after="0" w:line="161" w:lineRule="exact"/>
        <w:rPr>
          <w:rFonts w:ascii="Arial" w:cs="Arial" w:eastAsia="Arial" w:hAnsi="Arial"/>
          <w:sz w:val="18"/>
          <w:szCs w:val="18"/>
          <w:b w:val="1"/>
          <w:bCs w:val="1"/>
          <w:color w:val="auto"/>
        </w:rPr>
      </w:pPr>
    </w:p>
    <w:p>
      <w:pPr>
        <w:ind w:firstLine="1305"/>
        <w:spacing w:after="0" w:line="274" w:lineRule="auto"/>
        <w:tabs>
          <w:tab w:leader="none" w:pos="1962"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Successors; 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binding upon and inure to the benefit of Executive, Employer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respective personal representatives, successors and assigns. Except as set forth in </w:t>
      </w:r>
      <w:r>
        <w:rPr>
          <w:rFonts w:ascii="Arial" w:cs="Arial" w:eastAsia="Arial" w:hAnsi="Arial"/>
          <w:sz w:val="17"/>
          <w:szCs w:val="17"/>
          <w:b w:val="1"/>
          <w:bCs w:val="1"/>
          <w:color w:val="auto"/>
        </w:rPr>
        <w:t>Section 7(a)</w:t>
      </w:r>
      <w:r>
        <w:rPr>
          <w:rFonts w:ascii="Arial" w:cs="Arial" w:eastAsia="Arial" w:hAnsi="Arial"/>
          <w:sz w:val="17"/>
          <w:szCs w:val="17"/>
          <w:color w:val="auto"/>
        </w:rPr>
        <w:t>, for the purposes of this Agreement, any successor or assign of Employer shall be deemed to be “</w:t>
      </w:r>
      <w:r>
        <w:rPr>
          <w:rFonts w:ascii="Arial" w:cs="Arial" w:eastAsia="Arial" w:hAnsi="Arial"/>
          <w:sz w:val="17"/>
          <w:szCs w:val="17"/>
          <w:b w:val="1"/>
          <w:bCs w:val="1"/>
          <w:color w:val="auto"/>
        </w:rPr>
        <w:t>Employer</w:t>
      </w:r>
      <w:r>
        <w:rPr>
          <w:rFonts w:ascii="Arial" w:cs="Arial" w:eastAsia="Arial" w:hAnsi="Arial"/>
          <w:sz w:val="17"/>
          <w:szCs w:val="17"/>
          <w:color w:val="auto"/>
        </w:rPr>
        <w:t>.” Employer shall require any successor or assign of Employer or any direct or indirect purchaser or acquirer of all or substantially all of the business, assets or liabilities of Employer, whether by transfer, purchase, merger, consolidation, stock acquisition or otherwise, to assume and agree in writing to perform this Agreement and Employer’s obligations hereunder in the same manner and to the same extent as Employer would have been required to perform them if no such transaction had occurred.</w:t>
      </w:r>
    </w:p>
    <w:p>
      <w:pPr>
        <w:spacing w:after="0" w:line="173" w:lineRule="exact"/>
        <w:rPr>
          <w:rFonts w:ascii="Arial" w:cs="Arial" w:eastAsia="Arial" w:hAnsi="Arial"/>
          <w:sz w:val="17"/>
          <w:szCs w:val="17"/>
          <w:b w:val="1"/>
          <w:bCs w:val="1"/>
          <w:color w:val="auto"/>
        </w:rPr>
      </w:pPr>
    </w:p>
    <w:p>
      <w:pPr>
        <w:ind w:right="260" w:firstLine="1305"/>
        <w:spacing w:after="0" w:line="282" w:lineRule="auto"/>
        <w:tabs>
          <w:tab w:leader="none" w:pos="195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between the Parties concerning the subject matter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and supersedes all prior negotiations,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undertakings, agreements and arrangements with respect thereto, whether written or oral. The provisions of this Agreement shall be regarded as divisible and separate; if any provision is declared invalid or unenforceable, the validity and enforceability of the remaining provisions shall not be affected. In the event any provision of this Agreement (including any provision of the Restrictive Covenant) is held to be overbroad as written, such provision shall be deemed to be amended to narrow the application of such provision to the extent necessary to make such provision enforceable according to applicable law.</w:t>
      </w:r>
    </w:p>
    <w:p>
      <w:pPr>
        <w:spacing w:after="0" w:line="150" w:lineRule="exact"/>
        <w:rPr>
          <w:sz w:val="20"/>
          <w:szCs w:val="20"/>
          <w:color w:val="auto"/>
        </w:rPr>
      </w:pPr>
    </w:p>
    <w:p>
      <w:pPr>
        <w:ind w:right="20" w:firstLine="1305"/>
        <w:spacing w:after="0" w:line="266" w:lineRule="auto"/>
        <w:tabs>
          <w:tab w:leader="none" w:pos="196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w:t>
      </w:r>
      <w:r>
        <w:rPr>
          <w:rFonts w:ascii="Arial" w:cs="Arial" w:eastAsia="Arial" w:hAnsi="Arial"/>
          <w:sz w:val="18"/>
          <w:szCs w:val="18"/>
          <w:b w:val="1"/>
          <w:bCs w:val="1"/>
          <w:color w:val="auto"/>
        </w:rPr>
        <w:t xml:space="preserve"> Section 6 </w:t>
      </w:r>
      <w:r>
        <w:rPr>
          <w:rFonts w:ascii="Arial" w:cs="Arial" w:eastAsia="Arial" w:hAnsi="Arial"/>
          <w:sz w:val="18"/>
          <w:szCs w:val="18"/>
          <w:color w:val="auto"/>
        </w:rPr>
        <w:t>(Confidentiality),</w:t>
      </w:r>
      <w:r>
        <w:rPr>
          <w:rFonts w:ascii="Arial" w:cs="Arial" w:eastAsia="Arial" w:hAnsi="Arial"/>
          <w:sz w:val="18"/>
          <w:szCs w:val="18"/>
          <w:b w:val="1"/>
          <w:bCs w:val="1"/>
          <w:color w:val="auto"/>
        </w:rPr>
        <w:t xml:space="preserve"> Section 7 </w:t>
      </w:r>
      <w:r>
        <w:rPr>
          <w:rFonts w:ascii="Arial" w:cs="Arial" w:eastAsia="Arial" w:hAnsi="Arial"/>
          <w:sz w:val="18"/>
          <w:szCs w:val="18"/>
          <w:color w:val="auto"/>
        </w:rPr>
        <w:t>(Non-Competition and Non-Solicitation Covenants),</w:t>
      </w:r>
      <w:r>
        <w:rPr>
          <w:rFonts w:ascii="Arial" w:cs="Arial" w:eastAsia="Arial" w:hAnsi="Arial"/>
          <w:sz w:val="18"/>
          <w:szCs w:val="18"/>
          <w:b w:val="1"/>
          <w:bCs w:val="1"/>
          <w:color w:val="auto"/>
        </w:rPr>
        <w:t xml:space="preserve"> Section 8 </w:t>
      </w:r>
      <w:r>
        <w:rPr>
          <w:rFonts w:ascii="Arial" w:cs="Arial" w:eastAsia="Arial" w:hAnsi="Arial"/>
          <w:sz w:val="18"/>
          <w:szCs w:val="18"/>
          <w:color w:val="auto"/>
        </w:rPr>
        <w:t xml:space="preserve">(Remedies for Breach), </w:t>
      </w:r>
      <w:r>
        <w:rPr>
          <w:rFonts w:ascii="Arial" w:cs="Arial" w:eastAsia="Arial" w:hAnsi="Arial"/>
          <w:sz w:val="18"/>
          <w:szCs w:val="18"/>
          <w:b w:val="1"/>
          <w:bCs w:val="1"/>
          <w:color w:val="auto"/>
        </w:rPr>
        <w:t>Section 9</w:t>
      </w:r>
      <w:r>
        <w:rPr>
          <w:rFonts w:ascii="Arial" w:cs="Arial" w:eastAsia="Arial" w:hAnsi="Arial"/>
          <w:sz w:val="18"/>
          <w:szCs w:val="18"/>
          <w:color w:val="auto"/>
        </w:rPr>
        <w:t xml:space="preserve"> (Indemnity; Other Protections) and </w:t>
      </w:r>
      <w:r>
        <w:rPr>
          <w:rFonts w:ascii="Arial" w:cs="Arial" w:eastAsia="Arial" w:hAnsi="Arial"/>
          <w:sz w:val="18"/>
          <w:szCs w:val="18"/>
          <w:b w:val="1"/>
          <w:bCs w:val="1"/>
          <w:color w:val="auto"/>
        </w:rPr>
        <w:t>Section 10</w:t>
      </w:r>
      <w:r>
        <w:rPr>
          <w:rFonts w:ascii="Arial" w:cs="Arial" w:eastAsia="Arial" w:hAnsi="Arial"/>
          <w:sz w:val="18"/>
          <w:szCs w:val="18"/>
          <w:color w:val="auto"/>
        </w:rPr>
        <w:t xml:space="preserve"> (General Provisions) shall survive the expiration or termination of this Agreement for any reason.</w:t>
      </w:r>
    </w:p>
    <w:p>
      <w:pPr>
        <w:spacing w:after="0" w:line="176" w:lineRule="exact"/>
        <w:rPr>
          <w:rFonts w:ascii="Arial" w:cs="Arial" w:eastAsia="Arial" w:hAnsi="Arial"/>
          <w:sz w:val="18"/>
          <w:szCs w:val="18"/>
          <w:b w:val="1"/>
          <w:bCs w:val="1"/>
          <w:color w:val="auto"/>
        </w:rPr>
      </w:pPr>
    </w:p>
    <w:p>
      <w:pPr>
        <w:ind w:right="140" w:firstLine="1305"/>
        <w:spacing w:after="0" w:line="282" w:lineRule="auto"/>
        <w:tabs>
          <w:tab w:leader="none" w:pos="195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Enforcement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construed and the legal relations of the Parties shall be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laws of the State of Illinois without reference to the law regarding conflicts of law.</w:t>
      </w:r>
    </w:p>
    <w:p>
      <w:pPr>
        <w:spacing w:after="0" w:line="161" w:lineRule="exact"/>
        <w:rPr>
          <w:rFonts w:ascii="Arial" w:cs="Arial" w:eastAsia="Arial" w:hAnsi="Arial"/>
          <w:sz w:val="18"/>
          <w:szCs w:val="18"/>
          <w:b w:val="1"/>
          <w:bCs w:val="1"/>
          <w:color w:val="auto"/>
        </w:rPr>
      </w:pPr>
    </w:p>
    <w:p>
      <w:pPr>
        <w:ind w:right="540" w:firstLine="1305"/>
        <w:spacing w:after="0" w:line="266" w:lineRule="auto"/>
        <w:tabs>
          <w:tab w:leader="none" w:pos="1949"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Any dispute or controversy arising under or in connection with this Agreement shall be settled exclusively by</w:t>
      </w:r>
      <w:r>
        <w:rPr>
          <w:rFonts w:ascii="Arial" w:cs="Arial" w:eastAsia="Arial" w:hAnsi="Arial"/>
          <w:sz w:val="18"/>
          <w:szCs w:val="18"/>
          <w:b w:val="1"/>
          <w:bCs w:val="1"/>
          <w:color w:val="auto"/>
        </w:rPr>
        <w:t xml:space="preserve"> </w:t>
      </w:r>
      <w:r>
        <w:rPr>
          <w:rFonts w:ascii="Arial" w:cs="Arial" w:eastAsia="Arial" w:hAnsi="Arial"/>
          <w:sz w:val="18"/>
          <w:szCs w:val="18"/>
          <w:color w:val="auto"/>
        </w:rPr>
        <w:t>arbitration conducted at a location selected by Employer within fifty (50) miles from Champaign-Urbana, Illinois, in accordance with the rules of the American Arbitration Association.</w:t>
      </w:r>
    </w:p>
    <w:p>
      <w:pPr>
        <w:spacing w:after="0" w:line="176" w:lineRule="exact"/>
        <w:rPr>
          <w:rFonts w:ascii="Arial" w:cs="Arial" w:eastAsia="Arial" w:hAnsi="Arial"/>
          <w:sz w:val="18"/>
          <w:szCs w:val="18"/>
          <w:b w:val="1"/>
          <w:bCs w:val="1"/>
          <w:color w:val="auto"/>
        </w:rPr>
      </w:pPr>
    </w:p>
    <w:p>
      <w:pPr>
        <w:ind w:firstLine="1305"/>
        <w:spacing w:after="0" w:line="292" w:lineRule="auto"/>
        <w:tabs>
          <w:tab w:leader="none" w:pos="1952"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Prevailing Party Legal Fees</w:t>
      </w:r>
      <w:r>
        <w:rPr>
          <w:rFonts w:ascii="Arial" w:cs="Arial" w:eastAsia="Arial" w:hAnsi="Arial"/>
          <w:sz w:val="16"/>
          <w:szCs w:val="16"/>
          <w:b w:val="1"/>
          <w:bCs w:val="1"/>
          <w:color w:val="auto"/>
        </w:rPr>
        <w:t xml:space="preserve">. </w:t>
      </w:r>
      <w:r>
        <w:rPr>
          <w:rFonts w:ascii="Arial" w:cs="Arial" w:eastAsia="Arial" w:hAnsi="Arial"/>
          <w:sz w:val="16"/>
          <w:szCs w:val="16"/>
          <w:color w:val="auto"/>
        </w:rPr>
        <w:t>Should either Party initiate any action or proceeding to enforce this Agreement or any provision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hereof, or for damages by reason of any alleged breach of this Agreement or of any provision hereof, or for a declaration of rights hereunder, the prevailing Party in any such action or proceeding shall be entitled to receive from the other Party all costs and expenses, including reasonable attorneys’ fees, incurred by the prevailing Party in connection with such action or proceeding;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reasonable attorneys’ fees shall be limited to the fees of the last attorney to represent the Party and to the lesser of the fees incurred as a result of the reasonable hourly rate of the attorney or any contingent or other arrangement for the payment of legal fees. The payment, if any, of costs and expenses to either Party under this </w:t>
      </w:r>
      <w:r>
        <w:rPr>
          <w:rFonts w:ascii="Arial" w:cs="Arial" w:eastAsia="Arial" w:hAnsi="Arial"/>
          <w:sz w:val="16"/>
          <w:szCs w:val="16"/>
          <w:b w:val="1"/>
          <w:bCs w:val="1"/>
          <w:color w:val="auto"/>
        </w:rPr>
        <w:t>Section 10(g)</w:t>
      </w:r>
      <w:r>
        <w:rPr>
          <w:rFonts w:ascii="Arial" w:cs="Arial" w:eastAsia="Arial" w:hAnsi="Arial"/>
          <w:sz w:val="16"/>
          <w:szCs w:val="16"/>
          <w:color w:val="auto"/>
        </w:rPr>
        <w:t xml:space="preserve"> shall be made no later than two and one-half (2½) months following the end of the year in which a final adjudication is made in the action or proceeding.</w:t>
      </w:r>
    </w:p>
    <w:p>
      <w:pPr>
        <w:spacing w:after="0" w:line="161" w:lineRule="exact"/>
        <w:rPr>
          <w:rFonts w:ascii="Arial" w:cs="Arial" w:eastAsia="Arial" w:hAnsi="Arial"/>
          <w:sz w:val="16"/>
          <w:szCs w:val="16"/>
          <w:b w:val="1"/>
          <w:bCs w:val="1"/>
          <w:color w:val="auto"/>
        </w:rPr>
      </w:pPr>
    </w:p>
    <w:p>
      <w:pPr>
        <w:ind w:firstLine="1305"/>
        <w:spacing w:after="0" w:line="266" w:lineRule="auto"/>
        <w:tabs>
          <w:tab w:leader="none" w:pos="196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 waiver by either Party at any time of any breach by the other Party of, or compliance with, any condition or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to be performed by the other Party shall be deemed a waiver of any similar or dissimilar provisions or conditions at the same time or any prior or subsequent time.</w:t>
      </w:r>
    </w:p>
    <w:p>
      <w:pPr>
        <w:spacing w:after="0" w:line="176" w:lineRule="exact"/>
        <w:rPr>
          <w:rFonts w:ascii="Arial" w:cs="Arial" w:eastAsia="Arial" w:hAnsi="Arial"/>
          <w:sz w:val="18"/>
          <w:szCs w:val="18"/>
          <w:b w:val="1"/>
          <w:bCs w:val="1"/>
          <w:color w:val="auto"/>
        </w:rPr>
      </w:pPr>
    </w:p>
    <w:p>
      <w:pPr>
        <w:ind w:right="60" w:firstLine="1305"/>
        <w:spacing w:after="0" w:line="261" w:lineRule="auto"/>
        <w:tabs>
          <w:tab w:leader="none" w:pos="1953"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Notices pursuant to this Agreement shall be in writing and shall be deemed given when received; and, if mailed,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mailed by United States registered or certified mail, return receipt requested, postage prepaid; and if to Employer, addressed to the principal headquarters of First Busey, attention: President and Chief Executive Officer; and if to Executive, to the address for Executive as most currently reflected in the corporate records or to such other address as Executive has most recently provided to Employer.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1305"/>
        <w:spacing w:after="0" w:line="290" w:lineRule="auto"/>
        <w:tabs>
          <w:tab w:leader="none" w:pos="1963"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Code Section 409A</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any provision of this Agreement or action by Employer would subject Executive to liability for</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or additional taxes under Code Section 409A, it shall be deemed null and void, to the extent permitted by law and deemed advisable by Employer. It is intended that this Agreement will comply with Code Section 409A, and this Agreement shall be administered accordingly, and interpreted and construed on a basis consistent with such intent. Notwithstanding anything herein to the contrary, no termination or other similar payments and benefits hereunder shall be payable on account of Executive’s termination of employment unless Executive’s termination of employment constitutes a “separation from service” within the meaning of Section 409A. To the extent any reimbursements or in-kind benefit payments under this Agreement are subject to Code Section 409A, such reimbursements and in-kind benefit payments shall be made in accordance with Treasury Regulation §1.409A-3(i)(1)(iv). This Agreement may be amended to the extent necessary (including retroactively) by Employer to maintain to the maximum extent practicable the original intent of this Agreement while avoiding the application of taxes or interest under Code Section 409A. The preceding shall not be construed as a guarantee of any particular tax effect for</w:t>
      </w:r>
    </w:p>
    <w:p>
      <w:pPr>
        <w:sectPr>
          <w:pgSz w:w="11900" w:h="16838" w:orient="portrait"/>
          <w:cols w:equalWidth="0" w:num="1">
            <w:col w:w="11400"/>
          </w:cols>
          <w:pgMar w:left="240" w:top="125" w:right="259" w:bottom="0" w:gutter="0" w:footer="0" w:header="0"/>
        </w:sectPr>
      </w:pPr>
    </w:p>
    <w:bookmarkStart w:id="47" w:name="page48"/>
    <w:bookmarkEnd w:id="47"/>
    <w:p>
      <w:pPr>
        <w:ind w:right="320"/>
        <w:spacing w:after="0" w:line="277" w:lineRule="auto"/>
        <w:rPr>
          <w:sz w:val="20"/>
          <w:szCs w:val="20"/>
          <w:color w:val="auto"/>
        </w:rPr>
      </w:pPr>
      <w:r>
        <w:rPr>
          <w:rFonts w:ascii="Arial" w:cs="Arial" w:eastAsia="Arial" w:hAnsi="Arial"/>
          <w:sz w:val="18"/>
          <w:szCs w:val="18"/>
          <w:color w:val="auto"/>
        </w:rPr>
        <w:t>Executive’s compensation and benefits and Employer does not guarantee that any compensation or benefits provided under this Agreement will satisfy the provisions of Code Section 409A.</w:t>
      </w:r>
    </w:p>
    <w:p>
      <w:pPr>
        <w:spacing w:after="0" w:line="166" w:lineRule="exact"/>
        <w:rPr>
          <w:sz w:val="20"/>
          <w:szCs w:val="20"/>
          <w:color w:val="auto"/>
        </w:rPr>
      </w:pPr>
    </w:p>
    <w:p>
      <w:pPr>
        <w:ind w:right="60" w:firstLine="1305"/>
        <w:spacing w:after="0" w:line="256" w:lineRule="auto"/>
        <w:tabs>
          <w:tab w:leader="none" w:pos="196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Clawback</w:t>
      </w:r>
      <w:r>
        <w:rPr>
          <w:rFonts w:ascii="Arial" w:cs="Arial" w:eastAsia="Arial" w:hAnsi="Arial"/>
          <w:sz w:val="18"/>
          <w:szCs w:val="18"/>
          <w:b w:val="1"/>
          <w:bCs w:val="1"/>
          <w:color w:val="auto"/>
        </w:rPr>
        <w:t xml:space="preserve">. </w:t>
      </w:r>
      <w:r>
        <w:rPr>
          <w:rFonts w:ascii="Arial" w:cs="Arial" w:eastAsia="Arial" w:hAnsi="Arial"/>
          <w:sz w:val="18"/>
          <w:szCs w:val="18"/>
          <w:color w:val="auto"/>
        </w:rPr>
        <w:t>Any amount or benefit received under this Agreement shall be subject to potential cancellation, recoupment,</w:t>
      </w:r>
      <w:r>
        <w:rPr>
          <w:rFonts w:ascii="Arial" w:cs="Arial" w:eastAsia="Arial" w:hAnsi="Arial"/>
          <w:sz w:val="18"/>
          <w:szCs w:val="18"/>
          <w:b w:val="1"/>
          <w:bCs w:val="1"/>
          <w:color w:val="auto"/>
        </w:rPr>
        <w:t xml:space="preserve"> </w:t>
      </w:r>
      <w:r>
        <w:rPr>
          <w:rFonts w:ascii="Arial" w:cs="Arial" w:eastAsia="Arial" w:hAnsi="Arial"/>
          <w:sz w:val="18"/>
          <w:szCs w:val="18"/>
          <w:color w:val="auto"/>
        </w:rPr>
        <w:t>rescission, payback, or other action in accordance with the terms of any applicable Employer clawback policy (the “</w:t>
      </w:r>
      <w:r>
        <w:rPr>
          <w:rFonts w:ascii="Arial" w:cs="Arial" w:eastAsia="Arial" w:hAnsi="Arial"/>
          <w:sz w:val="18"/>
          <w:szCs w:val="18"/>
          <w:b w:val="1"/>
          <w:bCs w:val="1"/>
          <w:color w:val="auto"/>
        </w:rPr>
        <w:t>Policy</w:t>
      </w:r>
      <w:r>
        <w:rPr>
          <w:rFonts w:ascii="Arial" w:cs="Arial" w:eastAsia="Arial" w:hAnsi="Arial"/>
          <w:sz w:val="18"/>
          <w:szCs w:val="18"/>
          <w:color w:val="auto"/>
        </w:rPr>
        <w:t>”) or any applicable law, as may be in effect from time to time. Executive acknowledges and consents to Employer’s application, implementation, and enforcement of (i) the Policy or any similar policy established by Employer that may apply to Executive and (ii) any provision of applicable law relating to cancellation, rescission, payback, or recoupment of compensation, as well as Executive’s express agreement that Employer may take such actions as may be necessary to effectuate the Policy, any similar policy, or applicable law, without further consideration or action.</w:t>
      </w:r>
    </w:p>
    <w:p>
      <w:pPr>
        <w:spacing w:after="0" w:line="187" w:lineRule="exact"/>
        <w:rPr>
          <w:rFonts w:ascii="Arial" w:cs="Arial" w:eastAsia="Arial" w:hAnsi="Arial"/>
          <w:sz w:val="18"/>
          <w:szCs w:val="18"/>
          <w:b w:val="1"/>
          <w:bCs w:val="1"/>
          <w:color w:val="auto"/>
        </w:rPr>
      </w:pPr>
    </w:p>
    <w:p>
      <w:pPr>
        <w:ind w:right="100" w:firstLine="1305"/>
        <w:spacing w:after="0" w:line="270" w:lineRule="auto"/>
        <w:tabs>
          <w:tab w:leader="none" w:pos="1953"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deemed drafted equally by the Parties. Any presumption or principle that the language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to be construed against any Party shall not apply. Whenever used in this Agreement, the singular includes the plural and vice versa (where applicable); the words “hereof,” “herein,” “hereto,” “hereby,” “hereunder,” and other words of similar import refer to this Agreement as a whole (including exhibits); all references to sections, schedules and exhibits are to sections, schedules and exhibits in or to this Agreement unless otherwise specified; the words “include,” “includes” and “including” means “include, without limitation,” “includes, without limitation” and “including, without limitation,” respectively; any reference to a document or set of documents, and the rights and obligations of the parties under any such documents, means such document or documents as amended from time to time, and any and all modifications, extensions, renewals, substitutions or replacements thereof; and references to a statute shall refer to the statute and any amendments and any successor statutes, and to all regulations promulgated under or implementing the statute, as amended, or its successors, as in effect at the relevant time. The headings used in this Agreement are for convenience only, shall not be deemed to constitute a part hereof, and shall not be deemed to limit, characterize or in any way affect the construction or enforcement of the provisions of this Agreement. This Agreement may be executed in any number of identical</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counterparts, any of which may contain the signatures of less than all Parties, and all of which together shall constitute a single agreement. All remedies of any Party are cumulative and not alternative, and are in addition to any other remedies available at law, in equity or otherwise.</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gridSpan w:val="4"/>
          </w:tcPr>
          <w:p>
            <w:pPr>
              <w:spacing w:after="0"/>
              <w:rPr>
                <w:sz w:val="20"/>
                <w:szCs w:val="20"/>
                <w:color w:val="auto"/>
              </w:rPr>
            </w:pPr>
            <w:r>
              <w:rPr>
                <w:rFonts w:ascii="Arial" w:cs="Arial" w:eastAsia="Arial" w:hAnsi="Arial"/>
                <w:sz w:val="18"/>
                <w:szCs w:val="18"/>
                <w:b w:val="1"/>
                <w:bCs w:val="1"/>
                <w:color w:val="auto"/>
              </w:rPr>
              <w:t>FIRST BUSEY CORPORATION and</w:t>
            </w:r>
          </w:p>
        </w:tc>
        <w:tc>
          <w:tcPr>
            <w:tcW w:w="1020" w:type="dxa"/>
            <w:vAlign w:val="bottom"/>
          </w:tcPr>
          <w:p>
            <w:pPr>
              <w:spacing w:after="0"/>
              <w:rPr>
                <w:sz w:val="18"/>
                <w:szCs w:val="18"/>
                <w:color w:val="auto"/>
              </w:rPr>
            </w:pPr>
          </w:p>
        </w:tc>
        <w:tc>
          <w:tcPr>
            <w:tcW w:w="2820" w:type="dxa"/>
            <w:vAlign w:val="bottom"/>
            <w:gridSpan w:val="2"/>
          </w:tcPr>
          <w:p>
            <w:pPr>
              <w:ind w:left="1260"/>
              <w:spacing w:after="0"/>
              <w:rPr>
                <w:sz w:val="20"/>
                <w:szCs w:val="20"/>
                <w:color w:val="auto"/>
              </w:rPr>
            </w:pPr>
            <w:r>
              <w:rPr>
                <w:rFonts w:ascii="Arial" w:cs="Arial" w:eastAsia="Arial" w:hAnsi="Arial"/>
                <w:sz w:val="18"/>
                <w:szCs w:val="18"/>
                <w:b w:val="1"/>
                <w:bCs w:val="1"/>
                <w:color w:val="auto"/>
              </w:rPr>
              <w:t>EXECUTIVE</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BUSEY BANK</w:t>
            </w: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3440" w:type="dxa"/>
            <w:vAlign w:val="bottom"/>
            <w:gridSpan w:val="4"/>
          </w:tcPr>
          <w:p>
            <w:pPr>
              <w:spacing w:after="0"/>
              <w:rPr>
                <w:sz w:val="20"/>
                <w:szCs w:val="20"/>
                <w:color w:val="auto"/>
              </w:rPr>
            </w:pPr>
            <w:r>
              <w:rPr>
                <w:rFonts w:ascii="Arial" w:cs="Arial" w:eastAsia="Arial" w:hAnsi="Arial"/>
                <w:sz w:val="18"/>
                <w:szCs w:val="18"/>
                <w:color w:val="auto"/>
              </w:rPr>
              <w:t>By:   /s/ VAN A. DUKEMAN</w:t>
            </w:r>
          </w:p>
        </w:tc>
        <w:tc>
          <w:tcPr>
            <w:tcW w:w="1020" w:type="dxa"/>
            <w:vAlign w:val="bottom"/>
          </w:tcPr>
          <w:p>
            <w:pPr>
              <w:spacing w:after="0"/>
              <w:rPr>
                <w:sz w:val="24"/>
                <w:szCs w:val="24"/>
                <w:color w:val="auto"/>
              </w:rPr>
            </w:pPr>
          </w:p>
        </w:tc>
        <w:tc>
          <w:tcPr>
            <w:tcW w:w="3620" w:type="dxa"/>
            <w:vAlign w:val="bottom"/>
            <w:gridSpan w:val="3"/>
          </w:tcPr>
          <w:p>
            <w:pPr>
              <w:ind w:left="1260"/>
              <w:spacing w:after="0"/>
              <w:rPr>
                <w:sz w:val="20"/>
                <w:szCs w:val="20"/>
                <w:color w:val="auto"/>
              </w:rPr>
            </w:pPr>
            <w:r>
              <w:rPr>
                <w:rFonts w:ascii="Arial" w:cs="Arial" w:eastAsia="Arial" w:hAnsi="Arial"/>
                <w:sz w:val="18"/>
                <w:szCs w:val="18"/>
                <w:color w:val="auto"/>
              </w:rPr>
              <w:t>/s/ CURT ANDERSON</w:t>
            </w:r>
          </w:p>
        </w:tc>
        <w:tc>
          <w:tcPr>
            <w:tcW w:w="4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500" w:type="dxa"/>
            <w:vAlign w:val="bottom"/>
          </w:tcPr>
          <w:p>
            <w:pPr>
              <w:spacing w:after="0"/>
              <w:rPr>
                <w:sz w:val="16"/>
                <w:szCs w:val="16"/>
                <w:color w:val="auto"/>
              </w:rPr>
            </w:pPr>
          </w:p>
        </w:tc>
        <w:tc>
          <w:tcPr>
            <w:tcW w:w="1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Van A. Dukeman</w:t>
            </w:r>
          </w:p>
        </w:tc>
        <w:tc>
          <w:tcPr>
            <w:tcW w:w="8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gridSpan w:val="2"/>
          </w:tcPr>
          <w:p>
            <w:pPr>
              <w:ind w:left="1260"/>
              <w:spacing w:after="0" w:line="195" w:lineRule="exact"/>
              <w:rPr>
                <w:sz w:val="20"/>
                <w:szCs w:val="20"/>
                <w:color w:val="auto"/>
              </w:rPr>
            </w:pPr>
            <w:r>
              <w:rPr>
                <w:rFonts w:ascii="Arial" w:cs="Arial" w:eastAsia="Arial" w:hAnsi="Arial"/>
                <w:sz w:val="18"/>
                <w:szCs w:val="18"/>
                <w:color w:val="auto"/>
              </w:rPr>
              <w:t>Curt Anderson</w:t>
            </w:r>
          </w:p>
        </w:tc>
        <w:tc>
          <w:tcPr>
            <w:tcW w:w="8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w w:val="97"/>
              </w:rPr>
              <w:t>President and Chief Executive Officer</w:t>
            </w:r>
          </w:p>
        </w:tc>
        <w:tc>
          <w:tcPr>
            <w:tcW w:w="10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of First Busey Corporation</w:t>
            </w:r>
          </w:p>
        </w:tc>
        <w:tc>
          <w:tcPr>
            <w:tcW w:w="10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40" w:type="dxa"/>
            <w:vAlign w:val="bottom"/>
            <w:gridSpan w:val="4"/>
          </w:tcPr>
          <w:p>
            <w:pPr>
              <w:jc w:val="center"/>
              <w:spacing w:after="0"/>
              <w:rPr>
                <w:sz w:val="20"/>
                <w:szCs w:val="20"/>
                <w:color w:val="auto"/>
              </w:rPr>
            </w:pPr>
            <w:r>
              <w:rPr>
                <w:rFonts w:ascii="Arial" w:cs="Arial" w:eastAsia="Arial" w:hAnsi="Arial"/>
                <w:sz w:val="18"/>
                <w:szCs w:val="18"/>
                <w:i w:val="1"/>
                <w:iCs w:val="1"/>
                <w:color w:val="auto"/>
                <w:w w:val="89"/>
              </w:rPr>
              <w:t>Signature Page to Curt Anderson Employment Agreement</w:t>
            </w:r>
          </w:p>
        </w:tc>
        <w:tc>
          <w:tcPr>
            <w:tcW w:w="4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50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gridSpan w:val="2"/>
          </w:tcPr>
          <w:p>
            <w:pPr>
              <w:spacing w:after="0"/>
              <w:rPr>
                <w:sz w:val="24"/>
                <w:szCs w:val="24"/>
                <w:color w:val="auto"/>
              </w:rPr>
            </w:pPr>
          </w:p>
        </w:tc>
      </w:tr>
      <w:tr>
        <w:trPr>
          <w:trHeight w:val="523"/>
        </w:trPr>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80" w:type="dxa"/>
            <w:vAlign w:val="bottom"/>
            <w:gridSpan w:val="3"/>
          </w:tcPr>
          <w:p>
            <w:pPr>
              <w:ind w:left="480"/>
              <w:spacing w:after="0"/>
              <w:rPr>
                <w:sz w:val="20"/>
                <w:szCs w:val="20"/>
                <w:color w:val="auto"/>
              </w:rPr>
            </w:pPr>
            <w:r>
              <w:rPr>
                <w:rFonts w:ascii="Arial" w:cs="Arial" w:eastAsia="Arial" w:hAnsi="Arial"/>
                <w:sz w:val="18"/>
                <w:szCs w:val="18"/>
                <w:b w:val="1"/>
                <w:bCs w:val="1"/>
                <w:color w:val="auto"/>
                <w:w w:val="92"/>
              </w:rPr>
              <w:t>Exhibit A to Employment Agreement</w:t>
            </w:r>
          </w:p>
        </w:tc>
      </w:tr>
      <w:tr>
        <w:trPr>
          <w:trHeight w:val="412"/>
        </w:trPr>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AGREEMENT AND RELEASE</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r>
      <w:tr>
        <w:trPr>
          <w:trHeight w:val="434"/>
        </w:trPr>
        <w:tc>
          <w:tcPr>
            <w:tcW w:w="500" w:type="dxa"/>
            <w:vAlign w:val="bottom"/>
          </w:tcPr>
          <w:p>
            <w:pPr>
              <w:spacing w:after="0"/>
              <w:rPr>
                <w:sz w:val="24"/>
                <w:szCs w:val="24"/>
                <w:color w:val="auto"/>
              </w:rPr>
            </w:pPr>
          </w:p>
        </w:tc>
        <w:tc>
          <w:tcPr>
            <w:tcW w:w="6780" w:type="dxa"/>
            <w:vAlign w:val="bottom"/>
            <w:gridSpan w:val="6"/>
          </w:tcPr>
          <w:p>
            <w:pPr>
              <w:ind w:left="160"/>
              <w:spacing w:after="0"/>
              <w:rPr>
                <w:sz w:val="20"/>
                <w:szCs w:val="20"/>
                <w:color w:val="auto"/>
              </w:rPr>
            </w:pPr>
            <w:r>
              <w:rPr>
                <w:rFonts w:ascii="Arial" w:cs="Arial" w:eastAsia="Arial" w:hAnsi="Arial"/>
                <w:sz w:val="18"/>
                <w:szCs w:val="18"/>
                <w:color w:val="auto"/>
              </w:rPr>
              <w:t>This Agreement and Release (this “</w:t>
            </w:r>
            <w:r>
              <w:rPr>
                <w:rFonts w:ascii="Arial" w:cs="Arial" w:eastAsia="Arial" w:hAnsi="Arial"/>
                <w:sz w:val="18"/>
                <w:szCs w:val="18"/>
                <w:b w:val="1"/>
                <w:bCs w:val="1"/>
                <w:color w:val="auto"/>
              </w:rPr>
              <w:t>Release</w:t>
            </w:r>
            <w:r>
              <w:rPr>
                <w:rFonts w:ascii="Arial" w:cs="Arial" w:eastAsia="Arial" w:hAnsi="Arial"/>
                <w:sz w:val="18"/>
                <w:szCs w:val="18"/>
                <w:color w:val="auto"/>
              </w:rPr>
              <w:t>”) is made and entered into as of</w:t>
            </w:r>
          </w:p>
        </w:tc>
        <w:tc>
          <w:tcPr>
            <w:tcW w:w="4180" w:type="dxa"/>
            <w:vAlign w:val="bottom"/>
            <w:gridSpan w:val="4"/>
          </w:tcPr>
          <w:p>
            <w:pPr>
              <w:ind w:left="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Release Date</w:t>
            </w:r>
            <w:r>
              <w:rPr>
                <w:rFonts w:ascii="Arial" w:cs="Arial" w:eastAsia="Arial" w:hAnsi="Arial"/>
                <w:sz w:val="18"/>
                <w:szCs w:val="18"/>
                <w:color w:val="auto"/>
              </w:rPr>
              <w:t>”), by and among First Busey</w:t>
            </w:r>
          </w:p>
        </w:tc>
      </w:tr>
      <w:tr>
        <w:trPr>
          <w:trHeight w:val="216"/>
        </w:trPr>
        <w:tc>
          <w:tcPr>
            <w:tcW w:w="8080" w:type="dxa"/>
            <w:vAlign w:val="bottom"/>
            <w:gridSpan w:val="8"/>
          </w:tcPr>
          <w:p>
            <w:pPr>
              <w:spacing w:after="0"/>
              <w:rPr>
                <w:sz w:val="20"/>
                <w:szCs w:val="20"/>
                <w:color w:val="auto"/>
              </w:rPr>
            </w:pPr>
            <w:r>
              <w:rPr>
                <w:rFonts w:ascii="Arial" w:cs="Arial" w:eastAsia="Arial" w:hAnsi="Arial"/>
                <w:sz w:val="18"/>
                <w:szCs w:val="18"/>
                <w:color w:val="auto"/>
                <w:w w:val="99"/>
              </w:rPr>
              <w:t>Corporation (“</w:t>
            </w:r>
            <w:r>
              <w:rPr>
                <w:rFonts w:ascii="Arial" w:cs="Arial" w:eastAsia="Arial" w:hAnsi="Arial"/>
                <w:sz w:val="18"/>
                <w:szCs w:val="18"/>
                <w:b w:val="1"/>
                <w:bCs w:val="1"/>
                <w:color w:val="auto"/>
                <w:w w:val="99"/>
              </w:rPr>
              <w:t>First Busey</w:t>
            </w:r>
            <w:r>
              <w:rPr>
                <w:rFonts w:ascii="Arial" w:cs="Arial" w:eastAsia="Arial" w:hAnsi="Arial"/>
                <w:sz w:val="18"/>
                <w:szCs w:val="18"/>
                <w:color w:val="auto"/>
                <w:w w:val="99"/>
              </w:rPr>
              <w:t>”), Busey Bank (the “</w:t>
            </w:r>
            <w:r>
              <w:rPr>
                <w:rFonts w:ascii="Arial" w:cs="Arial" w:eastAsia="Arial" w:hAnsi="Arial"/>
                <w:sz w:val="18"/>
                <w:szCs w:val="18"/>
                <w:b w:val="1"/>
                <w:bCs w:val="1"/>
                <w:color w:val="auto"/>
                <w:w w:val="99"/>
              </w:rPr>
              <w:t>Bank</w:t>
            </w:r>
            <w:r>
              <w:rPr>
                <w:rFonts w:ascii="Arial" w:cs="Arial" w:eastAsia="Arial" w:hAnsi="Arial"/>
                <w:sz w:val="18"/>
                <w:szCs w:val="18"/>
                <w:color w:val="auto"/>
                <w:w w:val="99"/>
              </w:rPr>
              <w:t>” and together with First Busey, “</w:t>
            </w:r>
            <w:r>
              <w:rPr>
                <w:rFonts w:ascii="Arial" w:cs="Arial" w:eastAsia="Arial" w:hAnsi="Arial"/>
                <w:sz w:val="18"/>
                <w:szCs w:val="18"/>
                <w:b w:val="1"/>
                <w:bCs w:val="1"/>
                <w:color w:val="auto"/>
                <w:w w:val="99"/>
              </w:rPr>
              <w:t>Employer</w:t>
            </w:r>
            <w:r>
              <w:rPr>
                <w:rFonts w:ascii="Arial" w:cs="Arial" w:eastAsia="Arial" w:hAnsi="Arial"/>
                <w:sz w:val="18"/>
                <w:szCs w:val="18"/>
                <w:color w:val="auto"/>
                <w:w w:val="99"/>
              </w:rPr>
              <w:t>”) and</w:t>
            </w:r>
          </w:p>
        </w:tc>
        <w:tc>
          <w:tcPr>
            <w:tcW w:w="480" w:type="dxa"/>
            <w:vAlign w:val="bottom"/>
          </w:tcPr>
          <w:p>
            <w:pPr>
              <w:spacing w:after="0"/>
              <w:rPr>
                <w:sz w:val="18"/>
                <w:szCs w:val="18"/>
                <w:color w:val="auto"/>
              </w:rPr>
            </w:pPr>
          </w:p>
        </w:tc>
        <w:tc>
          <w:tcPr>
            <w:tcW w:w="2900" w:type="dxa"/>
            <w:vAlign w:val="bottom"/>
            <w:gridSpan w:val="2"/>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w:t>
            </w:r>
            <w:r>
              <w:rPr>
                <w:rFonts w:ascii="Arial" w:cs="Arial" w:eastAsia="Arial" w:hAnsi="Arial"/>
                <w:sz w:val="18"/>
                <w:szCs w:val="18"/>
                <w:color w:val="auto"/>
              </w:rPr>
              <w:t>,” and together with</w:t>
            </w:r>
          </w:p>
        </w:tc>
      </w:tr>
      <w:tr>
        <w:trPr>
          <w:trHeight w:val="234"/>
        </w:trPr>
        <w:tc>
          <w:tcPr>
            <w:tcW w:w="11460" w:type="dxa"/>
            <w:vAlign w:val="bottom"/>
            <w:gridSpan w:val="11"/>
          </w:tcPr>
          <w:p>
            <w:pPr>
              <w:spacing w:after="0"/>
              <w:rPr>
                <w:sz w:val="20"/>
                <w:szCs w:val="20"/>
                <w:color w:val="auto"/>
              </w:rPr>
            </w:pPr>
            <w:r>
              <w:rPr>
                <w:rFonts w:ascii="Arial" w:cs="Arial" w:eastAsia="Arial" w:hAnsi="Arial"/>
                <w:sz w:val="18"/>
                <w:szCs w:val="18"/>
                <w:color w:val="auto"/>
              </w:rPr>
              <w:t>Employer, the “</w:t>
            </w:r>
            <w:r>
              <w:rPr>
                <w:rFonts w:ascii="Arial" w:cs="Arial" w:eastAsia="Arial" w:hAnsi="Arial"/>
                <w:sz w:val="18"/>
                <w:szCs w:val="18"/>
                <w:b w:val="1"/>
                <w:bCs w:val="1"/>
                <w:color w:val="auto"/>
              </w:rPr>
              <w:t>Parties</w:t>
            </w:r>
            <w:r>
              <w:rPr>
                <w:rFonts w:ascii="Arial" w:cs="Arial" w:eastAsia="Arial" w:hAnsi="Arial"/>
                <w:sz w:val="18"/>
                <w:szCs w:val="18"/>
                <w:color w:val="auto"/>
              </w:rPr>
              <w:t>”). In consideration of the mutual covenants hereinafter set forth, the Parties hereby agree as follows:</w:t>
            </w:r>
          </w:p>
        </w:tc>
      </w:tr>
      <w:tr>
        <w:trPr>
          <w:trHeight w:val="392"/>
        </w:trPr>
        <w:tc>
          <w:tcPr>
            <w:tcW w:w="500" w:type="dxa"/>
            <w:vAlign w:val="bottom"/>
          </w:tcPr>
          <w:p>
            <w:pPr>
              <w:spacing w:after="0"/>
              <w:rPr>
                <w:sz w:val="24"/>
                <w:szCs w:val="24"/>
                <w:color w:val="auto"/>
              </w:rPr>
            </w:pPr>
          </w:p>
        </w:tc>
        <w:tc>
          <w:tcPr>
            <w:tcW w:w="1460" w:type="dxa"/>
            <w:vAlign w:val="bottom"/>
          </w:tcPr>
          <w:p>
            <w:pPr>
              <w:ind w:left="160"/>
              <w:spacing w:after="0"/>
              <w:rPr>
                <w:sz w:val="20"/>
                <w:szCs w:val="20"/>
                <w:color w:val="auto"/>
              </w:rPr>
            </w:pPr>
            <w:r>
              <w:rPr>
                <w:rFonts w:ascii="Arial" w:cs="Arial" w:eastAsia="Arial" w:hAnsi="Arial"/>
                <w:sz w:val="18"/>
                <w:szCs w:val="18"/>
                <w:b w:val="1"/>
                <w:bCs w:val="1"/>
                <w:color w:val="auto"/>
              </w:rPr>
              <w:t>Section 1.</w:t>
            </w:r>
          </w:p>
        </w:tc>
        <w:tc>
          <w:tcPr>
            <w:tcW w:w="5320" w:type="dxa"/>
            <w:vAlign w:val="bottom"/>
            <w:gridSpan w:val="5"/>
          </w:tcPr>
          <w:p>
            <w:pPr>
              <w:spacing w:after="0"/>
              <w:rPr>
                <w:sz w:val="20"/>
                <w:szCs w:val="20"/>
                <w:color w:val="auto"/>
              </w:rPr>
            </w:pPr>
            <w:r>
              <w:rPr>
                <w:rFonts w:ascii="Arial" w:cs="Arial" w:eastAsia="Arial" w:hAnsi="Arial"/>
                <w:sz w:val="18"/>
                <w:szCs w:val="18"/>
                <w:b w:val="1"/>
                <w:bCs w:val="1"/>
                <w:color w:val="auto"/>
                <w:w w:val="93"/>
              </w:rPr>
              <w:t xml:space="preserve">Separation. </w:t>
            </w:r>
            <w:r>
              <w:rPr>
                <w:rFonts w:ascii="Arial" w:cs="Arial" w:eastAsia="Arial" w:hAnsi="Arial"/>
                <w:sz w:val="18"/>
                <w:szCs w:val="18"/>
                <w:color w:val="auto"/>
                <w:w w:val="93"/>
              </w:rPr>
              <w:t>Executive’s employment with Employer shall end effective</w:t>
            </w:r>
          </w:p>
        </w:tc>
        <w:tc>
          <w:tcPr>
            <w:tcW w:w="800" w:type="dxa"/>
            <w:vAlign w:val="bottom"/>
          </w:tcPr>
          <w:p>
            <w:pPr>
              <w:spacing w:after="0"/>
              <w:rPr>
                <w:sz w:val="24"/>
                <w:szCs w:val="24"/>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-1468120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-1468120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u w:val="single" w:color="auto"/>
          <w:color w:val="auto"/>
        </w:rPr>
        <w:t>Payment and Benefits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In consideration of the promises made in this Release, First Busey has agreed to pay Executive the</w:t>
      </w:r>
    </w:p>
    <w:p>
      <w:pPr>
        <w:spacing w:after="0" w:line="27"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compensation and benefits as provided in that certain employment agreement made and entered into as of , by and among the Parties (the “</w:t>
      </w:r>
      <w:r>
        <w:rPr>
          <w:rFonts w:ascii="Arial" w:cs="Arial" w:eastAsia="Arial" w:hAnsi="Arial"/>
          <w:sz w:val="18"/>
          <w:szCs w:val="18"/>
          <w:b w:val="1"/>
          <w:bCs w:val="1"/>
          <w:color w:val="auto"/>
        </w:rPr>
        <w:t>Employment Agreement</w:t>
      </w:r>
      <w:r>
        <w:rPr>
          <w:rFonts w:ascii="Arial" w:cs="Arial" w:eastAsia="Arial" w:hAnsi="Arial"/>
          <w:sz w:val="18"/>
          <w:szCs w:val="18"/>
          <w:color w:val="auto"/>
        </w:rPr>
        <w:t>”). Executive understands and acknowledges that the compensation and benefits provided under this Section 2 constitute an amount in excess of that to which Executive would be entitled without entering into this Release. Executive acknowledges that such compensation and benefits are being provided by First Busey, in part, as consideration for Executive entering into this Release, including the release of claims and waiver of rights provided in Section 3 of this Release.</w:t>
      </w:r>
    </w:p>
    <w:p>
      <w:pPr>
        <w:spacing w:after="0" w:line="187"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b w:val="1"/>
          <w:bCs w:val="1"/>
          <w:color w:val="auto"/>
        </w:rPr>
        <w:t xml:space="preserve">Section 3. </w:t>
      </w:r>
      <w:r>
        <w:rPr>
          <w:rFonts w:ascii="Arial" w:cs="Arial" w:eastAsia="Arial" w:hAnsi="Arial"/>
          <w:sz w:val="16"/>
          <w:szCs w:val="16"/>
          <w:b w:val="1"/>
          <w:bCs w:val="1"/>
          <w:u w:val="single" w:color="auto"/>
          <w:color w:val="auto"/>
        </w:rPr>
        <w:t>Release of Claims and Waiver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on Executive’s own behalf and that of Executive’s heirs, executors,</w:t>
      </w:r>
      <w:r>
        <w:rPr>
          <w:rFonts w:ascii="Arial" w:cs="Arial" w:eastAsia="Arial" w:hAnsi="Arial"/>
          <w:sz w:val="16"/>
          <w:szCs w:val="16"/>
          <w:b w:val="1"/>
          <w:bCs w:val="1"/>
          <w:color w:val="auto"/>
        </w:rPr>
        <w:t xml:space="preserve"> </w:t>
      </w:r>
      <w:r>
        <w:rPr>
          <w:rFonts w:ascii="Arial" w:cs="Arial" w:eastAsia="Arial" w:hAnsi="Arial"/>
          <w:sz w:val="16"/>
          <w:szCs w:val="16"/>
          <w:color w:val="auto"/>
        </w:rPr>
        <w:t>attorneys, administrators, successors and assigns, fully releases and discharges Employer, its predecessors, successors, subsidiaries, affiliates and assigns, and its and their directors, officers, trustees, employees, and agents, in their individual and official capacities, and the current and former trustees and administrators of any retirement or other benefit plan applicable to the employees or former employees of Employer, in their individual and official capacities (the “</w:t>
      </w:r>
      <w:r>
        <w:rPr>
          <w:rFonts w:ascii="Arial" w:cs="Arial" w:eastAsia="Arial" w:hAnsi="Arial"/>
          <w:sz w:val="16"/>
          <w:szCs w:val="16"/>
          <w:b w:val="1"/>
          <w:bCs w:val="1"/>
          <w:color w:val="auto"/>
        </w:rPr>
        <w:t>Released Parties</w:t>
      </w:r>
      <w:r>
        <w:rPr>
          <w:rFonts w:ascii="Arial" w:cs="Arial" w:eastAsia="Arial" w:hAnsi="Arial"/>
          <w:sz w:val="16"/>
          <w:szCs w:val="16"/>
          <w:color w:val="auto"/>
        </w:rPr>
        <w:t>”), from any and all liability, claims, demands and actions, including liability, claims, demands and actions arising under Employer’s policies and procedures, whether formal or informal; the United States or State of Illinois Constitutions; the Civil Rights Act of 1964; the Civil Rights Act of 1991; the Illinois Human Rights Act; the Employee Retirement Income Security Act of 1974; the Age Discrimination in Employment Act; Executive Order 11246; and any other federal, state or local statute, ordinance or regulation with respect to employment, and in addition thereto, from any other liability,</w:t>
      </w:r>
    </w:p>
    <w:p>
      <w:pPr>
        <w:sectPr>
          <w:pgSz w:w="11900" w:h="16838" w:orient="portrait"/>
          <w:cols w:equalWidth="0" w:num="1">
            <w:col w:w="11460"/>
          </w:cols>
          <w:pgMar w:left="240" w:top="125" w:right="199" w:bottom="0" w:gutter="0" w:footer="0" w:header="0"/>
        </w:sectPr>
      </w:pPr>
    </w:p>
    <w:bookmarkStart w:id="48" w:name="page49"/>
    <w:bookmarkEnd w:id="48"/>
    <w:p>
      <w:pPr>
        <w:spacing w:after="0" w:line="2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claims, demands and actions with respect to Executive’s employment with Employer or other association with Employer through the Release Date, including the termination of Executive’s employment with Employer, any right of payment for disability or any other statutory or contractual right of payment or any claim for relief on the basis of any alleged tort or breach of contract under the common law of the State of Illinois or any other state, including defamation, intentional or negligent infliction of emotional distress, breach of the covenant of good faith and fair dealing, promissory estoppel, and negligence. Executive represents that Executive has not assigned or filed any claim, demand, action or charge against the Released Parties. Executive further acknowledges that Executive is aware that statutes exist that render null and void releases and discharges of any claims, rights, demands, liabilities, actions and causes of action that are unknown to the releasing or discharging party at the time of execution of the release and discharge. Executive hereby expressly waives, surrenders and</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agrees to forego any protection to which Executive would otherwise be entitled by virtue of the existence of any such statute in any jurisdiction, including the State of Illinois.</w:t>
      </w:r>
    </w:p>
    <w:p>
      <w:pPr>
        <w:spacing w:after="0" w:line="166"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b w:val="1"/>
          <w:bCs w:val="1"/>
          <w:u w:val="single" w:color="auto"/>
          <w:color w:val="auto"/>
        </w:rPr>
        <w:t>Covenant Not to Sue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shall not bring, file, charge, claim, sue or cause, assist, or permit to be brought, filed, charged or</w:t>
      </w:r>
      <w:r>
        <w:rPr>
          <w:rFonts w:ascii="Arial" w:cs="Arial" w:eastAsia="Arial" w:hAnsi="Arial"/>
          <w:sz w:val="16"/>
          <w:szCs w:val="16"/>
          <w:b w:val="1"/>
          <w:bCs w:val="1"/>
          <w:color w:val="auto"/>
        </w:rPr>
        <w:t xml:space="preserve"> </w:t>
      </w:r>
      <w:r>
        <w:rPr>
          <w:rFonts w:ascii="Arial" w:cs="Arial" w:eastAsia="Arial" w:hAnsi="Arial"/>
          <w:sz w:val="16"/>
          <w:szCs w:val="16"/>
          <w:color w:val="auto"/>
        </w:rPr>
        <w:t>claimed any action, cause of action, or proceeding regarding or in any way related to any of the claims described in Section 3 of this Release; Executive’s release of claims and waiver of rights provided in Section 3 of this Release is, shall constitute and may be pleaded as, a bar to any such claim, action, cause of action or proceeding. If any government agency or court assumes jurisdiction of any charge, complaint or cause of action covered by this Release, Executive shall not seek and shall not accept any personal equitable or monetary relief in connection with any investigation, civil action, suit or legal proceeding.</w:t>
      </w:r>
    </w:p>
    <w:p>
      <w:pPr>
        <w:spacing w:after="0" w:line="154"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Mutual 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At all times following the signing of this Release, neither Party shall engage in any vilification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and each Party shall refrain from making any false, negative, critical or disparaging statements, implied or expressed, concerning the other, including management style, methods of doing business, the quality of products and services, or role in the community. Executive acknowledges that the only persons whose statements may be attributed to Employer for purposes of this covenant not to make disparaging statements shall be each member of the Board of Directors of Employer, the CEO/EMD and executive officers that report directly to the CEO/EMD. The Parties shall do nothing that would damage the other’s business reputation or good will.</w:t>
      </w:r>
    </w:p>
    <w:p>
      <w:pPr>
        <w:spacing w:after="0" w:line="188"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b w:val="1"/>
          <w:bCs w:val="1"/>
          <w:color w:val="auto"/>
        </w:rPr>
        <w:t xml:space="preserve">Section 6. </w:t>
      </w:r>
      <w:r>
        <w:rPr>
          <w:rFonts w:ascii="Arial" w:cs="Arial" w:eastAsia="Arial" w:hAnsi="Arial"/>
          <w:sz w:val="16"/>
          <w:szCs w:val="16"/>
          <w:b w:val="1"/>
          <w:bCs w:val="1"/>
          <w:u w:val="single" w:color="auto"/>
          <w:color w:val="auto"/>
        </w:rPr>
        <w:t>Representations by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warrants that Executive is legally competent to execute this Release and that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has not relied on any statements or explanations made by Employer or its attorneys. Moreover, Executive acknowledges that Executive has been afforded the opportunity to be advised by legal counsel regarding the terms of this Release, including the release of all claims and waiver of rights set forth in Section 3 of this Release. Executive acknowledges that Executive has been offered </w:t>
      </w:r>
      <w:r>
        <w:rPr>
          <w:rFonts w:ascii="Arial" w:cs="Arial" w:eastAsia="Arial" w:hAnsi="Arial"/>
          <w:sz w:val="16"/>
          <w:szCs w:val="16"/>
          <w:b w:val="1"/>
          <w:bCs w:val="1"/>
          <w:color w:val="auto"/>
        </w:rPr>
        <w:t>[twenty-one (21)]</w:t>
      </w:r>
      <w:r>
        <w:rPr>
          <w:rFonts w:ascii="Arial" w:cs="Arial" w:eastAsia="Arial" w:hAnsi="Arial"/>
          <w:sz w:val="16"/>
          <w:szCs w:val="16"/>
          <w:color w:val="auto"/>
        </w:rPr>
        <w:t xml:space="preserve"> days to consider this Release. After being so advised, and without coercion of any kind, Executive freely, knowingly and voluntarily enters into this Release. </w:t>
      </w:r>
      <w:r>
        <w:rPr>
          <w:rFonts w:ascii="Arial" w:cs="Arial" w:eastAsia="Arial" w:hAnsi="Arial"/>
          <w:sz w:val="16"/>
          <w:szCs w:val="16"/>
          <w:b w:val="1"/>
          <w:bCs w:val="1"/>
          <w:color w:val="auto"/>
        </w:rPr>
        <w:t>[Executive further acknowledges that Executive may revoke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this Release within seven (7) days after Executive has signed this Release and further understands that this Release shall not become effective or enforceable until seven (7) days after Executive has signed this Release, as evidenced by the date set forth below Executive’s signature on this Release. Any revocation of this Release by Executive must be in writing and addressed to the principal headquarters of First Busey, attention: President and Chief Executive Officer. If sent by mail, any revocation must be postmarked within the seven (7)-day period and sent by certified mail, return receipt requested.] </w:t>
      </w:r>
      <w:r>
        <w:rPr>
          <w:rFonts w:ascii="Arial" w:cs="Arial" w:eastAsia="Arial" w:hAnsi="Arial"/>
          <w:sz w:val="16"/>
          <w:szCs w:val="16"/>
          <w:color w:val="auto"/>
        </w:rPr>
        <w:t>In addition, Executive represents that Executive has returned all property of Employer that is in Executive’s possession,</w:t>
      </w:r>
      <w:r>
        <w:rPr>
          <w:rFonts w:ascii="Arial" w:cs="Arial" w:eastAsia="Arial" w:hAnsi="Arial"/>
          <w:sz w:val="16"/>
          <w:szCs w:val="16"/>
          <w:b w:val="1"/>
          <w:bCs w:val="1"/>
          <w:color w:val="auto"/>
        </w:rPr>
        <w:t xml:space="preserve"> </w:t>
      </w:r>
      <w:r>
        <w:rPr>
          <w:rFonts w:ascii="Arial" w:cs="Arial" w:eastAsia="Arial" w:hAnsi="Arial"/>
          <w:sz w:val="16"/>
          <w:szCs w:val="16"/>
          <w:color w:val="auto"/>
        </w:rPr>
        <w:t>custody or control, including all documents, records and tangible property that are not publicly available and reflect, refer or relate to Employer or Employer’s business affairs, operations or customers, and all copies of the foregoing.</w:t>
      </w:r>
    </w:p>
    <w:p>
      <w:pPr>
        <w:spacing w:after="0" w:line="16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u w:val="single" w:color="auto"/>
          <w:color w:val="auto"/>
        </w:rPr>
        <w:t>No Admissions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Employer denies that it or any of its employees or agents have taken any improper action against Executive.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Release shall not be admissible in any proceeding as evidence of improper action by Employer or any of its employees or agents.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and Employer shall keep the existence and the terms of this Release confidential,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immediate family members or their legal or tax advisors in connection with services related hereto and except as may be required by law or in connection with the preparation of tax returns.</w:t>
      </w:r>
    </w:p>
    <w:p>
      <w:pPr>
        <w:spacing w:after="0" w:line="176"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Non-Waiver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waiver of a breach of this Release by Executive shall not be construed or operate as a waiver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 breach by Executive of the same or of any other provision of this Release.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Restrictive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abide by the terms set forth in Sections 5 and 6 of the Employment Agreement.</w:t>
      </w:r>
    </w:p>
    <w:p>
      <w:pPr>
        <w:spacing w:after="0" w:line="225"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set forth in Section 9 of the Employment Agreement shall apply to this Release,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word</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shall take the place of the word “Agreement” in such Section 9, where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Release as of dates set forth below their respective signatures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FIRST BUSEY CORPORATION and</w:t>
            </w:r>
          </w:p>
        </w:tc>
        <w:tc>
          <w:tcPr>
            <w:tcW w:w="5880" w:type="dxa"/>
            <w:vAlign w:val="bottom"/>
            <w:gridSpan w:val="2"/>
          </w:tcPr>
          <w:p>
            <w:pPr>
              <w:ind w:left="280"/>
              <w:spacing w:after="0"/>
              <w:rPr>
                <w:sz w:val="20"/>
                <w:szCs w:val="20"/>
                <w:color w:val="auto"/>
              </w:rPr>
            </w:pPr>
            <w:r>
              <w:rPr>
                <w:rFonts w:ascii="Arial" w:cs="Arial" w:eastAsia="Arial" w:hAnsi="Arial"/>
                <w:sz w:val="18"/>
                <w:szCs w:val="18"/>
                <w:b w:val="1"/>
                <w:bCs w:val="1"/>
                <w:color w:val="auto"/>
              </w:rPr>
              <w:t>EXECUTIVE</w:t>
            </w:r>
          </w:p>
        </w:tc>
        <w:tc>
          <w:tcPr>
            <w:tcW w:w="40" w:type="dxa"/>
            <w:vAlign w:val="bottom"/>
          </w:tcPr>
          <w:p>
            <w:pPr>
              <w:spacing w:after="0"/>
              <w:rPr>
                <w:sz w:val="18"/>
                <w:szCs w:val="18"/>
                <w:color w:val="auto"/>
              </w:rPr>
            </w:pPr>
          </w:p>
        </w:tc>
      </w:tr>
      <w:tr>
        <w:trPr>
          <w:trHeight w:val="234"/>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BUSEY BANK</w:t>
            </w:r>
          </w:p>
        </w:tc>
        <w:tc>
          <w:tcPr>
            <w:tcW w:w="9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5540" w:type="dxa"/>
            <w:vAlign w:val="bottom"/>
            <w:gridSpan w:val="3"/>
          </w:tcPr>
          <w:p>
            <w:pPr>
              <w:spacing w:after="0"/>
              <w:rPr>
                <w:sz w:val="20"/>
                <w:szCs w:val="20"/>
                <w:color w:val="auto"/>
              </w:rPr>
            </w:pPr>
            <w:r>
              <w:rPr>
                <w:rFonts w:ascii="Arial" w:cs="Arial" w:eastAsia="Arial" w:hAnsi="Arial"/>
                <w:sz w:val="18"/>
                <w:szCs w:val="18"/>
                <w:color w:val="auto"/>
              </w:rPr>
              <w:t>By:</w:t>
            </w:r>
          </w:p>
        </w:tc>
        <w:tc>
          <w:tcPr>
            <w:tcW w:w="9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50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w:t>
            </w:r>
          </w:p>
        </w:tc>
        <w:tc>
          <w:tcPr>
            <w:tcW w:w="5880" w:type="dxa"/>
            <w:vAlign w:val="bottom"/>
            <w:tcBorders>
              <w:top w:val="single" w:sz="8" w:color="auto"/>
            </w:tcBorders>
            <w:gridSpan w:val="2"/>
          </w:tcPr>
          <w:p>
            <w:pPr>
              <w:ind w:left="280"/>
              <w:spacing w:after="0" w:line="195" w:lineRule="exact"/>
              <w:rPr>
                <w:sz w:val="20"/>
                <w:szCs w:val="20"/>
                <w:color w:val="auto"/>
              </w:rPr>
            </w:pPr>
            <w:r>
              <w:rPr>
                <w:rFonts w:ascii="Arial" w:cs="Arial" w:eastAsia="Arial" w:hAnsi="Arial"/>
                <w:sz w:val="18"/>
                <w:szCs w:val="18"/>
                <w:color w:val="auto"/>
              </w:rPr>
              <w:t>[Name]</w:t>
            </w:r>
          </w:p>
        </w:tc>
        <w:tc>
          <w:tcPr>
            <w:tcW w:w="40" w:type="dxa"/>
            <w:vAlign w:val="bottom"/>
          </w:tcPr>
          <w:p>
            <w:pPr>
              <w:spacing w:after="0"/>
              <w:rPr>
                <w:sz w:val="16"/>
                <w:szCs w:val="16"/>
                <w:color w:val="auto"/>
              </w:rPr>
            </w:pPr>
          </w:p>
        </w:tc>
      </w:tr>
      <w:tr>
        <w:trPr>
          <w:trHeight w:val="216"/>
        </w:trPr>
        <w:tc>
          <w:tcPr>
            <w:tcW w:w="5540" w:type="dxa"/>
            <w:vAlign w:val="bottom"/>
            <w:gridSpan w:val="3"/>
          </w:tcPr>
          <w:p>
            <w:pPr>
              <w:ind w:left="500"/>
              <w:spacing w:after="0"/>
              <w:rPr>
                <w:sz w:val="20"/>
                <w:szCs w:val="20"/>
                <w:color w:val="auto"/>
              </w:rPr>
            </w:pPr>
            <w:r>
              <w:rPr>
                <w:rFonts w:ascii="Arial" w:cs="Arial" w:eastAsia="Arial" w:hAnsi="Arial"/>
                <w:sz w:val="18"/>
                <w:szCs w:val="18"/>
                <w:color w:val="auto"/>
              </w:rPr>
              <w:t>President and Chief Executive Officer</w:t>
            </w:r>
          </w:p>
        </w:tc>
        <w:tc>
          <w:tcPr>
            <w:tcW w:w="9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540" w:type="dxa"/>
            <w:vAlign w:val="bottom"/>
            <w:gridSpan w:val="3"/>
          </w:tcPr>
          <w:p>
            <w:pPr>
              <w:ind w:left="500"/>
              <w:spacing w:after="0"/>
              <w:rPr>
                <w:sz w:val="20"/>
                <w:szCs w:val="20"/>
                <w:color w:val="auto"/>
              </w:rPr>
            </w:pPr>
            <w:r>
              <w:rPr>
                <w:rFonts w:ascii="Arial" w:cs="Arial" w:eastAsia="Arial" w:hAnsi="Arial"/>
                <w:sz w:val="18"/>
                <w:szCs w:val="18"/>
                <w:color w:val="auto"/>
              </w:rPr>
              <w:t>of First Busey Corporation</w:t>
            </w:r>
          </w:p>
        </w:tc>
        <w:tc>
          <w:tcPr>
            <w:tcW w:w="9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80" w:type="dxa"/>
            <w:vAlign w:val="bottom"/>
            <w:gridSpan w:val="2"/>
          </w:tcPr>
          <w:p>
            <w:pPr>
              <w:spacing w:after="0"/>
              <w:rPr>
                <w:sz w:val="20"/>
                <w:szCs w:val="20"/>
                <w:color w:val="auto"/>
              </w:rPr>
            </w:pPr>
            <w:r>
              <w:rPr>
                <w:rFonts w:ascii="Arial" w:cs="Arial" w:eastAsia="Arial" w:hAnsi="Arial"/>
                <w:sz w:val="18"/>
                <w:szCs w:val="18"/>
                <w:color w:val="auto"/>
              </w:rPr>
              <w:t>Date:</w:t>
            </w:r>
          </w:p>
        </w:tc>
        <w:tc>
          <w:tcPr>
            <w:tcW w:w="4860" w:type="dxa"/>
            <w:vAlign w:val="bottom"/>
            <w:tcBorders>
              <w:bottom w:val="single" w:sz="8" w:color="auto"/>
            </w:tcBorders>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8"/>
                <w:szCs w:val="18"/>
                <w:color w:val="auto"/>
              </w:rPr>
              <w:t>Date:</w:t>
            </w:r>
          </w:p>
        </w:tc>
        <w:tc>
          <w:tcPr>
            <w:tcW w:w="4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5880" w:type="dxa"/>
            <w:vAlign w:val="bottom"/>
            <w:gridSpan w:val="2"/>
          </w:tcPr>
          <w:p>
            <w:pPr>
              <w:ind w:left="40"/>
              <w:spacing w:after="0"/>
              <w:rPr>
                <w:sz w:val="20"/>
                <w:szCs w:val="20"/>
                <w:color w:val="auto"/>
              </w:rPr>
            </w:pPr>
            <w:r>
              <w:rPr>
                <w:rFonts w:ascii="Arial" w:cs="Arial" w:eastAsia="Arial" w:hAnsi="Arial"/>
                <w:sz w:val="18"/>
                <w:szCs w:val="18"/>
                <w:color w:val="auto"/>
              </w:rPr>
              <w:t>A-3</w:t>
            </w:r>
          </w:p>
        </w:tc>
        <w:tc>
          <w:tcPr>
            <w:tcW w:w="40" w:type="dxa"/>
            <w:vAlign w:val="bottom"/>
          </w:tcPr>
          <w:p>
            <w:pPr>
              <w:spacing w:after="0"/>
              <w:rPr>
                <w:sz w:val="24"/>
                <w:szCs w:val="24"/>
                <w:color w:val="auto"/>
              </w:rPr>
            </w:pPr>
          </w:p>
        </w:tc>
      </w:tr>
      <w:tr>
        <w:trPr>
          <w:trHeight w:val="132"/>
        </w:trPr>
        <w:tc>
          <w:tcPr>
            <w:tcW w:w="5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86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60" w:orient="portrait"/>
          <w:cols w:equalWidth="0" w:num="1">
            <w:col w:w="11460"/>
          </w:cols>
          <w:pgMar w:left="240" w:top="125" w:right="199" w:bottom="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is by and among First Busey Corporation (“</w:t>
      </w:r>
      <w:r>
        <w:rPr>
          <w:rFonts w:ascii="Arial" w:cs="Arial" w:eastAsia="Arial" w:hAnsi="Arial"/>
          <w:sz w:val="18"/>
          <w:szCs w:val="18"/>
          <w:b w:val="1"/>
          <w:bCs w:val="1"/>
          <w:color w:val="auto"/>
        </w:rPr>
        <w:t>First Busey</w:t>
      </w:r>
      <w:r>
        <w:rPr>
          <w:rFonts w:ascii="Arial" w:cs="Arial" w:eastAsia="Arial" w:hAnsi="Arial"/>
          <w:sz w:val="18"/>
          <w:szCs w:val="18"/>
          <w:color w:val="auto"/>
        </w:rPr>
        <w:t>”), Busey Bank (the “</w:t>
      </w:r>
      <w:r>
        <w:rPr>
          <w:rFonts w:ascii="Arial" w:cs="Arial" w:eastAsia="Arial" w:hAnsi="Arial"/>
          <w:sz w:val="18"/>
          <w:szCs w:val="18"/>
          <w:b w:val="1"/>
          <w:bCs w:val="1"/>
          <w:color w:val="auto"/>
        </w:rPr>
        <w:t>Bank</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together with First Busey, “</w:t>
      </w:r>
      <w:r>
        <w:rPr>
          <w:rFonts w:ascii="Arial" w:cs="Arial" w:eastAsia="Arial" w:hAnsi="Arial"/>
          <w:sz w:val="18"/>
          <w:szCs w:val="18"/>
          <w:b w:val="1"/>
          <w:bCs w:val="1"/>
          <w:color w:val="auto"/>
        </w:rPr>
        <w:t>Employer</w:t>
      </w:r>
      <w:r>
        <w:rPr>
          <w:rFonts w:ascii="Arial" w:cs="Arial" w:eastAsia="Arial" w:hAnsi="Arial"/>
          <w:sz w:val="18"/>
          <w:szCs w:val="18"/>
          <w:color w:val="auto"/>
        </w:rPr>
        <w:t>”), and Amy Randolph (“</w:t>
      </w:r>
      <w:r>
        <w:rPr>
          <w:rFonts w:ascii="Arial" w:cs="Arial" w:eastAsia="Arial" w:hAnsi="Arial"/>
          <w:sz w:val="18"/>
          <w:szCs w:val="18"/>
          <w:b w:val="1"/>
          <w:bCs w:val="1"/>
          <w:color w:val="auto"/>
        </w:rPr>
        <w:t>Executive</w:t>
      </w:r>
      <w:r>
        <w:rPr>
          <w:rFonts w:ascii="Arial" w:cs="Arial" w:eastAsia="Arial" w:hAnsi="Arial"/>
          <w:sz w:val="18"/>
          <w:szCs w:val="18"/>
          <w:color w:val="auto"/>
        </w:rPr>
        <w:t>,” and together with Employer,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320" w:hanging="534"/>
        <w:spacing w:after="0"/>
        <w:tabs>
          <w:tab w:leader="none" w:pos="132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The Bank is a wholly owned subsidiary of First Busey.</w:t>
      </w:r>
    </w:p>
    <w:p>
      <w:pPr>
        <w:spacing w:after="0" w:line="225" w:lineRule="exact"/>
        <w:rPr>
          <w:rFonts w:ascii="Arial" w:cs="Arial" w:eastAsia="Arial" w:hAnsi="Arial"/>
          <w:sz w:val="18"/>
          <w:szCs w:val="18"/>
          <w:b w:val="1"/>
          <w:bCs w:val="1"/>
          <w:color w:val="auto"/>
        </w:rPr>
      </w:pPr>
    </w:p>
    <w:p>
      <w:pPr>
        <w:ind w:right="80" w:firstLine="786"/>
        <w:spacing w:after="0" w:line="277" w:lineRule="auto"/>
        <w:tabs>
          <w:tab w:leader="none" w:pos="1294"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Employer has determined it to be in its best interests to secure the employment of the Executive and to enter into this Agreement pertaining to the employment of the Executive as of and following the Effective Date, as defined below.</w:t>
      </w:r>
    </w:p>
    <w:p>
      <w:pPr>
        <w:spacing w:after="0" w:line="170" w:lineRule="exact"/>
        <w:rPr>
          <w:rFonts w:ascii="Arial" w:cs="Arial" w:eastAsia="Arial" w:hAnsi="Arial"/>
          <w:sz w:val="18"/>
          <w:szCs w:val="18"/>
          <w:b w:val="1"/>
          <w:bCs w:val="1"/>
          <w:color w:val="auto"/>
        </w:rPr>
      </w:pPr>
    </w:p>
    <w:p>
      <w:pPr>
        <w:ind w:left="1320" w:hanging="534"/>
        <w:spacing w:after="0"/>
        <w:tabs>
          <w:tab w:leader="none" w:pos="1320" w:val="left"/>
        </w:tabs>
        <w:numPr>
          <w:ilvl w:val="0"/>
          <w:numId w:val="36"/>
        </w:numPr>
        <w:rPr>
          <w:rFonts w:ascii="Arial" w:cs="Arial" w:eastAsia="Arial" w:hAnsi="Arial"/>
          <w:sz w:val="17"/>
          <w:szCs w:val="17"/>
          <w:b w:val="1"/>
          <w:bCs w:val="1"/>
          <w:color w:val="auto"/>
        </w:rPr>
      </w:pPr>
      <w:r>
        <w:rPr>
          <w:rFonts w:ascii="Arial" w:cs="Arial" w:eastAsia="Arial" w:hAnsi="Arial"/>
          <w:sz w:val="17"/>
          <w:szCs w:val="17"/>
          <w:color w:val="auto"/>
        </w:rPr>
        <w:t>Executive desires to be employed by Employer as of and following the Effective Date in accordance with the terms of this Agreement.</w:t>
      </w:r>
    </w:p>
    <w:p>
      <w:pPr>
        <w:spacing w:after="0" w:line="233"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foregoing and of the respective covenants and agreements of the Parties contained herein,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Parties hereby agree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AGREEMENTS</w:t>
      </w:r>
    </w:p>
    <w:p>
      <w:pPr>
        <w:spacing w:after="0" w:line="225" w:lineRule="exact"/>
        <w:rPr>
          <w:sz w:val="20"/>
          <w:szCs w:val="20"/>
          <w:color w:val="auto"/>
        </w:rPr>
      </w:pPr>
    </w:p>
    <w:p>
      <w:pPr>
        <w:ind w:right="20" w:firstLine="778"/>
        <w:spacing w:after="0" w:line="258"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Term with Automatic Renewal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effective as of April 1, 2014 (the “</w:t>
      </w:r>
      <w:r>
        <w:rPr>
          <w:rFonts w:ascii="Arial" w:cs="Arial" w:eastAsia="Arial" w:hAnsi="Arial"/>
          <w:sz w:val="18"/>
          <w:szCs w:val="18"/>
          <w:b w:val="1"/>
          <w:bCs w:val="1"/>
          <w:color w:val="auto"/>
        </w:rPr>
        <w:t>Effective Date</w:t>
      </w:r>
      <w:r>
        <w:rPr>
          <w:rFonts w:ascii="Arial" w:cs="Arial" w:eastAsia="Arial" w:hAnsi="Arial"/>
          <w:sz w:val="18"/>
          <w:szCs w:val="18"/>
          <w:color w:val="auto"/>
        </w:rPr>
        <w:t>”).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terms of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and Executive’s employment hereunder shall be for a period of one (1) year commencing as of the Effective Date. The Term shall automatically renew for one (1) additional year at the end of the then existing Term, unless either Party provides written notice to the other Party not less than thirty (30) days prior to the end of the then existing Term that such Party does not intend to extend the Term.</w:t>
      </w:r>
    </w:p>
    <w:p>
      <w:pPr>
        <w:spacing w:after="0" w:line="184" w:lineRule="exact"/>
        <w:rPr>
          <w:sz w:val="20"/>
          <w:szCs w:val="20"/>
          <w:color w:val="auto"/>
        </w:rPr>
      </w:pPr>
    </w:p>
    <w:p>
      <w:pPr>
        <w:ind w:left="780"/>
        <w:spacing w:after="0"/>
        <w:tabs>
          <w:tab w:leader="none" w:pos="19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u w:val="single" w:color="auto"/>
          <w:color w:val="auto"/>
        </w:rPr>
        <w:t>Employment</w:t>
      </w:r>
      <w:r>
        <w:rPr>
          <w:rFonts w:ascii="Arial" w:cs="Arial" w:eastAsia="Arial" w:hAnsi="Arial"/>
          <w:sz w:val="16"/>
          <w:szCs w:val="16"/>
          <w:b w:val="1"/>
          <w:bCs w:val="1"/>
          <w:color w:val="auto"/>
        </w:rPr>
        <w:t>.</w:t>
      </w:r>
    </w:p>
    <w:p>
      <w:pPr>
        <w:spacing w:after="0" w:line="225" w:lineRule="exact"/>
        <w:rPr>
          <w:sz w:val="20"/>
          <w:szCs w:val="20"/>
          <w:color w:val="auto"/>
        </w:rPr>
      </w:pPr>
    </w:p>
    <w:p>
      <w:pPr>
        <w:ind w:right="140" w:firstLine="1305"/>
        <w:spacing w:after="0" w:line="270" w:lineRule="auto"/>
        <w:tabs>
          <w:tab w:leader="none" w:pos="1952"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Position and Duties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of this Agreement, Executive shall devote Executive’s full business time, energies and</w:t>
      </w:r>
      <w:r>
        <w:rPr>
          <w:rFonts w:ascii="Arial" w:cs="Arial" w:eastAsia="Arial" w:hAnsi="Arial"/>
          <w:sz w:val="17"/>
          <w:szCs w:val="17"/>
          <w:b w:val="1"/>
          <w:bCs w:val="1"/>
          <w:color w:val="auto"/>
        </w:rPr>
        <w:t xml:space="preserve"> </w:t>
      </w:r>
      <w:r>
        <w:rPr>
          <w:rFonts w:ascii="Arial" w:cs="Arial" w:eastAsia="Arial" w:hAnsi="Arial"/>
          <w:sz w:val="17"/>
          <w:szCs w:val="17"/>
          <w:color w:val="auto"/>
        </w:rPr>
        <w:t>talent to serving as the Executive Vice President/Pillar Relations (Human Relations, Marketing and Customer Experience) of the Employer. Executive shall perform all duties assigned to Executive faithfully, loyally and efficiently and shall have such duties, authority and responsibilities as may be assigned to Executive from time to time by the Executive Vice President/Chief Financial Officer (the “</w:t>
      </w:r>
      <w:r>
        <w:rPr>
          <w:rFonts w:ascii="Arial" w:cs="Arial" w:eastAsia="Arial" w:hAnsi="Arial"/>
          <w:sz w:val="17"/>
          <w:szCs w:val="17"/>
          <w:b w:val="1"/>
          <w:bCs w:val="1"/>
          <w:color w:val="auto"/>
        </w:rPr>
        <w:t>CFO</w:t>
      </w:r>
      <w:r>
        <w:rPr>
          <w:rFonts w:ascii="Arial" w:cs="Arial" w:eastAsia="Arial" w:hAnsi="Arial"/>
          <w:sz w:val="17"/>
          <w:szCs w:val="17"/>
          <w:color w:val="auto"/>
        </w:rPr>
        <w:t>”), which duties, authority and responsibilities shall include those customarily held by such officer of comparable companies, subject always to the charter and bylaw provisions and the policies of Employer and the directions of the CFO. Executive shall perform the duties required by this Agreement at Employer’s principal place of business unless the nature of such duties requires otherwise. Notwithstanding the foregoing, during the Term, Executive may devote reasonable time to activities other than those required under this Agreement, including activities of a charitable, educational, religious or similar nature (including professional associations) to the extent such activities do not in any material way inhibit, prohibit, interfere with or conflict with Executive’s duties under this Agreement or conflict in any material way with the business of Employer.</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93" w:lineRule="exact"/>
        <w:rPr>
          <w:rFonts w:ascii="Arial" w:cs="Arial" w:eastAsia="Arial" w:hAnsi="Arial"/>
          <w:sz w:val="17"/>
          <w:szCs w:val="17"/>
          <w:b w:val="1"/>
          <w:bCs w:val="1"/>
          <w:color w:val="auto"/>
        </w:rPr>
      </w:pPr>
    </w:p>
    <w:p>
      <w:pPr>
        <w:jc w:val="both"/>
        <w:ind w:right="120" w:firstLine="1305"/>
        <w:spacing w:after="0" w:line="266" w:lineRule="auto"/>
        <w:tabs>
          <w:tab w:leader="none" w:pos="196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of First Busey (the “</w:t>
      </w:r>
      <w:r>
        <w:rPr>
          <w:rFonts w:ascii="Arial" w:cs="Arial" w:eastAsia="Arial" w:hAnsi="Arial"/>
          <w:sz w:val="18"/>
          <w:szCs w:val="18"/>
          <w:b w:val="1"/>
          <w:bCs w:val="1"/>
          <w:color w:val="auto"/>
        </w:rPr>
        <w:t>Board</w:t>
      </w:r>
      <w:r>
        <w:rPr>
          <w:rFonts w:ascii="Arial" w:cs="Arial" w:eastAsia="Arial" w:hAnsi="Arial"/>
          <w:sz w:val="18"/>
          <w:szCs w:val="18"/>
          <w:color w:val="auto"/>
        </w:rPr>
        <w:t>”) may, in its sole discretion, cause Executive’s employment to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from Employer to any wholly-owned subsidiary of First Busey, in which case all references in this Agreement to “</w:t>
      </w:r>
      <w:r>
        <w:rPr>
          <w:rFonts w:ascii="Arial" w:cs="Arial" w:eastAsia="Arial" w:hAnsi="Arial"/>
          <w:sz w:val="18"/>
          <w:szCs w:val="18"/>
          <w:b w:val="1"/>
          <w:bCs w:val="1"/>
          <w:color w:val="auto"/>
        </w:rPr>
        <w:t>Employer</w:t>
      </w:r>
      <w:r>
        <w:rPr>
          <w:rFonts w:ascii="Arial" w:cs="Arial" w:eastAsia="Arial" w:hAnsi="Arial"/>
          <w:sz w:val="18"/>
          <w:szCs w:val="18"/>
          <w:color w:val="auto"/>
        </w:rPr>
        <w:t>” shall be deemed to refer to such subsidiary (and First Busey,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6" w:lineRule="exact"/>
        <w:rPr>
          <w:sz w:val="20"/>
          <w:szCs w:val="20"/>
          <w:color w:val="auto"/>
        </w:rPr>
      </w:pPr>
    </w:p>
    <w:p>
      <w:pPr>
        <w:ind w:right="660" w:firstLine="778"/>
        <w:spacing w:after="0" w:line="282"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Compensation and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of this Agreement, during the Term of this Agreement, Employer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compensate Executive for Executive’s services as follows:</w:t>
      </w:r>
    </w:p>
    <w:p>
      <w:pPr>
        <w:spacing w:after="0" w:line="162" w:lineRule="exact"/>
        <w:rPr>
          <w:sz w:val="20"/>
          <w:szCs w:val="20"/>
          <w:color w:val="auto"/>
        </w:rPr>
      </w:pPr>
    </w:p>
    <w:p>
      <w:pPr>
        <w:ind w:right="60" w:firstLine="1305"/>
        <w:spacing w:after="0" w:line="261" w:lineRule="auto"/>
        <w:tabs>
          <w:tab w:leader="none" w:pos="195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annual base salary rate shall be one hundred and eighty thousand dollars ($180,000) (“</w:t>
      </w:r>
      <w:r>
        <w:rPr>
          <w:rFonts w:ascii="Arial" w:cs="Arial" w:eastAsia="Arial" w:hAnsi="Arial"/>
          <w:sz w:val="18"/>
          <w:szCs w:val="18"/>
          <w:b w:val="1"/>
          <w:bCs w:val="1"/>
          <w:color w:val="auto"/>
        </w:rPr>
        <w:t>Base Salary</w:t>
      </w:r>
      <w:r>
        <w:rPr>
          <w:rFonts w:ascii="Arial" w:cs="Arial" w:eastAsia="Arial" w:hAnsi="Arial"/>
          <w:sz w:val="18"/>
          <w:szCs w:val="18"/>
          <w:color w:val="auto"/>
        </w:rPr>
        <w:t>”), which shall be payable in accordance with Employer’s normal payroll practices as are in effect from time to time. The Board shall annually review</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Base Salary at such time as it reviews its executives’ compensation to determine whether Executive’s Base Salary should be maintained at its existing level or increased, with any increase being effective as determined by the Board.</w:t>
      </w:r>
    </w:p>
    <w:p>
      <w:pPr>
        <w:spacing w:after="0" w:line="180" w:lineRule="exact"/>
        <w:rPr>
          <w:rFonts w:ascii="Arial" w:cs="Arial" w:eastAsia="Arial" w:hAnsi="Arial"/>
          <w:sz w:val="18"/>
          <w:szCs w:val="18"/>
          <w:b w:val="1"/>
          <w:bCs w:val="1"/>
          <w:color w:val="auto"/>
        </w:rPr>
      </w:pPr>
    </w:p>
    <w:p>
      <w:pPr>
        <w:ind w:right="80" w:firstLine="1305"/>
        <w:spacing w:after="0" w:line="256" w:lineRule="auto"/>
        <w:tabs>
          <w:tab w:leader="none" w:pos="196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Discretionary Performance Bonus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shall consider Executive for a bonus each year during the Term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criteria established by the Board and/or Executive’s senior officers and any other factors deemed by the Board to be appropriate. Bonuses shall be awarded, if at all, in the sole discretion of the Board, and nothing in this Agreement shall require the payment of a bonus in any given year. For purposes of this Agreement, bonuses shall be considered earned when all corporate action has been taken to determine such bonuses. Payment of any such bonus shall be made as soon as practicable after it is earned, but in no event later than two and one-half (2½) months following the end of the calendar year in which it is earned.</w:t>
      </w:r>
    </w:p>
    <w:p>
      <w:pPr>
        <w:spacing w:after="0" w:line="187" w:lineRule="exact"/>
        <w:rPr>
          <w:rFonts w:ascii="Arial" w:cs="Arial" w:eastAsia="Arial" w:hAnsi="Arial"/>
          <w:sz w:val="18"/>
          <w:szCs w:val="18"/>
          <w:b w:val="1"/>
          <w:bCs w:val="1"/>
          <w:color w:val="auto"/>
        </w:rPr>
      </w:pPr>
    </w:p>
    <w:p>
      <w:pPr>
        <w:ind w:right="160" w:firstLine="1305"/>
        <w:spacing w:after="0" w:line="289" w:lineRule="auto"/>
        <w:tabs>
          <w:tab w:leader="none" w:pos="1955"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Long Term Incentive Program</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shall be eligible to participate in Employer’s long-term equity incentive program, as</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in the sole discretion of the Board (or an authorized committee thereof). Executive shall be recommended for a grant of restricted stock or restricted stock units when such equity awards are granted to other senior executives of Employer on or around July 1, 2014.</w:t>
      </w:r>
    </w:p>
    <w:p>
      <w:pPr>
        <w:spacing w:after="0" w:line="158" w:lineRule="exact"/>
        <w:rPr>
          <w:rFonts w:ascii="Arial" w:cs="Arial" w:eastAsia="Arial" w:hAnsi="Arial"/>
          <w:sz w:val="17"/>
          <w:szCs w:val="17"/>
          <w:b w:val="1"/>
          <w:bCs w:val="1"/>
          <w:color w:val="auto"/>
        </w:rPr>
      </w:pPr>
    </w:p>
    <w:p>
      <w:pPr>
        <w:ind w:right="40" w:firstLine="1305"/>
        <w:spacing w:after="0" w:line="292" w:lineRule="auto"/>
        <w:tabs>
          <w:tab w:leader="none" w:pos="1962"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Profit Sharing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shall be eligible to receive an annual profit sharing benefit based on the combined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Executive’s Base Salary and, if applicable, Executive’s discretionary performance bonus, after Executive meets the eligibility requirements of the applicable profit sharing plan. The Board shall decide the exact amount of this benefit annually in its sole discretion. Employer shall contribute this benefit for the account of Executive to Employer’s tax-qualified retirement plans and/or any nonqualified deferred compensation plan that Employer establishes or maintains. All such profit sharing benefit payments shall be determined and governed by the terms of the applicable plan. Employer shall have no obligation to continue to maintain any particular benefit plan or arrangement and the profit sharing benefit described in this </w:t>
      </w:r>
      <w:r>
        <w:rPr>
          <w:rFonts w:ascii="Arial" w:cs="Arial" w:eastAsia="Arial" w:hAnsi="Arial"/>
          <w:sz w:val="16"/>
          <w:szCs w:val="16"/>
          <w:b w:val="1"/>
          <w:bCs w:val="1"/>
          <w:color w:val="auto"/>
        </w:rPr>
        <w:t>Section 3(d)</w:t>
      </w:r>
      <w:r>
        <w:rPr>
          <w:rFonts w:ascii="Arial" w:cs="Arial" w:eastAsia="Arial" w:hAnsi="Arial"/>
          <w:sz w:val="16"/>
          <w:szCs w:val="16"/>
          <w:color w:val="auto"/>
        </w:rPr>
        <w:t xml:space="preserve"> may be amended or terminated by Employer at any time for any reason or no reason, provided such amendment or termination applies to all other similarly situated officers of Employer.</w:t>
      </w:r>
    </w:p>
    <w:p>
      <w:pPr>
        <w:sectPr>
          <w:pgSz w:w="11900" w:h="16838" w:orient="portrait"/>
          <w:cols w:equalWidth="0" w:num="1">
            <w:col w:w="11420"/>
          </w:cols>
          <w:pgMar w:left="240" w:top="121" w:right="239" w:bottom="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50" w:name="page51"/>
    <w:bookmarkEnd w:id="50"/>
    <w:p>
      <w:pPr>
        <w:ind w:right="20" w:firstLine="1305"/>
        <w:spacing w:after="0" w:line="258" w:lineRule="auto"/>
        <w:tabs>
          <w:tab w:leader="none" w:pos="195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Reimbursement of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shall reimburse Executive for all travel, entertainment and other out-of-pocket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that Executive reasonably and necessarily incurs in the performance of Executive’s duties under this Agreement. Executive shall document these expenses to the extent necessary to comply with all applicable laws and Employer policies. Any reimbursement payments hereunder shall be made as soon as practicable, and when taxable to Executive, in no event later than two and one-half (2½) months following the end of the year in which the corresponding expenses are incurred.</w:t>
      </w:r>
    </w:p>
    <w:p>
      <w:pPr>
        <w:spacing w:after="0" w:line="183" w:lineRule="exact"/>
        <w:rPr>
          <w:rFonts w:ascii="Arial" w:cs="Arial" w:eastAsia="Arial" w:hAnsi="Arial"/>
          <w:sz w:val="18"/>
          <w:szCs w:val="18"/>
          <w:b w:val="1"/>
          <w:bCs w:val="1"/>
          <w:color w:val="auto"/>
        </w:rPr>
      </w:pPr>
    </w:p>
    <w:p>
      <w:pPr>
        <w:ind w:firstLine="1305"/>
        <w:spacing w:after="0" w:line="258" w:lineRule="auto"/>
        <w:tabs>
          <w:tab w:leader="none" w:pos="1949"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be eligible to participate, subject to the terms thereof, in all Employer retirement plans and health,</w:t>
      </w:r>
      <w:r>
        <w:rPr>
          <w:rFonts w:ascii="Arial" w:cs="Arial" w:eastAsia="Arial" w:hAnsi="Arial"/>
          <w:sz w:val="18"/>
          <w:szCs w:val="18"/>
          <w:b w:val="1"/>
          <w:bCs w:val="1"/>
          <w:color w:val="auto"/>
        </w:rPr>
        <w:t xml:space="preserve"> </w:t>
      </w:r>
      <w:r>
        <w:rPr>
          <w:rFonts w:ascii="Arial" w:cs="Arial" w:eastAsia="Arial" w:hAnsi="Arial"/>
          <w:sz w:val="18"/>
          <w:szCs w:val="18"/>
          <w:color w:val="auto"/>
        </w:rPr>
        <w:t>dental, life and similar plans, as may be in effect from time to time with respect to similarly situated senior executives. In addition to the foregoing benefits, Executive shall continue to be eligible to participate in Employer’s key life insurance program following the Effective Date with a death benefit amount of two hundred and fifty thousand dollars ($250,000), which amount shall be increased to one million dollars ($1,000,000), subject to insurability and all other terms of such program.</w:t>
      </w:r>
    </w:p>
    <w:p>
      <w:pPr>
        <w:spacing w:after="0" w:line="183" w:lineRule="exact"/>
        <w:rPr>
          <w:rFonts w:ascii="Arial" w:cs="Arial" w:eastAsia="Arial" w:hAnsi="Arial"/>
          <w:sz w:val="18"/>
          <w:szCs w:val="18"/>
          <w:b w:val="1"/>
          <w:bCs w:val="1"/>
          <w:color w:val="auto"/>
        </w:rPr>
      </w:pPr>
    </w:p>
    <w:p>
      <w:pPr>
        <w:ind w:right="500" w:firstLine="1305"/>
        <w:spacing w:after="0" w:line="282" w:lineRule="auto"/>
        <w:tabs>
          <w:tab w:leader="none" w:pos="195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Vacations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be subject to Employer’s general vacation policy as may be in effect from time to time, but shall</w:t>
      </w:r>
      <w:r>
        <w:rPr>
          <w:rFonts w:ascii="Arial" w:cs="Arial" w:eastAsia="Arial" w:hAnsi="Arial"/>
          <w:sz w:val="18"/>
          <w:szCs w:val="18"/>
          <w:b w:val="1"/>
          <w:bCs w:val="1"/>
          <w:color w:val="auto"/>
        </w:rPr>
        <w:t xml:space="preserve"> </w:t>
      </w:r>
      <w:r>
        <w:rPr>
          <w:rFonts w:ascii="Arial" w:cs="Arial" w:eastAsia="Arial" w:hAnsi="Arial"/>
          <w:sz w:val="18"/>
          <w:szCs w:val="18"/>
          <w:color w:val="auto"/>
        </w:rPr>
        <w:t>accrue not less than twenty (20) days of paid vacation annually.</w:t>
      </w:r>
    </w:p>
    <w:p>
      <w:pPr>
        <w:spacing w:after="0" w:line="161" w:lineRule="exact"/>
        <w:rPr>
          <w:rFonts w:ascii="Arial" w:cs="Arial" w:eastAsia="Arial" w:hAnsi="Arial"/>
          <w:sz w:val="18"/>
          <w:szCs w:val="18"/>
          <w:b w:val="1"/>
          <w:bCs w:val="1"/>
          <w:color w:val="auto"/>
        </w:rPr>
      </w:pPr>
    </w:p>
    <w:p>
      <w:pPr>
        <w:ind w:right="360" w:firstLine="1305"/>
        <w:spacing w:after="0" w:line="282" w:lineRule="auto"/>
        <w:tabs>
          <w:tab w:leader="none" w:pos="196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may withhold any applicable federal, state and local withholding and other taxes from payments that</w:t>
      </w:r>
      <w:r>
        <w:rPr>
          <w:rFonts w:ascii="Arial" w:cs="Arial" w:eastAsia="Arial" w:hAnsi="Arial"/>
          <w:sz w:val="18"/>
          <w:szCs w:val="18"/>
          <w:b w:val="1"/>
          <w:bCs w:val="1"/>
          <w:color w:val="auto"/>
        </w:rPr>
        <w:t xml:space="preserve"> </w:t>
      </w:r>
      <w:r>
        <w:rPr>
          <w:rFonts w:ascii="Arial" w:cs="Arial" w:eastAsia="Arial" w:hAnsi="Arial"/>
          <w:sz w:val="18"/>
          <w:szCs w:val="18"/>
          <w:color w:val="auto"/>
        </w:rPr>
        <w:t>become due or allowances that are provided to Executive.</w:t>
      </w:r>
    </w:p>
    <w:p>
      <w:pPr>
        <w:spacing w:after="0" w:line="162" w:lineRule="exact"/>
        <w:rPr>
          <w:sz w:val="20"/>
          <w:szCs w:val="20"/>
          <w:color w:val="auto"/>
        </w:rPr>
      </w:pPr>
    </w:p>
    <w:p>
      <w:pPr>
        <w:ind w:firstLine="778"/>
        <w:spacing w:after="0" w:line="266"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Rights and Payments Upon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Either Party may terminate Executive’s employment under this Agreement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terms of this </w:t>
      </w:r>
      <w:r>
        <w:rPr>
          <w:rFonts w:ascii="Arial" w:cs="Arial" w:eastAsia="Arial" w:hAnsi="Arial"/>
          <w:sz w:val="18"/>
          <w:szCs w:val="18"/>
          <w:b w:val="1"/>
          <w:bCs w:val="1"/>
          <w:color w:val="auto"/>
        </w:rPr>
        <w:t>Section 4</w:t>
      </w:r>
      <w:r>
        <w:rPr>
          <w:rFonts w:ascii="Arial" w:cs="Arial" w:eastAsia="Arial" w:hAnsi="Arial"/>
          <w:sz w:val="18"/>
          <w:szCs w:val="18"/>
          <w:color w:val="auto"/>
        </w:rPr>
        <w:t>. Executive’s right to benefits and payments, if any, for periods after the effective date of Executive’s termination of employment with Employer (the “</w:t>
      </w:r>
      <w:r>
        <w:rPr>
          <w:rFonts w:ascii="Arial" w:cs="Arial" w:eastAsia="Arial" w:hAnsi="Arial"/>
          <w:sz w:val="18"/>
          <w:szCs w:val="18"/>
          <w:b w:val="1"/>
          <w:bCs w:val="1"/>
          <w:color w:val="auto"/>
        </w:rPr>
        <w:t>Termination Date</w:t>
      </w:r>
      <w:r>
        <w:rPr>
          <w:rFonts w:ascii="Arial" w:cs="Arial" w:eastAsia="Arial" w:hAnsi="Arial"/>
          <w:sz w:val="18"/>
          <w:szCs w:val="18"/>
          <w:color w:val="auto"/>
        </w:rPr>
        <w:t xml:space="preserve">”) shall be determined in accordance with this </w:t>
      </w:r>
      <w:r>
        <w:rPr>
          <w:rFonts w:ascii="Arial" w:cs="Arial" w:eastAsia="Arial" w:hAnsi="Arial"/>
          <w:sz w:val="18"/>
          <w:szCs w:val="18"/>
          <w:b w:val="1"/>
          <w:bCs w:val="1"/>
          <w:color w:val="auto"/>
        </w:rPr>
        <w:t>Section 4</w:t>
      </w:r>
      <w:r>
        <w:rPr>
          <w:rFonts w:ascii="Arial" w:cs="Arial" w:eastAsia="Arial" w:hAnsi="Arial"/>
          <w:sz w:val="18"/>
          <w:szCs w:val="18"/>
          <w:color w:val="auto"/>
        </w:rPr>
        <w:t>:</w:t>
      </w:r>
    </w:p>
    <w:p>
      <w:pPr>
        <w:spacing w:after="0" w:line="176" w:lineRule="exact"/>
        <w:rPr>
          <w:sz w:val="20"/>
          <w:szCs w:val="20"/>
          <w:color w:val="auto"/>
        </w:rPr>
      </w:pPr>
    </w:p>
    <w:p>
      <w:pPr>
        <w:ind w:firstLine="1305"/>
        <w:spacing w:after="0" w:line="270" w:lineRule="auto"/>
        <w:tabs>
          <w:tab w:leader="none" w:pos="1952"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 Without Cause</w:t>
      </w:r>
      <w:r>
        <w:rPr>
          <w:rFonts w:ascii="Arial" w:cs="Arial" w:eastAsia="Arial" w:hAnsi="Arial"/>
          <w:sz w:val="17"/>
          <w:szCs w:val="17"/>
          <w:b w:val="1"/>
          <w:bCs w:val="1"/>
          <w:color w:val="auto"/>
        </w:rPr>
        <w:t xml:space="preserve">. </w:t>
      </w:r>
      <w:r>
        <w:rPr>
          <w:rFonts w:ascii="Arial" w:cs="Arial" w:eastAsia="Arial" w:hAnsi="Arial"/>
          <w:sz w:val="17"/>
          <w:szCs w:val="17"/>
          <w:color w:val="auto"/>
        </w:rPr>
        <w:t>Either Party may terminate this Agreement and Executive’s employment hereunder for any reason</w:t>
      </w:r>
      <w:r>
        <w:rPr>
          <w:rFonts w:ascii="Arial" w:cs="Arial" w:eastAsia="Arial" w:hAnsi="Arial"/>
          <w:sz w:val="17"/>
          <w:szCs w:val="17"/>
          <w:b w:val="1"/>
          <w:bCs w:val="1"/>
          <w:color w:val="auto"/>
        </w:rPr>
        <w:t xml:space="preserve"> </w:t>
      </w:r>
      <w:r>
        <w:rPr>
          <w:rFonts w:ascii="Arial" w:cs="Arial" w:eastAsia="Arial" w:hAnsi="Arial"/>
          <w:sz w:val="17"/>
          <w:szCs w:val="17"/>
          <w:color w:val="auto"/>
        </w:rPr>
        <w:t>by delivering written notice of termination to the other Party no fewer than thirty (30) days before the Termination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notice shall not be required in a Termination for Cause), which date shall be specified in the notice of termination. Employer may provide for an earlier Termination Date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Employer pays to Executive the Base Salary that would have been earned during such notice period. Any payment in lieu of notice pursuant to this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 xml:space="preserve">Section 4(a) </w:t>
      </w:r>
      <w:r>
        <w:rPr>
          <w:rFonts w:ascii="Arial" w:cs="Arial" w:eastAsia="Arial" w:hAnsi="Arial"/>
          <w:sz w:val="17"/>
          <w:szCs w:val="17"/>
          <w:color w:val="auto"/>
        </w:rPr>
        <w:t>shall be made in a single lump sum on the first payroll date following the Termination Date. If Executive voluntarily terminates Executive’s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employment under this Agreement other than pursuant to </w:t>
      </w:r>
      <w:r>
        <w:rPr>
          <w:rFonts w:ascii="Arial" w:cs="Arial" w:eastAsia="Arial" w:hAnsi="Arial"/>
          <w:sz w:val="17"/>
          <w:szCs w:val="17"/>
          <w:b w:val="1"/>
          <w:bCs w:val="1"/>
          <w:color w:val="auto"/>
        </w:rPr>
        <w:t>Section 4(c)</w:t>
      </w:r>
      <w:r>
        <w:rPr>
          <w:rFonts w:ascii="Arial" w:cs="Arial" w:eastAsia="Arial" w:hAnsi="Arial"/>
          <w:sz w:val="17"/>
          <w:szCs w:val="17"/>
          <w:color w:val="auto"/>
        </w:rPr>
        <w:t xml:space="preserve"> (Termination for Good Reason), then Employer shall be required to pay Executive the Accrued Amounts and Employer shall have no further obligations to Executive under this Agreement. “</w:t>
      </w:r>
      <w:r>
        <w:rPr>
          <w:rFonts w:ascii="Arial" w:cs="Arial" w:eastAsia="Arial" w:hAnsi="Arial"/>
          <w:sz w:val="17"/>
          <w:szCs w:val="17"/>
          <w:b w:val="1"/>
          <w:bCs w:val="1"/>
          <w:color w:val="auto"/>
        </w:rPr>
        <w:t>Accrued Amounts</w:t>
      </w:r>
      <w:r>
        <w:rPr>
          <w:rFonts w:ascii="Arial" w:cs="Arial" w:eastAsia="Arial" w:hAnsi="Arial"/>
          <w:sz w:val="17"/>
          <w:szCs w:val="17"/>
          <w:color w:val="auto"/>
        </w:rPr>
        <w:t xml:space="preserve">” shall include the following amounts as have accrued through the Termination Date: (i) earned but unpaid Base Salary, (ii) earned but unpaid bonus under </w:t>
      </w:r>
      <w:r>
        <w:rPr>
          <w:rFonts w:ascii="Arial" w:cs="Arial" w:eastAsia="Arial" w:hAnsi="Arial"/>
          <w:sz w:val="17"/>
          <w:szCs w:val="17"/>
          <w:b w:val="1"/>
          <w:bCs w:val="1"/>
          <w:color w:val="auto"/>
        </w:rPr>
        <w:t>Section 3(b)</w:t>
      </w:r>
      <w:r>
        <w:rPr>
          <w:rFonts w:ascii="Arial" w:cs="Arial" w:eastAsia="Arial" w:hAnsi="Arial"/>
          <w:sz w:val="17"/>
          <w:szCs w:val="17"/>
          <w:color w:val="auto"/>
        </w:rPr>
        <w:t>, (iii) accrued but unpaid vacation pay; and (iv) provided Executive submits the required documentation in accordance with established policies and within thirty (30) days of the Termination Date, unreimbursed business expenses incurred during the Term.</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40" w:firstLine="1305"/>
        <w:spacing w:after="0" w:line="289" w:lineRule="auto"/>
        <w:tabs>
          <w:tab w:leader="none" w:pos="1962" w:val="left"/>
        </w:tabs>
        <w:numPr>
          <w:ilvl w:val="1"/>
          <w:numId w:val="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may terminate this Agreement and Executive’s employment hereunder immediately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by delivering written notice of termination to Executive (with such notice being delivered no less than thirty (30) days before the effective date of termination in the event of a termination based on either a curable breach under subsection (vii) below or subsection (viii) below). “</w:t>
      </w:r>
      <w:r>
        <w:rPr>
          <w:rFonts w:ascii="Arial" w:cs="Arial" w:eastAsia="Arial" w:hAnsi="Arial"/>
          <w:sz w:val="16"/>
          <w:szCs w:val="16"/>
          <w:b w:val="1"/>
          <w:bCs w:val="1"/>
          <w:color w:val="auto"/>
        </w:rPr>
        <w:t>Cause</w:t>
      </w:r>
      <w:r>
        <w:rPr>
          <w:rFonts w:ascii="Arial" w:cs="Arial" w:eastAsia="Arial" w:hAnsi="Arial"/>
          <w:sz w:val="16"/>
          <w:szCs w:val="16"/>
          <w:color w:val="auto"/>
        </w:rPr>
        <w:t>” for termination shall exist if:</w:t>
      </w:r>
    </w:p>
    <w:p>
      <w:pPr>
        <w:spacing w:after="0" w:line="1" w:lineRule="exact"/>
        <w:rPr>
          <w:rFonts w:ascii="Arial" w:cs="Arial" w:eastAsia="Arial" w:hAnsi="Arial"/>
          <w:sz w:val="16"/>
          <w:szCs w:val="16"/>
          <w:b w:val="1"/>
          <w:bCs w:val="1"/>
          <w:color w:val="auto"/>
        </w:rPr>
      </w:pPr>
    </w:p>
    <w:p>
      <w:pPr>
        <w:ind w:right="40" w:firstLine="8"/>
        <w:spacing w:after="0" w:line="281" w:lineRule="auto"/>
        <w:tabs>
          <w:tab w:leader="none" w:pos="215"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Executive engages in one (1) or more unsafe and unsound banking practices or material violations of a law or regulation applicable to Employer or any subsidiary, (ii) Executive engages in any repeated violations of a policy of Employer after being warned in writing by the Board or one of Executive’s senior officers not to violate such policy, (iii) Executive engages in any single violation of a policy of Employer if such violation materially and adversely affects the business or affairs of Employer, (iv) Executive fails to timely implement a direction or order of the Board and/or one of Executive’s senior officers, unless such direction or order would violate the law; (v) Executive engages in a breach of fiduciary duty or act of dishonesty involving the affairs of Employer;</w:t>
      </w:r>
    </w:p>
    <w:p>
      <w:pPr>
        <w:spacing w:after="0" w:line="3" w:lineRule="exact"/>
        <w:rPr>
          <w:rFonts w:ascii="Arial" w:cs="Arial" w:eastAsia="Arial" w:hAnsi="Arial"/>
          <w:sz w:val="16"/>
          <w:szCs w:val="16"/>
          <w:color w:val="auto"/>
        </w:rPr>
      </w:pPr>
    </w:p>
    <w:p>
      <w:pPr>
        <w:ind w:right="40" w:firstLine="8"/>
        <w:spacing w:after="0" w:line="290" w:lineRule="auto"/>
        <w:tabs>
          <w:tab w:leader="none" w:pos="305"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Executive is removed or suspended from banking pursuant to Section 8(e) of the Federal Deposit Insurance Act or any other applicable state or federal law; (vii) Executive commits a material breach of Executive’s obligations under this Agreement; (viii) Executive fails to perform Executive’s duties to Employer with the degree of skill, care or competence expected by the Board and/or Executive’s senior officers; or (ix) Executive is found guilty of, or pleads </w:t>
      </w:r>
      <w:r>
        <w:rPr>
          <w:rFonts w:ascii="Arial" w:cs="Arial" w:eastAsia="Arial" w:hAnsi="Arial"/>
          <w:sz w:val="16"/>
          <w:szCs w:val="16"/>
          <w:i w:val="1"/>
          <w:iCs w:val="1"/>
          <w:color w:val="auto"/>
        </w:rPr>
        <w:t xml:space="preserve">nolo contendere </w:t>
      </w:r>
      <w:r>
        <w:rPr>
          <w:rFonts w:ascii="Arial" w:cs="Arial" w:eastAsia="Arial" w:hAnsi="Arial"/>
          <w:sz w:val="16"/>
          <w:szCs w:val="16"/>
          <w:color w:val="auto"/>
        </w:rPr>
        <w:t>to, a felony or an act of dishonesty in connection with the performance of Executive’s duties as an officer of Employer, or an act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disqualifies Executive from serving as an officer or director of Employer. If Executive’s employment is terminated pursuant to this </w:t>
      </w:r>
      <w:r>
        <w:rPr>
          <w:rFonts w:ascii="Arial" w:cs="Arial" w:eastAsia="Arial" w:hAnsi="Arial"/>
          <w:sz w:val="16"/>
          <w:szCs w:val="16"/>
          <w:b w:val="1"/>
          <w:bCs w:val="1"/>
          <w:color w:val="auto"/>
        </w:rPr>
        <w:t>Section 4(b)</w:t>
      </w:r>
      <w:r>
        <w:rPr>
          <w:rFonts w:ascii="Arial" w:cs="Arial" w:eastAsia="Arial" w:hAnsi="Arial"/>
          <w:sz w:val="16"/>
          <w:szCs w:val="16"/>
          <w:color w:val="auto"/>
        </w:rPr>
        <w:t>, then Employer shall be required to pay Executive the Accrued Amounts and Employer shall have no further obligations to Executive under this Agreement.</w:t>
      </w:r>
    </w:p>
    <w:p>
      <w:pPr>
        <w:spacing w:after="0" w:line="160" w:lineRule="exact"/>
        <w:rPr>
          <w:rFonts w:ascii="Arial" w:cs="Arial" w:eastAsia="Arial" w:hAnsi="Arial"/>
          <w:sz w:val="16"/>
          <w:szCs w:val="16"/>
          <w:color w:val="auto"/>
        </w:rPr>
      </w:pPr>
    </w:p>
    <w:p>
      <w:pPr>
        <w:ind w:firstLine="1305"/>
        <w:spacing w:after="0" w:line="284" w:lineRule="auto"/>
        <w:tabs>
          <w:tab w:leader="none" w:pos="1955" w:val="left"/>
        </w:tabs>
        <w:numPr>
          <w:ilvl w:val="1"/>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for Good Reason</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Executive’s termination for Good Reason (as defined below), Executive shall give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written notice of the occurrence of the event or condition that Executive believes constitutes a Good Reason within thirty (30) days of the initial existence of such event or condition, which written notice shall provide detailed facts, and not mere conclusions, to support Executive’s claim of termination for Good Reason. If Employer determines that the events or conditions exist as alleged by Executive and does not cure such events or conditions within thirty (30) days of Executive’s written notice, then this Agreement and Executive’s employment hereunder shall terminate on the thirtieth (30th) day following Executive’s written notice. “</w:t>
      </w:r>
      <w:r>
        <w:rPr>
          <w:rFonts w:ascii="Arial" w:cs="Arial" w:eastAsia="Arial" w:hAnsi="Arial"/>
          <w:sz w:val="16"/>
          <w:szCs w:val="16"/>
          <w:b w:val="1"/>
          <w:bCs w:val="1"/>
          <w:color w:val="auto"/>
        </w:rPr>
        <w:t>Good Reason</w:t>
      </w:r>
      <w:r>
        <w:rPr>
          <w:rFonts w:ascii="Arial" w:cs="Arial" w:eastAsia="Arial" w:hAnsi="Arial"/>
          <w:sz w:val="16"/>
          <w:szCs w:val="16"/>
          <w:color w:val="auto"/>
        </w:rPr>
        <w:t xml:space="preserve">” means the occurrence of any one (1) or more of the following, without Executive’s prior consent: (i) a material adverse change in the nature, scope or status of Executive’s position, authorities or duties from those in effect in accordance with </w:t>
      </w:r>
      <w:r>
        <w:rPr>
          <w:rFonts w:ascii="Arial" w:cs="Arial" w:eastAsia="Arial" w:hAnsi="Arial"/>
          <w:sz w:val="16"/>
          <w:szCs w:val="16"/>
          <w:b w:val="1"/>
          <w:bCs w:val="1"/>
          <w:color w:val="auto"/>
        </w:rPr>
        <w:t>Section 2(a)</w:t>
      </w:r>
      <w:r>
        <w:rPr>
          <w:rFonts w:ascii="Arial" w:cs="Arial" w:eastAsia="Arial" w:hAnsi="Arial"/>
          <w:sz w:val="16"/>
          <w:szCs w:val="16"/>
          <w:color w:val="auto"/>
        </w:rPr>
        <w:t xml:space="preserve"> immediately following the Effective Date; (ii) a reduction in Executive’s Base Salary, unless such reduction applies to all similarly situated senior executives of Employer;</w:t>
      </w:r>
    </w:p>
    <w:p>
      <w:pPr>
        <w:spacing w:after="0" w:line="5" w:lineRule="exact"/>
        <w:rPr>
          <w:rFonts w:ascii="Arial" w:cs="Arial" w:eastAsia="Arial" w:hAnsi="Arial"/>
          <w:sz w:val="16"/>
          <w:szCs w:val="16"/>
          <w:b w:val="1"/>
          <w:bCs w:val="1"/>
          <w:color w:val="auto"/>
        </w:rPr>
      </w:pPr>
    </w:p>
    <w:p>
      <w:pPr>
        <w:ind w:right="400" w:firstLine="8"/>
        <w:spacing w:after="0" w:line="290" w:lineRule="auto"/>
        <w:tabs>
          <w:tab w:leader="none" w:pos="315" w:val="left"/>
        </w:tabs>
        <w:numPr>
          <w:ilvl w:val="0"/>
          <w:numId w:val="44"/>
        </w:numPr>
        <w:rPr>
          <w:rFonts w:ascii="Arial" w:cs="Arial" w:eastAsia="Arial" w:hAnsi="Arial"/>
          <w:sz w:val="17"/>
          <w:szCs w:val="17"/>
          <w:color w:val="auto"/>
        </w:rPr>
      </w:pPr>
      <w:r>
        <w:rPr>
          <w:rFonts w:ascii="Arial" w:cs="Arial" w:eastAsia="Arial" w:hAnsi="Arial"/>
          <w:sz w:val="17"/>
          <w:szCs w:val="17"/>
          <w:color w:val="auto"/>
        </w:rPr>
        <w:t>Employer changes the primary location of Executive’s employment to a place that is more than fifty (50) miles from Executive’s primary location of employment as of the Effective Date; or (iv) Employer otherwise commits a material breach of its obligations under this Agreement.</w:t>
      </w:r>
    </w:p>
    <w:p>
      <w:pPr>
        <w:spacing w:after="0" w:line="157" w:lineRule="exact"/>
        <w:rPr>
          <w:rFonts w:ascii="Arial" w:cs="Arial" w:eastAsia="Arial" w:hAnsi="Arial"/>
          <w:sz w:val="17"/>
          <w:szCs w:val="17"/>
          <w:color w:val="auto"/>
        </w:rPr>
      </w:pPr>
    </w:p>
    <w:p>
      <w:pPr>
        <w:ind w:right="120" w:firstLine="1305"/>
        <w:spacing w:after="0" w:line="266" w:lineRule="auto"/>
        <w:tabs>
          <w:tab w:leader="none" w:pos="1962"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upon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 Change in Control, this Agreement and Executive’s employment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may be terminated in accordance with </w:t>
      </w:r>
      <w:r>
        <w:rPr>
          <w:rFonts w:ascii="Arial" w:cs="Arial" w:eastAsia="Arial" w:hAnsi="Arial"/>
          <w:sz w:val="18"/>
          <w:szCs w:val="18"/>
          <w:b w:val="1"/>
          <w:bCs w:val="1"/>
          <w:color w:val="auto"/>
        </w:rPr>
        <w:t>Section 4(a)</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8"/>
          <w:szCs w:val="18"/>
          <w:color w:val="auto"/>
        </w:rPr>
        <w:t xml:space="preserve">, or </w:t>
      </w:r>
      <w:r>
        <w:rPr>
          <w:rFonts w:ascii="Arial" w:cs="Arial" w:eastAsia="Arial" w:hAnsi="Arial"/>
          <w:sz w:val="18"/>
          <w:szCs w:val="18"/>
          <w:b w:val="1"/>
          <w:bCs w:val="1"/>
          <w:color w:val="auto"/>
        </w:rPr>
        <w:t>(c)</w:t>
      </w:r>
      <w:r>
        <w:rPr>
          <w:rFonts w:ascii="Arial" w:cs="Arial" w:eastAsia="Arial" w:hAnsi="Arial"/>
          <w:sz w:val="18"/>
          <w:szCs w:val="18"/>
          <w:color w:val="auto"/>
        </w:rPr>
        <w:t xml:space="preserve"> by delivering written notice of termination to the other Party no less than thirty (30) days before the Termination Date.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80" w:firstLine="1953"/>
        <w:spacing w:after="0" w:line="347" w:lineRule="auto"/>
        <w:tabs>
          <w:tab w:leader="none" w:pos="2601"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A “</w:t>
      </w:r>
      <w:r>
        <w:rPr>
          <w:rFonts w:ascii="Arial" w:cs="Arial" w:eastAsia="Arial" w:hAnsi="Arial"/>
          <w:sz w:val="16"/>
          <w:szCs w:val="16"/>
          <w:b w:val="1"/>
          <w:bCs w:val="1"/>
          <w:color w:val="auto"/>
        </w:rPr>
        <w:t>Change in Control</w:t>
      </w:r>
      <w:r>
        <w:rPr>
          <w:rFonts w:ascii="Arial" w:cs="Arial" w:eastAsia="Arial" w:hAnsi="Arial"/>
          <w:sz w:val="16"/>
          <w:szCs w:val="16"/>
          <w:color w:val="auto"/>
        </w:rPr>
        <w:t>” shall be deemed to have occurred upon the first to occur of the following: (A) any “person” (within the meaning of Section 13(d) or 14(d) of the Securities Exchange Act of 1934 (the “</w:t>
      </w:r>
      <w:r>
        <w:rPr>
          <w:rFonts w:ascii="Arial" w:cs="Arial" w:eastAsia="Arial" w:hAnsi="Arial"/>
          <w:sz w:val="16"/>
          <w:szCs w:val="16"/>
          <w:b w:val="1"/>
          <w:bCs w:val="1"/>
          <w:color w:val="auto"/>
        </w:rPr>
        <w:t>1934 Act</w:t>
      </w:r>
      <w:r>
        <w:rPr>
          <w:rFonts w:ascii="Arial" w:cs="Arial" w:eastAsia="Arial" w:hAnsi="Arial"/>
          <w:sz w:val="16"/>
          <w:szCs w:val="16"/>
          <w:color w:val="auto"/>
        </w:rPr>
        <w:t>”)), other than a trustee or other fiduciary holding</w:t>
      </w:r>
    </w:p>
    <w:p>
      <w:pPr>
        <w:sectPr>
          <w:pgSz w:w="11900" w:h="16838" w:orient="portrait"/>
          <w:cols w:equalWidth="0" w:num="1">
            <w:col w:w="11420"/>
          </w:cols>
          <w:pgMar w:left="240" w:top="580" w:right="239" w:bottom="0" w:gutter="0" w:footer="0" w:header="0"/>
        </w:sectPr>
      </w:pPr>
    </w:p>
    <w:bookmarkStart w:id="51" w:name="page52"/>
    <w:bookmarkEnd w:id="51"/>
    <w:p>
      <w:pPr>
        <w:spacing w:after="0" w:line="11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securities under an employee benefit plan of First Busey or a corporation owned directly or indirectly by the stockholders of First Busey in substantially the same proportions as their ownership of stock of First Busey, is or becomes a “beneficial owner” (within the meaning of Rule 13d-3 of the 1934 Act), directly or indirectly, of securities representing more than fifty percent (50%) of the combined voting power of the then outstanding voting securities of First Busey;</w:t>
      </w:r>
    </w:p>
    <w:p>
      <w:pPr>
        <w:ind w:firstLine="8"/>
        <w:spacing w:after="0" w:line="268" w:lineRule="auto"/>
        <w:tabs>
          <w:tab w:leader="none" w:pos="285" w:val="left"/>
        </w:tabs>
        <w:numPr>
          <w:ilvl w:val="0"/>
          <w:numId w:val="46"/>
        </w:numPr>
        <w:rPr>
          <w:rFonts w:ascii="Arial" w:cs="Arial" w:eastAsia="Arial" w:hAnsi="Arial"/>
          <w:sz w:val="17"/>
          <w:szCs w:val="17"/>
          <w:color w:val="auto"/>
        </w:rPr>
      </w:pPr>
      <w:r>
        <w:rPr>
          <w:rFonts w:ascii="Arial" w:cs="Arial" w:eastAsia="Arial" w:hAnsi="Arial"/>
          <w:sz w:val="17"/>
          <w:szCs w:val="17"/>
          <w:color w:val="auto"/>
        </w:rPr>
        <w:t>during any period of twelve (12) consecutive months, the individuals who at the beginning of such period constitute the Board (and any new director whose election by the Board or nomination for election by First Busey’s stockholders was approved by a vote of at least a majority of the directors when still in office who either were directors at the beginning of the period or whose election or nomination for election was previously so approved) cease for any reason to constitute a majority of the Board; or (C) the consummation of (1) a merger or consolidation of First Busey with any other corporation, other than a merger or consolidation that would result in the voting securities of First Busey outstanding immediately prior thereto continuing to represent (either by remaining outstanding or by being converted into voting securities of the surviving entity) more than fifty percent (50%) of the total voting power represented by the voting securities of First Busey or such surviving entity outstanding immediately after such merger or consolidation; or (2) a complete liquidation or dissolution or an agreement for the sale or other disposition of all or substantially all of the assets of First Busey.</w:t>
      </w:r>
    </w:p>
    <w:p>
      <w:pPr>
        <w:spacing w:after="0" w:line="180" w:lineRule="exact"/>
        <w:rPr>
          <w:rFonts w:ascii="Arial" w:cs="Arial" w:eastAsia="Arial" w:hAnsi="Arial"/>
          <w:sz w:val="17"/>
          <w:szCs w:val="17"/>
          <w:color w:val="auto"/>
        </w:rPr>
      </w:pPr>
    </w:p>
    <w:p>
      <w:pPr>
        <w:ind w:right="20" w:firstLine="1953"/>
        <w:spacing w:after="0" w:line="282" w:lineRule="auto"/>
        <w:tabs>
          <w:tab w:leader="none" w:pos="2597" w:val="left"/>
        </w:tabs>
        <w:numPr>
          <w:ilvl w:val="2"/>
          <w:numId w:val="46"/>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w:t>
      </w:r>
      <w:r>
        <w:rPr>
          <w:rFonts w:ascii="Arial" w:cs="Arial" w:eastAsia="Arial" w:hAnsi="Arial"/>
          <w:sz w:val="18"/>
          <w:szCs w:val="18"/>
          <w:b w:val="1"/>
          <w:bCs w:val="1"/>
          <w:color w:val="auto"/>
        </w:rPr>
        <w:t>Section 4(d)(i)</w:t>
      </w:r>
      <w:r>
        <w:rPr>
          <w:rFonts w:ascii="Arial" w:cs="Arial" w:eastAsia="Arial" w:hAnsi="Arial"/>
          <w:sz w:val="18"/>
          <w:szCs w:val="18"/>
          <w:color w:val="auto"/>
        </w:rPr>
        <w:t>, a Change in Control shall not be deemed to have occurred if Executive agrees in writing that the transaction or event in question does not constitute a Change in Control for the purposes of this Agreement.</w:t>
      </w:r>
    </w:p>
    <w:p>
      <w:pPr>
        <w:spacing w:after="0" w:line="161" w:lineRule="exact"/>
        <w:rPr>
          <w:rFonts w:ascii="Arial" w:cs="Arial" w:eastAsia="Arial" w:hAnsi="Arial"/>
          <w:sz w:val="18"/>
          <w:szCs w:val="18"/>
          <w:b w:val="1"/>
          <w:bCs w:val="1"/>
          <w:color w:val="auto"/>
        </w:rPr>
      </w:pPr>
    </w:p>
    <w:p>
      <w:pPr>
        <w:ind w:right="60" w:firstLine="1305"/>
        <w:spacing w:after="0" w:line="303" w:lineRule="auto"/>
        <w:tabs>
          <w:tab w:leader="none" w:pos="1955" w:val="left"/>
        </w:tabs>
        <w:numPr>
          <w:ilvl w:val="1"/>
          <w:numId w:val="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upon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shall not terminate this Agreement and Executive’s employment hereunder if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becomes “disabled” within the meaning of Employer’s then current employee disability program or, at Employer’s election, as determined by a physician selected by Employer, unless as a result of such disability, Executive is unable to perform Executive’s duties with the requisite level of skill and competence for a period of six (6) consecutive months. Thereafter, Employer may terminate this Agreement for Cause in accordance with </w:t>
      </w:r>
      <w:r>
        <w:rPr>
          <w:rFonts w:ascii="Arial" w:cs="Arial" w:eastAsia="Arial" w:hAnsi="Arial"/>
          <w:sz w:val="16"/>
          <w:szCs w:val="16"/>
          <w:b w:val="1"/>
          <w:bCs w:val="1"/>
          <w:color w:val="auto"/>
        </w:rPr>
        <w:t>Section 4(b)</w:t>
      </w:r>
      <w:r>
        <w:rPr>
          <w:rFonts w:ascii="Arial" w:cs="Arial" w:eastAsia="Arial" w:hAnsi="Arial"/>
          <w:sz w:val="16"/>
          <w:szCs w:val="16"/>
          <w:color w:val="auto"/>
        </w:rPr>
        <w:t>.</w:t>
      </w:r>
    </w:p>
    <w:p>
      <w:pPr>
        <w:spacing w:after="0" w:line="151" w:lineRule="exact"/>
        <w:rPr>
          <w:rFonts w:ascii="Arial" w:cs="Arial" w:eastAsia="Arial" w:hAnsi="Arial"/>
          <w:sz w:val="16"/>
          <w:szCs w:val="16"/>
          <w:b w:val="1"/>
          <w:bCs w:val="1"/>
          <w:color w:val="auto"/>
        </w:rPr>
      </w:pPr>
    </w:p>
    <w:p>
      <w:pPr>
        <w:ind w:right="60" w:firstLine="1305"/>
        <w:spacing w:after="0" w:line="281" w:lineRule="auto"/>
        <w:tabs>
          <w:tab w:leader="none" w:pos="1949" w:val="left"/>
        </w:tabs>
        <w:numPr>
          <w:ilvl w:val="1"/>
          <w:numId w:val="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 upon Death</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terminate if Executive dies during the Term, effective on the date of Executive’s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death. Any payments that are owing to Executive under this Agreement or otherwise at the time of Executive’s death shall be made to whomever Executive may designate in writing as Executive’s beneficiary, or absent such a designation, to the executor or administrator of Executive’s estate. Termination of this Agreement under this </w:t>
      </w:r>
      <w:r>
        <w:rPr>
          <w:rFonts w:ascii="Arial" w:cs="Arial" w:eastAsia="Arial" w:hAnsi="Arial"/>
          <w:sz w:val="17"/>
          <w:szCs w:val="17"/>
          <w:b w:val="1"/>
          <w:bCs w:val="1"/>
          <w:color w:val="auto"/>
        </w:rPr>
        <w:t>Section 4(f)</w:t>
      </w:r>
      <w:r>
        <w:rPr>
          <w:rFonts w:ascii="Arial" w:cs="Arial" w:eastAsia="Arial" w:hAnsi="Arial"/>
          <w:sz w:val="17"/>
          <w:szCs w:val="17"/>
          <w:color w:val="auto"/>
        </w:rPr>
        <w:t xml:space="preserve"> shall be deemed to be a termination in accordance with </w:t>
      </w:r>
      <w:r>
        <w:rPr>
          <w:rFonts w:ascii="Arial" w:cs="Arial" w:eastAsia="Arial" w:hAnsi="Arial"/>
          <w:sz w:val="17"/>
          <w:szCs w:val="17"/>
          <w:b w:val="1"/>
          <w:bCs w:val="1"/>
          <w:color w:val="auto"/>
        </w:rPr>
        <w:t>Section 4(b)</w:t>
      </w:r>
      <w:r>
        <w:rPr>
          <w:rFonts w:ascii="Arial" w:cs="Arial" w:eastAsia="Arial" w:hAnsi="Arial"/>
          <w:sz w:val="17"/>
          <w:szCs w:val="17"/>
          <w:color w:val="auto"/>
        </w:rPr>
        <w:t>.</w:t>
      </w:r>
    </w:p>
    <w:p>
      <w:pPr>
        <w:spacing w:after="0" w:line="164" w:lineRule="exact"/>
        <w:rPr>
          <w:rFonts w:ascii="Arial" w:cs="Arial" w:eastAsia="Arial" w:hAnsi="Arial"/>
          <w:sz w:val="17"/>
          <w:szCs w:val="17"/>
          <w:b w:val="1"/>
          <w:bCs w:val="1"/>
          <w:color w:val="auto"/>
        </w:rPr>
      </w:pPr>
    </w:p>
    <w:p>
      <w:pPr>
        <w:ind w:left="1960" w:hanging="655"/>
        <w:spacing w:after="0"/>
        <w:tabs>
          <w:tab w:leader="none" w:pos="1960"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shall pay severance benefits to Executive as follows: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1953"/>
        <w:spacing w:after="0" w:line="288" w:lineRule="auto"/>
        <w:tabs>
          <w:tab w:leader="none" w:pos="2601" w:val="left"/>
        </w:tabs>
        <w:numPr>
          <w:ilvl w:val="1"/>
          <w:numId w:val="47"/>
        </w:numPr>
        <w:rPr>
          <w:rFonts w:ascii="Arial" w:cs="Arial" w:eastAsia="Arial" w:hAnsi="Arial"/>
          <w:sz w:val="16"/>
          <w:szCs w:val="16"/>
          <w:b w:val="1"/>
          <w:bCs w:val="1"/>
          <w:color w:val="auto"/>
        </w:rPr>
      </w:pPr>
      <w:r>
        <w:rPr>
          <w:rFonts w:ascii="Arial" w:cs="Arial" w:eastAsia="Arial" w:hAnsi="Arial"/>
          <w:sz w:val="16"/>
          <w:szCs w:val="16"/>
          <w:color w:val="auto"/>
        </w:rPr>
        <w:t xml:space="preserve">If this Agreement and Executive’s employment hereunder are terminated by Employer without Cause pursuant to </w:t>
      </w:r>
      <w:r>
        <w:rPr>
          <w:rFonts w:ascii="Arial" w:cs="Arial" w:eastAsia="Arial" w:hAnsi="Arial"/>
          <w:sz w:val="16"/>
          <w:szCs w:val="16"/>
          <w:b w:val="1"/>
          <w:bCs w:val="1"/>
          <w:color w:val="auto"/>
        </w:rPr>
        <w:t>Section 4(a)</w:t>
      </w:r>
      <w:r>
        <w:rPr>
          <w:rFonts w:ascii="Arial" w:cs="Arial" w:eastAsia="Arial" w:hAnsi="Arial"/>
          <w:sz w:val="16"/>
          <w:szCs w:val="16"/>
          <w:color w:val="auto"/>
        </w:rPr>
        <w:t>, or by Executive for Good Reason pursuant to</w:t>
      </w:r>
      <w:r>
        <w:rPr>
          <w:rFonts w:ascii="Arial" w:cs="Arial" w:eastAsia="Arial" w:hAnsi="Arial"/>
          <w:sz w:val="16"/>
          <w:szCs w:val="16"/>
          <w:b w:val="1"/>
          <w:bCs w:val="1"/>
          <w:color w:val="auto"/>
        </w:rPr>
        <w:t xml:space="preserve"> Section 4(c)</w:t>
      </w:r>
      <w:r>
        <w:rPr>
          <w:rFonts w:ascii="Arial" w:cs="Arial" w:eastAsia="Arial" w:hAnsi="Arial"/>
          <w:sz w:val="16"/>
          <w:szCs w:val="16"/>
          <w:color w:val="auto"/>
        </w:rPr>
        <w:t>, Employer shall pay Executive an amount equal to one hundred percent (100%) (or</w:t>
      </w:r>
      <w:r>
        <w:rPr>
          <w:rFonts w:ascii="Arial" w:cs="Arial" w:eastAsia="Arial" w:hAnsi="Arial"/>
          <w:sz w:val="16"/>
          <w:szCs w:val="16"/>
          <w:b w:val="1"/>
          <w:bCs w:val="1"/>
          <w:color w:val="auto"/>
        </w:rPr>
        <w:t xml:space="preserve"> </w:t>
      </w:r>
      <w:r>
        <w:rPr>
          <w:rFonts w:ascii="Arial" w:cs="Arial" w:eastAsia="Arial" w:hAnsi="Arial"/>
          <w:sz w:val="16"/>
          <w:szCs w:val="16"/>
          <w:color w:val="auto"/>
        </w:rPr>
        <w:t>two hundred percent (200%) if the foregoing terminations occur within one (1) year after the occurrence of a Change in Control) of the sum of</w:t>
      </w:r>
    </w:p>
    <w:p>
      <w:pPr>
        <w:ind w:right="720" w:firstLine="8"/>
        <w:spacing w:after="0" w:line="261" w:lineRule="auto"/>
        <w:tabs>
          <w:tab w:leader="none" w:pos="2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Executive’s then applicable Base Salary, plus (B) the amount of the most recent performance bonus that Employer paid to Executive pursuant to </w:t>
      </w:r>
      <w:r>
        <w:rPr>
          <w:rFonts w:ascii="Arial" w:cs="Arial" w:eastAsia="Arial" w:hAnsi="Arial"/>
          <w:sz w:val="18"/>
          <w:szCs w:val="18"/>
          <w:b w:val="1"/>
          <w:bCs w:val="1"/>
          <w:color w:val="auto"/>
        </w:rPr>
        <w:t xml:space="preserve">Section 3(b) </w:t>
      </w:r>
      <w:r>
        <w:rPr>
          <w:rFonts w:ascii="Arial" w:cs="Arial" w:eastAsia="Arial" w:hAnsi="Arial"/>
          <w:sz w:val="18"/>
          <w:szCs w:val="18"/>
          <w:color w:val="auto"/>
        </w:rPr>
        <w:t>(the “</w:t>
      </w:r>
      <w:r>
        <w:rPr>
          <w:rFonts w:ascii="Arial" w:cs="Arial" w:eastAsia="Arial" w:hAnsi="Arial"/>
          <w:sz w:val="18"/>
          <w:szCs w:val="18"/>
          <w:b w:val="1"/>
          <w:bCs w:val="1"/>
          <w:color w:val="auto"/>
        </w:rPr>
        <w:t>Severance Payment</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right="100" w:firstLine="1953"/>
        <w:spacing w:after="0" w:line="285" w:lineRule="auto"/>
        <w:tabs>
          <w:tab w:leader="none" w:pos="2597" w:val="left"/>
        </w:tabs>
        <w:numPr>
          <w:ilvl w:val="1"/>
          <w:numId w:val="48"/>
        </w:numPr>
        <w:rPr>
          <w:rFonts w:ascii="Arial" w:cs="Arial" w:eastAsia="Arial" w:hAnsi="Arial"/>
          <w:sz w:val="16"/>
          <w:szCs w:val="16"/>
          <w:b w:val="1"/>
          <w:bCs w:val="1"/>
          <w:color w:val="auto"/>
        </w:rPr>
      </w:pPr>
      <w:r>
        <w:rPr>
          <w:rFonts w:ascii="Arial" w:cs="Arial" w:eastAsia="Arial" w:hAnsi="Arial"/>
          <w:sz w:val="16"/>
          <w:szCs w:val="16"/>
          <w:color w:val="auto"/>
        </w:rPr>
        <w:t xml:space="preserve">All payments that become due to Executive under this </w:t>
      </w:r>
      <w:r>
        <w:rPr>
          <w:rFonts w:ascii="Arial" w:cs="Arial" w:eastAsia="Arial" w:hAnsi="Arial"/>
          <w:sz w:val="16"/>
          <w:szCs w:val="16"/>
          <w:b w:val="1"/>
          <w:bCs w:val="1"/>
          <w:color w:val="auto"/>
        </w:rPr>
        <w:t>Section 4(g)</w:t>
      </w:r>
      <w:r>
        <w:rPr>
          <w:rFonts w:ascii="Arial" w:cs="Arial" w:eastAsia="Arial" w:hAnsi="Arial"/>
          <w:sz w:val="16"/>
          <w:szCs w:val="16"/>
          <w:color w:val="auto"/>
        </w:rPr>
        <w:t xml:space="preserve"> shall be made in substantially equal installments in accordance with Employer’s regular payroll practices then in effect over the one (1) year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initial payment shall be made on the first regular payroll date occurring on or after the thirtieth (30th) day following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payment or benefit shall ever be due to Executive under this </w:t>
      </w:r>
      <w:r>
        <w:rPr>
          <w:rFonts w:ascii="Arial" w:cs="Arial" w:eastAsia="Arial" w:hAnsi="Arial"/>
          <w:sz w:val="16"/>
          <w:szCs w:val="16"/>
          <w:b w:val="1"/>
          <w:bCs w:val="1"/>
          <w:color w:val="auto"/>
        </w:rPr>
        <w:t>Section 4(g)</w:t>
      </w:r>
      <w:r>
        <w:rPr>
          <w:rFonts w:ascii="Arial" w:cs="Arial" w:eastAsia="Arial" w:hAnsi="Arial"/>
          <w:sz w:val="16"/>
          <w:szCs w:val="16"/>
          <w:color w:val="auto"/>
        </w:rPr>
        <w:t xml:space="preserve"> unless Executive has delivered to Employer on or before the thirtieth (30th) day following the Termination Date an irrevocable general release and waiver of claims as required by </w:t>
      </w:r>
      <w:r>
        <w:rPr>
          <w:rFonts w:ascii="Arial" w:cs="Arial" w:eastAsia="Arial" w:hAnsi="Arial"/>
          <w:sz w:val="16"/>
          <w:szCs w:val="16"/>
          <w:b w:val="1"/>
          <w:bCs w:val="1"/>
          <w:color w:val="auto"/>
        </w:rPr>
        <w:t>Section 4(j)</w:t>
      </w:r>
      <w:r>
        <w:rPr>
          <w:rFonts w:ascii="Arial" w:cs="Arial" w:eastAsia="Arial" w:hAnsi="Arial"/>
          <w:sz w:val="16"/>
          <w:szCs w:val="16"/>
          <w:color w:val="auto"/>
        </w:rPr>
        <w:t xml:space="preserve">. For avoidance of doubt, any applicable revocation period associated with such release and waiver shall expire on or before the thirtieth (30th) day following the Termination Date in order for Executive to be eligible to receive any payments or benefits under this </w:t>
      </w:r>
      <w:r>
        <w:rPr>
          <w:rFonts w:ascii="Arial" w:cs="Arial" w:eastAsia="Arial" w:hAnsi="Arial"/>
          <w:sz w:val="16"/>
          <w:szCs w:val="16"/>
          <w:b w:val="1"/>
          <w:bCs w:val="1"/>
          <w:color w:val="auto"/>
        </w:rPr>
        <w:t>Section 4(g)</w:t>
      </w:r>
      <w:r>
        <w:rPr>
          <w:rFonts w:ascii="Arial" w:cs="Arial" w:eastAsia="Arial" w:hAnsi="Arial"/>
          <w:sz w:val="16"/>
          <w:szCs w:val="16"/>
          <w:color w:val="auto"/>
        </w:rPr>
        <w:t>. Employer shall be obligated to make all payments that become due to Executive under this</w:t>
      </w:r>
    </w:p>
    <w:p>
      <w:pPr>
        <w:spacing w:after="0" w:line="1" w:lineRule="exact"/>
        <w:rPr>
          <w:rFonts w:ascii="Arial" w:cs="Arial" w:eastAsia="Arial" w:hAnsi="Arial"/>
          <w:sz w:val="16"/>
          <w:szCs w:val="16"/>
          <w:b w:val="1"/>
          <w:bCs w:val="1"/>
          <w:color w:val="auto"/>
        </w:rPr>
      </w:pPr>
    </w:p>
    <w:p>
      <w:pPr>
        <w:jc w:val="both"/>
        <w:ind w:right="100"/>
        <w:spacing w:after="0" w:line="255"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Section 4(g) </w:t>
      </w:r>
      <w:r>
        <w:rPr>
          <w:rFonts w:ascii="Arial" w:cs="Arial" w:eastAsia="Arial" w:hAnsi="Arial"/>
          <w:sz w:val="18"/>
          <w:szCs w:val="18"/>
          <w:color w:val="auto"/>
        </w:rPr>
        <w:t>whether or not Executive obtains other employment following termination or takes steps to mitigate any damages that Executive claims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sustained as a result of termination. The payments provided for in this </w:t>
      </w:r>
      <w:r>
        <w:rPr>
          <w:rFonts w:ascii="Arial" w:cs="Arial" w:eastAsia="Arial" w:hAnsi="Arial"/>
          <w:sz w:val="18"/>
          <w:szCs w:val="18"/>
          <w:b w:val="1"/>
          <w:bCs w:val="1"/>
          <w:color w:val="auto"/>
        </w:rPr>
        <w:t>Section 4(g)</w:t>
      </w:r>
      <w:r>
        <w:rPr>
          <w:rFonts w:ascii="Arial" w:cs="Arial" w:eastAsia="Arial" w:hAnsi="Arial"/>
          <w:sz w:val="18"/>
          <w:szCs w:val="18"/>
          <w:color w:val="auto"/>
        </w:rPr>
        <w:t xml:space="preserve"> are intended to supplement any compensation or other benefits that have accrued or vested with respect to Executive or for Executive’s account as of the Termination Date.</w:t>
      </w:r>
    </w:p>
    <w:p>
      <w:pPr>
        <w:spacing w:after="0" w:line="190" w:lineRule="exact"/>
        <w:rPr>
          <w:rFonts w:ascii="Arial" w:cs="Arial" w:eastAsia="Arial" w:hAnsi="Arial"/>
          <w:sz w:val="16"/>
          <w:szCs w:val="16"/>
          <w:b w:val="1"/>
          <w:bCs w:val="1"/>
          <w:color w:val="auto"/>
        </w:rPr>
      </w:pPr>
    </w:p>
    <w:p>
      <w:pPr>
        <w:ind w:right="40" w:firstLine="1953"/>
        <w:spacing w:after="0" w:line="272" w:lineRule="auto"/>
        <w:tabs>
          <w:tab w:leader="none" w:pos="2593" w:val="left"/>
        </w:tabs>
        <w:numPr>
          <w:ilvl w:val="1"/>
          <w:numId w:val="48"/>
        </w:numPr>
        <w:rPr>
          <w:rFonts w:ascii="Arial" w:cs="Arial" w:eastAsia="Arial" w:hAnsi="Arial"/>
          <w:sz w:val="17"/>
          <w:szCs w:val="17"/>
          <w:b w:val="1"/>
          <w:bCs w:val="1"/>
          <w:color w:val="auto"/>
        </w:rPr>
      </w:pPr>
      <w:r>
        <w:rPr>
          <w:rFonts w:ascii="Arial" w:cs="Arial" w:eastAsia="Arial" w:hAnsi="Arial"/>
          <w:sz w:val="17"/>
          <w:szCs w:val="17"/>
          <w:color w:val="auto"/>
        </w:rPr>
        <w:t>Employer and Executive intend that no portion of any payment under this Agreement, or payments to or for the benefit of Executive under any other agreement or plan, be deemed to be an “</w:t>
      </w:r>
      <w:r>
        <w:rPr>
          <w:rFonts w:ascii="Arial" w:cs="Arial" w:eastAsia="Arial" w:hAnsi="Arial"/>
          <w:sz w:val="17"/>
          <w:szCs w:val="17"/>
          <w:b w:val="1"/>
          <w:bCs w:val="1"/>
          <w:color w:val="auto"/>
        </w:rPr>
        <w:t>Excess Parachute Payment</w:t>
      </w:r>
      <w:r>
        <w:rPr>
          <w:rFonts w:ascii="Arial" w:cs="Arial" w:eastAsia="Arial" w:hAnsi="Arial"/>
          <w:sz w:val="17"/>
          <w:szCs w:val="17"/>
          <w:color w:val="auto"/>
        </w:rPr>
        <w:t>” as defined in Section 280G of the Internal Revenue Code of 1986 (the “</w:t>
      </w:r>
      <w:r>
        <w:rPr>
          <w:rFonts w:ascii="Arial" w:cs="Arial" w:eastAsia="Arial" w:hAnsi="Arial"/>
          <w:sz w:val="17"/>
          <w:szCs w:val="17"/>
          <w:b w:val="1"/>
          <w:bCs w:val="1"/>
          <w:color w:val="auto"/>
        </w:rPr>
        <w:t>Code</w:t>
      </w:r>
      <w:r>
        <w:rPr>
          <w:rFonts w:ascii="Arial" w:cs="Arial" w:eastAsia="Arial" w:hAnsi="Arial"/>
          <w:sz w:val="17"/>
          <w:szCs w:val="17"/>
          <w:color w:val="auto"/>
        </w:rPr>
        <w:t>”). The present value of any payments to or for the benefit of Executive in the nature of compensation, as determined by the legal counsel or certified public accountants for Employer in accordance with Code Section 280G(d)(4), receipt of which is contingent on the Change in Control of Employer, and to which Code Section 280G applies (in the aggregate “</w:t>
      </w:r>
      <w:r>
        <w:rPr>
          <w:rFonts w:ascii="Arial" w:cs="Arial" w:eastAsia="Arial" w:hAnsi="Arial"/>
          <w:sz w:val="17"/>
          <w:szCs w:val="17"/>
          <w:b w:val="1"/>
          <w:bCs w:val="1"/>
          <w:color w:val="auto"/>
        </w:rPr>
        <w:t>Total Payments</w:t>
      </w:r>
      <w:r>
        <w:rPr>
          <w:rFonts w:ascii="Arial" w:cs="Arial" w:eastAsia="Arial" w:hAnsi="Arial"/>
          <w:sz w:val="17"/>
          <w:szCs w:val="17"/>
          <w:color w:val="auto"/>
        </w:rPr>
        <w:t xml:space="preserve">”), shall be reduced, as necessary, such that the payment does not exceed an amount equal to one dollar ($1.00) less than the maximum amount that Employer may pay without loss of deduction under Code Section 280G(a),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reduction shall be in accordance with Code Section 409A.</w:t>
      </w:r>
    </w:p>
    <w:p>
      <w:pPr>
        <w:spacing w:after="0" w:line="173" w:lineRule="exact"/>
        <w:rPr>
          <w:rFonts w:ascii="Arial" w:cs="Arial" w:eastAsia="Arial" w:hAnsi="Arial"/>
          <w:sz w:val="17"/>
          <w:szCs w:val="17"/>
          <w:b w:val="1"/>
          <w:bCs w:val="1"/>
          <w:color w:val="auto"/>
        </w:rPr>
      </w:pPr>
    </w:p>
    <w:p>
      <w:pPr>
        <w:ind w:right="20" w:firstLine="1953"/>
        <w:spacing w:after="0" w:line="277" w:lineRule="auto"/>
        <w:tabs>
          <w:tab w:leader="none" w:pos="2596" w:val="left"/>
        </w:tabs>
        <w:numPr>
          <w:ilvl w:val="1"/>
          <w:numId w:val="48"/>
        </w:numPr>
        <w:rPr>
          <w:rFonts w:ascii="Arial" w:cs="Arial" w:eastAsia="Arial" w:hAnsi="Arial"/>
          <w:sz w:val="17"/>
          <w:szCs w:val="17"/>
          <w:b w:val="1"/>
          <w:bCs w:val="1"/>
          <w:color w:val="auto"/>
        </w:rPr>
      </w:pPr>
      <w:r>
        <w:rPr>
          <w:rFonts w:ascii="Arial" w:cs="Arial" w:eastAsia="Arial" w:hAnsi="Arial"/>
          <w:sz w:val="17"/>
          <w:szCs w:val="17"/>
          <w:color w:val="auto"/>
        </w:rPr>
        <w:t xml:space="preserve">If Employer is not permitted to make any payments that may become due to Executive under this </w:t>
      </w:r>
      <w:r>
        <w:rPr>
          <w:rFonts w:ascii="Arial" w:cs="Arial" w:eastAsia="Arial" w:hAnsi="Arial"/>
          <w:sz w:val="17"/>
          <w:szCs w:val="17"/>
          <w:b w:val="1"/>
          <w:bCs w:val="1"/>
          <w:color w:val="auto"/>
        </w:rPr>
        <w:t>Section 4(g)</w:t>
      </w:r>
      <w:r>
        <w:rPr>
          <w:rFonts w:ascii="Arial" w:cs="Arial" w:eastAsia="Arial" w:hAnsi="Arial"/>
          <w:sz w:val="17"/>
          <w:szCs w:val="17"/>
          <w:color w:val="auto"/>
        </w:rPr>
        <w:t xml:space="preserve"> because First Busey or the Bank is not in compliance with any regulatory-mandated minimum capital requirements or if making the payments would cause the Bank’s capital to fall below such minimum capital requirements, then Employer shall delay making such payments until the earliest possible date it could resume making the payments without violating such minimum capital requirements. Further, if Employer is not permitted to make any payments that may become due to Executive under this </w:t>
      </w:r>
      <w:r>
        <w:rPr>
          <w:rFonts w:ascii="Arial" w:cs="Arial" w:eastAsia="Arial" w:hAnsi="Arial"/>
          <w:sz w:val="17"/>
          <w:szCs w:val="17"/>
          <w:b w:val="1"/>
          <w:bCs w:val="1"/>
          <w:color w:val="auto"/>
        </w:rPr>
        <w:t>Section 4(g)</w:t>
      </w:r>
      <w:r>
        <w:rPr>
          <w:rFonts w:ascii="Arial" w:cs="Arial" w:eastAsia="Arial" w:hAnsi="Arial"/>
          <w:sz w:val="17"/>
          <w:szCs w:val="17"/>
          <w:color w:val="auto"/>
        </w:rPr>
        <w:t xml:space="preserve"> because of the operation of any other applicable law or regulation, then Employer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shall delay making such payments until the earliest possible date it could resume making the payments without violating such applicable law or regulation.</w:t>
      </w:r>
    </w:p>
    <w:p>
      <w:pPr>
        <w:spacing w:after="0" w:line="244" w:lineRule="exact"/>
        <w:rPr>
          <w:sz w:val="20"/>
          <w:szCs w:val="20"/>
          <w:color w:val="auto"/>
        </w:rPr>
      </w:pPr>
    </w:p>
    <w:p>
      <w:pPr>
        <w:ind w:right="40" w:firstLine="1305"/>
        <w:spacing w:after="0" w:line="261" w:lineRule="auto"/>
        <w:tabs>
          <w:tab w:leader="none" w:pos="196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Equalization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If Employer is paying, or in the case of a lump sum, has paid, Executive a Severance Payment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w:t>
      </w:r>
      <w:r>
        <w:rPr>
          <w:rFonts w:ascii="Arial" w:cs="Arial" w:eastAsia="Arial" w:hAnsi="Arial"/>
          <w:sz w:val="18"/>
          <w:szCs w:val="18"/>
          <w:b w:val="1"/>
          <w:bCs w:val="1"/>
          <w:color w:val="auto"/>
        </w:rPr>
        <w:t>Section 4(g)(i)</w:t>
      </w:r>
      <w:r>
        <w:rPr>
          <w:rFonts w:ascii="Arial" w:cs="Arial" w:eastAsia="Arial" w:hAnsi="Arial"/>
          <w:sz w:val="18"/>
          <w:szCs w:val="18"/>
          <w:color w:val="auto"/>
        </w:rPr>
        <w:t>, then Executive shall not seek or apply for unemployment compensation under the Illinois Unemployment Act 820 ILCS 405/100 et seq. or any other state or federal unemployment compensation law at any time prior to a date following the final payment made hereunder or with respect to the period during which such payments were or were to be made until the final payment is made.</w:t>
      </w:r>
    </w:p>
    <w:p>
      <w:pPr>
        <w:spacing w:after="0" w:line="180" w:lineRule="exact"/>
        <w:rPr>
          <w:rFonts w:ascii="Arial" w:cs="Arial" w:eastAsia="Arial" w:hAnsi="Arial"/>
          <w:sz w:val="18"/>
          <w:szCs w:val="18"/>
          <w:b w:val="1"/>
          <w:bCs w:val="1"/>
          <w:color w:val="auto"/>
        </w:rPr>
      </w:pPr>
    </w:p>
    <w:p>
      <w:pPr>
        <w:ind w:right="220" w:firstLine="1305"/>
        <w:spacing w:after="0" w:line="314" w:lineRule="auto"/>
        <w:tabs>
          <w:tab w:leader="none" w:pos="1953"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Specified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If at the time of any payment hereunder Executive is considered to be a Specified Employee (as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below); and such payment is required to be treated as deferred compensation under Code Section 409A, then, to the extent required by Code Section 409A, payments may be delayed to the date that is six (6) months after the Termination Date. For purposes of Code Section 409A, all installment payments of</w:t>
      </w:r>
    </w:p>
    <w:p>
      <w:pPr>
        <w:sectPr>
          <w:pgSz w:w="11900" w:h="16953" w:orient="portrait"/>
          <w:cols w:equalWidth="0" w:num="1">
            <w:col w:w="11400"/>
          </w:cols>
          <w:pgMar w:left="240" w:top="125" w:right="259" w:bottom="0" w:gutter="0" w:footer="0" w:header="0"/>
        </w:sectPr>
      </w:pPr>
    </w:p>
    <w:bookmarkStart w:id="52" w:name="page53"/>
    <w:bookmarkEnd w:id="52"/>
    <w:p>
      <w:pPr>
        <w:spacing w:after="0" w:line="74"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deferred compensation made hereunder, or pursuant to another plan or arrangement, shall be deemed to be separate payments and, accordingly, the aforementioned deferral shall only apply to separate payments that would occur during the six (6)-month deferral period and all other payments shall be unaffected.</w:t>
      </w:r>
    </w:p>
    <w:p>
      <w:pPr>
        <w:spacing w:after="0" w:line="177" w:lineRule="exact"/>
        <w:rPr>
          <w:sz w:val="20"/>
          <w:szCs w:val="20"/>
          <w:color w:val="auto"/>
        </w:rPr>
      </w:pPr>
    </w:p>
    <w:p>
      <w:pPr>
        <w:ind w:right="80" w:firstLine="1953"/>
        <w:spacing w:after="0" w:line="258" w:lineRule="auto"/>
        <w:tabs>
          <w:tab w:leader="none" w:pos="2601" w:val="left"/>
        </w:tabs>
        <w:numPr>
          <w:ilvl w:val="1"/>
          <w:numId w:val="50"/>
        </w:numPr>
        <w:rPr>
          <w:rFonts w:ascii="Arial" w:cs="Arial" w:eastAsia="Arial" w:hAnsi="Arial"/>
          <w:sz w:val="18"/>
          <w:szCs w:val="18"/>
          <w:b w:val="1"/>
          <w:bCs w:val="1"/>
          <w:color w:val="auto"/>
        </w:rPr>
      </w:pPr>
      <w:r>
        <w:rPr>
          <w:rFonts w:ascii="Arial" w:cs="Arial" w:eastAsia="Arial" w:hAnsi="Arial"/>
          <w:sz w:val="18"/>
          <w:szCs w:val="18"/>
          <w:color w:val="auto"/>
        </w:rPr>
        <w:t xml:space="preserve">All payments delayed pursuant to this </w:t>
      </w:r>
      <w:r>
        <w:rPr>
          <w:rFonts w:ascii="Arial" w:cs="Arial" w:eastAsia="Arial" w:hAnsi="Arial"/>
          <w:sz w:val="18"/>
          <w:szCs w:val="18"/>
          <w:b w:val="1"/>
          <w:bCs w:val="1"/>
          <w:color w:val="auto"/>
        </w:rPr>
        <w:t>Section 4(i)</w:t>
      </w:r>
      <w:r>
        <w:rPr>
          <w:rFonts w:ascii="Arial" w:cs="Arial" w:eastAsia="Arial" w:hAnsi="Arial"/>
          <w:sz w:val="18"/>
          <w:szCs w:val="18"/>
          <w:color w:val="auto"/>
        </w:rPr>
        <w:t xml:space="preserve"> shall be accumulated and paid in a lump-sum, catch-up payment as of the first (1st) day of the seventh (7th) month following the Termination Date (or, if earlier, the date of death of Executive), with all such delayed payments being credited with interest (compounded monthly) for such period of delay equal to the prime rate in effect on the first (1st) day of such six (6)-month period. Any portion of the benefits hereunder that were not otherwise due to be paid during the six (6)-month period following the Termination Date shall be paid to Executive in accordance with the payment schedule established herein.</w:t>
      </w:r>
    </w:p>
    <w:p>
      <w:pPr>
        <w:spacing w:after="0" w:line="183" w:lineRule="exact"/>
        <w:rPr>
          <w:rFonts w:ascii="Arial" w:cs="Arial" w:eastAsia="Arial" w:hAnsi="Arial"/>
          <w:sz w:val="18"/>
          <w:szCs w:val="18"/>
          <w:b w:val="1"/>
          <w:bCs w:val="1"/>
          <w:color w:val="auto"/>
        </w:rPr>
      </w:pPr>
    </w:p>
    <w:p>
      <w:pPr>
        <w:ind w:right="20" w:firstLine="1953"/>
        <w:spacing w:after="0" w:line="255" w:lineRule="auto"/>
        <w:tabs>
          <w:tab w:leader="none" w:pos="2597" w:val="left"/>
        </w:tabs>
        <w:numPr>
          <w:ilvl w:val="1"/>
          <w:numId w:val="50"/>
        </w:numPr>
        <w:rPr>
          <w:rFonts w:ascii="Arial" w:cs="Arial" w:eastAsia="Arial" w:hAnsi="Arial"/>
          <w:sz w:val="18"/>
          <w:szCs w:val="18"/>
          <w:b w:val="1"/>
          <w:bCs w:val="1"/>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Specified Employee</w:t>
      </w:r>
      <w:r>
        <w:rPr>
          <w:rFonts w:ascii="Arial" w:cs="Arial" w:eastAsia="Arial" w:hAnsi="Arial"/>
          <w:sz w:val="18"/>
          <w:szCs w:val="18"/>
          <w:color w:val="auto"/>
        </w:rPr>
        <w:t>” means any person who holds a position with Employer of senior vice president or higher and has compensation greater than that stated in Code Section 416(i)(1)(A)(i). The determination of whether Executive is a Specified Employee shall be based upon the twelve (12)-month period ending on each December 31st (such twelve (12)-month period is referred to below as the “identification period”). If Executive is determined to be a Specified Employee during the identification period Executive shall be treated as a Specified Employee for purposes of this Agreement during the twelve (12)-month period that begins on the April 1st following the close of such identification period. For purposes of determining whether Executive is a Specified Employee under Code Section 416(i), compensation shall mean Executive’s W-2 compensation as reported by Employer for a particular calendar year.</w:t>
      </w:r>
    </w:p>
    <w:p>
      <w:pPr>
        <w:spacing w:after="0" w:line="189" w:lineRule="exact"/>
        <w:rPr>
          <w:rFonts w:ascii="Arial" w:cs="Arial" w:eastAsia="Arial" w:hAnsi="Arial"/>
          <w:sz w:val="18"/>
          <w:szCs w:val="18"/>
          <w:b w:val="1"/>
          <w:bCs w:val="1"/>
          <w:color w:val="auto"/>
        </w:rPr>
      </w:pPr>
    </w:p>
    <w:p>
      <w:pPr>
        <w:jc w:val="both"/>
        <w:ind w:right="260" w:firstLine="1305"/>
        <w:spacing w:after="0" w:line="261" w:lineRule="auto"/>
        <w:tabs>
          <w:tab w:leader="none" w:pos="1963"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Release</w:t>
      </w:r>
      <w:r>
        <w:rPr>
          <w:rFonts w:ascii="Arial" w:cs="Arial" w:eastAsia="Arial" w:hAnsi="Arial"/>
          <w:sz w:val="18"/>
          <w:szCs w:val="18"/>
          <w:b w:val="1"/>
          <w:bCs w:val="1"/>
          <w:color w:val="auto"/>
        </w:rPr>
        <w:t xml:space="preserve">. </w:t>
      </w:r>
      <w:r>
        <w:rPr>
          <w:rFonts w:ascii="Arial" w:cs="Arial" w:eastAsia="Arial" w:hAnsi="Arial"/>
          <w:sz w:val="18"/>
          <w:szCs w:val="18"/>
          <w:color w:val="auto"/>
        </w:rPr>
        <w:t>As a condition to Employer’s obligation to pay any severance benefit under</w:t>
      </w:r>
      <w:r>
        <w:rPr>
          <w:rFonts w:ascii="Arial" w:cs="Arial" w:eastAsia="Arial" w:hAnsi="Arial"/>
          <w:sz w:val="18"/>
          <w:szCs w:val="18"/>
          <w:b w:val="1"/>
          <w:bCs w:val="1"/>
          <w:color w:val="auto"/>
        </w:rPr>
        <w:t xml:space="preserve"> Section 4(g)</w:t>
      </w:r>
      <w:r>
        <w:rPr>
          <w:rFonts w:ascii="Arial" w:cs="Arial" w:eastAsia="Arial" w:hAnsi="Arial"/>
          <w:sz w:val="18"/>
          <w:szCs w:val="18"/>
          <w:color w:val="auto"/>
        </w:rPr>
        <w:t>, Executive shall execute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general release of, and waiver of claims against, Employer and its subsidiaries and affiliates,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on or before the thirtieth (30th) day following the Termination Date. For the avoidance of doubt, in order for such release to be deemed effective for purposes of this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Agreement, any applicable revocation period with respect to such release and waiver must have expired on or before such thirtieth (30th) day.</w:t>
      </w:r>
    </w:p>
    <w:p>
      <w:pPr>
        <w:spacing w:after="0" w:line="221" w:lineRule="exact"/>
        <w:rPr>
          <w:sz w:val="20"/>
          <w:szCs w:val="20"/>
          <w:color w:val="auto"/>
        </w:rPr>
      </w:pPr>
    </w:p>
    <w:p>
      <w:pPr>
        <w:ind w:left="780"/>
        <w:spacing w:after="0"/>
        <w:tabs>
          <w:tab w:leader="none" w:pos="194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Executive acknowledges that the nature of Executive’s employment shall require that Executive produce and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have access to records, data, trade secrets and information that are not available to the public regarding Employer and its subsidiaries and affiliates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Executive shall hold in confidence and not directly or indirectly disclose any Confidential Information to third parties unless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disclosure becomes reasonably necessary in connection with Executive’s performance of Executive’s duties hereunder, or the Confidential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lawfully becomes available to the public from other sources, or Executive is authorized in writing by Employer to disclose it, or Executive is required to make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disclosure by a law or pursuant to the authority of any administrative agency or judicial body. All Confidential Information and all other records, files,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documents and other materials or copies thereof relating to the business of Employer or any of its subsidiaries or affiliates that Executive prepares or uses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always be the sole property of Employer. Executive’s access to and use of Employer’s computer systems, networks and equipment, and all Employer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contained therein, shall be restricted to legitimate business purposes on behalf of Employer; any other access to or use of such systems, network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and equipment is without authorization and is prohibited. The restrictions contained in this </w:t>
      </w:r>
      <w:r>
        <w:rPr>
          <w:rFonts w:ascii="Arial" w:cs="Arial" w:eastAsia="Arial" w:hAnsi="Arial"/>
          <w:sz w:val="17"/>
          <w:szCs w:val="17"/>
          <w:b w:val="1"/>
          <w:bCs w:val="1"/>
          <w:color w:val="auto"/>
        </w:rPr>
        <w:t>Section 5</w:t>
      </w:r>
      <w:r>
        <w:rPr>
          <w:rFonts w:ascii="Arial" w:cs="Arial" w:eastAsia="Arial" w:hAnsi="Arial"/>
          <w:sz w:val="17"/>
          <w:szCs w:val="17"/>
          <w:color w:val="auto"/>
        </w:rPr>
        <w:t xml:space="preserve"> shall extend to any personal computers or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electronic devices of Executive that are used for business purposes relating to Employer. Executive shall not transfer any Employer information to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personal computer or other electronic device that is not otherwise used for any business purpose relating to Employer. Executive shall promptly return 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originals and copies of any Confidential Information and other records, files, documents and other materials to Employer if Executive’s employment 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Employer is terminated for any reason.</w:t>
      </w:r>
    </w:p>
    <w:p>
      <w:pPr>
        <w:spacing w:after="0" w:line="207" w:lineRule="exact"/>
        <w:rPr>
          <w:sz w:val="20"/>
          <w:szCs w:val="20"/>
          <w:color w:val="auto"/>
        </w:rPr>
      </w:pPr>
    </w:p>
    <w:p>
      <w:pPr>
        <w:ind w:firstLine="778"/>
        <w:spacing w:after="0" w:line="273" w:lineRule="auto"/>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b w:val="1"/>
          <w:bCs w:val="1"/>
          <w:u w:val="single" w:color="auto"/>
          <w:color w:val="auto"/>
        </w:rPr>
        <w:t>Non-Competition and Non-Solicitation Covenants</w:t>
      </w:r>
      <w:r>
        <w:rPr>
          <w:rFonts w:ascii="Arial" w:cs="Arial" w:eastAsia="Arial" w:hAnsi="Arial"/>
          <w:sz w:val="17"/>
          <w:szCs w:val="17"/>
          <w:color w:val="auto"/>
        </w:rPr>
        <w:t>. Employer and Executive agree that the primary service area of Employer’s</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in which Executive will actively participate extends separately to an area that encompasses a fifty (50) mile radius from each banking and other office location of Employer and its subsidiaries and affiliates and a fifty (50) mile radius from Employer’s main office in Champaign, Illinois (collectively, the “</w:t>
      </w:r>
      <w:r>
        <w:rPr>
          <w:rFonts w:ascii="Arial" w:cs="Arial" w:eastAsia="Arial" w:hAnsi="Arial"/>
          <w:sz w:val="17"/>
          <w:szCs w:val="17"/>
          <w:b w:val="1"/>
          <w:bCs w:val="1"/>
          <w:color w:val="auto"/>
        </w:rPr>
        <w:t>Restrictive Area</w:t>
      </w:r>
      <w:r>
        <w:rPr>
          <w:rFonts w:ascii="Arial" w:cs="Arial" w:eastAsia="Arial" w:hAnsi="Arial"/>
          <w:sz w:val="17"/>
          <w:szCs w:val="17"/>
          <w:color w:val="auto"/>
        </w:rPr>
        <w:t>”). Therefore, as an essential ingredient of and in consideration of this Agreement and Executive’s employment by Employer, Executive hereby agrees that for a period of one (1) year after termination of Executive’s employment with Employer for any reason and whether such termination of employment is during the Term or after the termination or expiration of the Term (the “</w:t>
      </w:r>
      <w:r>
        <w:rPr>
          <w:rFonts w:ascii="Arial" w:cs="Arial" w:eastAsia="Arial" w:hAnsi="Arial"/>
          <w:sz w:val="17"/>
          <w:szCs w:val="17"/>
          <w:b w:val="1"/>
          <w:bCs w:val="1"/>
          <w:color w:val="auto"/>
        </w:rPr>
        <w:t>Restrictive Period)</w:t>
      </w:r>
      <w:r>
        <w:rPr>
          <w:rFonts w:ascii="Arial" w:cs="Arial" w:eastAsia="Arial" w:hAnsi="Arial"/>
          <w:sz w:val="17"/>
          <w:szCs w:val="17"/>
          <w:color w:val="auto"/>
        </w:rPr>
        <w:t>, Executive shall not directly or indirectly compete with the business of Employer, including by doing any of the following (the “</w:t>
      </w:r>
      <w:r>
        <w:rPr>
          <w:rFonts w:ascii="Arial" w:cs="Arial" w:eastAsia="Arial" w:hAnsi="Arial"/>
          <w:sz w:val="17"/>
          <w:szCs w:val="17"/>
          <w:b w:val="1"/>
          <w:bCs w:val="1"/>
          <w:color w:val="auto"/>
        </w:rPr>
        <w:t>Restrictive Covenant</w:t>
      </w:r>
      <w:r>
        <w:rPr>
          <w:rFonts w:ascii="Arial" w:cs="Arial" w:eastAsia="Arial" w:hAnsi="Arial"/>
          <w:sz w:val="17"/>
          <w:szCs w:val="17"/>
          <w:color w:val="auto"/>
        </w:rPr>
        <w:t>”):</w:t>
      </w:r>
    </w:p>
    <w:p>
      <w:pPr>
        <w:spacing w:after="0" w:line="176" w:lineRule="exact"/>
        <w:rPr>
          <w:sz w:val="20"/>
          <w:szCs w:val="20"/>
          <w:color w:val="auto"/>
        </w:rPr>
      </w:pPr>
    </w:p>
    <w:p>
      <w:pPr>
        <w:ind w:right="120" w:firstLine="1305"/>
        <w:spacing w:after="0" w:line="279" w:lineRule="auto"/>
        <w:tabs>
          <w:tab w:leader="none" w:pos="1952" w:val="left"/>
        </w:tabs>
        <w:numPr>
          <w:ilvl w:val="0"/>
          <w:numId w:val="52"/>
        </w:numPr>
        <w:rPr>
          <w:rFonts w:ascii="Arial" w:cs="Arial" w:eastAsia="Arial" w:hAnsi="Arial"/>
          <w:sz w:val="17"/>
          <w:szCs w:val="17"/>
          <w:b w:val="1"/>
          <w:bCs w:val="1"/>
          <w:color w:val="auto"/>
        </w:rPr>
      </w:pPr>
      <w:r>
        <w:rPr>
          <w:rFonts w:ascii="Arial" w:cs="Arial" w:eastAsia="Arial" w:hAnsi="Arial"/>
          <w:sz w:val="17"/>
          <w:szCs w:val="17"/>
          <w:color w:val="auto"/>
        </w:rPr>
        <w:t>engage or invest in, own, manage, operate, control, finance, participate in the ownership, management, operation or control of, be employed by, associate with or in any manner be connected with, serve as an employee, officer or director of or consultant to, lend Executive’s name or any similar name to, lend Executive’s credit to, or render services or advice to any person, firm, partnership, corporation, trust or other entity that owns or operates, a bank, savings and loan association, credit union or similar financial institution (a “</w:t>
      </w:r>
      <w:r>
        <w:rPr>
          <w:rFonts w:ascii="Arial" w:cs="Arial" w:eastAsia="Arial" w:hAnsi="Arial"/>
          <w:sz w:val="17"/>
          <w:szCs w:val="17"/>
          <w:b w:val="1"/>
          <w:bCs w:val="1"/>
          <w:color w:val="auto"/>
        </w:rPr>
        <w:t>Financial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Institution</w:t>
      </w:r>
      <w:r>
        <w:rPr>
          <w:rFonts w:ascii="Arial" w:cs="Arial" w:eastAsia="Arial" w:hAnsi="Arial"/>
          <w:sz w:val="18"/>
          <w:szCs w:val="18"/>
          <w:color w:val="auto"/>
        </w:rPr>
        <w:t>”) with any office located, or to be located at an address identified in a filing with any regulatory authority, within the Restrictive Area;</w:t>
      </w:r>
    </w:p>
    <w:p>
      <w:pPr>
        <w:spacing w:after="0" w:line="229" w:lineRule="exact"/>
        <w:rPr>
          <w:sz w:val="20"/>
          <w:szCs w:val="20"/>
          <w:color w:val="auto"/>
        </w:rPr>
      </w:pPr>
    </w:p>
    <w:p>
      <w:pPr>
        <w:ind w:right="160" w:firstLine="1305"/>
        <w:spacing w:after="0" w:line="291" w:lineRule="auto"/>
        <w:tabs>
          <w:tab w:leader="none" w:pos="1962" w:val="left"/>
        </w:tabs>
        <w:numPr>
          <w:ilvl w:val="1"/>
          <w:numId w:val="53"/>
        </w:numPr>
        <w:rPr>
          <w:rFonts w:ascii="Arial" w:cs="Arial" w:eastAsia="Arial" w:hAnsi="Arial"/>
          <w:sz w:val="16"/>
          <w:szCs w:val="16"/>
          <w:b w:val="1"/>
          <w:bCs w:val="1"/>
          <w:color w:val="auto"/>
        </w:rPr>
      </w:pPr>
      <w:r>
        <w:rPr>
          <w:rFonts w:ascii="Arial" w:cs="Arial" w:eastAsia="Arial" w:hAnsi="Arial"/>
          <w:sz w:val="16"/>
          <w:szCs w:val="16"/>
          <w:color w:val="auto"/>
        </w:rPr>
        <w:t>directly or indirectly, for Executive or any Financial Institution: (i) induce or attempt to induce any officer of Employer or any of its subsidiaries or affiliates, or any employee who previously reported to Executive, to leave the employ of Employer or any of its subsidiaries or affiliates;</w:t>
      </w:r>
    </w:p>
    <w:p>
      <w:pPr>
        <w:ind w:right="200" w:firstLine="8"/>
        <w:spacing w:after="0" w:line="270" w:lineRule="auto"/>
        <w:tabs>
          <w:tab w:leader="none" w:pos="265"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 any way interfere with the relationship between Employer or any of its subsidiaries or affiliates and any such officer or employee; (iii) employ, or otherwise engage as an employee, independent contractor or otherwise, any such officer or employee; or (iv) induce or attempt to induce any customer, supplier, licensee or business relation of Employer of any of its subsidiaries or affiliates to cease doing business with Employer or any of its subsidiaries or affiliates or in any way interfere with the relationship between Employer or any of its subsidiaries or affiliates and any of their respective customers, suppliers, licensees or business relations, where Executive had personal contact with, or has accessed Confidential Information in the preceding twelve (12) months with respect to, such customers, suppliers, licensees or business relations; or</w:t>
      </w:r>
    </w:p>
    <w:p>
      <w:pPr>
        <w:spacing w:after="0" w:line="178" w:lineRule="exact"/>
        <w:rPr>
          <w:rFonts w:ascii="Arial" w:cs="Arial" w:eastAsia="Arial" w:hAnsi="Arial"/>
          <w:sz w:val="17"/>
          <w:szCs w:val="17"/>
          <w:color w:val="auto"/>
        </w:rPr>
      </w:pPr>
    </w:p>
    <w:p>
      <w:pPr>
        <w:ind w:right="80" w:firstLine="1305"/>
        <w:spacing w:after="0" w:line="259" w:lineRule="auto"/>
        <w:tabs>
          <w:tab w:leader="none" w:pos="1955" w:val="left"/>
        </w:tabs>
        <w:numPr>
          <w:ilvl w:val="1"/>
          <w:numId w:val="54"/>
        </w:numPr>
        <w:rPr>
          <w:rFonts w:ascii="Arial" w:cs="Arial" w:eastAsia="Arial" w:hAnsi="Arial"/>
          <w:sz w:val="18"/>
          <w:szCs w:val="18"/>
          <w:b w:val="1"/>
          <w:bCs w:val="1"/>
          <w:color w:val="auto"/>
        </w:rPr>
      </w:pPr>
      <w:r>
        <w:rPr>
          <w:rFonts w:ascii="Arial" w:cs="Arial" w:eastAsia="Arial" w:hAnsi="Arial"/>
          <w:sz w:val="18"/>
          <w:szCs w:val="18"/>
          <w:color w:val="auto"/>
        </w:rPr>
        <w:t>directly or indirectly, for Executive or any Financial Institution, solicit the business of any person or entity known to Executive to be a customer of Employer or any of its subsidiaries or affiliates, where Executive, or any person reporting to Executive, had personal contact with such person or entity, with respect to products, activities or services that compete in whole or in part with the products, activities or services of Employer or any of its subsidiaries or affiliates.</w:t>
      </w:r>
    </w:p>
    <w:p>
      <w:pPr>
        <w:sectPr>
          <w:pgSz w:w="11900" w:h="16912" w:orient="portrait"/>
          <w:cols w:equalWidth="0" w:num="1">
            <w:col w:w="11420"/>
          </w:cols>
          <w:pgMar w:left="240" w:top="125" w:right="239" w:bottom="0" w:gutter="0" w:footer="0" w:header="0"/>
        </w:sectPr>
      </w:pPr>
    </w:p>
    <w:bookmarkStart w:id="53" w:name="page54"/>
    <w:bookmarkEnd w:id="53"/>
    <w:p>
      <w:pPr>
        <w:jc w:val="both"/>
        <w:ind w:right="580" w:firstLine="1305"/>
        <w:spacing w:after="0" w:line="264" w:lineRule="auto"/>
        <w:tabs>
          <w:tab w:leader="none" w:pos="1962"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foregoing Restrictive Covenant shall not prohibit Executive from owning directly or indirectly capital stock or similar securities that are listed on a securities exchange or quoted on the National Association of Securities Dealers Automated Quotation System that do not represent more than one percent (1%) of the outstanding capital stock of any Financial Institution.</w:t>
      </w:r>
    </w:p>
    <w:p>
      <w:pPr>
        <w:spacing w:after="0" w:line="177" w:lineRule="exact"/>
        <w:rPr>
          <w:sz w:val="20"/>
          <w:szCs w:val="20"/>
          <w:color w:val="auto"/>
        </w:rPr>
      </w:pPr>
    </w:p>
    <w:p>
      <w:pPr>
        <w:ind w:firstLine="778"/>
        <w:spacing w:after="0" w:line="289" w:lineRule="auto"/>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b w:val="1"/>
          <w:bCs w:val="1"/>
          <w:u w:val="single" w:color="auto"/>
          <w:color w:val="auto"/>
        </w:rPr>
        <w:t>Remedies for Breach</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has reviewed the provisions of this Agreement with legal counsel, or has been given adequate</w:t>
      </w:r>
      <w:r>
        <w:rPr>
          <w:rFonts w:ascii="Arial" w:cs="Arial" w:eastAsia="Arial" w:hAnsi="Arial"/>
          <w:sz w:val="16"/>
          <w:szCs w:val="16"/>
          <w:b w:val="1"/>
          <w:bCs w:val="1"/>
          <w:color w:val="auto"/>
        </w:rPr>
        <w:t xml:space="preserve"> </w:t>
      </w:r>
      <w:r>
        <w:rPr>
          <w:rFonts w:ascii="Arial" w:cs="Arial" w:eastAsia="Arial" w:hAnsi="Arial"/>
          <w:sz w:val="16"/>
          <w:szCs w:val="16"/>
          <w:color w:val="auto"/>
        </w:rPr>
        <w:t>opportunity to seek such counsel, and Executive acknowledges and expressly agrees that the covenants contained herein are reasonable with respect to their duration, geographical area and scope. Executive further acknowledges that the restrictions contained in this Agreement are reasonable and necessary for the protection of the legitimate business interests of Employer, that they create no undue hardships, that any violation of these restrictions would cause substantial injury to Employer and its interests, that Employer would not have agreed to enter into this Agreement without receiving Executive’s agreement to be bound by these restrictions and that such restrictions were a material inducement to Employer to enter into this Agreement. Executive hereby acknowledges and agrees that during the Restrictive Period, Employer shall have the right to communicate the existence and terms of this Agreement to any third party with whom Executive may seek or obtain future employment or other similar arrangement. In addition, in the event of any violation or threatened violation of the restrictions contained in this Agreement, Employer, in addition to and not in limitation of, any other rights, remedies or damages available to Employer under this Agreement or otherwise at law or in equity, shall be entitled to preliminary and permanent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injunctive relief to prevent or restrain any such violation by Executive and any and all persons directly or indirectly acting for or with Executive, as the case may be. If Executive violates the Restrictive Covenant and Employer brings legal action for injunctive or other relief, Employer shall not, as a result of the time involved in obtaining such relief, be deprived of the benefit of the full period of the Restrictive Covenant. Accordingly, the Restrictive Covenant shall be deemed to have the duration specified herein computed from the date the relief is granted but reduced by the time between the period when the Restrictive Period began to run and the date of the first violation of the Restrictive Covenant by Executive.</w:t>
      </w:r>
    </w:p>
    <w:p>
      <w:pPr>
        <w:spacing w:after="0" w:line="169" w:lineRule="exact"/>
        <w:rPr>
          <w:sz w:val="20"/>
          <w:szCs w:val="20"/>
          <w:color w:val="auto"/>
        </w:rPr>
      </w:pPr>
    </w:p>
    <w:p>
      <w:pPr>
        <w:ind w:left="780"/>
        <w:spacing w:after="0"/>
        <w:tabs>
          <w:tab w:leader="none" w:pos="194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u w:val="single" w:color="auto"/>
          <w:color w:val="auto"/>
        </w:rPr>
        <w:t>Indemnity; Other Protections</w:t>
      </w:r>
      <w:r>
        <w:rPr>
          <w:rFonts w:ascii="Arial" w:cs="Arial" w:eastAsia="Arial" w:hAnsi="Arial"/>
          <w:sz w:val="16"/>
          <w:szCs w:val="16"/>
          <w:b w:val="1"/>
          <w:bCs w:val="1"/>
          <w:color w:val="auto"/>
        </w:rPr>
        <w:t>.</w:t>
      </w:r>
    </w:p>
    <w:p>
      <w:pPr>
        <w:spacing w:after="0" w:line="225" w:lineRule="exact"/>
        <w:rPr>
          <w:sz w:val="20"/>
          <w:szCs w:val="20"/>
          <w:color w:val="auto"/>
        </w:rPr>
      </w:pPr>
    </w:p>
    <w:p>
      <w:pPr>
        <w:ind w:right="40" w:firstLine="1305"/>
        <w:spacing w:after="0" w:line="274" w:lineRule="auto"/>
        <w:tabs>
          <w:tab w:leader="none" w:pos="1952"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Employer shall indemnify Executive (and, upon Executive’s death, Executive’s heirs, executors and</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administrators) to the fullest extent permitted by law against all expenses, including reasonable attorneys’ fees, court and investigative costs, judgments, fines and amounts paid in settlement (collectively, “</w:t>
      </w:r>
      <w:r>
        <w:rPr>
          <w:rFonts w:ascii="Arial" w:cs="Arial" w:eastAsia="Arial" w:hAnsi="Arial"/>
          <w:sz w:val="17"/>
          <w:szCs w:val="17"/>
          <w:b w:val="1"/>
          <w:bCs w:val="1"/>
          <w:color w:val="auto"/>
        </w:rPr>
        <w:t>Expenses</w:t>
      </w:r>
      <w:r>
        <w:rPr>
          <w:rFonts w:ascii="Arial" w:cs="Arial" w:eastAsia="Arial" w:hAnsi="Arial"/>
          <w:sz w:val="17"/>
          <w:szCs w:val="17"/>
          <w:color w:val="auto"/>
        </w:rPr>
        <w:t>”) reasonably incurred by Executive in connection with or arising out of any pending, threatened or completed action, suit or proceeding in which Executive becomes involved by reason of Executive’s having been an officer or director of Employer. The indemnification rights provided for herein are not exclusive and shall supplement any rights to indemnification that Executive may have under any applicable bylaw or charter provision of Employer, or any resolution of Employer, or any applicable statute.</w:t>
      </w:r>
    </w:p>
    <w:p>
      <w:pPr>
        <w:spacing w:after="0" w:line="173" w:lineRule="exact"/>
        <w:rPr>
          <w:rFonts w:ascii="Arial" w:cs="Arial" w:eastAsia="Arial" w:hAnsi="Arial"/>
          <w:sz w:val="17"/>
          <w:szCs w:val="17"/>
          <w:b w:val="1"/>
          <w:bCs w:val="1"/>
          <w:color w:val="auto"/>
        </w:rPr>
      </w:pPr>
    </w:p>
    <w:p>
      <w:pPr>
        <w:ind w:right="20" w:firstLine="1305"/>
        <w:spacing w:after="0" w:line="272" w:lineRule="auto"/>
        <w:tabs>
          <w:tab w:leader="none" w:pos="1962"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Advancement of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Executive becomes a party, or is threatened to be made a party, to any pending,</w:t>
      </w:r>
      <w:r>
        <w:rPr>
          <w:rFonts w:ascii="Arial" w:cs="Arial" w:eastAsia="Arial" w:hAnsi="Arial"/>
          <w:sz w:val="17"/>
          <w:szCs w:val="17"/>
          <w:b w:val="1"/>
          <w:bCs w:val="1"/>
          <w:color w:val="auto"/>
        </w:rPr>
        <w:t xml:space="preserve"> </w:t>
      </w:r>
      <w:r>
        <w:rPr>
          <w:rFonts w:ascii="Arial" w:cs="Arial" w:eastAsia="Arial" w:hAnsi="Arial"/>
          <w:sz w:val="17"/>
          <w:szCs w:val="17"/>
          <w:color w:val="auto"/>
        </w:rPr>
        <w:t>threatened or completed action, suit or proceeding for which Employer is permitted or required to indemnify Executive under this Agreement, any applicable bylaw or charter provision of Employer, any resolution of Employer, or any applicable statute, Employer shall, to the fullest extent permitted by law, advance all Expenses incurred by Executive in connection with the investigation, defense, settlement, or appeal of any threatened, pending or completed action, suit or proceeding, subject to receipt by Employer of a written undertaking from Executive to reimburse Employer for all Expenses actually paid by Employer to or on behalf of Executive in the event it shall be ultimately determined that Employer cannot lawfully indemnify Executive for such Expenses, and to assign to Employer all rights of Executive to indemnification under any policy of directors’ and officers’ liability insurance to the extent of the amount of Expenses actually paid by Employer to or on behalf of Executive.</w:t>
      </w:r>
    </w:p>
    <w:p>
      <w:pPr>
        <w:spacing w:after="0" w:line="172" w:lineRule="exact"/>
        <w:rPr>
          <w:rFonts w:ascii="Arial" w:cs="Arial" w:eastAsia="Arial" w:hAnsi="Arial"/>
          <w:sz w:val="17"/>
          <w:szCs w:val="17"/>
          <w:b w:val="1"/>
          <w:bCs w:val="1"/>
          <w:color w:val="auto"/>
        </w:rPr>
      </w:pPr>
    </w:p>
    <w:p>
      <w:pPr>
        <w:ind w:right="60" w:firstLine="1305"/>
        <w:spacing w:after="0" w:line="261" w:lineRule="auto"/>
        <w:tabs>
          <w:tab w:leader="none" w:pos="1955"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Unless precluded by an actual or potential conflict of interest, Employer shall have the right to recommend counsel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 to represent Executive in connection with any claim covered by this </w:t>
      </w:r>
      <w:r>
        <w:rPr>
          <w:rFonts w:ascii="Arial" w:cs="Arial" w:eastAsia="Arial" w:hAnsi="Arial"/>
          <w:sz w:val="18"/>
          <w:szCs w:val="18"/>
          <w:b w:val="1"/>
          <w:bCs w:val="1"/>
          <w:color w:val="auto"/>
        </w:rPr>
        <w:t>Section 8</w:t>
      </w:r>
      <w:r>
        <w:rPr>
          <w:rFonts w:ascii="Arial" w:cs="Arial" w:eastAsia="Arial" w:hAnsi="Arial"/>
          <w:sz w:val="18"/>
          <w:szCs w:val="18"/>
          <w:color w:val="auto"/>
        </w:rPr>
        <w:t>. Further, Executive’s choice of counsel, Executive’s decision to contest or settle any such claim, and the terms and amount of the settlement of any such claim shall be subject to Employer’s prior written approval, which approval shall not be unreasonably withheld by Employer.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80"/>
        <w:spacing w:after="0"/>
        <w:tabs>
          <w:tab w:leader="none" w:pos="194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u w:val="single" w:color="auto"/>
          <w:color w:val="auto"/>
        </w:rPr>
        <w:t>General Provisions</w:t>
      </w:r>
      <w:r>
        <w:rPr>
          <w:rFonts w:ascii="Arial" w:cs="Arial" w:eastAsia="Arial" w:hAnsi="Arial"/>
          <w:sz w:val="15"/>
          <w:szCs w:val="15"/>
          <w:b w:val="1"/>
          <w:bCs w:val="1"/>
          <w:color w:val="auto"/>
        </w:rPr>
        <w:t>.</w:t>
      </w:r>
    </w:p>
    <w:p>
      <w:pPr>
        <w:spacing w:after="0" w:line="225" w:lineRule="exact"/>
        <w:rPr>
          <w:sz w:val="20"/>
          <w:szCs w:val="20"/>
          <w:color w:val="auto"/>
        </w:rPr>
      </w:pPr>
    </w:p>
    <w:p>
      <w:pPr>
        <w:ind w:right="80" w:firstLine="1305"/>
        <w:spacing w:after="0" w:line="282" w:lineRule="auto"/>
        <w:tabs>
          <w:tab w:leader="none" w:pos="195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set forth explicitly herein, this Agreement may not be amended or modified except by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Executive and First Busey.</w:t>
      </w:r>
    </w:p>
    <w:p>
      <w:pPr>
        <w:spacing w:after="0" w:line="161" w:lineRule="exact"/>
        <w:rPr>
          <w:rFonts w:ascii="Arial" w:cs="Arial" w:eastAsia="Arial" w:hAnsi="Arial"/>
          <w:sz w:val="18"/>
          <w:szCs w:val="18"/>
          <w:b w:val="1"/>
          <w:bCs w:val="1"/>
          <w:color w:val="auto"/>
        </w:rPr>
      </w:pPr>
    </w:p>
    <w:p>
      <w:pPr>
        <w:ind w:right="20" w:firstLine="1305"/>
        <w:spacing w:after="0" w:line="256" w:lineRule="auto"/>
        <w:tabs>
          <w:tab w:leader="none" w:pos="196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binding upon and inure to the benefit of Executive, Employer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personal representatives, successors and assigns. For the purposes of this Agreement, any successor or assign of Employer shall be deemed to be “</w:t>
      </w:r>
      <w:r>
        <w:rPr>
          <w:rFonts w:ascii="Arial" w:cs="Arial" w:eastAsia="Arial" w:hAnsi="Arial"/>
          <w:sz w:val="18"/>
          <w:szCs w:val="18"/>
          <w:b w:val="1"/>
          <w:bCs w:val="1"/>
          <w:color w:val="auto"/>
        </w:rPr>
        <w:t>Employer</w:t>
      </w:r>
      <w:r>
        <w:rPr>
          <w:rFonts w:ascii="Arial" w:cs="Arial" w:eastAsia="Arial" w:hAnsi="Arial"/>
          <w:sz w:val="18"/>
          <w:szCs w:val="18"/>
          <w:color w:val="auto"/>
        </w:rPr>
        <w:t>.” Employer shall require any successor or assign of Employer or any direct or indirect purchaser or acquirer of all or substantially all of the business, assets or liabilities of Employer, whether by transfer, purchase, merger, consolidation, stock acquisition or otherwise, to assume and agree in writing to perform this Agreement and Employer’s obligations hereunder in the same manner and to the same extent as Employer would have been required to perform them if no such transaction had occurred.</w:t>
      </w:r>
    </w:p>
    <w:p>
      <w:pPr>
        <w:spacing w:after="0" w:line="187" w:lineRule="exact"/>
        <w:rPr>
          <w:rFonts w:ascii="Arial" w:cs="Arial" w:eastAsia="Arial" w:hAnsi="Arial"/>
          <w:sz w:val="18"/>
          <w:szCs w:val="18"/>
          <w:b w:val="1"/>
          <w:bCs w:val="1"/>
          <w:color w:val="auto"/>
        </w:rPr>
      </w:pPr>
    </w:p>
    <w:p>
      <w:pPr>
        <w:ind w:right="200" w:firstLine="1305"/>
        <w:spacing w:after="0" w:line="256" w:lineRule="auto"/>
        <w:tabs>
          <w:tab w:leader="none" w:pos="1955"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between the Parties concerning the subject matter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and supersedes all prior negotiations, undertakings, agreements and arrangements with respect thereto, whether written or oral. The provisions of this Agreement shall be regarded as divisible and separate; if any provision is ever declared invalid or unenforceable, the validity and enforceability of the remaining provisions shall not be affected. In the event any provision of this Agreement (including any provision of the Restrictive Covenant) is held to be overbroad as written, such provision shall be deemed to be amended to narrow the application of such provision to the extent necessary to make such provision enforceable according to applicable law.</w:t>
      </w:r>
    </w:p>
    <w:p>
      <w:pPr>
        <w:spacing w:after="0" w:line="187" w:lineRule="exact"/>
        <w:rPr>
          <w:rFonts w:ascii="Arial" w:cs="Arial" w:eastAsia="Arial" w:hAnsi="Arial"/>
          <w:sz w:val="18"/>
          <w:szCs w:val="18"/>
          <w:b w:val="1"/>
          <w:bCs w:val="1"/>
          <w:color w:val="auto"/>
        </w:rPr>
      </w:pPr>
    </w:p>
    <w:p>
      <w:pPr>
        <w:ind w:right="20" w:firstLine="1305"/>
        <w:spacing w:after="0" w:line="266" w:lineRule="auto"/>
        <w:tabs>
          <w:tab w:leader="none" w:pos="196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w:t>
      </w:r>
      <w:r>
        <w:rPr>
          <w:rFonts w:ascii="Arial" w:cs="Arial" w:eastAsia="Arial" w:hAnsi="Arial"/>
          <w:sz w:val="18"/>
          <w:szCs w:val="18"/>
          <w:b w:val="1"/>
          <w:bCs w:val="1"/>
          <w:color w:val="auto"/>
        </w:rPr>
        <w:t xml:space="preserve"> Section 5 </w:t>
      </w:r>
      <w:r>
        <w:rPr>
          <w:rFonts w:ascii="Arial" w:cs="Arial" w:eastAsia="Arial" w:hAnsi="Arial"/>
          <w:sz w:val="18"/>
          <w:szCs w:val="18"/>
          <w:color w:val="auto"/>
        </w:rPr>
        <w:t>(Confidentiality),</w:t>
      </w:r>
      <w:r>
        <w:rPr>
          <w:rFonts w:ascii="Arial" w:cs="Arial" w:eastAsia="Arial" w:hAnsi="Arial"/>
          <w:sz w:val="18"/>
          <w:szCs w:val="18"/>
          <w:b w:val="1"/>
          <w:bCs w:val="1"/>
          <w:color w:val="auto"/>
        </w:rPr>
        <w:t xml:space="preserve"> Section 6 </w:t>
      </w:r>
      <w:r>
        <w:rPr>
          <w:rFonts w:ascii="Arial" w:cs="Arial" w:eastAsia="Arial" w:hAnsi="Arial"/>
          <w:sz w:val="18"/>
          <w:szCs w:val="18"/>
          <w:color w:val="auto"/>
        </w:rPr>
        <w:t>(Non-Competition and Non-Solicitation Covenants),</w:t>
      </w:r>
      <w:r>
        <w:rPr>
          <w:rFonts w:ascii="Arial" w:cs="Arial" w:eastAsia="Arial" w:hAnsi="Arial"/>
          <w:sz w:val="18"/>
          <w:szCs w:val="18"/>
          <w:b w:val="1"/>
          <w:bCs w:val="1"/>
          <w:color w:val="auto"/>
        </w:rPr>
        <w:t xml:space="preserve"> Section 7 </w:t>
      </w:r>
      <w:r>
        <w:rPr>
          <w:rFonts w:ascii="Arial" w:cs="Arial" w:eastAsia="Arial" w:hAnsi="Arial"/>
          <w:sz w:val="18"/>
          <w:szCs w:val="18"/>
          <w:color w:val="auto"/>
        </w:rPr>
        <w:t xml:space="preserve">(Remedies for Breach), </w:t>
      </w:r>
      <w:r>
        <w:rPr>
          <w:rFonts w:ascii="Arial" w:cs="Arial" w:eastAsia="Arial" w:hAnsi="Arial"/>
          <w:sz w:val="18"/>
          <w:szCs w:val="18"/>
          <w:b w:val="1"/>
          <w:bCs w:val="1"/>
          <w:color w:val="auto"/>
        </w:rPr>
        <w:t>Section 8</w:t>
      </w:r>
      <w:r>
        <w:rPr>
          <w:rFonts w:ascii="Arial" w:cs="Arial" w:eastAsia="Arial" w:hAnsi="Arial"/>
          <w:sz w:val="18"/>
          <w:szCs w:val="18"/>
          <w:color w:val="auto"/>
        </w:rPr>
        <w:t xml:space="preserve"> (Indemnity; Other Protections) and </w:t>
      </w:r>
      <w:r>
        <w:rPr>
          <w:rFonts w:ascii="Arial" w:cs="Arial" w:eastAsia="Arial" w:hAnsi="Arial"/>
          <w:sz w:val="18"/>
          <w:szCs w:val="18"/>
          <w:b w:val="1"/>
          <w:bCs w:val="1"/>
          <w:color w:val="auto"/>
        </w:rPr>
        <w:t>Section 9</w:t>
      </w:r>
      <w:r>
        <w:rPr>
          <w:rFonts w:ascii="Arial" w:cs="Arial" w:eastAsia="Arial" w:hAnsi="Arial"/>
          <w:sz w:val="18"/>
          <w:szCs w:val="18"/>
          <w:color w:val="auto"/>
        </w:rPr>
        <w:t xml:space="preserve"> (General Provisions) shall survive the expiration or termination of this Agreement for any reason.</w:t>
      </w:r>
    </w:p>
    <w:p>
      <w:pPr>
        <w:sectPr>
          <w:pgSz w:w="11900" w:h="16838" w:orient="portrait"/>
          <w:cols w:equalWidth="0" w:num="1">
            <w:col w:w="11400"/>
          </w:cols>
          <w:pgMar w:left="240" w:top="341" w:right="259" w:bottom="0" w:gutter="0" w:footer="0" w:header="0"/>
        </w:sectPr>
      </w:pPr>
    </w:p>
    <w:bookmarkStart w:id="54" w:name="page55"/>
    <w:bookmarkEnd w:id="54"/>
    <w:p>
      <w:pPr>
        <w:ind w:right="140" w:firstLine="1305"/>
        <w:spacing w:after="0" w:line="282" w:lineRule="auto"/>
        <w:tabs>
          <w:tab w:leader="none" w:pos="1955"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Enforcement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construed and the legal relations of the Parties shall be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laws of the State of Illinois without reference to the law regarding conflicts of law.</w:t>
      </w:r>
    </w:p>
    <w:p>
      <w:pPr>
        <w:spacing w:after="0" w:line="161" w:lineRule="exact"/>
        <w:rPr>
          <w:rFonts w:ascii="Arial" w:cs="Arial" w:eastAsia="Arial" w:hAnsi="Arial"/>
          <w:sz w:val="18"/>
          <w:szCs w:val="18"/>
          <w:b w:val="1"/>
          <w:bCs w:val="1"/>
          <w:color w:val="auto"/>
        </w:rPr>
      </w:pPr>
    </w:p>
    <w:p>
      <w:pPr>
        <w:ind w:right="540" w:firstLine="1305"/>
        <w:spacing w:after="0" w:line="313" w:lineRule="auto"/>
        <w:tabs>
          <w:tab w:leader="none" w:pos="1949"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Arbitration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dispute or controversy arising under or in connection with this Agreement shall be settled exclusively by</w:t>
      </w:r>
      <w:r>
        <w:rPr>
          <w:rFonts w:ascii="Arial" w:cs="Arial" w:eastAsia="Arial" w:hAnsi="Arial"/>
          <w:sz w:val="17"/>
          <w:szCs w:val="17"/>
          <w:b w:val="1"/>
          <w:bCs w:val="1"/>
          <w:color w:val="auto"/>
        </w:rPr>
        <w:t xml:space="preserve"> </w:t>
      </w:r>
      <w:r>
        <w:rPr>
          <w:rFonts w:ascii="Arial" w:cs="Arial" w:eastAsia="Arial" w:hAnsi="Arial"/>
          <w:sz w:val="17"/>
          <w:szCs w:val="17"/>
          <w:color w:val="auto"/>
        </w:rPr>
        <w:t>arbitration conducted at a location selected by Employer within fifty (50) miles from Champaign, Illinois, in accordance with the rules of JAMS.</w:t>
      </w:r>
    </w:p>
    <w:p>
      <w:pPr>
        <w:spacing w:after="0" w:line="138" w:lineRule="exact"/>
        <w:rPr>
          <w:rFonts w:ascii="Arial" w:cs="Arial" w:eastAsia="Arial" w:hAnsi="Arial"/>
          <w:sz w:val="17"/>
          <w:szCs w:val="17"/>
          <w:b w:val="1"/>
          <w:bCs w:val="1"/>
          <w:color w:val="auto"/>
        </w:rPr>
      </w:pPr>
    </w:p>
    <w:p>
      <w:pPr>
        <w:ind w:right="80" w:firstLine="1305"/>
        <w:spacing w:after="0" w:line="258" w:lineRule="auto"/>
        <w:tabs>
          <w:tab w:leader="none" w:pos="195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Prevailing Party Legal Fees</w:t>
      </w:r>
      <w:r>
        <w:rPr>
          <w:rFonts w:ascii="Arial" w:cs="Arial" w:eastAsia="Arial" w:hAnsi="Arial"/>
          <w:sz w:val="18"/>
          <w:szCs w:val="18"/>
          <w:b w:val="1"/>
          <w:bCs w:val="1"/>
          <w:color w:val="auto"/>
        </w:rPr>
        <w:t xml:space="preserve">. </w:t>
      </w:r>
      <w:r>
        <w:rPr>
          <w:rFonts w:ascii="Arial" w:cs="Arial" w:eastAsia="Arial" w:hAnsi="Arial"/>
          <w:sz w:val="18"/>
          <w:szCs w:val="18"/>
          <w:color w:val="auto"/>
        </w:rPr>
        <w:t>Should either Party initiate any action or proceeding to enforce this Agreement or any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hereof, or for damages by reason of any alleged breach of this Agreement or of any provision hereof, or for a declaration of rights hereunder, the prevailing Party in any such action or proceeding shall be entitled to receive from the other Party all costs and expenses, including reasonable attorneys’ fees, incurred by the prevailing Party in connection with such action or proceeding;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reasonable attorneys’ fees shall be limited to the fees of the last attorney to represent the Party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and to the lesser of the fees incurred as a result of the reasonable hourly rate of the attorney or any contingent or other arrangement for the payment of legal fees. The payment, if any, of costs and expenses to either Party under this </w:t>
      </w:r>
      <w:r>
        <w:rPr>
          <w:rFonts w:ascii="Arial" w:cs="Arial" w:eastAsia="Arial" w:hAnsi="Arial"/>
          <w:sz w:val="18"/>
          <w:szCs w:val="18"/>
          <w:b w:val="1"/>
          <w:bCs w:val="1"/>
          <w:color w:val="auto"/>
        </w:rPr>
        <w:t>Section 9(g)</w:t>
      </w:r>
      <w:r>
        <w:rPr>
          <w:rFonts w:ascii="Arial" w:cs="Arial" w:eastAsia="Arial" w:hAnsi="Arial"/>
          <w:sz w:val="18"/>
          <w:szCs w:val="18"/>
          <w:color w:val="auto"/>
        </w:rPr>
        <w:t xml:space="preserve"> shall be made no later than two and one-half (2½) months following the end of the year in which a final adjudication is made in the action or proceeding.</w:t>
      </w:r>
    </w:p>
    <w:p>
      <w:pPr>
        <w:spacing w:after="0" w:line="177" w:lineRule="exact"/>
        <w:rPr>
          <w:sz w:val="20"/>
          <w:szCs w:val="20"/>
          <w:color w:val="auto"/>
        </w:rPr>
      </w:pPr>
    </w:p>
    <w:p>
      <w:pPr>
        <w:ind w:firstLine="1305"/>
        <w:spacing w:after="0" w:line="266" w:lineRule="auto"/>
        <w:tabs>
          <w:tab w:leader="none" w:pos="1962"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 waiver by either Party at any time of any breach by the other Party of, or compliance with, any condition or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to be performed by the other Party, shall be deemed a waiver of any similar or dissimilar provisions or conditions at the same time or any prior or subsequent time.</w:t>
      </w:r>
    </w:p>
    <w:p>
      <w:pPr>
        <w:spacing w:after="0" w:line="176" w:lineRule="exact"/>
        <w:rPr>
          <w:rFonts w:ascii="Arial" w:cs="Arial" w:eastAsia="Arial" w:hAnsi="Arial"/>
          <w:sz w:val="18"/>
          <w:szCs w:val="18"/>
          <w:b w:val="1"/>
          <w:bCs w:val="1"/>
          <w:color w:val="auto"/>
        </w:rPr>
      </w:pPr>
    </w:p>
    <w:p>
      <w:pPr>
        <w:ind w:right="60" w:firstLine="1305"/>
        <w:spacing w:after="0" w:line="261" w:lineRule="auto"/>
        <w:tabs>
          <w:tab w:leader="none" w:pos="1953"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Notices pursuant to this Agreement shall be in writing and shall be deemed given when received; and, if mailed,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mailed by United States registered or certified mail, return receipt requested, postage prepaid; and if to Employer, addressed to the principal headquarters of First Busey, attention: President and Chief Executive Officer; and, if to Executive, to the address for Executive as most currently reflected in the corporate records, or to such other address as Executive has most recently provided to Employer.</w:t>
      </w:r>
    </w:p>
    <w:p>
      <w:pPr>
        <w:spacing w:after="0" w:line="180" w:lineRule="exact"/>
        <w:rPr>
          <w:rFonts w:ascii="Arial" w:cs="Arial" w:eastAsia="Arial" w:hAnsi="Arial"/>
          <w:sz w:val="18"/>
          <w:szCs w:val="18"/>
          <w:b w:val="1"/>
          <w:bCs w:val="1"/>
          <w:color w:val="auto"/>
        </w:rPr>
      </w:pPr>
    </w:p>
    <w:p>
      <w:pPr>
        <w:ind w:firstLine="1305"/>
        <w:spacing w:after="0" w:line="270" w:lineRule="auto"/>
        <w:tabs>
          <w:tab w:leader="none" w:pos="1963"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Code Section 409A</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any provision of this Agreement or action by Employer would subject Executive to liability for</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or additional taxes under Code Section 409A, it shall be deemed null and void, to the extent permitted by law and deemed advisable by Employer. It is intended that this Agreement will comply with Code Section 409A, and this Agreement shall be administered accordingly, and interpreted and construed on a basis consistent with such intent. Notwithstanding anything herein to the contrary, no termination or other similar payments and benefits hereunder shall be payable on account of Executive’s termination of employment unless Executive’s termination of employment constitutes a “separation from service” within the meaning of Section 409A. To the extent any reimbursements or in-kind benefit payments under this Agreement are subject to Code Section 409A, such reimbursements and in-kind benefit payments shall be made in accordance with Treasury Regulation §1.409A-3(i)(1)(iv). This Agreement may be amended to the extent necessary (including retroactively) by Employer to maintain to the maximum extent practicable the original intent of this Agreement while avoiding the application of taxes or interest under Code Section 409A. The preceding shall not be construed as a guarantee of any particular tax effect for Executive’s compensation and benefits and Employer does not guarantee that any compensation or benefits provided under this Agreement will satisfy the provisions of Code Section 409A.</w:t>
      </w:r>
    </w:p>
    <w:p>
      <w:pPr>
        <w:spacing w:after="0" w:line="174" w:lineRule="exact"/>
        <w:rPr>
          <w:rFonts w:ascii="Arial" w:cs="Arial" w:eastAsia="Arial" w:hAnsi="Arial"/>
          <w:sz w:val="17"/>
          <w:szCs w:val="17"/>
          <w:b w:val="1"/>
          <w:bCs w:val="1"/>
          <w:color w:val="auto"/>
        </w:rPr>
      </w:pPr>
    </w:p>
    <w:p>
      <w:pPr>
        <w:ind w:right="40" w:firstLine="1305"/>
        <w:spacing w:after="0" w:line="256" w:lineRule="auto"/>
        <w:tabs>
          <w:tab w:leader="none" w:pos="1962"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Claw-back</w:t>
      </w:r>
      <w:r>
        <w:rPr>
          <w:rFonts w:ascii="Arial" w:cs="Arial" w:eastAsia="Arial" w:hAnsi="Arial"/>
          <w:sz w:val="18"/>
          <w:szCs w:val="18"/>
          <w:color w:val="auto"/>
        </w:rPr>
        <w:t>. Any amount or benefit received hereunder shall be subject to potential cancellation, recoupment, rescission, payback</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action in accordance with the terms of any applicable Employer claw-back policy (the “</w:t>
      </w:r>
      <w:r>
        <w:rPr>
          <w:rFonts w:ascii="Arial" w:cs="Arial" w:eastAsia="Arial" w:hAnsi="Arial"/>
          <w:sz w:val="18"/>
          <w:szCs w:val="18"/>
          <w:b w:val="1"/>
          <w:bCs w:val="1"/>
          <w:color w:val="auto"/>
        </w:rPr>
        <w:t>Policy</w:t>
      </w:r>
      <w:r>
        <w:rPr>
          <w:rFonts w:ascii="Arial" w:cs="Arial" w:eastAsia="Arial" w:hAnsi="Arial"/>
          <w:sz w:val="18"/>
          <w:szCs w:val="18"/>
          <w:color w:val="auto"/>
        </w:rPr>
        <w:t>”) or any applicable law, as may be in effect from time to time. Executive acknowledges and consents to Employer’s application, implementation and enforcement of (i) the Policy or any similar policy established by Employer that may apply to Executive and (ii) any provision of applicable law relating to cancellation, rescission, payback or recoupment of compensation, as well as Executive’s express agreement that Employer may take such actions as may be necessary to effectuate the Policy, any similar policy or applicable law without further consideration or action.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1305"/>
        <w:spacing w:after="0" w:line="269" w:lineRule="auto"/>
        <w:tabs>
          <w:tab w:leader="none" w:pos="1953"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deemed drafted equally by the Parties. Any presumption or principle that the language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to be construed against any Party shall not apply. Whenever used in this Agreement, the singular includes the plural and vice versa (where applicable); the words “hereof,” “herein,” “hereto,” “hereby,” “hereunder,” and other words of similar import refer to this Agreement as a whole (including exhibits); all references to sections, schedules and exhibits are to sections, schedules and exhibits in or to this Agreement unless otherwise specified; the words “include,” “includes” and “including” means “include, without limitation,” “includes, without limitation” and “including, without limitation,” respectively; any reference to a document or set of documents, and the rights and obligations of the parties under any such documents, means such document or documents as amended from time to time, and any and all modifications, extensions, renewals, substitutions or replacements thereof; and references to a statute shall refer to the statute and any amendments and any successor statutes, and to all regulations promulgated under or implementing the statute, as amended, or its successors, as in effect at the relevant time. The headings used in this Agreement are for convenience only, shall not be deemed to constitute a part hereof, and shall not be deemed to limit, characterize or in any way affect the construction or enforcement of the provisions of this Agreement. This Agreement may be executed in any number of identical counterparts, any of which may contain the signatures of less than all Parties, and all of which together shall constitute a single agreement. All remedies of any Party are cumulative and not alternative, and are in addition to any other remedies available at law, in equity or otherwise.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BUSEY CORPORATION and</w:t>
      </w:r>
    </w:p>
    <w:p>
      <w:pPr>
        <w:sectPr>
          <w:pgSz w:w="11900" w:h="16838" w:orient="portrait"/>
          <w:cols w:equalWidth="0" w:num="1">
            <w:col w:w="11400"/>
          </w:cols>
          <w:pgMar w:left="240" w:top="121" w:right="259" w:bottom="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BUSEY BANK</w:t>
            </w:r>
          </w:p>
        </w:tc>
        <w:tc>
          <w:tcPr>
            <w:tcW w:w="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60" w:type="dxa"/>
            <w:vAlign w:val="bottom"/>
            <w:gridSpan w:val="4"/>
          </w:tcPr>
          <w:p>
            <w:pPr>
              <w:spacing w:after="0"/>
              <w:rPr>
                <w:sz w:val="20"/>
                <w:szCs w:val="20"/>
                <w:color w:val="auto"/>
              </w:rPr>
            </w:pPr>
            <w:r>
              <w:rPr>
                <w:rFonts w:ascii="Arial" w:cs="Arial" w:eastAsia="Arial" w:hAnsi="Arial"/>
                <w:sz w:val="18"/>
                <w:szCs w:val="18"/>
                <w:color w:val="auto"/>
              </w:rPr>
              <w:t>By:  /s/ VAN DUKEMAN</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/s/ AMY RANDOLPH</w:t>
            </w:r>
          </w:p>
        </w:tc>
        <w:tc>
          <w:tcPr>
            <w:tcW w:w="5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1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Van Dukeman</w:t>
            </w:r>
          </w:p>
        </w:tc>
        <w:tc>
          <w:tcPr>
            <w:tcW w:w="8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Borders>
              <w:top w:val="single" w:sz="8" w:color="auto"/>
            </w:tcBorders>
            <w:gridSpan w:val="2"/>
          </w:tcPr>
          <w:p>
            <w:pPr>
              <w:jc w:val="right"/>
              <w:ind w:right="80"/>
              <w:spacing w:after="0" w:line="195" w:lineRule="exact"/>
              <w:rPr>
                <w:sz w:val="20"/>
                <w:szCs w:val="20"/>
                <w:color w:val="auto"/>
              </w:rPr>
            </w:pPr>
            <w:r>
              <w:rPr>
                <w:rFonts w:ascii="Arial" w:cs="Arial" w:eastAsia="Arial" w:hAnsi="Arial"/>
                <w:sz w:val="18"/>
                <w:szCs w:val="18"/>
                <w:color w:val="auto"/>
                <w:w w:val="91"/>
              </w:rPr>
              <w:t>Amy Randolph</w:t>
            </w:r>
          </w:p>
        </w:tc>
        <w:tc>
          <w:tcPr>
            <w:tcW w:w="7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60" w:type="dxa"/>
            <w:vAlign w:val="bottom"/>
            <w:gridSpan w:val="4"/>
          </w:tcPr>
          <w:p>
            <w:pPr>
              <w:ind w:left="460"/>
              <w:spacing w:after="0"/>
              <w:rPr>
                <w:sz w:val="20"/>
                <w:szCs w:val="20"/>
                <w:color w:val="auto"/>
              </w:rPr>
            </w:pPr>
            <w:r>
              <w:rPr>
                <w:rFonts w:ascii="Arial" w:cs="Arial" w:eastAsia="Arial" w:hAnsi="Arial"/>
                <w:sz w:val="18"/>
                <w:szCs w:val="18"/>
                <w:color w:val="auto"/>
              </w:rPr>
              <w:t>President and Chief Executive Officer</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gridSpan w:val="4"/>
          </w:tcPr>
          <w:p>
            <w:pPr>
              <w:ind w:left="460"/>
              <w:spacing w:after="0"/>
              <w:rPr>
                <w:sz w:val="20"/>
                <w:szCs w:val="20"/>
                <w:color w:val="auto"/>
              </w:rPr>
            </w:pPr>
            <w:r>
              <w:rPr>
                <w:rFonts w:ascii="Arial" w:cs="Arial" w:eastAsia="Arial" w:hAnsi="Arial"/>
                <w:sz w:val="18"/>
                <w:szCs w:val="18"/>
                <w:color w:val="auto"/>
              </w:rPr>
              <w:t>of First Busey Corporation</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360" w:type="dxa"/>
            <w:vAlign w:val="bottom"/>
            <w:gridSpan w:val="2"/>
          </w:tcPr>
          <w:p>
            <w:pPr>
              <w:ind w:left="400"/>
              <w:spacing w:after="0"/>
              <w:rPr>
                <w:sz w:val="20"/>
                <w:szCs w:val="20"/>
                <w:color w:val="auto"/>
              </w:rPr>
            </w:pPr>
            <w:r>
              <w:rPr>
                <w:rFonts w:ascii="Arial" w:cs="Arial" w:eastAsia="Arial" w:hAnsi="Arial"/>
                <w:sz w:val="18"/>
                <w:szCs w:val="18"/>
                <w:color w:val="auto"/>
              </w:rPr>
              <w:t>Address</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6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90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0" w:type="dxa"/>
            <w:vAlign w:val="bottom"/>
            <w:gridSpan w:val="3"/>
          </w:tcPr>
          <w:p>
            <w:pPr>
              <w:ind w:left="500"/>
              <w:spacing w:after="0"/>
              <w:rPr>
                <w:sz w:val="20"/>
                <w:szCs w:val="20"/>
                <w:color w:val="auto"/>
              </w:rPr>
            </w:pPr>
            <w:r>
              <w:rPr>
                <w:rFonts w:ascii="Arial" w:cs="Arial" w:eastAsia="Arial" w:hAnsi="Arial"/>
                <w:sz w:val="18"/>
                <w:szCs w:val="18"/>
                <w:b w:val="1"/>
                <w:bCs w:val="1"/>
                <w:color w:val="auto"/>
                <w:w w:val="92"/>
              </w:rPr>
              <w:t>Exhibit A to Employment Agreement</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rPr>
              <w:t>AGREEMENT AND RELEASE</w:t>
            </w: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0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60" w:type="dxa"/>
            <w:vAlign w:val="bottom"/>
          </w:tcPr>
          <w:p>
            <w:pPr>
              <w:spacing w:after="0"/>
              <w:rPr>
                <w:sz w:val="24"/>
                <w:szCs w:val="24"/>
                <w:color w:val="auto"/>
              </w:rPr>
            </w:pPr>
          </w:p>
        </w:tc>
        <w:tc>
          <w:tcPr>
            <w:tcW w:w="6820" w:type="dxa"/>
            <w:vAlign w:val="bottom"/>
            <w:gridSpan w:val="7"/>
          </w:tcPr>
          <w:p>
            <w:pPr>
              <w:ind w:left="200"/>
              <w:spacing w:after="0"/>
              <w:rPr>
                <w:sz w:val="20"/>
                <w:szCs w:val="20"/>
                <w:color w:val="auto"/>
              </w:rPr>
            </w:pPr>
            <w:r>
              <w:rPr>
                <w:rFonts w:ascii="Arial" w:cs="Arial" w:eastAsia="Arial" w:hAnsi="Arial"/>
                <w:sz w:val="18"/>
                <w:szCs w:val="18"/>
                <w:color w:val="auto"/>
              </w:rPr>
              <w:t>This Agreement and Release (this “</w:t>
            </w:r>
            <w:r>
              <w:rPr>
                <w:rFonts w:ascii="Arial" w:cs="Arial" w:eastAsia="Arial" w:hAnsi="Arial"/>
                <w:sz w:val="18"/>
                <w:szCs w:val="18"/>
                <w:b w:val="1"/>
                <w:bCs w:val="1"/>
                <w:color w:val="auto"/>
              </w:rPr>
              <w:t>Release</w:t>
            </w:r>
            <w:r>
              <w:rPr>
                <w:rFonts w:ascii="Arial" w:cs="Arial" w:eastAsia="Arial" w:hAnsi="Arial"/>
                <w:sz w:val="18"/>
                <w:szCs w:val="18"/>
                <w:color w:val="auto"/>
              </w:rPr>
              <w:t>”) is made and entered into as of</w:t>
            </w:r>
          </w:p>
        </w:tc>
        <w:tc>
          <w:tcPr>
            <w:tcW w:w="4180" w:type="dxa"/>
            <w:vAlign w:val="bottom"/>
            <w:gridSpan w:val="4"/>
          </w:tcPr>
          <w:p>
            <w:pPr>
              <w:ind w:left="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Release Date</w:t>
            </w:r>
            <w:r>
              <w:rPr>
                <w:rFonts w:ascii="Arial" w:cs="Arial" w:eastAsia="Arial" w:hAnsi="Arial"/>
                <w:sz w:val="18"/>
                <w:szCs w:val="18"/>
                <w:color w:val="auto"/>
              </w:rPr>
              <w:t>”), by and among First Busey</w:t>
            </w:r>
          </w:p>
        </w:tc>
        <w:tc>
          <w:tcPr>
            <w:tcW w:w="0" w:type="dxa"/>
            <w:vAlign w:val="bottom"/>
          </w:tcPr>
          <w:p>
            <w:pPr>
              <w:spacing w:after="0"/>
              <w:rPr>
                <w:sz w:val="1"/>
                <w:szCs w:val="1"/>
                <w:color w:val="auto"/>
              </w:rPr>
            </w:pPr>
          </w:p>
        </w:tc>
      </w:tr>
      <w:tr>
        <w:trPr>
          <w:trHeight w:val="216"/>
        </w:trPr>
        <w:tc>
          <w:tcPr>
            <w:tcW w:w="8060" w:type="dxa"/>
            <w:vAlign w:val="bottom"/>
            <w:gridSpan w:val="9"/>
          </w:tcPr>
          <w:p>
            <w:pPr>
              <w:spacing w:after="0"/>
              <w:rPr>
                <w:sz w:val="20"/>
                <w:szCs w:val="20"/>
                <w:color w:val="auto"/>
              </w:rPr>
            </w:pPr>
            <w:r>
              <w:rPr>
                <w:rFonts w:ascii="Arial" w:cs="Arial" w:eastAsia="Arial" w:hAnsi="Arial"/>
                <w:sz w:val="18"/>
                <w:szCs w:val="18"/>
                <w:color w:val="auto"/>
                <w:w w:val="99"/>
              </w:rPr>
              <w:t>Corporation (“</w:t>
            </w:r>
            <w:r>
              <w:rPr>
                <w:rFonts w:ascii="Arial" w:cs="Arial" w:eastAsia="Arial" w:hAnsi="Arial"/>
                <w:sz w:val="18"/>
                <w:szCs w:val="18"/>
                <w:b w:val="1"/>
                <w:bCs w:val="1"/>
                <w:color w:val="auto"/>
                <w:w w:val="99"/>
              </w:rPr>
              <w:t>First Busey</w:t>
            </w:r>
            <w:r>
              <w:rPr>
                <w:rFonts w:ascii="Arial" w:cs="Arial" w:eastAsia="Arial" w:hAnsi="Arial"/>
                <w:sz w:val="18"/>
                <w:szCs w:val="18"/>
                <w:color w:val="auto"/>
                <w:w w:val="99"/>
              </w:rPr>
              <w:t>”), Busey Bank (the “</w:t>
            </w:r>
            <w:r>
              <w:rPr>
                <w:rFonts w:ascii="Arial" w:cs="Arial" w:eastAsia="Arial" w:hAnsi="Arial"/>
                <w:sz w:val="18"/>
                <w:szCs w:val="18"/>
                <w:b w:val="1"/>
                <w:bCs w:val="1"/>
                <w:color w:val="auto"/>
                <w:w w:val="99"/>
              </w:rPr>
              <w:t>Bank</w:t>
            </w:r>
            <w:r>
              <w:rPr>
                <w:rFonts w:ascii="Arial" w:cs="Arial" w:eastAsia="Arial" w:hAnsi="Arial"/>
                <w:sz w:val="18"/>
                <w:szCs w:val="18"/>
                <w:color w:val="auto"/>
                <w:w w:val="99"/>
              </w:rPr>
              <w:t>” and together with First Busey, “</w:t>
            </w:r>
            <w:r>
              <w:rPr>
                <w:rFonts w:ascii="Arial" w:cs="Arial" w:eastAsia="Arial" w:hAnsi="Arial"/>
                <w:sz w:val="18"/>
                <w:szCs w:val="18"/>
                <w:b w:val="1"/>
                <w:bCs w:val="1"/>
                <w:color w:val="auto"/>
                <w:w w:val="99"/>
              </w:rPr>
              <w:t>Employer</w:t>
            </w:r>
            <w:r>
              <w:rPr>
                <w:rFonts w:ascii="Arial" w:cs="Arial" w:eastAsia="Arial" w:hAnsi="Arial"/>
                <w:sz w:val="18"/>
                <w:szCs w:val="18"/>
                <w:color w:val="auto"/>
                <w:w w:val="99"/>
              </w:rPr>
              <w:t>”) and</w:t>
            </w:r>
          </w:p>
        </w:tc>
        <w:tc>
          <w:tcPr>
            <w:tcW w:w="500" w:type="dxa"/>
            <w:vAlign w:val="bottom"/>
          </w:tcPr>
          <w:p>
            <w:pPr>
              <w:spacing w:after="0"/>
              <w:rPr>
                <w:sz w:val="18"/>
                <w:szCs w:val="18"/>
                <w:color w:val="auto"/>
              </w:rPr>
            </w:pPr>
          </w:p>
        </w:tc>
        <w:tc>
          <w:tcPr>
            <w:tcW w:w="2900" w:type="dxa"/>
            <w:vAlign w:val="bottom"/>
            <w:gridSpan w:val="2"/>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w:t>
            </w:r>
            <w:r>
              <w:rPr>
                <w:rFonts w:ascii="Arial" w:cs="Arial" w:eastAsia="Arial" w:hAnsi="Arial"/>
                <w:sz w:val="18"/>
                <w:szCs w:val="18"/>
                <w:color w:val="auto"/>
              </w:rPr>
              <w:t>,” and together with</w:t>
            </w:r>
          </w:p>
        </w:tc>
        <w:tc>
          <w:tcPr>
            <w:tcW w:w="0" w:type="dxa"/>
            <w:vAlign w:val="bottom"/>
          </w:tcPr>
          <w:p>
            <w:pPr>
              <w:spacing w:after="0"/>
              <w:rPr>
                <w:sz w:val="1"/>
                <w:szCs w:val="1"/>
                <w:color w:val="auto"/>
              </w:rPr>
            </w:pPr>
          </w:p>
        </w:tc>
      </w:tr>
      <w:tr>
        <w:trPr>
          <w:trHeight w:val="234"/>
        </w:trPr>
        <w:tc>
          <w:tcPr>
            <w:tcW w:w="11460" w:type="dxa"/>
            <w:vAlign w:val="bottom"/>
            <w:gridSpan w:val="12"/>
          </w:tcPr>
          <w:p>
            <w:pPr>
              <w:spacing w:after="0"/>
              <w:rPr>
                <w:sz w:val="20"/>
                <w:szCs w:val="20"/>
                <w:color w:val="auto"/>
              </w:rPr>
            </w:pPr>
            <w:r>
              <w:rPr>
                <w:rFonts w:ascii="Arial" w:cs="Arial" w:eastAsia="Arial" w:hAnsi="Arial"/>
                <w:sz w:val="18"/>
                <w:szCs w:val="18"/>
                <w:color w:val="auto"/>
              </w:rPr>
              <w:t>Employer, the “</w:t>
            </w:r>
            <w:r>
              <w:rPr>
                <w:rFonts w:ascii="Arial" w:cs="Arial" w:eastAsia="Arial" w:hAnsi="Arial"/>
                <w:sz w:val="18"/>
                <w:szCs w:val="18"/>
                <w:b w:val="1"/>
                <w:bCs w:val="1"/>
                <w:color w:val="auto"/>
              </w:rPr>
              <w:t>Parties</w:t>
            </w:r>
            <w:r>
              <w:rPr>
                <w:rFonts w:ascii="Arial" w:cs="Arial" w:eastAsia="Arial" w:hAnsi="Arial"/>
                <w:sz w:val="18"/>
                <w:szCs w:val="18"/>
                <w:color w:val="auto"/>
              </w:rPr>
              <w:t>”). In consideration of the mutual covenants hereinafter set forth, the Parties hereby agree as follows:</w:t>
            </w: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1500" w:type="dxa"/>
            <w:vAlign w:val="bottom"/>
          </w:tcPr>
          <w:p>
            <w:pPr>
              <w:ind w:left="200"/>
              <w:spacing w:after="0"/>
              <w:rPr>
                <w:sz w:val="20"/>
                <w:szCs w:val="20"/>
                <w:color w:val="auto"/>
              </w:rPr>
            </w:pPr>
            <w:r>
              <w:rPr>
                <w:rFonts w:ascii="Arial" w:cs="Arial" w:eastAsia="Arial" w:hAnsi="Arial"/>
                <w:sz w:val="18"/>
                <w:szCs w:val="18"/>
                <w:b w:val="1"/>
                <w:bCs w:val="1"/>
                <w:color w:val="auto"/>
              </w:rPr>
              <w:t>Section 1.</w:t>
            </w:r>
          </w:p>
        </w:tc>
        <w:tc>
          <w:tcPr>
            <w:tcW w:w="5320" w:type="dxa"/>
            <w:vAlign w:val="bottom"/>
            <w:gridSpan w:val="6"/>
          </w:tcPr>
          <w:p>
            <w:pPr>
              <w:jc w:val="right"/>
              <w:ind w:right="80"/>
              <w:spacing w:after="0"/>
              <w:rPr>
                <w:sz w:val="20"/>
                <w:szCs w:val="20"/>
                <w:color w:val="auto"/>
              </w:rPr>
            </w:pPr>
            <w:r>
              <w:rPr>
                <w:rFonts w:ascii="Arial" w:cs="Arial" w:eastAsia="Arial" w:hAnsi="Arial"/>
                <w:sz w:val="18"/>
                <w:szCs w:val="18"/>
                <w:b w:val="1"/>
                <w:bCs w:val="1"/>
                <w:color w:val="auto"/>
                <w:w w:val="92"/>
              </w:rPr>
              <w:t xml:space="preserve">Separation. </w:t>
            </w:r>
            <w:r>
              <w:rPr>
                <w:rFonts w:ascii="Arial" w:cs="Arial" w:eastAsia="Arial" w:hAnsi="Arial"/>
                <w:sz w:val="18"/>
                <w:szCs w:val="18"/>
                <w:color w:val="auto"/>
                <w:w w:val="92"/>
              </w:rPr>
              <w:t>Executive’s employment with Employer shall end effective</w:t>
            </w:r>
          </w:p>
        </w:tc>
        <w:tc>
          <w:tcPr>
            <w:tcW w:w="780" w:type="dxa"/>
            <w:vAlign w:val="bottom"/>
          </w:tcPr>
          <w:p>
            <w:pPr>
              <w:spacing w:after="0"/>
              <w:rPr>
                <w:sz w:val="24"/>
                <w:szCs w:val="24"/>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-1605280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-1605280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u w:val="single" w:color="auto"/>
          <w:color w:val="auto"/>
        </w:rPr>
        <w:t>Payment and Benefits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In consideration of the promises made in this Release, First Busey has agreed to pay Executive the</w:t>
      </w:r>
    </w:p>
    <w:p>
      <w:pPr>
        <w:spacing w:after="0" w:line="27"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compensation and benefits as provided in that certain employment agreement made and entered into as of , by and among the Parties (the “</w:t>
      </w:r>
      <w:r>
        <w:rPr>
          <w:rFonts w:ascii="Arial" w:cs="Arial" w:eastAsia="Arial" w:hAnsi="Arial"/>
          <w:sz w:val="18"/>
          <w:szCs w:val="18"/>
          <w:b w:val="1"/>
          <w:bCs w:val="1"/>
          <w:color w:val="auto"/>
        </w:rPr>
        <w:t>Employment Agreement</w:t>
      </w:r>
      <w:r>
        <w:rPr>
          <w:rFonts w:ascii="Arial" w:cs="Arial" w:eastAsia="Arial" w:hAnsi="Arial"/>
          <w:sz w:val="18"/>
          <w:szCs w:val="18"/>
          <w:color w:val="auto"/>
        </w:rPr>
        <w:t>”). Executive understands and acknowledges that the compensation and benefits provided under this Section 2 constitute an amount in excess of that to which Executive would be entitled without entering into this Release. Executive acknowledges that such compensation and benefits are being provided by First Busey as consideration for Executive entering into this Release, including the release of claims and waiver of rights provided in Section 3 of this Release.</w:t>
      </w:r>
    </w:p>
    <w:p>
      <w:pPr>
        <w:spacing w:after="0" w:line="187"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b w:val="1"/>
          <w:bCs w:val="1"/>
          <w:color w:val="auto"/>
        </w:rPr>
        <w:t xml:space="preserve">Section 3. </w:t>
      </w:r>
      <w:r>
        <w:rPr>
          <w:rFonts w:ascii="Arial" w:cs="Arial" w:eastAsia="Arial" w:hAnsi="Arial"/>
          <w:sz w:val="17"/>
          <w:szCs w:val="17"/>
          <w:b w:val="1"/>
          <w:bCs w:val="1"/>
          <w:u w:val="single" w:color="auto"/>
          <w:color w:val="auto"/>
        </w:rPr>
        <w:t>Release of Claims and Waiver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on Executive’s own behalf and that of Executive’s heirs, executors,</w:t>
      </w:r>
      <w:r>
        <w:rPr>
          <w:rFonts w:ascii="Arial" w:cs="Arial" w:eastAsia="Arial" w:hAnsi="Arial"/>
          <w:sz w:val="17"/>
          <w:szCs w:val="17"/>
          <w:b w:val="1"/>
          <w:bCs w:val="1"/>
          <w:color w:val="auto"/>
        </w:rPr>
        <w:t xml:space="preserve"> </w:t>
      </w:r>
      <w:r>
        <w:rPr>
          <w:rFonts w:ascii="Arial" w:cs="Arial" w:eastAsia="Arial" w:hAnsi="Arial"/>
          <w:sz w:val="17"/>
          <w:szCs w:val="17"/>
          <w:color w:val="auto"/>
        </w:rPr>
        <w:t>attorneys, administrators, successors and assigns, fully releases and discharges Employer, its predecessors, successors, subsidiaries, affiliates and assigns, and its and their directors, officers, trustees, employees, and agents, in their individual and official capacities, and the current and former trustees and administrators of any retirement or other benefit plan applicable to the employees or former employees of Employer, in their individual and official capacities (the “</w:t>
      </w:r>
      <w:r>
        <w:rPr>
          <w:rFonts w:ascii="Arial" w:cs="Arial" w:eastAsia="Arial" w:hAnsi="Arial"/>
          <w:sz w:val="17"/>
          <w:szCs w:val="17"/>
          <w:b w:val="1"/>
          <w:bCs w:val="1"/>
          <w:color w:val="auto"/>
        </w:rPr>
        <w:t>Released Parties</w:t>
      </w:r>
      <w:r>
        <w:rPr>
          <w:rFonts w:ascii="Arial" w:cs="Arial" w:eastAsia="Arial" w:hAnsi="Arial"/>
          <w:sz w:val="17"/>
          <w:szCs w:val="17"/>
          <w:color w:val="auto"/>
        </w:rPr>
        <w:t>”), from any and all liability, claims, demands and actions, including liability, claims, demands and actions arising under Employer’s policies and procedures, whether formal or informal; the United States or State of Illinois Constitutions; the Civil Rights Act of 1964; the Civil Rights Act of 1991; the Illinois Human Rights Act; the Employee Retirement Income Security Act of 1974; the Age Discrimination in Employment Act; Executive Order 11246; and any other federal, state or local statute, ordinance or regulation with respect to employment, and in addition thereto, from any other liability, claims, demands and actions with respect to Executive’s employment with Employer or other association with Employer through the Release Date, including the termination of Executive’s employment with Employer, any right of payment for disability or any other statutory or contractual right of payment or any claim for relief on the basis of any alleged tort or breach of contract under the common law of the State of Illinois or any other state, including defamation, intentional or negligent infliction of emotional distress, breach of the covenant of good faith and fair dealing, promissory estoppel, and negligence. Executive represents that Executive has not assigned or filed any claim, demand, action or charge against the Released Parties. Executive further acknowledges that Executive is aware that statutes exist that render null and void releases and discharges of any claims, rights, demands, liabilities, actions and causes of action that are unknown to the releasing or discharging party at the time of execution of the release and discharge. Executive hereby expressly waives, surrenders and</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agrees to forego any protection to which Executive would otherwise be entitled by virtue of the existence of any such statute in any jurisdiction, including the State of Illinois.</w:t>
      </w:r>
    </w:p>
    <w:p>
      <w:pPr>
        <w:spacing w:after="0" w:line="166"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b w:val="1"/>
          <w:bCs w:val="1"/>
          <w:u w:val="single" w:color="auto"/>
          <w:color w:val="auto"/>
        </w:rPr>
        <w:t>Covenant Not to Sue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shall not bring, file, charge, claim, sue or cause, assist, or permit to be brought, filed, charged or</w:t>
      </w:r>
      <w:r>
        <w:rPr>
          <w:rFonts w:ascii="Arial" w:cs="Arial" w:eastAsia="Arial" w:hAnsi="Arial"/>
          <w:sz w:val="16"/>
          <w:szCs w:val="16"/>
          <w:b w:val="1"/>
          <w:bCs w:val="1"/>
          <w:color w:val="auto"/>
        </w:rPr>
        <w:t xml:space="preserve"> </w:t>
      </w:r>
      <w:r>
        <w:rPr>
          <w:rFonts w:ascii="Arial" w:cs="Arial" w:eastAsia="Arial" w:hAnsi="Arial"/>
          <w:sz w:val="16"/>
          <w:szCs w:val="16"/>
          <w:color w:val="auto"/>
        </w:rPr>
        <w:t>claimed any action, cause of action, or proceeding regarding or in any way related to any of the claims described in Section 3 of this Release; Executive’s release of claims and waiver of rights provided in Section 3 of this Release is, shall constitute and may be pleaded as, a bar to any such claim, action, cause of action or proceeding. If any government agency or court assumes jurisdiction of any charge, complaint or cause of action covered by this Release, Executive shall not seek and shall not accept any personal equitable or monetary relief in connection with any investigation, civil action, suit or legal proceeding.</w:t>
      </w:r>
    </w:p>
    <w:p>
      <w:pPr>
        <w:spacing w:after="0" w:line="154"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Mutual 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At all times following the signing of this Release, neither Party shall engage in any vilification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and each Party shall refrain from making any false, negative, critical or disparaging statements, implied or expressed, concerning the other, including management style, methods of doing business, the quality of products and services, role in the community, or treatment of employees. Executive acknowledges that the only persons whose statements may be attributed to Employer for purposes of this covenant not to make disparaging statements shall be each member of the Board of Directors of Employer, the CEO and Executive’s immediate superior officer. The Parties shall do nothing that would damage the other’s business reputation or good will.</w:t>
      </w:r>
    </w:p>
    <w:p>
      <w:pPr>
        <w:spacing w:after="0" w:line="18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b w:val="1"/>
          <w:bCs w:val="1"/>
          <w:color w:val="auto"/>
        </w:rPr>
        <w:t xml:space="preserve">Section 6. </w:t>
      </w:r>
      <w:r>
        <w:rPr>
          <w:rFonts w:ascii="Arial" w:cs="Arial" w:eastAsia="Arial" w:hAnsi="Arial"/>
          <w:sz w:val="16"/>
          <w:szCs w:val="16"/>
          <w:b w:val="1"/>
          <w:bCs w:val="1"/>
          <w:u w:val="single" w:color="auto"/>
          <w:color w:val="auto"/>
        </w:rPr>
        <w:t>Representations by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warrants that Executive is legally competent to execute this Release and that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has not relied on any statements or explanations made by Employer or its attorneys. Moreover, Executive acknowledges that Executive has been afforded the opportunity to be advised by legal counsel regarding the terms of this Release, including the release of all claims and waiver of rights set forth in Section 3 of this Release. Executive acknowledges that Executive has been offered </w:t>
      </w:r>
      <w:r>
        <w:rPr>
          <w:rFonts w:ascii="Arial" w:cs="Arial" w:eastAsia="Arial" w:hAnsi="Arial"/>
          <w:sz w:val="16"/>
          <w:szCs w:val="16"/>
          <w:b w:val="1"/>
          <w:bCs w:val="1"/>
          <w:color w:val="auto"/>
        </w:rPr>
        <w:t>[twenty-one (21)]</w:t>
      </w:r>
      <w:r>
        <w:rPr>
          <w:rFonts w:ascii="Arial" w:cs="Arial" w:eastAsia="Arial" w:hAnsi="Arial"/>
          <w:sz w:val="16"/>
          <w:szCs w:val="16"/>
          <w:color w:val="auto"/>
        </w:rPr>
        <w:t xml:space="preserve"> days to consider this Release. After being so advised, and without coercion of any kind, Executive freely, knowingly and voluntarily enters into this Release. </w:t>
      </w:r>
      <w:r>
        <w:rPr>
          <w:rFonts w:ascii="Arial" w:cs="Arial" w:eastAsia="Arial" w:hAnsi="Arial"/>
          <w:sz w:val="16"/>
          <w:szCs w:val="16"/>
          <w:b w:val="1"/>
          <w:bCs w:val="1"/>
          <w:color w:val="auto"/>
        </w:rPr>
        <w:t>[Executive further acknowledges that Executive may revoke</w:t>
      </w:r>
      <w:r>
        <w:rPr>
          <w:rFonts w:ascii="Arial" w:cs="Arial" w:eastAsia="Arial" w:hAnsi="Arial"/>
          <w:sz w:val="16"/>
          <w:szCs w:val="16"/>
          <w:color w:val="auto"/>
        </w:rPr>
        <w:t xml:space="preserve"> </w:t>
      </w:r>
      <w:r>
        <w:rPr>
          <w:rFonts w:ascii="Arial" w:cs="Arial" w:eastAsia="Arial" w:hAnsi="Arial"/>
          <w:sz w:val="16"/>
          <w:szCs w:val="16"/>
          <w:b w:val="1"/>
          <w:bCs w:val="1"/>
          <w:color w:val="auto"/>
        </w:rPr>
        <w:t>this Release within seven (7) days after Executive has signed this Release and further understands that this Release shall not become effective or enforceable until seven (7) days after Executive has signed this Release, as evidenced by the date set forth below Executive’s signature on this Release. Any revocation of this Release by Executive must be in writing and addressed to the principal headquarters of First Busey, attention:</w:t>
      </w:r>
    </w:p>
    <w:p>
      <w:pPr>
        <w:sectPr>
          <w:pgSz w:w="11900" w:h="16838" w:orient="portrait"/>
          <w:cols w:equalWidth="0" w:num="1">
            <w:col w:w="11460"/>
          </w:cols>
          <w:pgMar w:left="240" w:top="121" w:right="199" w:bottom="0" w:gutter="0" w:footer="0" w:header="0"/>
        </w:sectPr>
      </w:pPr>
    </w:p>
    <w:bookmarkStart w:id="56" w:name="page57"/>
    <w:bookmarkEnd w:id="56"/>
    <w:p>
      <w:pPr>
        <w:ind w:right="340"/>
        <w:spacing w:after="0" w:line="261" w:lineRule="auto"/>
        <w:rPr>
          <w:sz w:val="20"/>
          <w:szCs w:val="20"/>
          <w:color w:val="auto"/>
        </w:rPr>
      </w:pPr>
      <w:r>
        <w:rPr>
          <w:rFonts w:ascii="Arial" w:cs="Arial" w:eastAsia="Arial" w:hAnsi="Arial"/>
          <w:sz w:val="18"/>
          <w:szCs w:val="18"/>
          <w:b w:val="1"/>
          <w:bCs w:val="1"/>
          <w:color w:val="auto"/>
        </w:rPr>
        <w:t xml:space="preserve">President and Chief Executive Officer. If sent by mail, any revocation must be postmarked within the seven (7)-day period and sent by certified mail, return receipt requested.] </w:t>
      </w:r>
      <w:r>
        <w:rPr>
          <w:rFonts w:ascii="Arial" w:cs="Arial" w:eastAsia="Arial" w:hAnsi="Arial"/>
          <w:sz w:val="18"/>
          <w:szCs w:val="18"/>
          <w:color w:val="auto"/>
        </w:rPr>
        <w:t>In addition, Executive represents that Executive has returned all property of Employer that is in Executive’s possession,</w:t>
      </w:r>
      <w:r>
        <w:rPr>
          <w:rFonts w:ascii="Arial" w:cs="Arial" w:eastAsia="Arial" w:hAnsi="Arial"/>
          <w:sz w:val="18"/>
          <w:szCs w:val="18"/>
          <w:b w:val="1"/>
          <w:bCs w:val="1"/>
          <w:color w:val="auto"/>
        </w:rPr>
        <w:t xml:space="preserve"> </w:t>
      </w:r>
      <w:r>
        <w:rPr>
          <w:rFonts w:ascii="Arial" w:cs="Arial" w:eastAsia="Arial" w:hAnsi="Arial"/>
          <w:sz w:val="18"/>
          <w:szCs w:val="18"/>
          <w:color w:val="auto"/>
        </w:rPr>
        <w:t>custody or control, including all documents, records and tangible property that are not publicly available and reflect, refer or relate to Employer or Employer’s business affairs, operations or customers, and all copies of the foregoing.</w:t>
      </w:r>
    </w:p>
    <w:p>
      <w:pPr>
        <w:spacing w:after="0" w:line="18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u w:val="single" w:color="auto"/>
          <w:color w:val="auto"/>
        </w:rPr>
        <w:t>No Admissions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Employer denies that it or any of its employees or agents have taken any improper action against Executive.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Release shall not be admissible in any proceeding as evidence of improper action by Employer or any of its employees or agents.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and Employer shall keep the existence and the terms of this Release confidential,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immediate family members or their legal or tax advisors in connection with services related hereto and except as may be required by law or in connection with the preparation of tax returns.</w:t>
      </w:r>
    </w:p>
    <w:p>
      <w:pPr>
        <w:spacing w:after="0" w:line="176"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Non-Waiver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waiver of a breach of this Release by Executive shall not be construed or operate as a waiver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 breach by Executive of the same or of any other provision of this Release.</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u w:val="single" w:color="auto"/>
          <w:color w:val="auto"/>
        </w:rPr>
        <w:t>Restrictive Covenants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Executive shall abide by the terms set forth in Sections 5 and 6 of the Employment Agreement.</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set forth in Section 9 of the Employment Agreement shall apply to this Release,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word</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shall take the place of the word “Agreement” in such Section 9, where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Release as of dates set forth below their respective signatures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FIRST BUSEY CORPORATION and</w:t>
            </w:r>
          </w:p>
        </w:tc>
        <w:tc>
          <w:tcPr>
            <w:tcW w:w="1160" w:type="dxa"/>
            <w:vAlign w:val="bottom"/>
          </w:tcPr>
          <w:p>
            <w:pPr>
              <w:spacing w:after="0"/>
              <w:rPr>
                <w:sz w:val="18"/>
                <w:szCs w:val="18"/>
                <w:color w:val="auto"/>
              </w:rPr>
            </w:pPr>
          </w:p>
        </w:tc>
        <w:tc>
          <w:tcPr>
            <w:tcW w:w="5800" w:type="dxa"/>
            <w:vAlign w:val="bottom"/>
            <w:gridSpan w:val="3"/>
          </w:tcPr>
          <w:p>
            <w:pPr>
              <w:ind w:left="340"/>
              <w:spacing w:after="0"/>
              <w:rPr>
                <w:sz w:val="20"/>
                <w:szCs w:val="20"/>
                <w:color w:val="auto"/>
              </w:rPr>
            </w:pPr>
            <w:r>
              <w:rPr>
                <w:rFonts w:ascii="Arial" w:cs="Arial" w:eastAsia="Arial" w:hAnsi="Arial"/>
                <w:sz w:val="18"/>
                <w:szCs w:val="18"/>
                <w:b w:val="1"/>
                <w:bCs w:val="1"/>
                <w:color w:val="auto"/>
              </w:rPr>
              <w:t>EXECUTIVE</w:t>
            </w:r>
          </w:p>
        </w:tc>
        <w:tc>
          <w:tcPr>
            <w:tcW w:w="40" w:type="dxa"/>
            <w:vAlign w:val="bottom"/>
          </w:tcPr>
          <w:p>
            <w:pPr>
              <w:spacing w:after="0"/>
              <w:rPr>
                <w:sz w:val="18"/>
                <w:szCs w:val="18"/>
                <w:color w:val="auto"/>
              </w:rPr>
            </w:pPr>
          </w:p>
        </w:tc>
      </w:tr>
      <w:tr>
        <w:trPr>
          <w:trHeight w:val="23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BUSEY BANK</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460" w:type="dxa"/>
            <w:vAlign w:val="bottom"/>
            <w:gridSpan w:val="2"/>
          </w:tcPr>
          <w:p>
            <w:pPr>
              <w:spacing w:after="0"/>
              <w:rPr>
                <w:sz w:val="20"/>
                <w:szCs w:val="20"/>
                <w:color w:val="auto"/>
              </w:rPr>
            </w:pPr>
            <w:r>
              <w:rPr>
                <w:rFonts w:ascii="Arial" w:cs="Arial" w:eastAsia="Arial" w:hAnsi="Arial"/>
                <w:sz w:val="18"/>
                <w:szCs w:val="18"/>
                <w:color w:val="auto"/>
              </w:rPr>
              <w:t>By:</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600" w:type="dxa"/>
            <w:vAlign w:val="bottom"/>
          </w:tcPr>
          <w:p>
            <w:pPr>
              <w:spacing w:after="0"/>
              <w:rPr>
                <w:sz w:val="16"/>
                <w:szCs w:val="16"/>
                <w:color w:val="auto"/>
              </w:rPr>
            </w:pPr>
          </w:p>
        </w:tc>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11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4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w:t>
            </w:r>
          </w:p>
        </w:tc>
        <w:tc>
          <w:tcPr>
            <w:tcW w:w="40" w:type="dxa"/>
            <w:vAlign w:val="bottom"/>
          </w:tcPr>
          <w:p>
            <w:pPr>
              <w:spacing w:after="0"/>
              <w:rPr>
                <w:sz w:val="16"/>
                <w:szCs w:val="16"/>
                <w:color w:val="auto"/>
              </w:rPr>
            </w:pPr>
          </w:p>
        </w:tc>
      </w:tr>
      <w:tr>
        <w:trPr>
          <w:trHeight w:val="216"/>
        </w:trPr>
        <w:tc>
          <w:tcPr>
            <w:tcW w:w="4460" w:type="dxa"/>
            <w:vAlign w:val="bottom"/>
            <w:gridSpan w:val="2"/>
          </w:tcPr>
          <w:p>
            <w:pPr>
              <w:ind w:left="600"/>
              <w:spacing w:after="0"/>
              <w:rPr>
                <w:sz w:val="20"/>
                <w:szCs w:val="20"/>
                <w:color w:val="auto"/>
              </w:rPr>
            </w:pPr>
            <w:r>
              <w:rPr>
                <w:rFonts w:ascii="Arial" w:cs="Arial" w:eastAsia="Arial" w:hAnsi="Arial"/>
                <w:sz w:val="18"/>
                <w:szCs w:val="18"/>
                <w:color w:val="auto"/>
              </w:rPr>
              <w:t>President and Chief Executive Officer</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460" w:type="dxa"/>
            <w:vAlign w:val="bottom"/>
            <w:gridSpan w:val="2"/>
          </w:tcPr>
          <w:p>
            <w:pPr>
              <w:ind w:left="600"/>
              <w:spacing w:after="0"/>
              <w:rPr>
                <w:sz w:val="20"/>
                <w:szCs w:val="20"/>
                <w:color w:val="auto"/>
              </w:rPr>
            </w:pPr>
            <w:r>
              <w:rPr>
                <w:rFonts w:ascii="Arial" w:cs="Arial" w:eastAsia="Arial" w:hAnsi="Arial"/>
                <w:sz w:val="18"/>
                <w:szCs w:val="18"/>
                <w:color w:val="auto"/>
              </w:rPr>
              <w:t>of First Busey Corporation</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8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Date:</w:t>
            </w:r>
          </w:p>
        </w:tc>
        <w:tc>
          <w:tcPr>
            <w:tcW w:w="4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6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960" w:type="dxa"/>
            <w:vAlign w:val="bottom"/>
            <w:gridSpan w:val="4"/>
          </w:tcPr>
          <w:p>
            <w:pPr>
              <w:ind w:left="1120"/>
              <w:spacing w:after="0"/>
              <w:rPr>
                <w:sz w:val="20"/>
                <w:szCs w:val="20"/>
                <w:color w:val="auto"/>
              </w:rPr>
            </w:pPr>
            <w:r>
              <w:rPr>
                <w:rFonts w:ascii="Arial" w:cs="Arial" w:eastAsia="Arial" w:hAnsi="Arial"/>
                <w:sz w:val="18"/>
                <w:szCs w:val="18"/>
                <w:color w:val="auto"/>
              </w:rPr>
              <w:t>A-3</w:t>
            </w:r>
          </w:p>
        </w:tc>
        <w:tc>
          <w:tcPr>
            <w:tcW w:w="40" w:type="dxa"/>
            <w:vAlign w:val="bottom"/>
          </w:tcPr>
          <w:p>
            <w:pPr>
              <w:spacing w:after="0"/>
              <w:rPr>
                <w:sz w:val="24"/>
                <w:szCs w:val="24"/>
                <w:color w:val="auto"/>
              </w:rPr>
            </w:pPr>
          </w:p>
        </w:tc>
      </w:tr>
      <w:tr>
        <w:trPr>
          <w:trHeight w:val="132"/>
        </w:trPr>
        <w:tc>
          <w:tcPr>
            <w:tcW w:w="600" w:type="dxa"/>
            <w:vAlign w:val="bottom"/>
            <w:tcBorders>
              <w:bottom w:val="single" w:sz="8" w:color="808080"/>
            </w:tcBorders>
          </w:tcPr>
          <w:p>
            <w:pPr>
              <w:spacing w:after="0"/>
              <w:rPr>
                <w:sz w:val="11"/>
                <w:szCs w:val="11"/>
                <w:color w:val="auto"/>
              </w:rPr>
            </w:pPr>
          </w:p>
        </w:tc>
        <w:tc>
          <w:tcPr>
            <w:tcW w:w="386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President and Chief Executive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41"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341"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20" w:right="120" w:hanging="331"/>
        <w:spacing w:after="0" w:line="264" w:lineRule="auto"/>
        <w:tabs>
          <w:tab w:leader="none" w:pos="611"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100" w:hanging="331"/>
        <w:spacing w:after="0" w:line="264" w:lineRule="auto"/>
        <w:tabs>
          <w:tab w:leader="none" w:pos="621"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280" w:hanging="331"/>
        <w:spacing w:after="0" w:line="342" w:lineRule="auto"/>
        <w:tabs>
          <w:tab w:leader="none" w:pos="625"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left="620" w:right="320" w:hanging="331"/>
        <w:spacing w:after="0" w:line="264" w:lineRule="auto"/>
        <w:tabs>
          <w:tab w:leader="none" w:pos="621"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2"/>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2"/>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Robin N. Elliott, Chief Financial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41"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341"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1" w:val="left"/>
        </w:tabs>
        <w:numPr>
          <w:ilvl w:val="2"/>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100" w:hanging="331"/>
        <w:spacing w:after="0" w:line="264" w:lineRule="auto"/>
        <w:tabs>
          <w:tab w:leader="none" w:pos="62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280" w:hanging="331"/>
        <w:spacing w:after="0" w:line="342" w:lineRule="auto"/>
        <w:tabs>
          <w:tab w:leader="none" w:pos="625"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left="620" w:right="320" w:hanging="331"/>
        <w:spacing w:after="0" w:line="264" w:lineRule="auto"/>
        <w:tabs>
          <w:tab w:leader="none" w:pos="62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2"/>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2"/>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14605</wp:posOffset>
            </wp:positionV>
            <wp:extent cx="35591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ind w:left="1030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Quarterly Report of First Busey Corporation on Form 10-Q for the quarter ended September 30, 2016,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ind w:left="1030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Quarterly Report of First Busey Corporation on Form 10-Q for the quarter ended September 30, 2016,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lowerLetter"/>
      <w:start w:val="1"/>
    </w:lvl>
  </w:abstractNum>
  <w:abstractNum w:abstractNumId="1">
    <w:nsid w:val="6CEAF087"/>
    <w:multiLevelType w:val="hybridMultilevel"/>
    <w:lvl w:ilvl="0">
      <w:lvlJc w:val="left"/>
      <w:lvlText w:val="(%1)"/>
      <w:numFmt w:val="decimal"/>
      <w:start w:val="1"/>
    </w:lvl>
  </w:abstractNum>
  <w:abstractNum w:abstractNumId="2">
    <w:nsid w:val="22221A70"/>
    <w:multiLevelType w:val="hybridMultilevel"/>
    <w:lvl w:ilvl="0">
      <w:lvlJc w:val="left"/>
      <w:lvlText w:val="(%1)"/>
      <w:numFmt w:val="decimal"/>
      <w:start w:val="2"/>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1)"/>
      <w:numFmt w:val="lowerRoman"/>
      <w:start w:val="12"/>
    </w:lvl>
  </w:abstractNum>
  <w:abstractNum w:abstractNumId="7">
    <w:nsid w:val="5577F8E1"/>
    <w:multiLevelType w:val="hybridMultilevel"/>
    <w:lvl w:ilvl="0">
      <w:lvlJc w:val="left"/>
      <w:lvlText w:val="(%1)"/>
      <w:numFmt w:val="lowerLetter"/>
      <w:start w:val="1"/>
    </w:lvl>
  </w:abstractNum>
  <w:abstractNum w:abstractNumId="8">
    <w:nsid w:val="440BADFC"/>
    <w:multiLevelType w:val="hybridMultilevel"/>
    <w:lvl w:ilvl="0">
      <w:lvlJc w:val="left"/>
      <w:lvlText w:val="%1."/>
      <w:numFmt w:val="upperLetter"/>
      <w:start w:val="1"/>
    </w:lvl>
  </w:abstractNum>
  <w:abstractNum w:abstractNumId="9">
    <w:nsid w:val="5072367"/>
    <w:multiLevelType w:val="hybridMultilevel"/>
    <w:lvl w:ilvl="0">
      <w:lvlJc w:val="left"/>
      <w:lvlText w:val="(%1)"/>
      <w:numFmt w:val="lowerLetter"/>
      <w:start w:val="1"/>
    </w:lvl>
  </w:abstractNum>
  <w:abstractNum w:abstractNumId="10">
    <w:nsid w:val="3804823E"/>
    <w:multiLevelType w:val="hybridMultilevel"/>
    <w:lvl w:ilvl="0">
      <w:lvlJc w:val="left"/>
      <w:lvlText w:val="(%1)"/>
      <w:numFmt w:val="lowerLetter"/>
      <w:start w:val="2"/>
    </w:lvl>
  </w:abstractNum>
  <w:abstractNum w:abstractNumId="11">
    <w:nsid w:val="77465F01"/>
    <w:multiLevelType w:val="hybridMultilevel"/>
    <w:lvl w:ilvl="0">
      <w:lvlJc w:val="left"/>
      <w:lvlText w:val="(%1)"/>
      <w:numFmt w:val="lowerLetter"/>
      <w:start w:val="1"/>
    </w:lvl>
  </w:abstractNum>
  <w:abstractNum w:abstractNumId="12">
    <w:nsid w:val="7724C67E"/>
    <w:multiLevelType w:val="hybridMultilevel"/>
    <w:lvl w:ilvl="0">
      <w:lvlJc w:val="left"/>
      <w:lvlText w:val="(%1)"/>
      <w:numFmt w:val="lowerLetter"/>
      <w:start w:val="2"/>
    </w:lvl>
  </w:abstractNum>
  <w:abstractNum w:abstractNumId="13">
    <w:nsid w:val="5C482A97"/>
    <w:multiLevelType w:val="hybridMultilevel"/>
    <w:lvl w:ilvl="0">
      <w:lvlJc w:val="left"/>
      <w:lvlText w:val="(%1)"/>
      <w:numFmt w:val="lowerLetter"/>
      <w:start w:val="3"/>
    </w:lvl>
  </w:abstractNum>
  <w:abstractNum w:abstractNumId="14">
    <w:nsid w:val="2463B9EA"/>
    <w:multiLevelType w:val="hybridMultilevel"/>
    <w:lvl w:ilvl="0">
      <w:lvlJc w:val="left"/>
      <w:lvlText w:val="(%1)"/>
      <w:numFmt w:val="lowerLetter"/>
      <w:start w:val="5"/>
    </w:lvl>
  </w:abstractNum>
  <w:abstractNum w:abstractNumId="15">
    <w:nsid w:val="5E884ADC"/>
    <w:multiLevelType w:val="hybridMultilevel"/>
    <w:lvl w:ilvl="0">
      <w:lvlJc w:val="left"/>
      <w:lvlText w:val="%1"/>
      <w:numFmt w:val="lowerRoman"/>
      <w:start w:val="1"/>
    </w:lvl>
    <w:lvl w:ilvl="1">
      <w:lvlJc w:val="left"/>
      <w:lvlText w:val="(%2)"/>
      <w:numFmt w:val="lowerLetter"/>
      <w:start w:val="1"/>
    </w:lvl>
  </w:abstractNum>
  <w:abstractNum w:abstractNumId="16">
    <w:nsid w:val="51EAD36B"/>
    <w:multiLevelType w:val="hybridMultilevel"/>
    <w:lvl w:ilvl="0">
      <w:lvlJc w:val="left"/>
      <w:lvlText w:val="(%1)"/>
      <w:numFmt w:val="lowerRoman"/>
      <w:start w:val="9"/>
    </w:lvl>
    <w:lvl w:ilvl="1">
      <w:lvlJc w:val="left"/>
      <w:lvlText w:val="%2"/>
      <w:numFmt w:val="lowerLetter"/>
      <w:start w:val="1"/>
    </w:lvl>
  </w:abstractNum>
  <w:abstractNum w:abstractNumId="17">
    <w:nsid w:val="2D517796"/>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8">
    <w:nsid w:val="580BD78F"/>
    <w:multiLevelType w:val="hybridMultilevel"/>
    <w:lvl w:ilvl="0">
      <w:lvlJc w:val="left"/>
      <w:lvlText w:val="(%1)"/>
      <w:numFmt w:val="lowerLetter"/>
      <w:start w:val="61"/>
    </w:lvl>
    <w:lvl w:ilvl="1">
      <w:lvlJc w:val="left"/>
      <w:lvlText w:val="(%2)"/>
      <w:numFmt w:val="lowerLetter"/>
      <w:start w:val="4"/>
    </w:lvl>
    <w:lvl w:ilvl="2">
      <w:lvlJc w:val="left"/>
      <w:lvlText w:val="(%3)"/>
      <w:numFmt w:val="lowerLetter"/>
      <w:start w:val="9"/>
    </w:lvl>
  </w:abstractNum>
  <w:abstractNum w:abstractNumId="19">
    <w:nsid w:val="153EA438"/>
    <w:multiLevelType w:val="hybridMultilevel"/>
    <w:lvl w:ilvl="0">
      <w:lvlJc w:val="left"/>
      <w:lvlText w:val="%1"/>
      <w:numFmt w:val="lowerLetter"/>
      <w:start w:val="1"/>
    </w:lvl>
    <w:lvl w:ilvl="1">
      <w:lvlJc w:val="left"/>
      <w:lvlText w:val="(%2)"/>
      <w:numFmt w:val="lowerLetter"/>
      <w:start w:val="35"/>
    </w:lvl>
  </w:abstractNum>
  <w:abstractNum w:abstractNumId="20">
    <w:nsid w:val="3855585C"/>
    <w:multiLevelType w:val="hybridMultilevel"/>
    <w:lvl w:ilvl="0">
      <w:lvlJc w:val="left"/>
      <w:lvlText w:val="(%1)"/>
      <w:numFmt w:val="lowerLetter"/>
      <w:start w:val="5"/>
    </w:lvl>
    <w:lvl w:ilvl="1">
      <w:lvlJc w:val="left"/>
      <w:lvlText w:val="(%2)"/>
      <w:numFmt w:val="lowerLetter"/>
      <w:start w:val="9"/>
    </w:lvl>
  </w:abstractNum>
  <w:abstractNum w:abstractNumId="21">
    <w:nsid w:val="70A64E2A"/>
    <w:multiLevelType w:val="hybridMultilevel"/>
    <w:lvl w:ilvl="0">
      <w:lvlJc w:val="left"/>
      <w:lvlText w:val="(%1)"/>
      <w:numFmt w:val="upperLetter"/>
      <w:start w:val="1"/>
    </w:lvl>
    <w:lvl w:ilvl="1">
      <w:lvlJc w:val="left"/>
      <w:lvlText w:val="(%2)"/>
      <w:numFmt w:val="lowerRoman"/>
      <w:start w:val="2"/>
    </w:lvl>
  </w:abstractNum>
  <w:abstractNum w:abstractNumId="22">
    <w:nsid w:val="6A2342EC"/>
    <w:multiLevelType w:val="hybridMultilevel"/>
    <w:lvl w:ilvl="0">
      <w:lvlJc w:val="left"/>
      <w:lvlText w:val="%1"/>
      <w:numFmt w:val="lowerLetter"/>
      <w:start w:val="1"/>
    </w:lvl>
    <w:lvl w:ilvl="1">
      <w:lvlJc w:val="left"/>
      <w:lvlText w:val="(%2)"/>
      <w:numFmt w:val="lowerRoman"/>
      <w:start w:val="3"/>
    </w:lvl>
  </w:abstractNum>
  <w:abstractNum w:abstractNumId="23">
    <w:nsid w:val="2A487CB0"/>
    <w:multiLevelType w:val="hybridMultilevel"/>
    <w:lvl w:ilvl="0">
      <w:lvlJc w:val="left"/>
      <w:lvlText w:val="(%1)"/>
      <w:numFmt w:val="lowerLetter"/>
      <w:start w:val="8"/>
    </w:lvl>
    <w:lvl w:ilvl="1">
      <w:lvlJc w:val="left"/>
      <w:lvlText w:val="%2"/>
      <w:numFmt w:val="lowerRoman"/>
      <w:start w:val="1"/>
    </w:lvl>
  </w:abstractNum>
  <w:abstractNum w:abstractNumId="24">
    <w:nsid w:val="1D4ED43B"/>
    <w:multiLevelType w:val="hybridMultilevel"/>
    <w:lvl w:ilvl="0">
      <w:lvlJc w:val="left"/>
      <w:lvlText w:val="%1"/>
      <w:numFmt w:val="lowerLetter"/>
      <w:start w:val="1"/>
    </w:lvl>
    <w:lvl w:ilvl="1">
      <w:lvlJc w:val="left"/>
      <w:lvlText w:val="(%2)"/>
      <w:numFmt w:val="lowerRoman"/>
      <w:start w:val="1"/>
    </w:lvl>
  </w:abstractNum>
  <w:abstractNum w:abstractNumId="25">
    <w:nsid w:val="725A06FB"/>
    <w:multiLevelType w:val="hybridMultilevel"/>
    <w:lvl w:ilvl="0">
      <w:lvlJc w:val="left"/>
      <w:lvlText w:val="(%1)"/>
      <w:numFmt w:val="lowerLetter"/>
      <w:start w:val="10"/>
    </w:lvl>
    <w:lvl w:ilvl="1">
      <w:lvlJc w:val="left"/>
      <w:lvlText w:val="%2"/>
      <w:numFmt w:val="lowerRoman"/>
      <w:start w:val="1"/>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1)"/>
      <w:numFmt w:val="lowerLetter"/>
      <w:start w:val="3"/>
    </w:lvl>
  </w:abstractNum>
  <w:abstractNum w:abstractNumId="28">
    <w:nsid w:val="7A6D8D3C"/>
    <w:multiLevelType w:val="hybridMultilevel"/>
    <w:lvl w:ilvl="0">
      <w:lvlJc w:val="left"/>
      <w:lvlText w:val="(%1)"/>
      <w:numFmt w:val="lowerLetter"/>
      <w:start w:val="1"/>
    </w:lvl>
  </w:abstractNum>
  <w:abstractNum w:abstractNumId="29">
    <w:nsid w:val="4B588F54"/>
    <w:multiLevelType w:val="hybridMultilevel"/>
    <w:lvl w:ilvl="0">
      <w:lvlJc w:val="left"/>
      <w:lvlText w:val="(%1)"/>
      <w:numFmt w:val="lowerLetter"/>
      <w:start w:val="2"/>
    </w:lvl>
  </w:abstractNum>
  <w:abstractNum w:abstractNumId="30">
    <w:nsid w:val="542289EC"/>
    <w:multiLevelType w:val="hybridMultilevel"/>
    <w:lvl w:ilvl="0">
      <w:lvlJc w:val="left"/>
      <w:lvlText w:val="(%1)"/>
      <w:numFmt w:val="lowerLetter"/>
      <w:start w:val="3"/>
    </w:lvl>
  </w:abstractNum>
  <w:abstractNum w:abstractNumId="31">
    <w:nsid w:val="6DE91B18"/>
    <w:multiLevelType w:val="hybridMultilevel"/>
    <w:lvl w:ilvl="0">
      <w:lvlJc w:val="left"/>
      <w:lvlText w:val="(%1)"/>
      <w:numFmt w:val="lowerLetter"/>
      <w:start w:val="1"/>
    </w:lvl>
  </w:abstractNum>
  <w:abstractNum w:abstractNumId="32">
    <w:nsid w:val="38437FDB"/>
    <w:multiLevelType w:val="hybridMultilevel"/>
    <w:lvl w:ilvl="0">
      <w:lvlJc w:val="left"/>
      <w:lvlText w:val="(%1)"/>
      <w:numFmt w:val="lowerLetter"/>
      <w:start w:val="4"/>
    </w:lvl>
  </w:abstractNum>
  <w:abstractNum w:abstractNumId="33">
    <w:nsid w:val="7644A45C"/>
    <w:multiLevelType w:val="hybridMultilevel"/>
    <w:lvl w:ilvl="0">
      <w:lvlJc w:val="left"/>
      <w:lvlText w:val="(%1)"/>
      <w:numFmt w:val="lowerLetter"/>
      <w:start w:val="10"/>
    </w:lvl>
  </w:abstractNum>
  <w:abstractNum w:abstractNumId="34">
    <w:nsid w:val="32FFF902"/>
    <w:multiLevelType w:val="hybridMultilevel"/>
    <w:lvl w:ilvl="0">
      <w:lvlJc w:val="left"/>
      <w:lvlText w:val="(%1)"/>
      <w:numFmt w:val="lowerLetter"/>
      <w:start w:val="11"/>
    </w:lvl>
  </w:abstractNum>
  <w:abstractNum w:abstractNumId="35">
    <w:nsid w:val="684A481A"/>
    <w:multiLevelType w:val="hybridMultilevel"/>
    <w:lvl w:ilvl="0">
      <w:lvlJc w:val="left"/>
      <w:lvlText w:val="%1."/>
      <w:numFmt w:val="upperLetter"/>
      <w:start w:val="1"/>
    </w:lvl>
  </w:abstractNum>
  <w:abstractNum w:abstractNumId="36">
    <w:nsid w:val="579478FE"/>
    <w:multiLevelType w:val="hybridMultilevel"/>
    <w:lvl w:ilvl="0">
      <w:lvlJc w:val="left"/>
      <w:lvlText w:val="(%1)"/>
      <w:numFmt w:val="lowerLetter"/>
      <w:start w:val="1"/>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1)"/>
      <w:numFmt w:val="lowerLetter"/>
      <w:start w:val="5"/>
    </w:lvl>
  </w:abstractNum>
  <w:abstractNum w:abstractNumId="39">
    <w:nsid w:val="1BA026FA"/>
    <w:multiLevelType w:val="hybridMultilevel"/>
    <w:lvl w:ilvl="0">
      <w:lvlJc w:val="left"/>
      <w:lvlText w:val="(%1)"/>
      <w:numFmt w:val="lowerLetter"/>
      <w:start w:val="1"/>
    </w:lvl>
  </w:abstractNum>
  <w:abstractNum w:abstractNumId="40">
    <w:nsid w:val="79A1DEAA"/>
    <w:multiLevelType w:val="hybridMultilevel"/>
    <w:lvl w:ilvl="0">
      <w:lvlJc w:val="left"/>
      <w:lvlText w:val="%1"/>
      <w:numFmt w:val="lowerRoman"/>
      <w:start w:val="1"/>
    </w:lvl>
    <w:lvl w:ilvl="1">
      <w:lvlJc w:val="left"/>
      <w:lvlText w:val="(%2)"/>
      <w:numFmt w:val="lowerLetter"/>
      <w:start w:val="2"/>
    </w:lvl>
  </w:abstractNum>
  <w:abstractNum w:abstractNumId="41">
    <w:nsid w:val="75C6C33A"/>
    <w:multiLevelType w:val="hybridMultilevel"/>
    <w:lvl w:ilvl="0">
      <w:lvlJc w:val="left"/>
      <w:lvlText w:val="(%1)"/>
      <w:numFmt w:val="lowerRoman"/>
      <w:start w:val="1"/>
    </w:lvl>
    <w:lvl w:ilvl="1">
      <w:lvlJc w:val="left"/>
      <w:lvlText w:val="%2"/>
      <w:numFmt w:val="lowerLetter"/>
      <w:start w:val="1"/>
    </w:lvl>
  </w:abstractNum>
  <w:abstractNum w:abstractNumId="42">
    <w:nsid w:val="12E685FB"/>
    <w:multiLevelType w:val="hybridMultilevel"/>
    <w:lvl w:ilvl="0">
      <w:lvlJc w:val="left"/>
      <w:lvlText w:val="(%1)"/>
      <w:numFmt w:val="lowerRoman"/>
      <w:start w:val="6"/>
    </w:lvl>
    <w:lvl w:ilvl="1">
      <w:lvlJc w:val="left"/>
      <w:lvlText w:val="(%2)"/>
      <w:numFmt w:val="lowerLetter"/>
      <w:start w:val="3"/>
    </w:lvl>
  </w:abstractNum>
  <w:abstractNum w:abstractNumId="43">
    <w:nsid w:val="70C6A529"/>
    <w:multiLevelType w:val="hybridMultilevel"/>
    <w:lvl w:ilvl="0">
      <w:lvlJc w:val="left"/>
      <w:lvlText w:val="(%1)"/>
      <w:numFmt w:val="lowerRoman"/>
      <w:start w:val="3"/>
    </w:lvl>
    <w:lvl w:ilvl="1">
      <w:lvlJc w:val="left"/>
      <w:lvlText w:val="(%2)"/>
      <w:numFmt w:val="lowerLetter"/>
      <w:start w:val="4"/>
    </w:lvl>
  </w:abstractNum>
  <w:abstractNum w:abstractNumId="44">
    <w:nsid w:val="520EEDD1"/>
    <w:multiLevelType w:val="hybridMultilevel"/>
    <w:lvl w:ilvl="0">
      <w:lvlJc w:val="left"/>
      <w:lvlText w:val="(%1)"/>
      <w:numFmt w:val="lowerRoman"/>
      <w:start w:val="1"/>
    </w:lvl>
  </w:abstractNum>
  <w:abstractNum w:abstractNumId="45">
    <w:nsid w:val="374A3FE6"/>
    <w:multiLevelType w:val="hybridMultilevel"/>
    <w:lvl w:ilvl="0">
      <w:lvlJc w:val="left"/>
      <w:lvlText w:val="(%1)"/>
      <w:numFmt w:val="upperLetter"/>
      <w:start w:val="2"/>
    </w:lvl>
    <w:lvl w:ilvl="1">
      <w:lvlJc w:val="left"/>
      <w:lvlText w:val="(%2)"/>
      <w:numFmt w:val="lowerLetter"/>
      <w:start w:val="4"/>
    </w:lvl>
    <w:lvl w:ilvl="2">
      <w:lvlJc w:val="left"/>
      <w:lvlText w:val="(%3)"/>
      <w:numFmt w:val="lowerLetter"/>
      <w:start w:val="35"/>
    </w:lvl>
  </w:abstractNum>
  <w:abstractNum w:abstractNumId="46">
    <w:nsid w:val="4F4EF005"/>
    <w:multiLevelType w:val="hybridMultilevel"/>
    <w:lvl w:ilvl="0">
      <w:lvlJc w:val="left"/>
      <w:lvlText w:val="%1"/>
      <w:numFmt w:val="upperLetter"/>
      <w:start w:val="1"/>
    </w:lvl>
    <w:lvl w:ilvl="1">
      <w:lvlJc w:val="left"/>
      <w:lvlText w:val="(%2)"/>
      <w:numFmt w:val="lowerRoman"/>
      <w:start w:val="1"/>
    </w:lvl>
  </w:abstractNum>
  <w:abstractNum w:abstractNumId="47">
    <w:nsid w:val="23F9C13C"/>
    <w:multiLevelType w:val="hybridMultilevel"/>
    <w:lvl w:ilvl="0">
      <w:lvlJc w:val="left"/>
      <w:lvlText w:val="(%1)"/>
      <w:numFmt w:val="upperLetter"/>
      <w:start w:val="1"/>
    </w:lvl>
    <w:lvl w:ilvl="1">
      <w:lvlJc w:val="left"/>
      <w:lvlText w:val="(%2)"/>
      <w:numFmt w:val="lowerRoman"/>
      <w:start w:val="2"/>
    </w:lvl>
  </w:abstractNum>
  <w:abstractNum w:abstractNumId="48">
    <w:nsid w:val="649BB77C"/>
    <w:multiLevelType w:val="hybridMultilevel"/>
    <w:lvl w:ilvl="0">
      <w:lvlJc w:val="left"/>
      <w:lvlText w:val="(%1)"/>
      <w:numFmt w:val="lowerLetter"/>
      <w:start w:val="8"/>
    </w:lvl>
  </w:abstractNum>
  <w:abstractNum w:abstractNumId="49">
    <w:nsid w:val="275AC794"/>
    <w:multiLevelType w:val="hybridMultilevel"/>
    <w:lvl w:ilvl="0">
      <w:lvlJc w:val="left"/>
      <w:lvlText w:val="%1"/>
      <w:numFmt w:val="lowerLetter"/>
      <w:start w:val="1"/>
    </w:lvl>
    <w:lvl w:ilvl="1">
      <w:lvlJc w:val="left"/>
      <w:lvlText w:val="(%2)"/>
      <w:numFmt w:val="lowerRoman"/>
      <w:start w:val="1"/>
    </w:lvl>
  </w:abstractNum>
  <w:abstractNum w:abstractNumId="50">
    <w:nsid w:val="39386575"/>
    <w:multiLevelType w:val="hybridMultilevel"/>
    <w:lvl w:ilvl="0">
      <w:lvlJc w:val="left"/>
      <w:lvlText w:val="(%1)"/>
      <w:numFmt w:val="lowerLetter"/>
      <w:start w:val="10"/>
    </w:lvl>
    <w:lvl w:ilvl="1">
      <w:lvlJc w:val="left"/>
      <w:lvlText w:val="%2"/>
      <w:numFmt w:val="lowerRoman"/>
      <w:start w:val="1"/>
    </w:lvl>
  </w:abstractNum>
  <w:abstractNum w:abstractNumId="51">
    <w:nsid w:val="1CF10FD8"/>
    <w:multiLevelType w:val="hybridMultilevel"/>
    <w:lvl w:ilvl="0">
      <w:lvlJc w:val="left"/>
      <w:lvlText w:val="(%1)"/>
      <w:numFmt w:val="lowerLetter"/>
      <w:start w:val="1"/>
    </w:lvl>
  </w:abstractNum>
  <w:abstractNum w:abstractNumId="52">
    <w:nsid w:val="180115BE"/>
    <w:multiLevelType w:val="hybridMultilevel"/>
    <w:lvl w:ilvl="0">
      <w:lvlJc w:val="left"/>
      <w:lvlText w:val="%1"/>
      <w:numFmt w:val="lowerLetter"/>
      <w:start w:val="1"/>
    </w:lvl>
    <w:lvl w:ilvl="1">
      <w:lvlJc w:val="left"/>
      <w:lvlText w:val="(%2)"/>
      <w:numFmt w:val="lowerLetter"/>
      <w:start w:val="2"/>
    </w:lvl>
  </w:abstractNum>
  <w:abstractNum w:abstractNumId="53">
    <w:nsid w:val="235BA861"/>
    <w:multiLevelType w:val="hybridMultilevel"/>
    <w:lvl w:ilvl="0">
      <w:lvlJc w:val="left"/>
      <w:lvlText w:val="(%1)"/>
      <w:numFmt w:val="lowerLetter"/>
      <w:start w:val="35"/>
    </w:lvl>
    <w:lvl w:ilvl="1">
      <w:lvlJc w:val="left"/>
      <w:lvlText w:val="(%2)"/>
      <w:numFmt w:val="lowerLetter"/>
      <w:start w:val="3"/>
    </w:lvl>
  </w:abstractNum>
  <w:abstractNum w:abstractNumId="54">
    <w:nsid w:val="47398C89"/>
    <w:multiLevelType w:val="hybridMultilevel"/>
    <w:lvl w:ilvl="0">
      <w:lvlJc w:val="left"/>
      <w:lvlText w:val="(%1)"/>
      <w:numFmt w:val="lowerLetter"/>
      <w:start w:val="4"/>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lowerLetter"/>
      <w:start w:val="1"/>
    </w:lvl>
  </w:abstractNum>
  <w:abstractNum w:abstractNumId="57">
    <w:nsid w:val="741226BB"/>
    <w:multiLevelType w:val="hybridMultilevel"/>
    <w:lvl w:ilvl="0">
      <w:lvlJc w:val="left"/>
      <w:lvlText w:val="(%1)"/>
      <w:numFmt w:val="lowerLetter"/>
      <w:start w:val="5"/>
    </w:lvl>
  </w:abstractNum>
  <w:abstractNum w:abstractNumId="58">
    <w:nsid w:val="D34B6A8"/>
    <w:multiLevelType w:val="hybridMultilevel"/>
    <w:lvl w:ilvl="0">
      <w:lvlJc w:val="left"/>
      <w:lvlText w:val="(%1)"/>
      <w:numFmt w:val="lowerLetter"/>
      <w:start w:val="8"/>
    </w:lvl>
  </w:abstractNum>
  <w:abstractNum w:abstractNumId="59">
    <w:nsid w:val="10233C99"/>
    <w:multiLevelType w:val="hybridMultilevel"/>
    <w:lvl w:ilvl="0">
      <w:lvlJc w:val="left"/>
      <w:lvlText w:val="(%1)"/>
      <w:numFmt w:val="lowerLetter"/>
      <w:start w:val="12"/>
    </w:lvl>
  </w:abstractNum>
  <w:abstractNum w:abstractNumId="60">
    <w:nsid w:val="3F6AB60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1">
    <w:nsid w:val="6157409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2020-01-21T17:42:28Z</dcterms:created>
  <dcterms:modified xsi:type="dcterms:W3CDTF">2020-01-21T17:42:28Z</dcterms:modified>
</cp:coreProperties>
</file>