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186055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203200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jc w:val="center"/>
        <w:ind w:right="20"/>
        <w:spacing w:after="0"/>
        <w:rPr>
          <w:sz w:val="20"/>
          <w:szCs w:val="20"/>
          <w:color w:val="auto"/>
        </w:rPr>
      </w:pPr>
      <w:r>
        <w:rPr>
          <w:rFonts w:ascii="Arial" w:cs="Arial" w:eastAsia="Arial" w:hAnsi="Arial"/>
          <w:sz w:val="19"/>
          <w:szCs w:val="19"/>
          <w:b w:val="1"/>
          <w:bCs w:val="1"/>
          <w:color w:val="auto"/>
        </w:rPr>
        <w:t>SECURITIES AND EXCHANGE COMMISSION</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Washington, D.C. 20549</w:t>
      </w:r>
    </w:p>
    <w:p>
      <w:pPr>
        <w:spacing w:after="0" w:line="86"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8-K</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CURRENT REPORT</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PURSUANT TO SECTION 13 OR 15(d) OF THE SECURITIES EXCHANGE ACT OF 1934</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Date of Report (Date of earliest event reported): July 22, 2025</w:t>
      </w:r>
    </w:p>
    <w:p>
      <w:pPr>
        <w:ind w:left="4240"/>
        <w:spacing w:after="0"/>
        <w:rPr>
          <w:sz w:val="20"/>
          <w:szCs w:val="20"/>
          <w:color w:val="auto"/>
        </w:rPr>
      </w:pPr>
      <w:r>
        <w:rPr>
          <w:rFonts w:ascii="Arial" w:cs="Arial" w:eastAsia="Arial" w:hAnsi="Arial"/>
          <w:sz w:val="12"/>
          <w:szCs w:val="12"/>
          <w:color w:val="auto"/>
        </w:rPr>
        <w:t>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3166745</wp:posOffset>
            </wp:positionH>
            <wp:positionV relativeFrom="paragraph">
              <wp:posOffset>73025</wp:posOffset>
            </wp:positionV>
            <wp:extent cx="83439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4390" cy="27432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First Busey Corporation</w:t>
      </w:r>
    </w:p>
    <w:p>
      <w:pPr>
        <w:jc w:val="center"/>
        <w:ind w:right="20"/>
        <w:spacing w:after="0" w:line="222" w:lineRule="auto"/>
        <w:rPr>
          <w:sz w:val="20"/>
          <w:szCs w:val="20"/>
          <w:color w:val="auto"/>
        </w:rPr>
      </w:pPr>
      <w:r>
        <w:rPr>
          <w:rFonts w:ascii="Arial" w:cs="Arial" w:eastAsia="Arial" w:hAnsi="Arial"/>
          <w:sz w:val="12"/>
          <w:szCs w:val="12"/>
          <w:color w:val="auto"/>
        </w:rPr>
        <w:t>(Exact name of Registrant as specified in its charter)</w:t>
      </w:r>
    </w:p>
    <w:p>
      <w:pPr>
        <w:ind w:left="4240"/>
        <w:spacing w:after="0"/>
        <w:rPr>
          <w:sz w:val="20"/>
          <w:szCs w:val="20"/>
          <w:color w:val="auto"/>
        </w:rPr>
      </w:pPr>
      <w:r>
        <w:rPr>
          <w:rFonts w:ascii="Arial" w:cs="Arial" w:eastAsia="Arial" w:hAnsi="Arial"/>
          <w:sz w:val="12"/>
          <w:szCs w:val="12"/>
          <w:color w:val="auto"/>
        </w:rPr>
        <w:t>__________________________________________</w:t>
      </w:r>
    </w:p>
    <w:p>
      <w:pPr>
        <w:sectPr>
          <w:pgSz w:w="11900" w:h="16838" w:orient="portrait"/>
          <w:cols w:equalWidth="0" w:num="1">
            <w:col w:w="11300"/>
          </w:cols>
          <w:pgMar w:left="300" w:top="1025" w:right="299" w:bottom="1440" w:gutter="0" w:footer="0" w:header="0"/>
        </w:sectPr>
      </w:pPr>
    </w:p>
    <w:p>
      <w:pPr>
        <w:spacing w:after="0" w:line="129" w:lineRule="exact"/>
        <w:rPr>
          <w:sz w:val="24"/>
          <w:szCs w:val="24"/>
          <w:color w:val="auto"/>
        </w:rPr>
      </w:pPr>
    </w:p>
    <w:p>
      <w:pPr>
        <w:ind w:left="1660"/>
        <w:spacing w:after="0"/>
        <w:rPr>
          <w:sz w:val="20"/>
          <w:szCs w:val="20"/>
          <w:color w:val="auto"/>
        </w:rPr>
      </w:pPr>
      <w:r>
        <w:rPr>
          <w:rFonts w:ascii="Arial" w:cs="Arial" w:eastAsia="Arial" w:hAnsi="Arial"/>
          <w:sz w:val="12"/>
          <w:szCs w:val="12"/>
          <w:b w:val="1"/>
          <w:bCs w:val="1"/>
          <w:color w:val="auto"/>
        </w:rPr>
        <w:t>Nevada</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jc w:val="center"/>
        <w:ind w:right="2500"/>
        <w:spacing w:after="0"/>
        <w:rPr>
          <w:sz w:val="20"/>
          <w:szCs w:val="20"/>
          <w:color w:val="auto"/>
        </w:rPr>
      </w:pPr>
      <w:r>
        <w:rPr>
          <w:rFonts w:ascii="Arial" w:cs="Arial" w:eastAsia="Arial" w:hAnsi="Arial"/>
          <w:sz w:val="11"/>
          <w:szCs w:val="11"/>
          <w:b w:val="1"/>
          <w:bCs w:val="1"/>
          <w:color w:val="auto"/>
        </w:rPr>
        <w:t>0-15950</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37-1078406</w:t>
      </w:r>
    </w:p>
    <w:p>
      <w:pPr>
        <w:spacing w:after="0" w:line="38" w:lineRule="exact"/>
        <w:rPr>
          <w:sz w:val="24"/>
          <w:szCs w:val="24"/>
          <w:color w:val="auto"/>
        </w:rPr>
      </w:pPr>
    </w:p>
    <w:p>
      <w:pPr>
        <w:sectPr>
          <w:pgSz w:w="11900" w:h="16838" w:orient="portrait"/>
          <w:cols w:equalWidth="0" w:num="3">
            <w:col w:w="4720" w:space="720"/>
            <w:col w:w="2940" w:space="720"/>
            <w:col w:w="2200"/>
          </w:cols>
          <w:pgMar w:left="300" w:top="1025" w:right="299" w:bottom="1440" w:gutter="0" w:footer="0" w:header="0"/>
          <w:type w:val="continuous"/>
        </w:sectPr>
      </w:pPr>
    </w:p>
    <w:p>
      <w:pPr>
        <w:ind w:left="1320"/>
        <w:spacing w:after="0"/>
        <w:rPr>
          <w:sz w:val="20"/>
          <w:szCs w:val="20"/>
          <w:color w:val="auto"/>
        </w:rPr>
      </w:pPr>
      <w:r>
        <w:rPr>
          <w:rFonts w:ascii="Arial" w:cs="Arial" w:eastAsia="Arial" w:hAnsi="Arial"/>
          <w:sz w:val="10"/>
          <w:szCs w:val="10"/>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(I.R.S. Employer Identification No.)</w:t>
      </w:r>
    </w:p>
    <w:p>
      <w:pPr>
        <w:spacing w:after="0" w:line="44" w:lineRule="exact"/>
        <w:rPr>
          <w:sz w:val="24"/>
          <w:szCs w:val="24"/>
          <w:color w:val="auto"/>
        </w:rPr>
      </w:pPr>
    </w:p>
    <w:p>
      <w:pPr>
        <w:sectPr>
          <w:pgSz w:w="11900" w:h="16838" w:orient="portrait"/>
          <w:cols w:equalWidth="0" w:num="3">
            <w:col w:w="4300" w:space="720"/>
            <w:col w:w="2840" w:space="720"/>
            <w:col w:w="2720"/>
          </w:cols>
          <w:pgMar w:left="300" w:top="1025" w:right="299" w:bottom="1440" w:gutter="0" w:footer="0" w:header="0"/>
          <w:type w:val="continuous"/>
        </w:sectPr>
      </w:pPr>
    </w:p>
    <w:p>
      <w:pPr>
        <w:jc w:val="center"/>
        <w:ind w:right="-19"/>
        <w:spacing w:after="0"/>
        <w:rPr>
          <w:sz w:val="20"/>
          <w:szCs w:val="20"/>
          <w:color w:val="auto"/>
        </w:rPr>
      </w:pPr>
      <w:r>
        <w:rPr>
          <w:rFonts w:ascii="Arial" w:cs="Arial" w:eastAsia="Arial" w:hAnsi="Arial"/>
          <w:sz w:val="12"/>
          <w:szCs w:val="12"/>
          <w:b w:val="1"/>
          <w:bCs w:val="1"/>
          <w:color w:val="auto"/>
        </w:rPr>
        <w:t>11440 Tomahawk Creek Parkway</w:t>
      </w:r>
    </w:p>
    <w:p>
      <w:pPr>
        <w:jc w:val="center"/>
        <w:ind w:right="-19"/>
        <w:spacing w:after="0"/>
        <w:rPr>
          <w:sz w:val="20"/>
          <w:szCs w:val="20"/>
          <w:color w:val="auto"/>
        </w:rPr>
      </w:pPr>
      <w:r>
        <w:rPr>
          <w:rFonts w:ascii="Arial" w:cs="Arial" w:eastAsia="Arial" w:hAnsi="Arial"/>
          <w:sz w:val="12"/>
          <w:szCs w:val="12"/>
          <w:b w:val="1"/>
          <w:bCs w:val="1"/>
          <w:color w:val="auto"/>
        </w:rPr>
        <w:t>Leawood, Kansas 66211</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(Address of Principal Executive Offices)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(217) 365-4544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N/A</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(Former name or former address, if changed since last report.)</w:t>
      </w:r>
    </w:p>
    <w:p>
      <w:pPr>
        <w:sectPr>
          <w:pgSz w:w="11900" w:h="16838" w:orient="portrait"/>
          <w:cols w:equalWidth="0" w:num="1">
            <w:col w:w="11300"/>
          </w:cols>
          <w:pgMar w:left="300" w:top="1025" w:right="299" w:bottom="1440" w:gutter="0" w:footer="0" w:header="0"/>
          <w:type w:val="continuous"/>
        </w:sectPr>
      </w:pPr>
    </w:p>
    <w:p>
      <w:pPr>
        <w:spacing w:after="0" w:line="179"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Written communications pursuant to Rule 425 under the Securities Act (17 CFR 230.425)</w:t>
      </w:r>
    </w:p>
    <w:p>
      <w:pPr>
        <w:spacing w:after="0" w:line="80"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Soliciting material pursuant to Rule 14a-12 under the Exchange Act (17 CFR 240.14a-12)</w:t>
      </w:r>
    </w:p>
    <w:p>
      <w:pPr>
        <w:spacing w:after="0" w:line="80"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14d-2(b) under the Exchange Act (17 CFR 240.14d-2(b))</w:t>
      </w:r>
    </w:p>
    <w:p>
      <w:pPr>
        <w:spacing w:after="0" w:line="80"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Arial" w:cs="Arial" w:eastAsia="Arial" w:hAnsi="Arial"/>
          <w:sz w:val="11"/>
          <w:szCs w:val="11"/>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44"/>
        </w:trPr>
        <w:tc>
          <w:tcPr>
            <w:tcW w:w="7660" w:type="dxa"/>
            <w:vAlign w:val="bottom"/>
            <w:gridSpan w:val="2"/>
          </w:tcPr>
          <w:p>
            <w:pPr>
              <w:spacing w:after="0"/>
              <w:rPr>
                <w:sz w:val="20"/>
                <w:szCs w:val="20"/>
                <w:color w:val="auto"/>
              </w:rPr>
            </w:pPr>
            <w:r>
              <w:rPr>
                <w:rFonts w:ascii="Arial" w:cs="Arial" w:eastAsia="Arial" w:hAnsi="Arial"/>
                <w:sz w:val="11"/>
                <w:szCs w:val="11"/>
                <w:b w:val="1"/>
                <w:bCs w:val="1"/>
                <w:color w:val="auto"/>
              </w:rPr>
              <w:t>Title of each class</w:t>
            </w:r>
          </w:p>
        </w:tc>
        <w:tc>
          <w:tcPr>
            <w:tcW w:w="11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7"/>
              </w:rPr>
              <w:t>Trading Symbol(s)</w:t>
            </w:r>
          </w:p>
        </w:tc>
        <w:tc>
          <w:tcPr>
            <w:tcW w:w="2520" w:type="dxa"/>
            <w:vAlign w:val="bottom"/>
          </w:tcPr>
          <w:p>
            <w:pPr>
              <w:jc w:val="center"/>
              <w:spacing w:after="0"/>
              <w:rPr>
                <w:sz w:val="20"/>
                <w:szCs w:val="20"/>
                <w:color w:val="auto"/>
              </w:rPr>
            </w:pPr>
            <w:r>
              <w:rPr>
                <w:rFonts w:ascii="Arial" w:cs="Arial" w:eastAsia="Arial" w:hAnsi="Arial"/>
                <w:sz w:val="11"/>
                <w:szCs w:val="11"/>
                <w:b w:val="1"/>
                <w:bCs w:val="1"/>
                <w:color w:val="auto"/>
                <w:w w:val="98"/>
              </w:rPr>
              <w:t>Name of each exchange on which registered</w:t>
            </w:r>
          </w:p>
        </w:tc>
      </w:tr>
      <w:tr>
        <w:trPr>
          <w:trHeight w:val="138"/>
        </w:trPr>
        <w:tc>
          <w:tcPr>
            <w:tcW w:w="75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Common Stock, $0.001 par value</w:t>
            </w:r>
          </w:p>
        </w:tc>
        <w:tc>
          <w:tcPr>
            <w:tcW w:w="80" w:type="dxa"/>
            <w:vAlign w:val="bottom"/>
          </w:tcPr>
          <w:p>
            <w:pPr>
              <w:spacing w:after="0"/>
              <w:rPr>
                <w:sz w:val="12"/>
                <w:szCs w:val="12"/>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7"/>
              </w:rPr>
              <w:t>BUSE</w:t>
            </w:r>
          </w:p>
        </w:tc>
        <w:tc>
          <w:tcPr>
            <w:tcW w:w="60" w:type="dxa"/>
            <w:vAlign w:val="bottom"/>
          </w:tcPr>
          <w:p>
            <w:pPr>
              <w:spacing w:after="0"/>
              <w:rPr>
                <w:sz w:val="12"/>
                <w:szCs w:val="12"/>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99"/>
              </w:rPr>
              <w:t>Nasdaq Stock Market LLC</w:t>
            </w:r>
          </w:p>
        </w:tc>
      </w:tr>
      <w:tr>
        <w:trPr>
          <w:trHeight w:val="121"/>
        </w:trPr>
        <w:tc>
          <w:tcPr>
            <w:tcW w:w="7660" w:type="dxa"/>
            <w:vAlign w:val="bottom"/>
            <w:gridSpan w:val="2"/>
          </w:tcPr>
          <w:p>
            <w:pPr>
              <w:spacing w:after="0" w:line="121" w:lineRule="exact"/>
              <w:rPr>
                <w:sz w:val="20"/>
                <w:szCs w:val="20"/>
                <w:color w:val="auto"/>
              </w:rPr>
            </w:pPr>
            <w:r>
              <w:rPr>
                <w:rFonts w:ascii="Arial" w:cs="Arial" w:eastAsia="Arial" w:hAnsi="Arial"/>
                <w:sz w:val="12"/>
                <w:szCs w:val="12"/>
                <w:color w:val="auto"/>
              </w:rPr>
              <w:t>Depositary Shares, each representing a 1/40th interest in a share of 8.25% Fixed-Rate Series B Non-Cumulative Perpetual Preferred Stock,</w:t>
            </w:r>
          </w:p>
        </w:tc>
        <w:tc>
          <w:tcPr>
            <w:tcW w:w="1120" w:type="dxa"/>
            <w:vAlign w:val="bottom"/>
            <w:gridSpan w:val="2"/>
          </w:tcPr>
          <w:p>
            <w:pPr>
              <w:jc w:val="center"/>
              <w:ind w:right="80"/>
              <w:spacing w:after="0" w:line="121" w:lineRule="exact"/>
              <w:rPr>
                <w:sz w:val="20"/>
                <w:szCs w:val="20"/>
                <w:color w:val="auto"/>
              </w:rPr>
            </w:pPr>
            <w:r>
              <w:rPr>
                <w:rFonts w:ascii="Arial" w:cs="Arial" w:eastAsia="Arial" w:hAnsi="Arial"/>
                <w:sz w:val="12"/>
                <w:szCs w:val="12"/>
                <w:color w:val="auto"/>
                <w:w w:val="98"/>
              </w:rPr>
              <w:t>BUSEP</w:t>
            </w:r>
          </w:p>
        </w:tc>
        <w:tc>
          <w:tcPr>
            <w:tcW w:w="2520" w:type="dxa"/>
            <w:vAlign w:val="bottom"/>
          </w:tcPr>
          <w:p>
            <w:pPr>
              <w:jc w:val="center"/>
              <w:spacing w:after="0" w:line="121" w:lineRule="exact"/>
              <w:rPr>
                <w:sz w:val="20"/>
                <w:szCs w:val="20"/>
                <w:color w:val="auto"/>
              </w:rPr>
            </w:pPr>
            <w:r>
              <w:rPr>
                <w:rFonts w:ascii="Arial" w:cs="Arial" w:eastAsia="Arial" w:hAnsi="Arial"/>
                <w:sz w:val="12"/>
                <w:szCs w:val="12"/>
                <w:color w:val="auto"/>
                <w:w w:val="99"/>
              </w:rPr>
              <w:t>Nasdaq Stock Market LLC</w:t>
            </w:r>
          </w:p>
        </w:tc>
      </w:tr>
      <w:tr>
        <w:trPr>
          <w:trHeight w:val="159"/>
        </w:trPr>
        <w:tc>
          <w:tcPr>
            <w:tcW w:w="7660" w:type="dxa"/>
            <w:vAlign w:val="bottom"/>
            <w:gridSpan w:val="2"/>
          </w:tcPr>
          <w:p>
            <w:pPr>
              <w:spacing w:after="0"/>
              <w:rPr>
                <w:sz w:val="20"/>
                <w:szCs w:val="20"/>
                <w:color w:val="auto"/>
              </w:rPr>
            </w:pPr>
            <w:r>
              <w:rPr>
                <w:rFonts w:ascii="Arial" w:cs="Arial" w:eastAsia="Arial" w:hAnsi="Arial"/>
                <w:sz w:val="12"/>
                <w:szCs w:val="12"/>
                <w:color w:val="auto"/>
              </w:rPr>
              <w:t>$0.001 par value</w:t>
            </w: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20" w:type="dxa"/>
            <w:vAlign w:val="bottom"/>
          </w:tcPr>
          <w:p>
            <w:pPr>
              <w:spacing w:after="0"/>
              <w:rPr>
                <w:sz w:val="13"/>
                <w:szCs w:val="13"/>
                <w:color w:val="auto"/>
              </w:rPr>
            </w:pPr>
          </w:p>
        </w:tc>
      </w:tr>
    </w:tbl>
    <w:p>
      <w:pPr>
        <w:spacing w:after="0" w:line="162" w:lineRule="exact"/>
        <w:rPr>
          <w:sz w:val="24"/>
          <w:szCs w:val="24"/>
          <w:color w:val="auto"/>
        </w:rPr>
      </w:pPr>
    </w:p>
    <w:p>
      <w:pPr>
        <w:jc w:val="both"/>
        <w:spacing w:after="0" w:line="146"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12"/>
          <w:szCs w:val="12"/>
          <w:color w:val="auto"/>
        </w:rPr>
        <w:t>☐</w:t>
      </w:r>
    </w:p>
    <w:p>
      <w:pPr>
        <w:spacing w:after="0" w:line="69" w:lineRule="exact"/>
        <w:rPr>
          <w:sz w:val="24"/>
          <w:szCs w:val="24"/>
          <w:color w:val="auto"/>
        </w:rPr>
      </w:pPr>
    </w:p>
    <w:p>
      <w:pPr>
        <w:jc w:val="both"/>
        <w:spacing w:after="0" w:line="146"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530860</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360680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377825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type w:val="continuous"/>
        </w:sectPr>
      </w:pPr>
    </w:p>
    <w:bookmarkStart w:id="1" w:name="page2"/>
    <w:bookmarkEnd w:id="1"/>
    <w:p>
      <w:pPr>
        <w:spacing w:after="0"/>
        <w:tabs>
          <w:tab w:leader="none" w:pos="620" w:val="left"/>
        </w:tabs>
        <w:rPr>
          <w:sz w:val="20"/>
          <w:szCs w:val="20"/>
          <w:color w:val="auto"/>
        </w:rPr>
      </w:pPr>
      <w:r>
        <w:rPr>
          <w:rFonts w:ascii="Arial" w:cs="Arial" w:eastAsia="Arial" w:hAnsi="Arial"/>
          <w:sz w:val="12"/>
          <w:szCs w:val="12"/>
          <w:b w:val="1"/>
          <w:bCs w:val="1"/>
          <w:color w:val="auto"/>
        </w:rPr>
        <w:t>Item 2.02</w:t>
        <w:tab/>
        <w:t>Results of Operations and Financial Condition.</w:t>
      </w:r>
    </w:p>
    <w:p>
      <w:pPr>
        <w:spacing w:after="0" w:line="13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 xml:space="preserve">On July 22, 2025, First Busey Corporation (“Busey”) issued a press release (“Earnings Release”) disclosing financial results for the quarter ended June 30, 2025. A copy of the Earnings Release is attached hereto as </w:t>
      </w:r>
      <w:r>
        <w:rPr>
          <w:rFonts w:ascii="Arial" w:cs="Arial" w:eastAsia="Arial" w:hAnsi="Arial"/>
          <w:sz w:val="12"/>
          <w:szCs w:val="12"/>
          <w:u w:val="single" w:color="auto"/>
          <w:color w:val="0000FF"/>
        </w:rPr>
        <w:t>Exhibit 99.1</w:t>
      </w:r>
      <w:r>
        <w:rPr>
          <w:rFonts w:ascii="Arial" w:cs="Arial" w:eastAsia="Arial" w:hAnsi="Arial"/>
          <w:sz w:val="12"/>
          <w:szCs w:val="12"/>
          <w:color w:val="auto"/>
        </w:rPr>
        <w:t xml:space="preserve"> and is incorporated herein by reference.</w:t>
      </w:r>
    </w:p>
    <w:p>
      <w:pPr>
        <w:spacing w:after="0" w:line="78" w:lineRule="exact"/>
        <w:rPr>
          <w:sz w:val="20"/>
          <w:szCs w:val="20"/>
          <w:color w:val="auto"/>
        </w:rPr>
      </w:pPr>
    </w:p>
    <w:p>
      <w:pPr>
        <w:jc w:val="both"/>
        <w:ind w:right="20"/>
        <w:spacing w:after="0" w:line="266" w:lineRule="auto"/>
        <w:rPr>
          <w:sz w:val="20"/>
          <w:szCs w:val="20"/>
          <w:color w:val="auto"/>
        </w:rPr>
      </w:pPr>
      <w:r>
        <w:rPr>
          <w:rFonts w:ascii="Arial" w:cs="Arial" w:eastAsia="Arial" w:hAnsi="Arial"/>
          <w:sz w:val="12"/>
          <w:szCs w:val="12"/>
          <w:i w:val="1"/>
          <w:iCs w:val="1"/>
          <w:color w:val="auto"/>
        </w:rPr>
        <w:t xml:space="preserve">The information in Item 2.02 of this Current Report on Form 8-K and </w:t>
      </w:r>
      <w:r>
        <w:rPr>
          <w:rFonts w:ascii="Arial" w:cs="Arial" w:eastAsia="Arial" w:hAnsi="Arial"/>
          <w:sz w:val="12"/>
          <w:szCs w:val="12"/>
          <w:i w:val="1"/>
          <w:iCs w:val="1"/>
          <w:u w:val="single" w:color="auto"/>
          <w:color w:val="0000FF"/>
        </w:rPr>
        <w:t>Exhibit 99.1</w:t>
      </w:r>
      <w:r>
        <w:rPr>
          <w:rFonts w:ascii="Arial" w:cs="Arial" w:eastAsia="Arial" w:hAnsi="Arial"/>
          <w:sz w:val="12"/>
          <w:szCs w:val="12"/>
          <w:i w:val="1"/>
          <w:iCs w:val="1"/>
          <w:color w:val="auto"/>
        </w:rPr>
        <w:t xml:space="preserve"> attached hereto is being “furnished” and will not, except to the extent required by applicable law or regulation, be deemed “filed” by Busey for purposes of Section 18 of the Securities Exchange Act of 1934, as amended (“Exchange Act”), or otherwise subject to the liabilities of that section, nor will any of such information or exhibits be deemed incorporated by reference into any filing under the Securities Act of 1933, as amended (“Securities Act”), or the Exchange Act.</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7.01</w:t>
        <w:tab/>
        <w:t>Regulation FD Disclosure.</w:t>
      </w:r>
    </w:p>
    <w:p>
      <w:pPr>
        <w:spacing w:after="0" w:line="132"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 xml:space="preserve">On July 22, 2025, Busey published its Earnings Investor Presentation discussing financial results for the quarter ended June 30, 2025. A copy is attached hereto as </w:t>
      </w:r>
      <w:r>
        <w:rPr>
          <w:rFonts w:ascii="Arial" w:cs="Arial" w:eastAsia="Arial" w:hAnsi="Arial"/>
          <w:sz w:val="12"/>
          <w:szCs w:val="12"/>
          <w:u w:val="single" w:color="auto"/>
          <w:color w:val="0000FF"/>
        </w:rPr>
        <w:t>Exhibit 99.2</w:t>
      </w:r>
      <w:r>
        <w:rPr>
          <w:rFonts w:ascii="Arial" w:cs="Arial" w:eastAsia="Arial" w:hAnsi="Arial"/>
          <w:sz w:val="12"/>
          <w:szCs w:val="12"/>
          <w:color w:val="auto"/>
        </w:rPr>
        <w:t xml:space="preserve"> and is incorporated herein by reference.</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2"/>
          <w:szCs w:val="12"/>
          <w:i w:val="1"/>
          <w:iCs w:val="1"/>
          <w:color w:val="auto"/>
        </w:rPr>
        <w:t xml:space="preserve">The information in Item 7.01 of this Current Report on Form 8-K and </w:t>
      </w:r>
      <w:r>
        <w:rPr>
          <w:rFonts w:ascii="Arial" w:cs="Arial" w:eastAsia="Arial" w:hAnsi="Arial"/>
          <w:sz w:val="12"/>
          <w:szCs w:val="12"/>
          <w:i w:val="1"/>
          <w:iCs w:val="1"/>
          <w:u w:val="single" w:color="auto"/>
          <w:color w:val="0000FF"/>
        </w:rPr>
        <w:t>Exhibit 99.2</w:t>
      </w:r>
      <w:r>
        <w:rPr>
          <w:rFonts w:ascii="Arial" w:cs="Arial" w:eastAsia="Arial" w:hAnsi="Arial"/>
          <w:sz w:val="12"/>
          <w:szCs w:val="12"/>
          <w:i w:val="1"/>
          <w:iCs w:val="1"/>
          <w:color w:val="auto"/>
        </w:rPr>
        <w:t xml:space="preserve"> attached hereto is being “furnished” and will not, except to the extent required by applicable law or regulation, be deemed “filed” by Busey for purposes of Section 18 of the Exchange Act, or otherwise subject to the liabilities of that section, nor will any of such information or exhibits be deemed incorporated by reference into any filing under the Securities Act or the Exchange Act.</w:t>
      </w:r>
    </w:p>
    <w:p>
      <w:pPr>
        <w:spacing w:after="0" w:line="88"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8.01</w:t>
      </w:r>
      <w:r>
        <w:rPr>
          <w:sz w:val="20"/>
          <w:szCs w:val="20"/>
          <w:color w:val="auto"/>
        </w:rPr>
        <w:tab/>
      </w:r>
      <w:r>
        <w:rPr>
          <w:rFonts w:ascii="Arial" w:cs="Arial" w:eastAsia="Arial" w:hAnsi="Arial"/>
          <w:sz w:val="11"/>
          <w:szCs w:val="11"/>
          <w:b w:val="1"/>
          <w:bCs w:val="1"/>
          <w:color w:val="auto"/>
        </w:rPr>
        <w:t>Other Events.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Franchise Tax Matter</w:t>
      </w:r>
    </w:p>
    <w:p>
      <w:pPr>
        <w:spacing w:after="0" w:line="123"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As previously disclosed, in 2021, Busey received an inquiry from the Illinois Secretary of State (the “ISOS”), pursuant to which the ISOS asked for additional information regarding certain of Busey’s franchise tax filings and the calculation of amounts due thereunder. The franchise tax is established by the Illinois Business Corporation Act (“BCA”) 805 ILCS 5/1 et seq., and is a tax imposed on foreign and domestic corporations for the privilege of conducting business in Illinois. Busey has been cooperating with the inquiry since the initial outreach from the ISOS in 2021 and in October 2024 delivered additional BCA forms requested by the ISOS, with a full reservation of rights by Busey. On March 20, 2025, the ISOS requested that Busey resubmit the requested forms using a proposed methodology for paid-in capital that First Busey views as inconsistent with the ISOS’s past practice, and existing statutory and case law. Accordingly, on May 14, 2025, within the ISOS’s requested timeframe, Busey informed the ISOS that it would not resubmit the requested forms with the methodology that Busey disputes and requested that the parties instead continue good faith discussions. On July 2, 2025, Busey received a notice of hearing from the ISOS indicating that an administrative hearing has been scheduled to “ascertain” the required amount of franchise taxes, penalties, interest, fees, and charges purportedly due from Busey to the ISOS. In the notice, the ISOS requested a determination of an amount due that the ISOS preliminarily estimated to be in excess of $28 million, including in excess of $17.4 million in interest and in excess of $250.7 thousand in penalties. Busey disagrees with the ISOS’s preliminary estimate and believes that the ISOS’s request is contrary not only to the ISOS’s past practice, but also existing statutory and case law. Busey intends to vigorously defend itself against the ISOS’s notice, including through appropriate judicial relief, if necessary. Where a loss is believed to be reasonably possible, but not probable, or the loss cannot be reasonably estimated, no accrual is required. Given the underlying disagreement between Busey and the ISOS on the proper methodology for calculating any franchise tax owed, the loss cannot be reasonably estimated. It is reasonably possible that this matter could require Busey to pay additional taxes, including potential penalties and interest, or make other expenditures or accrue liabilities in amounts that could not be reasonably estimated as of June 30, 2025. If the likelihood of potential liabilities elevates and Busey becomes able to reasonably estimate the loss, requiring an accrual, the potential future liabilities could be material in the period(s) in which they are recorded.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119380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54" w:right="299" w:bottom="1440" w:gutter="0" w:footer="0" w:header="0"/>
        </w:sectPr>
      </w:pPr>
    </w:p>
    <w:bookmarkStart w:id="2" w:name="page3"/>
    <w:bookmarkEnd w:id="2"/>
    <w:p>
      <w:pPr>
        <w:spacing w:after="0"/>
        <w:tabs>
          <w:tab w:leader="none" w:pos="66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620" w:type="dxa"/>
            <w:vAlign w:val="bottom"/>
            <w:gridSpan w:val="2"/>
          </w:tcPr>
          <w:p>
            <w:pPr>
              <w:spacing w:after="0"/>
              <w:rPr>
                <w:sz w:val="20"/>
                <w:szCs w:val="20"/>
                <w:color w:val="auto"/>
              </w:rPr>
            </w:pPr>
            <w:r>
              <w:rPr>
                <w:rFonts w:ascii="Arial" w:cs="Arial" w:eastAsia="Arial" w:hAnsi="Arial"/>
                <w:sz w:val="12"/>
                <w:szCs w:val="12"/>
                <w:b w:val="1"/>
                <w:bCs w:val="1"/>
                <w:color w:val="auto"/>
              </w:rPr>
              <w:t>Exhibit Number</w:t>
            </w:r>
          </w:p>
        </w:tc>
        <w:tc>
          <w:tcPr>
            <w:tcW w:w="20" w:type="dxa"/>
            <w:vAlign w:val="bottom"/>
          </w:tcPr>
          <w:p>
            <w:pPr>
              <w:spacing w:after="0"/>
              <w:rPr>
                <w:sz w:val="13"/>
                <w:szCs w:val="13"/>
                <w:color w:val="auto"/>
              </w:rPr>
            </w:pPr>
          </w:p>
        </w:tc>
        <w:tc>
          <w:tcPr>
            <w:tcW w:w="9660" w:type="dxa"/>
            <w:vAlign w:val="bottom"/>
            <w:gridSpan w:val="4"/>
          </w:tcPr>
          <w:p>
            <w:pPr>
              <w:spacing w:after="0"/>
              <w:rPr>
                <w:sz w:val="20"/>
                <w:szCs w:val="20"/>
                <w:color w:val="auto"/>
              </w:rPr>
            </w:pPr>
            <w:r>
              <w:rPr>
                <w:rFonts w:ascii="Arial" w:cs="Arial" w:eastAsia="Arial" w:hAnsi="Arial"/>
                <w:sz w:val="12"/>
                <w:szCs w:val="12"/>
                <w:b w:val="1"/>
                <w:bCs w:val="1"/>
                <w:color w:val="auto"/>
              </w:rPr>
              <w:t>Description of Exhibit</w:t>
            </w:r>
          </w:p>
        </w:tc>
      </w:tr>
      <w:tr>
        <w:trPr>
          <w:trHeight w:val="115"/>
        </w:trPr>
        <w:tc>
          <w:tcPr>
            <w:tcW w:w="1560" w:type="dxa"/>
            <w:vAlign w:val="bottom"/>
            <w:tcBorders>
              <w:top w:val="single" w:sz="8" w:color="auto"/>
            </w:tcBorders>
          </w:tcPr>
          <w:p>
            <w:pPr>
              <w:spacing w:after="0" w:line="115" w:lineRule="exact"/>
              <w:rPr>
                <w:sz w:val="20"/>
                <w:szCs w:val="20"/>
                <w:color w:val="auto"/>
              </w:rPr>
            </w:pPr>
            <w:r>
              <w:rPr>
                <w:rFonts w:ascii="Arial" w:cs="Arial" w:eastAsia="Arial" w:hAnsi="Arial"/>
                <w:sz w:val="12"/>
                <w:szCs w:val="12"/>
                <w:color w:val="auto"/>
              </w:rPr>
              <w:t>99.1</w:t>
            </w: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900" w:type="dxa"/>
            <w:vAlign w:val="bottom"/>
            <w:tcBorders>
              <w:top w:val="single" w:sz="8" w:color="auto"/>
              <w:bottom w:val="single" w:sz="8" w:color="0000FF"/>
            </w:tcBorders>
          </w:tcPr>
          <w:p>
            <w:pPr>
              <w:spacing w:after="0" w:line="115" w:lineRule="exact"/>
              <w:rPr>
                <w:sz w:val="20"/>
                <w:szCs w:val="20"/>
                <w:color w:val="auto"/>
              </w:rPr>
            </w:pPr>
            <w:r>
              <w:rPr>
                <w:rFonts w:ascii="Arial" w:cs="Arial" w:eastAsia="Arial" w:hAnsi="Arial"/>
                <w:sz w:val="12"/>
                <w:szCs w:val="12"/>
                <w:color w:val="0000FF"/>
                <w:w w:val="99"/>
              </w:rPr>
              <w:t>Earnings Release issued by First Busey Corporation, dated July 22, 2025</w:t>
            </w:r>
          </w:p>
        </w:tc>
        <w:tc>
          <w:tcPr>
            <w:tcW w:w="4820" w:type="dxa"/>
            <w:vAlign w:val="bottom"/>
            <w:tcBorders>
              <w:top w:val="single" w:sz="8" w:color="auto"/>
            </w:tcBorders>
            <w:gridSpan w:val="2"/>
          </w:tcPr>
          <w:p>
            <w:pPr>
              <w:spacing w:after="0"/>
              <w:rPr>
                <w:sz w:val="10"/>
                <w:szCs w:val="10"/>
                <w:color w:val="auto"/>
              </w:rPr>
            </w:pPr>
          </w:p>
        </w:tc>
        <w:tc>
          <w:tcPr>
            <w:tcW w:w="940" w:type="dxa"/>
            <w:vAlign w:val="bottom"/>
          </w:tcPr>
          <w:p>
            <w:pPr>
              <w:spacing w:after="0"/>
              <w:rPr>
                <w:sz w:val="10"/>
                <w:szCs w:val="10"/>
                <w:color w:val="auto"/>
              </w:rPr>
            </w:pPr>
          </w:p>
        </w:tc>
      </w:tr>
      <w:tr>
        <w:trPr>
          <w:trHeight w:val="133"/>
        </w:trPr>
        <w:tc>
          <w:tcPr>
            <w:tcW w:w="156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60" w:type="dxa"/>
            <w:vAlign w:val="bottom"/>
            <w:gridSpan w:val="4"/>
          </w:tcPr>
          <w:p>
            <w:pPr>
              <w:spacing w:after="0" w:line="133" w:lineRule="exact"/>
              <w:rPr>
                <w:sz w:val="20"/>
                <w:szCs w:val="20"/>
                <w:color w:val="auto"/>
              </w:rPr>
            </w:pPr>
            <w:r>
              <w:rPr>
                <w:rFonts w:ascii="Arial" w:cs="Arial" w:eastAsia="Arial" w:hAnsi="Arial"/>
                <w:sz w:val="12"/>
                <w:szCs w:val="12"/>
                <w:color w:val="0000FF"/>
              </w:rPr>
              <w:t>Earnings Investor Presentation issued by First Busey Corporation, dated July 22, 2025</w:t>
            </w:r>
          </w:p>
        </w:tc>
      </w:tr>
      <w:tr>
        <w:trPr>
          <w:trHeight w:val="20"/>
        </w:trPr>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2"/>
            <w:shd w:val="clear" w:color="auto" w:fill="0000FF"/>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r>
      <w:tr>
        <w:trPr>
          <w:trHeight w:val="162"/>
        </w:trPr>
        <w:tc>
          <w:tcPr>
            <w:tcW w:w="1560" w:type="dxa"/>
            <w:vAlign w:val="bottom"/>
          </w:tcPr>
          <w:p>
            <w:pPr>
              <w:spacing w:after="0"/>
              <w:rPr>
                <w:sz w:val="20"/>
                <w:szCs w:val="20"/>
                <w:color w:val="auto"/>
              </w:rPr>
            </w:pPr>
            <w:r>
              <w:rPr>
                <w:rFonts w:ascii="Arial" w:cs="Arial" w:eastAsia="Arial" w:hAnsi="Arial"/>
                <w:sz w:val="12"/>
                <w:szCs w:val="12"/>
                <w:color w:val="auto"/>
              </w:rPr>
              <w:t>104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gridSpan w:val="4"/>
          </w:tcPr>
          <w:p>
            <w:pPr>
              <w:spacing w:after="0"/>
              <w:rPr>
                <w:sz w:val="20"/>
                <w:szCs w:val="20"/>
                <w:color w:val="auto"/>
              </w:rPr>
            </w:pPr>
            <w:r>
              <w:rPr>
                <w:rFonts w:ascii="Arial" w:cs="Arial" w:eastAsia="Arial" w:hAnsi="Arial"/>
                <w:sz w:val="12"/>
                <w:szCs w:val="12"/>
                <w:color w:val="auto"/>
              </w:rPr>
              <w:t>Cover Page Interactive Data File (embedded within the Inline XBRL document and included in Exhibit 101)</w:t>
            </w:r>
          </w:p>
        </w:tc>
      </w:tr>
      <w:tr>
        <w:trPr>
          <w:trHeight w:val="747"/>
        </w:trPr>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0" w:type="dxa"/>
            <w:vAlign w:val="bottom"/>
            <w:gridSpan w:val="3"/>
          </w:tcPr>
          <w:p>
            <w:pPr>
              <w:jc w:val="right"/>
              <w:ind w:right="540"/>
              <w:spacing w:after="0"/>
              <w:rPr>
                <w:sz w:val="20"/>
                <w:szCs w:val="20"/>
                <w:color w:val="auto"/>
              </w:rPr>
            </w:pPr>
            <w:r>
              <w:rPr>
                <w:rFonts w:ascii="Arial" w:cs="Arial" w:eastAsia="Arial" w:hAnsi="Arial"/>
                <w:sz w:val="12"/>
                <w:szCs w:val="12"/>
                <w:color w:val="auto"/>
              </w:rPr>
              <w:t>3</w:t>
            </w:r>
          </w:p>
        </w:tc>
        <w:tc>
          <w:tcPr>
            <w:tcW w:w="4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6"/>
        </w:trPr>
        <w:tc>
          <w:tcPr>
            <w:tcW w:w="15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390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414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054" w:right="299" w:bottom="1440" w:gutter="0" w:footer="0" w:header="0"/>
        </w:sectPr>
      </w:pPr>
    </w:p>
    <w:bookmarkStart w:id="3" w:name="page4"/>
    <w:bookmarkEnd w:id="3"/>
    <w:p>
      <w:pPr>
        <w:ind w:left="5360"/>
        <w:spacing w:after="0"/>
        <w:rPr>
          <w:sz w:val="20"/>
          <w:szCs w:val="20"/>
          <w:color w:val="auto"/>
        </w:rPr>
      </w:pPr>
      <w:r>
        <w:rPr>
          <w:rFonts w:ascii="Arial" w:cs="Arial" w:eastAsia="Arial" w:hAnsi="Arial"/>
          <w:sz w:val="12"/>
          <w:szCs w:val="12"/>
          <w:b w:val="1"/>
          <w:bCs w:val="1"/>
          <w:color w:val="auto"/>
        </w:rPr>
        <w:t>Signature</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540" w:type="dxa"/>
            <w:vAlign w:val="bottom"/>
            <w:gridSpan w:val="2"/>
          </w:tcPr>
          <w:p>
            <w:pPr>
              <w:ind w:left="20"/>
              <w:spacing w:after="0"/>
              <w:rPr>
                <w:sz w:val="20"/>
                <w:szCs w:val="20"/>
                <w:color w:val="auto"/>
              </w:rPr>
            </w:pPr>
            <w:r>
              <w:rPr>
                <w:rFonts w:ascii="Arial" w:cs="Arial" w:eastAsia="Arial" w:hAnsi="Arial"/>
                <w:sz w:val="12"/>
                <w:szCs w:val="12"/>
                <w:b w:val="1"/>
                <w:bCs w:val="1"/>
                <w:color w:val="auto"/>
              </w:rPr>
              <w:t>FIRST BUSEY CORPORATION</w:t>
            </w:r>
          </w:p>
        </w:tc>
      </w:tr>
      <w:tr>
        <w:trPr>
          <w:trHeight w:val="325"/>
        </w:trPr>
        <w:tc>
          <w:tcPr>
            <w:tcW w:w="840" w:type="dxa"/>
            <w:vAlign w:val="bottom"/>
          </w:tcPr>
          <w:p>
            <w:pPr>
              <w:spacing w:after="0"/>
              <w:rPr>
                <w:sz w:val="20"/>
                <w:szCs w:val="20"/>
                <w:color w:val="auto"/>
              </w:rPr>
            </w:pPr>
            <w:r>
              <w:rPr>
                <w:rFonts w:ascii="Arial" w:cs="Arial" w:eastAsia="Arial" w:hAnsi="Arial"/>
                <w:sz w:val="12"/>
                <w:szCs w:val="12"/>
                <w:color w:val="auto"/>
              </w:rPr>
              <w:t>Date:</w:t>
            </w:r>
          </w:p>
        </w:tc>
        <w:tc>
          <w:tcPr>
            <w:tcW w:w="2040" w:type="dxa"/>
            <w:vAlign w:val="bottom"/>
          </w:tcPr>
          <w:p>
            <w:pPr>
              <w:ind w:left="660"/>
              <w:spacing w:after="0"/>
              <w:rPr>
                <w:sz w:val="20"/>
                <w:szCs w:val="20"/>
                <w:color w:val="auto"/>
              </w:rPr>
            </w:pPr>
            <w:r>
              <w:rPr>
                <w:rFonts w:ascii="Arial" w:cs="Arial" w:eastAsia="Arial" w:hAnsi="Arial"/>
                <w:sz w:val="12"/>
                <w:szCs w:val="12"/>
                <w:color w:val="auto"/>
              </w:rPr>
              <w:t>July 22, 2025</w:t>
            </w:r>
          </w:p>
        </w:tc>
        <w:tc>
          <w:tcPr>
            <w:tcW w:w="2500" w:type="dxa"/>
            <w:vAlign w:val="bottom"/>
          </w:tcPr>
          <w:p>
            <w:pPr>
              <w:ind w:left="2000"/>
              <w:spacing w:after="0"/>
              <w:rPr>
                <w:sz w:val="20"/>
                <w:szCs w:val="20"/>
                <w:color w:val="auto"/>
              </w:rPr>
            </w:pPr>
            <w:r>
              <w:rPr>
                <w:rFonts w:ascii="Arial" w:cs="Arial" w:eastAsia="Arial" w:hAnsi="Arial"/>
                <w:sz w:val="12"/>
                <w:szCs w:val="12"/>
                <w:color w:val="auto"/>
              </w:rPr>
              <w:t>By:</w:t>
            </w:r>
          </w:p>
        </w:tc>
        <w:tc>
          <w:tcPr>
            <w:tcW w:w="4540" w:type="dxa"/>
            <w:vAlign w:val="bottom"/>
            <w:gridSpan w:val="2"/>
          </w:tcPr>
          <w:p>
            <w:pPr>
              <w:ind w:left="20"/>
              <w:spacing w:after="0"/>
              <w:rPr>
                <w:sz w:val="20"/>
                <w:szCs w:val="20"/>
                <w:color w:val="auto"/>
              </w:rPr>
            </w:pPr>
            <w:r>
              <w:rPr>
                <w:rFonts w:ascii="Arial" w:cs="Arial" w:eastAsia="Arial" w:hAnsi="Arial"/>
                <w:sz w:val="12"/>
                <w:szCs w:val="12"/>
                <w:color w:val="auto"/>
              </w:rPr>
              <w:t>/s/ SCOTT A. PHILLIPS</w:t>
            </w:r>
          </w:p>
        </w:tc>
      </w:tr>
      <w:tr>
        <w:trPr>
          <w:trHeight w:val="138"/>
        </w:trPr>
        <w:tc>
          <w:tcPr>
            <w:tcW w:w="84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2500" w:type="dxa"/>
            <w:vAlign w:val="bottom"/>
          </w:tcPr>
          <w:p>
            <w:pPr>
              <w:spacing w:after="0"/>
              <w:rPr>
                <w:sz w:val="12"/>
                <w:szCs w:val="12"/>
                <w:color w:val="auto"/>
              </w:rPr>
            </w:pPr>
          </w:p>
        </w:tc>
        <w:tc>
          <w:tcPr>
            <w:tcW w:w="25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Scott A. Phillips</w:t>
            </w:r>
          </w:p>
        </w:tc>
        <w:tc>
          <w:tcPr>
            <w:tcW w:w="2040" w:type="dxa"/>
            <w:vAlign w:val="bottom"/>
          </w:tcPr>
          <w:p>
            <w:pPr>
              <w:spacing w:after="0"/>
              <w:rPr>
                <w:sz w:val="12"/>
                <w:szCs w:val="12"/>
                <w:color w:val="auto"/>
              </w:rPr>
            </w:pPr>
          </w:p>
        </w:tc>
      </w:tr>
      <w:tr>
        <w:trPr>
          <w:trHeight w:val="159"/>
        </w:trPr>
        <w:tc>
          <w:tcPr>
            <w:tcW w:w="8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4540" w:type="dxa"/>
            <w:vAlign w:val="bottom"/>
            <w:gridSpan w:val="2"/>
          </w:tcPr>
          <w:p>
            <w:pPr>
              <w:ind w:left="20"/>
              <w:spacing w:after="0"/>
              <w:rPr>
                <w:sz w:val="20"/>
                <w:szCs w:val="20"/>
                <w:color w:val="auto"/>
              </w:rPr>
            </w:pPr>
            <w:r>
              <w:rPr>
                <w:rFonts w:ascii="Arial" w:cs="Arial" w:eastAsia="Arial" w:hAnsi="Arial"/>
                <w:sz w:val="12"/>
                <w:szCs w:val="12"/>
                <w:color w:val="auto"/>
                <w:w w:val="99"/>
              </w:rPr>
              <w:t>Interim Chief Financial Officer, Executive Vice President and Chief Accounting Officer</w:t>
            </w:r>
          </w:p>
        </w:tc>
      </w:tr>
      <w:tr>
        <w:trPr>
          <w:trHeight w:val="756"/>
        </w:trPr>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00" w:type="dxa"/>
            <w:vAlign w:val="bottom"/>
          </w:tcPr>
          <w:p>
            <w:pPr>
              <w:ind w:left="240"/>
              <w:spacing w:after="0"/>
              <w:rPr>
                <w:sz w:val="20"/>
                <w:szCs w:val="20"/>
                <w:color w:val="auto"/>
              </w:rPr>
            </w:pPr>
            <w:r>
              <w:rPr>
                <w:rFonts w:ascii="Arial" w:cs="Arial" w:eastAsia="Arial" w:hAnsi="Arial"/>
                <w:sz w:val="12"/>
                <w:szCs w:val="12"/>
                <w:color w:val="auto"/>
              </w:rPr>
              <w:t>4</w:t>
            </w:r>
          </w:p>
        </w:tc>
        <w:tc>
          <w:tcPr>
            <w:tcW w:w="2040" w:type="dxa"/>
            <w:vAlign w:val="bottom"/>
          </w:tcPr>
          <w:p>
            <w:pPr>
              <w:spacing w:after="0"/>
              <w:rPr>
                <w:sz w:val="24"/>
                <w:szCs w:val="24"/>
                <w:color w:val="auto"/>
              </w:rPr>
            </w:pPr>
          </w:p>
        </w:tc>
      </w:tr>
    </w:tbl>
    <w:p>
      <w:pPr>
        <w:sectPr>
          <w:pgSz w:w="11900" w:h="16838" w:orient="portrait"/>
          <w:cols w:equalWidth="0" w:num="1">
            <w:col w:w="10159"/>
          </w:cols>
          <w:pgMar w:left="300" w:top="1054" w:right="1440"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38"/>
          <w:szCs w:val="38"/>
          <w:b w:val="1"/>
          <w:bCs w:val="1"/>
          <w:color w:val="FFFFFF"/>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4914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4914900"/>
                    </a:xfrm>
                    <a:prstGeom prst="rect">
                      <a:avLst/>
                    </a:prstGeom>
                    <a:noFill/>
                  </pic:spPr>
                </pic:pic>
              </a:graphicData>
            </a:graphic>
          </wp:anchor>
        </w:drawing>
        <w:t>F I R S T  B U S E Y  C O R P O R A T I O N</w:t>
      </w:r>
    </w:p>
    <w:p>
      <w:pPr>
        <w:sectPr>
          <w:pgSz w:w="11900" w:h="16838" w:orient="portrait"/>
          <w:cols w:equalWidth="0" w:num="1">
            <w:col w:w="9019"/>
          </w:cols>
          <w:pgMar w:left="1440" w:top="1093" w:right="1440"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FFFFFF"/>
        </w:rPr>
        <w:t>A N N O U N C E 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FFFFFF"/>
        </w:rPr>
        <w:t>2 0 2 5</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FFFFFF"/>
        </w:rPr>
        <w:t>S E C O N 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FFFFFF"/>
        </w:rPr>
        <w:t>Q U A R T E 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37"/>
          <w:szCs w:val="37"/>
          <w:b w:val="1"/>
          <w:bCs w:val="1"/>
          <w:color w:val="FFFFFF"/>
        </w:rPr>
        <w:t>E A R N I N G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9"/>
          <w:szCs w:val="29"/>
          <w:color w:val="6888A4"/>
        </w:rPr>
        <w:t>Q 2 | 2 0 2 5</w:t>
      </w:r>
    </w:p>
    <w:p>
      <w:pPr>
        <w:sectPr>
          <w:pgSz w:w="11900" w:h="16838" w:orient="portrait"/>
          <w:cols w:equalWidth="0" w:num="1">
            <w:col w:w="9019"/>
          </w:cols>
          <w:pgMar w:left="1440" w:top="1093" w:right="1440" w:bottom="1440" w:gutter="0" w:footer="0" w:header="0"/>
          <w:type w:val="continuous"/>
        </w:sectPr>
      </w:pPr>
    </w:p>
    <w:bookmarkStart w:id="5" w:name="page6"/>
    <w:bookmarkEnd w:id="5"/>
    <w:p>
      <w:pPr>
        <w:jc w:val="right"/>
        <w:ind w:right="20"/>
        <w:spacing w:after="0"/>
        <w:rPr>
          <w:sz w:val="20"/>
          <w:szCs w:val="20"/>
          <w:color w:val="auto"/>
        </w:rPr>
      </w:pPr>
      <w:r>
        <w:rPr>
          <w:rFonts w:ascii="Arial" w:cs="Arial" w:eastAsia="Arial" w:hAnsi="Arial"/>
          <w:sz w:val="12"/>
          <w:szCs w:val="12"/>
          <w:color w:val="FFFFFF"/>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28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228600"/>
                    </a:xfrm>
                    <a:prstGeom prst="rect">
                      <a:avLst/>
                    </a:prstGeom>
                    <a:noFill/>
                  </pic:spPr>
                </pic:pic>
              </a:graphicData>
            </a:graphic>
          </wp:anchor>
        </w:drawing>
        <w:t>www.busey.com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7178040" cy="80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80010"/>
                    </a:xfrm>
                    <a:prstGeom prst="rect">
                      <a:avLst/>
                    </a:prstGeom>
                    <a:noFill/>
                  </pic:spPr>
                </pic:pic>
              </a:graphicData>
            </a:graphic>
          </wp:anchor>
        </w:drawing>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0"/>
          <w:szCs w:val="10"/>
          <w:color w:val="6888A4"/>
        </w:rPr>
        <w:t>INVESTOR CONTACT: Scott A. Phillips, Interim Chief Financial Officer | 239-689-7167</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LEAWOOD, KS, July 22, 2025 (GLOBE NEWSWIRE) – First Busey Corporation (Nasdaq: BUSE) Announces 2025 Second Quarter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103505</wp:posOffset>
            </wp:positionV>
            <wp:extent cx="129159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1590" cy="114300"/>
                    </a:xfrm>
                    <a:prstGeom prst="rect">
                      <a:avLst/>
                    </a:prstGeom>
                    <a:noFill/>
                  </pic:spPr>
                </pic:pic>
              </a:graphicData>
            </a:graphic>
          </wp:anchor>
        </w:drawing>
      </w:r>
    </w:p>
    <w:p>
      <w:pPr>
        <w:sectPr>
          <w:pgSz w:w="11900" w:h="16838" w:orient="portrait"/>
          <w:cols w:equalWidth="0" w:num="1">
            <w:col w:w="11300"/>
          </w:cols>
          <w:pgMar w:left="300" w:top="460" w:right="299" w:bottom="1440" w:gutter="0" w:footer="0" w:header="0"/>
        </w:sectPr>
      </w:pP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00" w:type="dxa"/>
            <w:vAlign w:val="bottom"/>
            <w:shd w:val="clear" w:color="auto" w:fill="6888A4"/>
          </w:tcPr>
          <w:p>
            <w:pPr>
              <w:jc w:val="center"/>
              <w:spacing w:after="0"/>
              <w:rPr>
                <w:sz w:val="20"/>
                <w:szCs w:val="20"/>
                <w:color w:val="auto"/>
              </w:rPr>
            </w:pPr>
            <w:r>
              <w:rPr>
                <w:rFonts w:ascii="Arial" w:cs="Arial" w:eastAsia="Arial" w:hAnsi="Arial"/>
                <w:sz w:val="12"/>
                <w:szCs w:val="12"/>
                <w:b w:val="1"/>
                <w:bCs w:val="1"/>
                <w:color w:val="FFFFFF"/>
                <w:w w:val="98"/>
              </w:rPr>
              <w:t>Net Income</w:t>
            </w:r>
          </w:p>
        </w:tc>
        <w:tc>
          <w:tcPr>
            <w:tcW w:w="160" w:type="dxa"/>
            <w:vAlign w:val="bottom"/>
          </w:tcPr>
          <w:p>
            <w:pPr>
              <w:spacing w:after="0"/>
              <w:rPr>
                <w:sz w:val="15"/>
                <w:szCs w:val="15"/>
                <w:color w:val="auto"/>
              </w:rPr>
            </w:pPr>
          </w:p>
        </w:tc>
        <w:tc>
          <w:tcPr>
            <w:tcW w:w="460" w:type="dxa"/>
            <w:vAlign w:val="bottom"/>
            <w:shd w:val="clear" w:color="auto" w:fill="6888A4"/>
          </w:tcPr>
          <w:p>
            <w:pPr>
              <w:spacing w:after="0"/>
              <w:rPr>
                <w:sz w:val="15"/>
                <w:szCs w:val="15"/>
                <w:color w:val="auto"/>
              </w:rPr>
            </w:pPr>
          </w:p>
        </w:tc>
        <w:tc>
          <w:tcPr>
            <w:tcW w:w="1580" w:type="dxa"/>
            <w:vAlign w:val="bottom"/>
            <w:shd w:val="clear" w:color="auto" w:fill="6888A4"/>
          </w:tcPr>
          <w:p>
            <w:pPr>
              <w:jc w:val="center"/>
              <w:ind w:right="400"/>
              <w:spacing w:after="0"/>
              <w:rPr>
                <w:sz w:val="20"/>
                <w:szCs w:val="20"/>
                <w:color w:val="auto"/>
              </w:rPr>
            </w:pPr>
            <w:r>
              <w:rPr>
                <w:rFonts w:ascii="Arial" w:cs="Arial" w:eastAsia="Arial" w:hAnsi="Arial"/>
                <w:sz w:val="12"/>
                <w:szCs w:val="12"/>
                <w:b w:val="1"/>
                <w:bCs w:val="1"/>
                <w:color w:val="FFFFFF"/>
                <w:w w:val="99"/>
              </w:rPr>
              <w:t>Diluted EPS</w:t>
            </w:r>
          </w:p>
        </w:tc>
        <w:tc>
          <w:tcPr>
            <w:tcW w:w="140" w:type="dxa"/>
            <w:vAlign w:val="bottom"/>
          </w:tcPr>
          <w:p>
            <w:pPr>
              <w:spacing w:after="0"/>
              <w:rPr>
                <w:sz w:val="15"/>
                <w:szCs w:val="15"/>
                <w:color w:val="auto"/>
              </w:rPr>
            </w:pPr>
          </w:p>
        </w:tc>
        <w:tc>
          <w:tcPr>
            <w:tcW w:w="2580" w:type="dxa"/>
            <w:vAlign w:val="bottom"/>
            <w:shd w:val="clear" w:color="auto" w:fill="6888A4"/>
          </w:tcPr>
          <w:p>
            <w:pPr>
              <w:jc w:val="center"/>
              <w:spacing w:after="0"/>
              <w:rPr>
                <w:sz w:val="20"/>
                <w:szCs w:val="20"/>
                <w:color w:val="auto"/>
              </w:rPr>
            </w:pPr>
            <w:r>
              <w:rPr>
                <w:rFonts w:ascii="Arial" w:cs="Arial" w:eastAsia="Arial" w:hAnsi="Arial"/>
                <w:sz w:val="12"/>
                <w:szCs w:val="12"/>
                <w:b w:val="1"/>
                <w:bCs w:val="1"/>
                <w:color w:val="FFFFFF"/>
                <w:w w:val="97"/>
              </w:rPr>
              <w:t>Net Interest Margin</w:t>
            </w:r>
            <w:r>
              <w:rPr>
                <w:rFonts w:ascii="Arial" w:cs="Arial" w:eastAsia="Arial" w:hAnsi="Arial"/>
                <w:sz w:val="15"/>
                <w:szCs w:val="15"/>
                <w:color w:val="FFFFFF"/>
                <w:w w:val="97"/>
                <w:vertAlign w:val="superscript"/>
              </w:rPr>
              <w:t>1</w:t>
            </w:r>
          </w:p>
        </w:tc>
      </w:tr>
      <w:tr>
        <w:trPr>
          <w:trHeight w:val="179"/>
        </w:trPr>
        <w:tc>
          <w:tcPr>
            <w:tcW w:w="2000" w:type="dxa"/>
            <w:vAlign w:val="bottom"/>
            <w:shd w:val="clear" w:color="auto" w:fill="E0E7ED"/>
          </w:tcPr>
          <w:p>
            <w:pPr>
              <w:jc w:val="center"/>
              <w:spacing w:after="0"/>
              <w:rPr>
                <w:sz w:val="20"/>
                <w:szCs w:val="20"/>
                <w:color w:val="auto"/>
              </w:rPr>
            </w:pPr>
            <w:r>
              <w:rPr>
                <w:rFonts w:ascii="Arial" w:cs="Arial" w:eastAsia="Arial" w:hAnsi="Arial"/>
                <w:sz w:val="12"/>
                <w:szCs w:val="12"/>
                <w:b w:val="1"/>
                <w:bCs w:val="1"/>
                <w:color w:val="auto"/>
                <w:w w:val="99"/>
              </w:rPr>
              <w:t>$47.4 million</w:t>
            </w:r>
          </w:p>
        </w:tc>
        <w:tc>
          <w:tcPr>
            <w:tcW w:w="160" w:type="dxa"/>
            <w:vAlign w:val="bottom"/>
          </w:tcPr>
          <w:p>
            <w:pPr>
              <w:spacing w:after="0"/>
              <w:rPr>
                <w:sz w:val="15"/>
                <w:szCs w:val="15"/>
                <w:color w:val="auto"/>
              </w:rPr>
            </w:pPr>
          </w:p>
        </w:tc>
        <w:tc>
          <w:tcPr>
            <w:tcW w:w="460" w:type="dxa"/>
            <w:vAlign w:val="bottom"/>
            <w:shd w:val="clear" w:color="auto" w:fill="E0E7ED"/>
          </w:tcPr>
          <w:p>
            <w:pPr>
              <w:spacing w:after="0"/>
              <w:rPr>
                <w:sz w:val="15"/>
                <w:szCs w:val="15"/>
                <w:color w:val="auto"/>
              </w:rPr>
            </w:pPr>
          </w:p>
        </w:tc>
        <w:tc>
          <w:tcPr>
            <w:tcW w:w="1580" w:type="dxa"/>
            <w:vAlign w:val="bottom"/>
            <w:shd w:val="clear" w:color="auto" w:fill="E0E7ED"/>
          </w:tcPr>
          <w:p>
            <w:pPr>
              <w:jc w:val="center"/>
              <w:ind w:right="420"/>
              <w:spacing w:after="0"/>
              <w:rPr>
                <w:sz w:val="20"/>
                <w:szCs w:val="20"/>
                <w:color w:val="auto"/>
              </w:rPr>
            </w:pPr>
            <w:r>
              <w:rPr>
                <w:rFonts w:ascii="Arial" w:cs="Arial" w:eastAsia="Arial" w:hAnsi="Arial"/>
                <w:sz w:val="12"/>
                <w:szCs w:val="12"/>
                <w:b w:val="1"/>
                <w:bCs w:val="1"/>
                <w:color w:val="auto"/>
                <w:w w:val="99"/>
              </w:rPr>
              <w:t>$0.52</w:t>
            </w:r>
          </w:p>
        </w:tc>
        <w:tc>
          <w:tcPr>
            <w:tcW w:w="140" w:type="dxa"/>
            <w:vAlign w:val="bottom"/>
          </w:tcPr>
          <w:p>
            <w:pPr>
              <w:spacing w:after="0"/>
              <w:rPr>
                <w:sz w:val="15"/>
                <w:szCs w:val="15"/>
                <w:color w:val="auto"/>
              </w:rPr>
            </w:pPr>
          </w:p>
        </w:tc>
        <w:tc>
          <w:tcPr>
            <w:tcW w:w="2580" w:type="dxa"/>
            <w:vAlign w:val="bottom"/>
            <w:shd w:val="clear" w:color="auto" w:fill="E0E7ED"/>
          </w:tcPr>
          <w:p>
            <w:pPr>
              <w:jc w:val="center"/>
              <w:spacing w:after="0"/>
              <w:rPr>
                <w:sz w:val="20"/>
                <w:szCs w:val="20"/>
                <w:color w:val="auto"/>
              </w:rPr>
            </w:pPr>
            <w:r>
              <w:rPr>
                <w:rFonts w:ascii="Arial" w:cs="Arial" w:eastAsia="Arial" w:hAnsi="Arial"/>
                <w:sz w:val="12"/>
                <w:szCs w:val="12"/>
                <w:b w:val="1"/>
                <w:bCs w:val="1"/>
                <w:color w:val="auto"/>
                <w:w w:val="99"/>
              </w:rPr>
              <w:t>3.49%</w:t>
            </w:r>
          </w:p>
        </w:tc>
      </w:tr>
      <w:tr>
        <w:trPr>
          <w:trHeight w:val="208"/>
        </w:trPr>
        <w:tc>
          <w:tcPr>
            <w:tcW w:w="2000" w:type="dxa"/>
            <w:vAlign w:val="bottom"/>
            <w:shd w:val="clear" w:color="auto" w:fill="E0E7ED"/>
          </w:tcPr>
          <w:p>
            <w:pPr>
              <w:jc w:val="center"/>
              <w:spacing w:after="0"/>
              <w:rPr>
                <w:sz w:val="20"/>
                <w:szCs w:val="20"/>
                <w:color w:val="auto"/>
              </w:rPr>
            </w:pPr>
            <w:r>
              <w:rPr>
                <w:rFonts w:ascii="Arial" w:cs="Arial" w:eastAsia="Arial" w:hAnsi="Arial"/>
                <w:sz w:val="12"/>
                <w:szCs w:val="12"/>
                <w:color w:val="auto"/>
                <w:w w:val="99"/>
              </w:rPr>
              <w:t>$57.4 million (adj)</w:t>
            </w:r>
            <w:r>
              <w:rPr>
                <w:rFonts w:ascii="Arial" w:cs="Arial" w:eastAsia="Arial" w:hAnsi="Arial"/>
                <w:sz w:val="15"/>
                <w:szCs w:val="15"/>
                <w:color w:val="auto"/>
                <w:w w:val="99"/>
                <w:vertAlign w:val="superscript"/>
              </w:rPr>
              <w:t>2</w:t>
            </w:r>
          </w:p>
        </w:tc>
        <w:tc>
          <w:tcPr>
            <w:tcW w:w="160" w:type="dxa"/>
            <w:vAlign w:val="bottom"/>
          </w:tcPr>
          <w:p>
            <w:pPr>
              <w:spacing w:after="0"/>
              <w:rPr>
                <w:sz w:val="18"/>
                <w:szCs w:val="18"/>
                <w:color w:val="auto"/>
              </w:rPr>
            </w:pPr>
          </w:p>
        </w:tc>
        <w:tc>
          <w:tcPr>
            <w:tcW w:w="460" w:type="dxa"/>
            <w:vAlign w:val="bottom"/>
            <w:shd w:val="clear" w:color="auto" w:fill="E0E7ED"/>
          </w:tcPr>
          <w:p>
            <w:pPr>
              <w:spacing w:after="0"/>
              <w:rPr>
                <w:sz w:val="18"/>
                <w:szCs w:val="18"/>
                <w:color w:val="auto"/>
              </w:rPr>
            </w:pPr>
          </w:p>
        </w:tc>
        <w:tc>
          <w:tcPr>
            <w:tcW w:w="1580" w:type="dxa"/>
            <w:vAlign w:val="bottom"/>
            <w:shd w:val="clear" w:color="auto" w:fill="E0E7ED"/>
          </w:tcPr>
          <w:p>
            <w:pPr>
              <w:jc w:val="center"/>
              <w:ind w:right="420"/>
              <w:spacing w:after="0"/>
              <w:rPr>
                <w:sz w:val="20"/>
                <w:szCs w:val="20"/>
                <w:color w:val="auto"/>
              </w:rPr>
            </w:pPr>
            <w:r>
              <w:rPr>
                <w:rFonts w:ascii="Arial" w:cs="Arial" w:eastAsia="Arial" w:hAnsi="Arial"/>
                <w:sz w:val="12"/>
                <w:szCs w:val="12"/>
                <w:color w:val="auto"/>
                <w:w w:val="98"/>
              </w:rPr>
              <w:t>$0.63 (adj)</w:t>
            </w:r>
            <w:r>
              <w:rPr>
                <w:rFonts w:ascii="Arial" w:cs="Arial" w:eastAsia="Arial" w:hAnsi="Arial"/>
                <w:sz w:val="15"/>
                <w:szCs w:val="15"/>
                <w:color w:val="auto"/>
                <w:w w:val="98"/>
                <w:vertAlign w:val="superscript"/>
              </w:rPr>
              <w:t>2</w:t>
            </w:r>
          </w:p>
        </w:tc>
        <w:tc>
          <w:tcPr>
            <w:tcW w:w="140" w:type="dxa"/>
            <w:vAlign w:val="bottom"/>
          </w:tcPr>
          <w:p>
            <w:pPr>
              <w:spacing w:after="0"/>
              <w:rPr>
                <w:sz w:val="18"/>
                <w:szCs w:val="18"/>
                <w:color w:val="auto"/>
              </w:rPr>
            </w:pPr>
          </w:p>
        </w:tc>
        <w:tc>
          <w:tcPr>
            <w:tcW w:w="2580" w:type="dxa"/>
            <w:vAlign w:val="bottom"/>
            <w:shd w:val="clear" w:color="auto" w:fill="E0E7ED"/>
          </w:tcPr>
          <w:p>
            <w:pPr>
              <w:jc w:val="center"/>
              <w:spacing w:after="0"/>
              <w:rPr>
                <w:sz w:val="20"/>
                <w:szCs w:val="20"/>
                <w:color w:val="auto"/>
              </w:rPr>
            </w:pPr>
            <w:r>
              <w:rPr>
                <w:rFonts w:ascii="Arial" w:cs="Arial" w:eastAsia="Arial" w:hAnsi="Arial"/>
                <w:sz w:val="12"/>
                <w:szCs w:val="12"/>
                <w:color w:val="auto"/>
                <w:w w:val="98"/>
              </w:rPr>
              <w:t>3.33% (adj)</w:t>
            </w:r>
            <w:r>
              <w:rPr>
                <w:rFonts w:ascii="Arial" w:cs="Arial" w:eastAsia="Arial" w:hAnsi="Arial"/>
                <w:sz w:val="15"/>
                <w:szCs w:val="15"/>
                <w:color w:val="auto"/>
                <w:w w:val="98"/>
                <w:vertAlign w:val="superscript"/>
              </w:rPr>
              <w:t>2</w:t>
            </w:r>
          </w:p>
        </w:tc>
      </w:tr>
      <w:tr>
        <w:trPr>
          <w:trHeight w:val="485"/>
        </w:trPr>
        <w:tc>
          <w:tcPr>
            <w:tcW w:w="2620" w:type="dxa"/>
            <w:vAlign w:val="bottom"/>
            <w:gridSpan w:val="3"/>
          </w:tcPr>
          <w:p>
            <w:pPr>
              <w:spacing w:after="0"/>
              <w:rPr>
                <w:sz w:val="20"/>
                <w:szCs w:val="20"/>
                <w:color w:val="auto"/>
              </w:rPr>
            </w:pPr>
            <w:r>
              <w:rPr>
                <w:rFonts w:ascii="Arial" w:cs="Arial" w:eastAsia="Arial" w:hAnsi="Arial"/>
                <w:sz w:val="12"/>
                <w:szCs w:val="12"/>
                <w:b w:val="1"/>
                <w:bCs w:val="1"/>
                <w:color w:val="auto"/>
              </w:rPr>
              <w:t>MESSAGE FROM OUR CHAIRMAN &amp; CEO</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-181610</wp:posOffset>
            </wp:positionV>
            <wp:extent cx="4526280" cy="1388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26280" cy="138874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This quarter's bank merger and data conversion represents a significant milestone for our organization, as we officially welcome CrossFirst Bank customers to Busey Bank. We are proud to offer a premier, full-service banking experience for both consumer and commercial clients, with 78 locations spanning 10 states. Our comprehensive services also include a robust wealth management platform and cutting-edge payment technology solutions through FirsTech, Inc. This transformational partnership allows us to enhance Busey’s rich 157-year legacy of service excellence, further advancing our organization for the benefit of all our Pillars—associates, customers, communities, and shareholders.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Van A. Dukeman</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Chairman and Chief Executive Officer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020" w:type="dxa"/>
            <w:vAlign w:val="bottom"/>
          </w:tcPr>
          <w:p>
            <w:pPr>
              <w:jc w:val="center"/>
              <w:ind w:right="240"/>
              <w:spacing w:after="0"/>
              <w:rPr>
                <w:sz w:val="20"/>
                <w:szCs w:val="20"/>
                <w:color w:val="auto"/>
              </w:rPr>
            </w:pPr>
            <w:r>
              <w:rPr>
                <w:rFonts w:ascii="Arial" w:cs="Arial" w:eastAsia="Arial" w:hAnsi="Arial"/>
                <w:sz w:val="12"/>
                <w:szCs w:val="12"/>
                <w:b w:val="1"/>
                <w:bCs w:val="1"/>
                <w:color w:val="FFFFFF"/>
                <w:w w:val="97"/>
              </w:rPr>
              <w:t>ROAA</w:t>
            </w:r>
            <w:r>
              <w:rPr>
                <w:rFonts w:ascii="Arial" w:cs="Arial" w:eastAsia="Arial" w:hAnsi="Arial"/>
                <w:sz w:val="15"/>
                <w:szCs w:val="15"/>
                <w:color w:val="FFFFFF"/>
                <w:w w:val="97"/>
                <w:vertAlign w:val="superscript"/>
              </w:rPr>
              <w:t>1</w:t>
            </w:r>
          </w:p>
        </w:tc>
        <w:tc>
          <w:tcPr>
            <w:tcW w:w="2040" w:type="dxa"/>
            <w:vAlign w:val="bottom"/>
            <w:shd w:val="clear" w:color="auto" w:fill="6888A4"/>
          </w:tcPr>
          <w:p>
            <w:pPr>
              <w:jc w:val="center"/>
              <w:spacing w:after="0"/>
              <w:rPr>
                <w:sz w:val="20"/>
                <w:szCs w:val="20"/>
                <w:color w:val="auto"/>
              </w:rPr>
            </w:pPr>
            <w:r>
              <w:rPr>
                <w:rFonts w:ascii="Arial" w:cs="Arial" w:eastAsia="Arial" w:hAnsi="Arial"/>
                <w:sz w:val="12"/>
                <w:szCs w:val="12"/>
                <w:b w:val="1"/>
                <w:bCs w:val="1"/>
                <w:color w:val="FFFFFF"/>
                <w:w w:val="95"/>
              </w:rPr>
              <w:t>ROATCE</w:t>
            </w:r>
            <w:r>
              <w:rPr>
                <w:rFonts w:ascii="Arial" w:cs="Arial" w:eastAsia="Arial" w:hAnsi="Arial"/>
                <w:sz w:val="15"/>
                <w:szCs w:val="15"/>
                <w:color w:val="FFFFFF"/>
                <w:w w:val="95"/>
                <w:vertAlign w:val="superscript"/>
              </w:rPr>
              <w:t>1</w:t>
            </w:r>
          </w:p>
        </w:tc>
      </w:tr>
      <w:tr>
        <w:trPr>
          <w:trHeight w:val="179"/>
        </w:trPr>
        <w:tc>
          <w:tcPr>
            <w:tcW w:w="2020" w:type="dxa"/>
            <w:vAlign w:val="bottom"/>
          </w:tcPr>
          <w:p>
            <w:pPr>
              <w:jc w:val="center"/>
              <w:ind w:right="260"/>
              <w:spacing w:after="0"/>
              <w:rPr>
                <w:sz w:val="20"/>
                <w:szCs w:val="20"/>
                <w:color w:val="auto"/>
              </w:rPr>
            </w:pPr>
            <w:r>
              <w:rPr>
                <w:rFonts w:ascii="Arial" w:cs="Arial" w:eastAsia="Arial" w:hAnsi="Arial"/>
                <w:sz w:val="12"/>
                <w:szCs w:val="12"/>
                <w:b w:val="1"/>
                <w:bCs w:val="1"/>
                <w:color w:val="auto"/>
                <w:w w:val="99"/>
              </w:rPr>
              <w:t>1.00%</w:t>
            </w:r>
          </w:p>
        </w:tc>
        <w:tc>
          <w:tcPr>
            <w:tcW w:w="2040" w:type="dxa"/>
            <w:vAlign w:val="bottom"/>
            <w:shd w:val="clear" w:color="auto" w:fill="E0E7ED"/>
          </w:tcPr>
          <w:p>
            <w:pPr>
              <w:jc w:val="center"/>
              <w:spacing w:after="0"/>
              <w:rPr>
                <w:sz w:val="20"/>
                <w:szCs w:val="20"/>
                <w:color w:val="auto"/>
              </w:rPr>
            </w:pPr>
            <w:r>
              <w:rPr>
                <w:rFonts w:ascii="Arial" w:cs="Arial" w:eastAsia="Arial" w:hAnsi="Arial"/>
                <w:sz w:val="12"/>
                <w:szCs w:val="12"/>
                <w:b w:val="1"/>
                <w:bCs w:val="1"/>
                <w:color w:val="auto"/>
                <w:w w:val="98"/>
              </w:rPr>
              <w:t>11.24%</w:t>
            </w:r>
          </w:p>
        </w:tc>
      </w:tr>
      <w:tr>
        <w:trPr>
          <w:trHeight w:val="208"/>
        </w:trPr>
        <w:tc>
          <w:tcPr>
            <w:tcW w:w="2020" w:type="dxa"/>
            <w:vAlign w:val="bottom"/>
          </w:tcPr>
          <w:p>
            <w:pPr>
              <w:jc w:val="center"/>
              <w:ind w:right="260"/>
              <w:spacing w:after="0"/>
              <w:rPr>
                <w:sz w:val="20"/>
                <w:szCs w:val="20"/>
                <w:color w:val="auto"/>
              </w:rPr>
            </w:pPr>
            <w:r>
              <w:rPr>
                <w:rFonts w:ascii="Arial" w:cs="Arial" w:eastAsia="Arial" w:hAnsi="Arial"/>
                <w:sz w:val="12"/>
                <w:szCs w:val="12"/>
                <w:color w:val="auto"/>
                <w:w w:val="98"/>
              </w:rPr>
              <w:t>1.21% (adj)</w:t>
            </w:r>
            <w:r>
              <w:rPr>
                <w:rFonts w:ascii="Arial" w:cs="Arial" w:eastAsia="Arial" w:hAnsi="Arial"/>
                <w:sz w:val="15"/>
                <w:szCs w:val="15"/>
                <w:color w:val="auto"/>
                <w:w w:val="98"/>
                <w:vertAlign w:val="superscript"/>
              </w:rPr>
              <w:t>2</w:t>
            </w:r>
          </w:p>
        </w:tc>
        <w:tc>
          <w:tcPr>
            <w:tcW w:w="2040" w:type="dxa"/>
            <w:vAlign w:val="bottom"/>
            <w:shd w:val="clear" w:color="auto" w:fill="E0E7ED"/>
          </w:tcPr>
          <w:p>
            <w:pPr>
              <w:jc w:val="center"/>
              <w:spacing w:after="0"/>
              <w:rPr>
                <w:sz w:val="20"/>
                <w:szCs w:val="20"/>
                <w:color w:val="auto"/>
              </w:rPr>
            </w:pPr>
            <w:r>
              <w:rPr>
                <w:rFonts w:ascii="Arial" w:cs="Arial" w:eastAsia="Arial" w:hAnsi="Arial"/>
                <w:sz w:val="12"/>
                <w:szCs w:val="12"/>
                <w:color w:val="auto"/>
                <w:w w:val="97"/>
              </w:rPr>
              <w:t>13.61% (adj)</w:t>
            </w:r>
            <w:r>
              <w:rPr>
                <w:rFonts w:ascii="Arial" w:cs="Arial" w:eastAsia="Arial" w:hAnsi="Arial"/>
                <w:sz w:val="15"/>
                <w:szCs w:val="15"/>
                <w:color w:val="auto"/>
                <w:w w:val="97"/>
                <w:vertAlign w:val="superscript"/>
              </w:rPr>
              <w:t>2</w:t>
            </w:r>
          </w:p>
        </w:tc>
      </w:tr>
      <w:tr>
        <w:trPr>
          <w:trHeight w:val="611"/>
        </w:trPr>
        <w:tc>
          <w:tcPr>
            <w:tcW w:w="2020" w:type="dxa"/>
            <w:vAlign w:val="bottom"/>
          </w:tcPr>
          <w:p>
            <w:pPr>
              <w:spacing w:after="0"/>
              <w:rPr>
                <w:sz w:val="20"/>
                <w:szCs w:val="20"/>
                <w:color w:val="auto"/>
              </w:rPr>
            </w:pPr>
            <w:r>
              <w:rPr>
                <w:rFonts w:ascii="Arial" w:cs="Arial" w:eastAsia="Arial" w:hAnsi="Arial"/>
                <w:sz w:val="12"/>
                <w:szCs w:val="12"/>
                <w:b w:val="1"/>
                <w:bCs w:val="1"/>
                <w:color w:val="auto"/>
              </w:rPr>
              <w:t>CONTENTS</w:t>
            </w:r>
          </w:p>
        </w:tc>
        <w:tc>
          <w:tcPr>
            <w:tcW w:w="2040" w:type="dxa"/>
            <w:vAlign w:val="bottom"/>
          </w:tcPr>
          <w:p>
            <w:pPr>
              <w:spacing w:after="0"/>
              <w:rPr>
                <w:sz w:val="24"/>
                <w:szCs w:val="24"/>
                <w:color w:val="auto"/>
              </w:rPr>
            </w:pPr>
          </w:p>
        </w:tc>
      </w:tr>
      <w:tr>
        <w:trPr>
          <w:trHeight w:val="246"/>
        </w:trPr>
        <w:tc>
          <w:tcPr>
            <w:tcW w:w="2020" w:type="dxa"/>
            <w:vAlign w:val="bottom"/>
          </w:tcPr>
          <w:p>
            <w:pPr>
              <w:spacing w:after="0"/>
              <w:rPr>
                <w:sz w:val="20"/>
                <w:szCs w:val="20"/>
                <w:color w:val="auto"/>
              </w:rPr>
            </w:pPr>
            <w:r>
              <w:rPr>
                <w:rFonts w:ascii="Arial" w:cs="Arial" w:eastAsia="Arial" w:hAnsi="Arial"/>
                <w:sz w:val="12"/>
                <w:szCs w:val="12"/>
                <w:color w:val="auto"/>
              </w:rPr>
              <w:t>Financial Results</w:t>
            </w:r>
          </w:p>
        </w:tc>
        <w:tc>
          <w:tcPr>
            <w:tcW w:w="204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80"/>
        </w:trPr>
        <w:tc>
          <w:tcPr>
            <w:tcW w:w="2020" w:type="dxa"/>
            <w:vAlign w:val="bottom"/>
          </w:tcPr>
          <w:p>
            <w:pPr>
              <w:spacing w:after="0"/>
              <w:rPr>
                <w:sz w:val="20"/>
                <w:szCs w:val="20"/>
                <w:color w:val="auto"/>
              </w:rPr>
            </w:pPr>
            <w:r>
              <w:rPr>
                <w:rFonts w:ascii="Arial" w:cs="Arial" w:eastAsia="Arial" w:hAnsi="Arial"/>
                <w:sz w:val="12"/>
                <w:szCs w:val="12"/>
                <w:color w:val="auto"/>
              </w:rPr>
              <w:t>Balance Sheet Strength</w:t>
            </w:r>
          </w:p>
        </w:tc>
        <w:tc>
          <w:tcPr>
            <w:tcW w:w="204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80"/>
        </w:trPr>
        <w:tc>
          <w:tcPr>
            <w:tcW w:w="2020" w:type="dxa"/>
            <w:vAlign w:val="bottom"/>
          </w:tcPr>
          <w:p>
            <w:pPr>
              <w:spacing w:after="0"/>
              <w:rPr>
                <w:sz w:val="20"/>
                <w:szCs w:val="20"/>
                <w:color w:val="auto"/>
              </w:rPr>
            </w:pPr>
            <w:r>
              <w:rPr>
                <w:rFonts w:ascii="Arial" w:cs="Arial" w:eastAsia="Arial" w:hAnsi="Arial"/>
                <w:sz w:val="12"/>
                <w:szCs w:val="12"/>
                <w:color w:val="auto"/>
              </w:rPr>
              <w:t>Corporate Profile</w:t>
            </w:r>
          </w:p>
        </w:tc>
        <w:tc>
          <w:tcPr>
            <w:tcW w:w="204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80"/>
        </w:trPr>
        <w:tc>
          <w:tcPr>
            <w:tcW w:w="2020" w:type="dxa"/>
            <w:vAlign w:val="bottom"/>
          </w:tcPr>
          <w:p>
            <w:pPr>
              <w:spacing w:after="0"/>
              <w:rPr>
                <w:sz w:val="20"/>
                <w:szCs w:val="20"/>
                <w:color w:val="auto"/>
              </w:rPr>
            </w:pPr>
            <w:r>
              <w:rPr>
                <w:rFonts w:ascii="Arial" w:cs="Arial" w:eastAsia="Arial" w:hAnsi="Arial"/>
                <w:sz w:val="12"/>
                <w:szCs w:val="12"/>
                <w:color w:val="auto"/>
              </w:rPr>
              <w:t>Non-GAAP Financial Information</w:t>
            </w:r>
          </w:p>
        </w:tc>
        <w:tc>
          <w:tcPr>
            <w:tcW w:w="204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80"/>
        </w:trPr>
        <w:tc>
          <w:tcPr>
            <w:tcW w:w="2020" w:type="dxa"/>
            <w:vAlign w:val="bottom"/>
          </w:tcPr>
          <w:p>
            <w:pPr>
              <w:spacing w:after="0"/>
              <w:rPr>
                <w:sz w:val="20"/>
                <w:szCs w:val="20"/>
                <w:color w:val="auto"/>
              </w:rPr>
            </w:pPr>
            <w:r>
              <w:rPr>
                <w:rFonts w:ascii="Arial" w:cs="Arial" w:eastAsia="Arial" w:hAnsi="Arial"/>
                <w:sz w:val="12"/>
                <w:szCs w:val="12"/>
                <w:color w:val="auto"/>
              </w:rPr>
              <w:t>Forward-Looking Statements</w:t>
            </w:r>
          </w:p>
        </w:tc>
        <w:tc>
          <w:tcPr>
            <w:tcW w:w="204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80"/>
        </w:trPr>
        <w:tc>
          <w:tcPr>
            <w:tcW w:w="2020" w:type="dxa"/>
            <w:vAlign w:val="bottom"/>
          </w:tcPr>
          <w:p>
            <w:pPr>
              <w:spacing w:after="0"/>
              <w:rPr>
                <w:sz w:val="20"/>
                <w:szCs w:val="20"/>
                <w:color w:val="auto"/>
              </w:rPr>
            </w:pPr>
            <w:r>
              <w:rPr>
                <w:rFonts w:ascii="Arial" w:cs="Arial" w:eastAsia="Arial" w:hAnsi="Arial"/>
                <w:sz w:val="12"/>
                <w:szCs w:val="12"/>
                <w:color w:val="auto"/>
              </w:rPr>
              <w:t>End Notes</w:t>
            </w:r>
          </w:p>
        </w:tc>
        <w:tc>
          <w:tcPr>
            <w:tcW w:w="2040" w:type="dxa"/>
            <w:vAlign w:val="bottom"/>
          </w:tcPr>
          <w:p>
            <w:pPr>
              <w:jc w:val="right"/>
              <w:spacing w:after="0"/>
              <w:rPr>
                <w:sz w:val="20"/>
                <w:szCs w:val="20"/>
                <w:color w:val="auto"/>
              </w:rPr>
            </w:pPr>
            <w:r>
              <w:rPr>
                <w:rFonts w:ascii="Arial" w:cs="Arial" w:eastAsia="Arial" w:hAnsi="Arial"/>
                <w:sz w:val="12"/>
                <w:szCs w:val="12"/>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-1360805</wp:posOffset>
            </wp:positionV>
            <wp:extent cx="1291590" cy="2457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91590" cy="245745"/>
                    </a:xfrm>
                    <a:prstGeom prst="rect">
                      <a:avLst/>
                    </a:prstGeom>
                    <a:noFill/>
                  </pic:spPr>
                </pic:pic>
              </a:graphicData>
            </a:graphic>
          </wp:anchor>
        </w:drawing>
      </w:r>
    </w:p>
    <w:p>
      <w:pPr>
        <w:spacing w:after="0" w:line="515" w:lineRule="exact"/>
        <w:rPr>
          <w:sz w:val="20"/>
          <w:szCs w:val="20"/>
          <w:color w:val="auto"/>
        </w:rPr>
      </w:pPr>
    </w:p>
    <w:p>
      <w:pPr>
        <w:sectPr>
          <w:pgSz w:w="11900" w:h="16838" w:orient="portrait"/>
          <w:cols w:equalWidth="0" w:num="2">
            <w:col w:w="7100" w:space="140"/>
            <w:col w:w="4060"/>
          </w:cols>
          <w:pgMar w:left="300" w:top="460" w:right="299" w:bottom="1440" w:gutter="0" w:footer="0" w:header="0"/>
          <w:type w:val="continuous"/>
        </w:sectPr>
      </w:pPr>
    </w:p>
    <w:p>
      <w:pPr>
        <w:spacing w:after="0" w:line="2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RESULTS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CONDENSED CONSOLIDATED STATEMENTS OF INCOME </w:t>
      </w:r>
      <w:r>
        <w:rPr>
          <w:rFonts w:ascii="Arial" w:cs="Arial" w:eastAsia="Arial" w:hAnsi="Arial"/>
          <w:sz w:val="12"/>
          <w:szCs w:val="12"/>
          <w:b w:val="1"/>
          <w:bCs w:val="1"/>
          <w:i w:val="1"/>
          <w:i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9"/>
              </w:rPr>
              <w:t>Three Months Ended</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880" w:type="dxa"/>
            <w:vAlign w:val="bottom"/>
            <w:tcBorders>
              <w:bottom w:val="single" w:sz="8" w:color="auto"/>
            </w:tcBorders>
          </w:tcPr>
          <w:p>
            <w:pPr>
              <w:spacing w:after="0"/>
              <w:rPr>
                <w:sz w:val="12"/>
                <w:szCs w:val="12"/>
                <w:color w:val="auto"/>
              </w:rPr>
            </w:pPr>
          </w:p>
        </w:tc>
      </w:tr>
      <w:tr>
        <w:trPr>
          <w:trHeight w:val="88"/>
        </w:trPr>
        <w:tc>
          <w:tcPr>
            <w:tcW w:w="4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2"/>
          </w:tcPr>
          <w:p>
            <w:pPr>
              <w:ind w:left="180"/>
              <w:spacing w:after="0" w:line="88" w:lineRule="exact"/>
              <w:rPr>
                <w:sz w:val="20"/>
                <w:szCs w:val="20"/>
                <w:color w:val="auto"/>
              </w:rPr>
            </w:pPr>
            <w:r>
              <w:rPr>
                <w:rFonts w:ascii="Arial" w:cs="Arial" w:eastAsia="Arial" w:hAnsi="Arial"/>
                <w:sz w:val="10"/>
                <w:szCs w:val="10"/>
                <w:b w:val="1"/>
                <w:bCs w:val="1"/>
                <w:color w:val="auto"/>
              </w:rPr>
              <w:t>June 30,</w:t>
            </w:r>
          </w:p>
        </w:tc>
        <w:tc>
          <w:tcPr>
            <w:tcW w:w="100" w:type="dxa"/>
            <w:vAlign w:val="bottom"/>
          </w:tcPr>
          <w:p>
            <w:pPr>
              <w:spacing w:after="0"/>
              <w:rPr>
                <w:sz w:val="7"/>
                <w:szCs w:val="7"/>
                <w:color w:val="auto"/>
              </w:rPr>
            </w:pPr>
          </w:p>
        </w:tc>
        <w:tc>
          <w:tcPr>
            <w:tcW w:w="1280" w:type="dxa"/>
            <w:vAlign w:val="bottom"/>
            <w:gridSpan w:val="2"/>
          </w:tcPr>
          <w:p>
            <w:pPr>
              <w:jc w:val="center"/>
              <w:ind w:right="140"/>
              <w:spacing w:after="0" w:line="88" w:lineRule="exact"/>
              <w:rPr>
                <w:sz w:val="20"/>
                <w:szCs w:val="20"/>
                <w:color w:val="auto"/>
              </w:rPr>
            </w:pPr>
            <w:r>
              <w:rPr>
                <w:rFonts w:ascii="Arial" w:cs="Arial" w:eastAsia="Arial" w:hAnsi="Arial"/>
                <w:sz w:val="10"/>
                <w:szCs w:val="10"/>
                <w:b w:val="1"/>
                <w:bCs w:val="1"/>
                <w:color w:val="auto"/>
              </w:rPr>
              <w:t>March 31,</w:t>
            </w:r>
          </w:p>
        </w:tc>
        <w:tc>
          <w:tcPr>
            <w:tcW w:w="260" w:type="dxa"/>
            <w:vAlign w:val="bottom"/>
          </w:tcPr>
          <w:p>
            <w:pPr>
              <w:spacing w:after="0"/>
              <w:rPr>
                <w:sz w:val="7"/>
                <w:szCs w:val="7"/>
                <w:color w:val="auto"/>
              </w:rPr>
            </w:pPr>
          </w:p>
        </w:tc>
        <w:tc>
          <w:tcPr>
            <w:tcW w:w="1060" w:type="dxa"/>
            <w:vAlign w:val="bottom"/>
          </w:tcPr>
          <w:p>
            <w:pPr>
              <w:jc w:val="right"/>
              <w:ind w:right="381"/>
              <w:spacing w:after="0" w:line="88"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2"/>
          </w:tcPr>
          <w:p>
            <w:pPr>
              <w:ind w:left="180"/>
              <w:spacing w:after="0" w:line="88" w:lineRule="exact"/>
              <w:rPr>
                <w:sz w:val="20"/>
                <w:szCs w:val="20"/>
                <w:color w:val="auto"/>
              </w:rPr>
            </w:pPr>
            <w:r>
              <w:rPr>
                <w:rFonts w:ascii="Arial" w:cs="Arial" w:eastAsia="Arial" w:hAnsi="Arial"/>
                <w:sz w:val="10"/>
                <w:szCs w:val="10"/>
                <w:b w:val="1"/>
                <w:bCs w:val="1"/>
                <w:color w:val="auto"/>
              </w:rPr>
              <w:t>June 30,</w:t>
            </w:r>
          </w:p>
        </w:tc>
        <w:tc>
          <w:tcPr>
            <w:tcW w:w="440" w:type="dxa"/>
            <w:vAlign w:val="bottom"/>
          </w:tcPr>
          <w:p>
            <w:pPr>
              <w:spacing w:after="0"/>
              <w:rPr>
                <w:sz w:val="7"/>
                <w:szCs w:val="7"/>
                <w:color w:val="auto"/>
              </w:rPr>
            </w:pPr>
          </w:p>
        </w:tc>
        <w:tc>
          <w:tcPr>
            <w:tcW w:w="880" w:type="dxa"/>
            <w:vAlign w:val="bottom"/>
          </w:tcPr>
          <w:p>
            <w:pPr>
              <w:jc w:val="right"/>
              <w:ind w:right="381"/>
              <w:spacing w:after="0" w:line="88" w:lineRule="exact"/>
              <w:rPr>
                <w:sz w:val="20"/>
                <w:szCs w:val="20"/>
                <w:color w:val="auto"/>
              </w:rPr>
            </w:pPr>
            <w:r>
              <w:rPr>
                <w:rFonts w:ascii="Arial" w:cs="Arial" w:eastAsia="Arial" w:hAnsi="Arial"/>
                <w:sz w:val="10"/>
                <w:szCs w:val="10"/>
                <w:b w:val="1"/>
                <w:bCs w:val="1"/>
                <w:color w:val="auto"/>
              </w:rPr>
              <w:t>June 30,</w:t>
            </w:r>
          </w:p>
        </w:tc>
      </w:tr>
      <w:tr>
        <w:trPr>
          <w:trHeight w:val="144"/>
        </w:trPr>
        <w:tc>
          <w:tcPr>
            <w:tcW w:w="4440" w:type="dxa"/>
            <w:vAlign w:val="bottom"/>
            <w:tcBorders>
              <w:bottom w:val="single" w:sz="8" w:color="E0E7ED"/>
            </w:tcBorders>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2025</w:t>
            </w:r>
          </w:p>
        </w:tc>
        <w:tc>
          <w:tcPr>
            <w:tcW w:w="60" w:type="dxa"/>
            <w:vAlign w:val="bottom"/>
            <w:tcBorders>
              <w:bottom w:val="single" w:sz="8" w:color="E0E7ED"/>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97"/>
              </w:rPr>
              <w:t>2025</w:t>
            </w:r>
          </w:p>
        </w:tc>
        <w:tc>
          <w:tcPr>
            <w:tcW w:w="6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2024</w:t>
            </w:r>
          </w:p>
        </w:tc>
      </w:tr>
      <w:tr>
        <w:trPr>
          <w:trHeight w:val="169"/>
        </w:trPr>
        <w:tc>
          <w:tcPr>
            <w:tcW w:w="4440" w:type="dxa"/>
            <w:vAlign w:val="bottom"/>
            <w:shd w:val="clear" w:color="auto" w:fill="E0E7ED"/>
          </w:tcPr>
          <w:p>
            <w:pPr>
              <w:spacing w:after="0"/>
              <w:rPr>
                <w:sz w:val="20"/>
                <w:szCs w:val="20"/>
                <w:color w:val="auto"/>
              </w:rPr>
            </w:pPr>
            <w:r>
              <w:rPr>
                <w:rFonts w:ascii="Arial" w:cs="Arial" w:eastAsia="Arial" w:hAnsi="Arial"/>
                <w:sz w:val="12"/>
                <w:szCs w:val="12"/>
                <w:color w:val="auto"/>
              </w:rPr>
              <w:t>Total interest income</w:t>
            </w: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247,446</w:t>
            </w:r>
          </w:p>
        </w:tc>
        <w:tc>
          <w:tcPr>
            <w:tcW w:w="60" w:type="dxa"/>
            <w:vAlign w:val="bottom"/>
            <w:shd w:val="clear" w:color="auto" w:fill="E0E7ED"/>
          </w:tcPr>
          <w:p>
            <w:pPr>
              <w:spacing w:after="0"/>
              <w:rPr>
                <w:sz w:val="14"/>
                <w:szCs w:val="14"/>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166,815</w:t>
            </w:r>
          </w:p>
        </w:tc>
        <w:tc>
          <w:tcPr>
            <w:tcW w:w="6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131,939</w:t>
            </w: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414,261</w:t>
            </w:r>
          </w:p>
        </w:tc>
        <w:tc>
          <w:tcPr>
            <w:tcW w:w="80" w:type="dxa"/>
            <w:vAlign w:val="bottom"/>
            <w:shd w:val="clear" w:color="auto" w:fill="E0E7ED"/>
          </w:tcPr>
          <w:p>
            <w:pPr>
              <w:spacing w:after="0"/>
              <w:rPr>
                <w:sz w:val="14"/>
                <w:szCs w:val="14"/>
                <w:color w:val="auto"/>
              </w:rPr>
            </w:pPr>
          </w:p>
        </w:tc>
        <w:tc>
          <w:tcPr>
            <w:tcW w:w="440" w:type="dxa"/>
            <w:vAlign w:val="bottom"/>
            <w:shd w:val="clear" w:color="auto" w:fill="E0E7ED"/>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257,759</w:t>
            </w:r>
          </w:p>
        </w:tc>
      </w:tr>
      <w:tr>
        <w:trPr>
          <w:trHeight w:val="172"/>
        </w:trPr>
        <w:tc>
          <w:tcPr>
            <w:tcW w:w="444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Total interest expense</w:t>
            </w: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94,263</w:t>
            </w:r>
          </w:p>
        </w:tc>
        <w:tc>
          <w:tcPr>
            <w:tcW w:w="60" w:type="dxa"/>
            <w:vAlign w:val="bottom"/>
            <w:tcBorders>
              <w:bottom w:val="single" w:sz="8" w:color="E0E7ED"/>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63,084</w:t>
            </w:r>
          </w:p>
        </w:tc>
        <w:tc>
          <w:tcPr>
            <w:tcW w:w="6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49,407</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157,347</w:t>
            </w:r>
          </w:p>
        </w:tc>
        <w:tc>
          <w:tcPr>
            <w:tcW w:w="80" w:type="dxa"/>
            <w:vAlign w:val="bottom"/>
            <w:tcBorders>
              <w:bottom w:val="single" w:sz="8" w:color="E0E7ED"/>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99,373</w:t>
            </w:r>
          </w:p>
        </w:tc>
      </w:tr>
      <w:tr>
        <w:trPr>
          <w:trHeight w:val="177"/>
        </w:trPr>
        <w:tc>
          <w:tcPr>
            <w:tcW w:w="4440" w:type="dxa"/>
            <w:vAlign w:val="bottom"/>
            <w:shd w:val="clear" w:color="auto" w:fill="E0E7ED"/>
          </w:tcPr>
          <w:p>
            <w:pPr>
              <w:spacing w:after="0"/>
              <w:rPr>
                <w:sz w:val="20"/>
                <w:szCs w:val="20"/>
                <w:color w:val="auto"/>
              </w:rPr>
            </w:pPr>
            <w:r>
              <w:rPr>
                <w:rFonts w:ascii="Arial" w:cs="Arial" w:eastAsia="Arial" w:hAnsi="Arial"/>
                <w:sz w:val="12"/>
                <w:szCs w:val="12"/>
                <w:color w:val="auto"/>
              </w:rPr>
              <w:t>Net interest income</w:t>
            </w: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153,183</w:t>
            </w:r>
          </w:p>
        </w:tc>
        <w:tc>
          <w:tcPr>
            <w:tcW w:w="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103,731</w:t>
            </w:r>
          </w:p>
        </w:tc>
        <w:tc>
          <w:tcPr>
            <w:tcW w:w="6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82,532</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4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256,914</w:t>
            </w: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158,386</w:t>
            </w:r>
          </w:p>
        </w:tc>
      </w:tr>
      <w:tr>
        <w:trPr>
          <w:trHeight w:val="180"/>
        </w:trPr>
        <w:tc>
          <w:tcPr>
            <w:tcW w:w="444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Provision for credit losses</w:t>
            </w:r>
            <w:r>
              <w:rPr>
                <w:rFonts w:ascii="Arial" w:cs="Arial" w:eastAsia="Arial" w:hAnsi="Arial"/>
                <w:sz w:val="15"/>
                <w:szCs w:val="15"/>
                <w:color w:val="auto"/>
                <w:vertAlign w:val="superscript"/>
              </w:rPr>
              <w:t>1</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5,700</w:t>
            </w:r>
          </w:p>
        </w:tc>
        <w:tc>
          <w:tcPr>
            <w:tcW w:w="60" w:type="dxa"/>
            <w:vAlign w:val="bottom"/>
            <w:tcBorders>
              <w:bottom w:val="single" w:sz="8" w:color="E0E7E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45,593</w:t>
            </w:r>
          </w:p>
        </w:tc>
        <w:tc>
          <w:tcPr>
            <w:tcW w:w="6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1,908</w:t>
            </w:r>
          </w:p>
        </w:tc>
        <w:tc>
          <w:tcPr>
            <w:tcW w:w="8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51,293</w:t>
            </w:r>
          </w:p>
        </w:tc>
        <w:tc>
          <w:tcPr>
            <w:tcW w:w="80" w:type="dxa"/>
            <w:vAlign w:val="bottom"/>
            <w:tcBorders>
              <w:bottom w:val="single" w:sz="8" w:color="E0E7ED"/>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6,268</w:t>
            </w:r>
          </w:p>
        </w:tc>
      </w:tr>
      <w:tr>
        <w:trPr>
          <w:trHeight w:val="169"/>
        </w:trPr>
        <w:tc>
          <w:tcPr>
            <w:tcW w:w="4440" w:type="dxa"/>
            <w:vAlign w:val="bottom"/>
            <w:shd w:val="clear" w:color="auto" w:fill="E0E7ED"/>
          </w:tcPr>
          <w:p>
            <w:pPr>
              <w:spacing w:after="0" w:line="169" w:lineRule="exact"/>
              <w:rPr>
                <w:sz w:val="20"/>
                <w:szCs w:val="20"/>
                <w:color w:val="auto"/>
              </w:rPr>
            </w:pPr>
            <w:r>
              <w:rPr>
                <w:rFonts w:ascii="Arial" w:cs="Arial" w:eastAsia="Arial" w:hAnsi="Arial"/>
                <w:sz w:val="12"/>
                <w:szCs w:val="12"/>
                <w:color w:val="auto"/>
              </w:rPr>
              <w:t>Net interest income after provision for credit losses</w:t>
            </w:r>
            <w:r>
              <w:rPr>
                <w:rFonts w:ascii="Arial" w:cs="Arial" w:eastAsia="Arial" w:hAnsi="Arial"/>
                <w:sz w:val="15"/>
                <w:szCs w:val="15"/>
                <w:color w:val="auto"/>
                <w:vertAlign w:val="superscript"/>
              </w:rPr>
              <w:t>1</w:t>
            </w:r>
          </w:p>
        </w:tc>
        <w:tc>
          <w:tcPr>
            <w:tcW w:w="260" w:type="dxa"/>
            <w:vAlign w:val="bottom"/>
            <w:shd w:val="clear" w:color="auto" w:fill="E0E7ED"/>
          </w:tcPr>
          <w:p>
            <w:pPr>
              <w:spacing w:after="0"/>
              <w:rPr>
                <w:sz w:val="14"/>
                <w:szCs w:val="14"/>
                <w:color w:val="auto"/>
              </w:rPr>
            </w:pP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147,483</w:t>
            </w:r>
          </w:p>
        </w:tc>
        <w:tc>
          <w:tcPr>
            <w:tcW w:w="6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2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58,138</w:t>
            </w:r>
          </w:p>
        </w:tc>
        <w:tc>
          <w:tcPr>
            <w:tcW w:w="6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80,624</w:t>
            </w: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04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205,621</w:t>
            </w:r>
          </w:p>
        </w:tc>
        <w:tc>
          <w:tcPr>
            <w:tcW w:w="80" w:type="dxa"/>
            <w:vAlign w:val="bottom"/>
            <w:shd w:val="clear" w:color="auto" w:fill="E0E7ED"/>
          </w:tcPr>
          <w:p>
            <w:pPr>
              <w:spacing w:after="0"/>
              <w:rPr>
                <w:sz w:val="14"/>
                <w:szCs w:val="14"/>
                <w:color w:val="auto"/>
              </w:rPr>
            </w:pPr>
          </w:p>
        </w:tc>
        <w:tc>
          <w:tcPr>
            <w:tcW w:w="440" w:type="dxa"/>
            <w:vAlign w:val="bottom"/>
            <w:shd w:val="clear" w:color="auto" w:fill="E0E7ED"/>
          </w:tcPr>
          <w:p>
            <w:pPr>
              <w:spacing w:after="0"/>
              <w:rPr>
                <w:sz w:val="14"/>
                <w:szCs w:val="14"/>
                <w:color w:val="auto"/>
              </w:rPr>
            </w:pP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152,118</w:t>
            </w:r>
          </w:p>
        </w:tc>
      </w:tr>
      <w:tr>
        <w:trPr>
          <w:trHeight w:val="172"/>
        </w:trPr>
        <w:tc>
          <w:tcPr>
            <w:tcW w:w="4440" w:type="dxa"/>
            <w:vAlign w:val="bottom"/>
          </w:tcPr>
          <w:p>
            <w:pPr>
              <w:spacing w:after="0"/>
              <w:rPr>
                <w:sz w:val="20"/>
                <w:szCs w:val="20"/>
                <w:color w:val="auto"/>
              </w:rPr>
            </w:pPr>
            <w:r>
              <w:rPr>
                <w:rFonts w:ascii="Arial" w:cs="Arial" w:eastAsia="Arial" w:hAnsi="Arial"/>
                <w:sz w:val="12"/>
                <w:szCs w:val="12"/>
                <w:color w:val="auto"/>
              </w:rPr>
              <w:t>Total noninterest income</w:t>
            </w: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44,863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21,223</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33,703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81"/>
              <w:spacing w:after="0"/>
              <w:rPr>
                <w:sz w:val="20"/>
                <w:szCs w:val="20"/>
                <w:color w:val="auto"/>
              </w:rPr>
            </w:pPr>
            <w:r>
              <w:rPr>
                <w:rFonts w:ascii="Arial" w:cs="Arial" w:eastAsia="Arial" w:hAnsi="Arial"/>
                <w:sz w:val="12"/>
                <w:szCs w:val="12"/>
                <w:color w:val="auto"/>
              </w:rPr>
              <w:t>66,086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68,616</w:t>
            </w:r>
          </w:p>
        </w:tc>
      </w:tr>
      <w:tr>
        <w:trPr>
          <w:trHeight w:val="188"/>
        </w:trPr>
        <w:tc>
          <w:tcPr>
            <w:tcW w:w="4440" w:type="dxa"/>
            <w:vAlign w:val="bottom"/>
            <w:shd w:val="clear" w:color="auto" w:fill="E0E7ED"/>
          </w:tcPr>
          <w:p>
            <w:pPr>
              <w:spacing w:after="0"/>
              <w:rPr>
                <w:sz w:val="20"/>
                <w:szCs w:val="20"/>
                <w:color w:val="auto"/>
              </w:rPr>
            </w:pPr>
            <w:r>
              <w:rPr>
                <w:rFonts w:ascii="Arial" w:cs="Arial" w:eastAsia="Arial" w:hAnsi="Arial"/>
                <w:sz w:val="12"/>
                <w:szCs w:val="12"/>
                <w:color w:val="auto"/>
              </w:rPr>
              <w:t>Total noninterest expense</w:t>
            </w:r>
            <w:r>
              <w:rPr>
                <w:rFonts w:ascii="Arial" w:cs="Arial" w:eastAsia="Arial" w:hAnsi="Arial"/>
                <w:sz w:val="15"/>
                <w:szCs w:val="15"/>
                <w:color w:val="auto"/>
                <w:vertAlign w:val="superscript"/>
              </w:rPr>
              <w:t>1</w:t>
            </w:r>
          </w:p>
        </w:tc>
        <w:tc>
          <w:tcPr>
            <w:tcW w:w="26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127,833</w:t>
            </w:r>
          </w:p>
        </w:tc>
        <w:tc>
          <w:tcPr>
            <w:tcW w:w="60" w:type="dxa"/>
            <w:vAlign w:val="bottom"/>
            <w:shd w:val="clear" w:color="auto" w:fill="E0E7ED"/>
          </w:tcPr>
          <w:p>
            <w:pPr>
              <w:spacing w:after="0"/>
              <w:rPr>
                <w:sz w:val="16"/>
                <w:szCs w:val="16"/>
                <w:color w:val="auto"/>
              </w:rPr>
            </w:pPr>
          </w:p>
        </w:tc>
        <w:tc>
          <w:tcPr>
            <w:tcW w:w="100" w:type="dxa"/>
            <w:vAlign w:val="bottom"/>
            <w:tcBorders>
              <w:bottom w:val="single" w:sz="8" w:color="auto"/>
            </w:tcBorders>
            <w:shd w:val="clear" w:color="auto" w:fill="E0E7ED"/>
          </w:tcPr>
          <w:p>
            <w:pPr>
              <w:spacing w:after="0"/>
              <w:rPr>
                <w:sz w:val="16"/>
                <w:szCs w:val="16"/>
                <w:color w:val="auto"/>
              </w:rPr>
            </w:pPr>
          </w:p>
        </w:tc>
        <w:tc>
          <w:tcPr>
            <w:tcW w:w="122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112,030</w:t>
            </w:r>
          </w:p>
        </w:tc>
        <w:tc>
          <w:tcPr>
            <w:tcW w:w="60" w:type="dxa"/>
            <w:vAlign w:val="bottom"/>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75,906</w:t>
            </w:r>
          </w:p>
        </w:tc>
        <w:tc>
          <w:tcPr>
            <w:tcW w:w="80" w:type="dxa"/>
            <w:vAlign w:val="bottom"/>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spacing w:after="0"/>
              <w:rPr>
                <w:sz w:val="16"/>
                <w:szCs w:val="16"/>
                <w:color w:val="auto"/>
              </w:rPr>
            </w:pPr>
          </w:p>
        </w:tc>
        <w:tc>
          <w:tcPr>
            <w:tcW w:w="1040" w:type="dxa"/>
            <w:vAlign w:val="bottom"/>
            <w:tcBorders>
              <w:bottom w:val="single" w:sz="8" w:color="auto"/>
            </w:tcBorders>
            <w:shd w:val="clear" w:color="auto" w:fill="E0E7ED"/>
          </w:tcPr>
          <w:p>
            <w:pPr>
              <w:jc w:val="right"/>
              <w:ind w:right="81"/>
              <w:spacing w:after="0"/>
              <w:rPr>
                <w:sz w:val="20"/>
                <w:szCs w:val="20"/>
                <w:color w:val="auto"/>
              </w:rPr>
            </w:pPr>
            <w:r>
              <w:rPr>
                <w:rFonts w:ascii="Arial" w:cs="Arial" w:eastAsia="Arial" w:hAnsi="Arial"/>
                <w:sz w:val="12"/>
                <w:szCs w:val="12"/>
                <w:color w:val="auto"/>
              </w:rPr>
              <w:t>239,863</w:t>
            </w:r>
          </w:p>
        </w:tc>
        <w:tc>
          <w:tcPr>
            <w:tcW w:w="80" w:type="dxa"/>
            <w:vAlign w:val="bottom"/>
            <w:shd w:val="clear" w:color="auto" w:fill="E0E7ED"/>
          </w:tcPr>
          <w:p>
            <w:pPr>
              <w:spacing w:after="0"/>
              <w:rPr>
                <w:sz w:val="16"/>
                <w:szCs w:val="16"/>
                <w:color w:val="auto"/>
              </w:rPr>
            </w:pPr>
          </w:p>
        </w:tc>
        <w:tc>
          <w:tcPr>
            <w:tcW w:w="440" w:type="dxa"/>
            <w:vAlign w:val="bottom"/>
            <w:tcBorders>
              <w:bottom w:val="single" w:sz="8" w:color="auto"/>
            </w:tcBorders>
            <w:shd w:val="clear" w:color="auto" w:fill="E0E7ED"/>
          </w:tcPr>
          <w:p>
            <w:pPr>
              <w:spacing w:after="0"/>
              <w:rPr>
                <w:sz w:val="16"/>
                <w:szCs w:val="16"/>
                <w:color w:val="auto"/>
              </w:rPr>
            </w:pPr>
          </w:p>
        </w:tc>
        <w:tc>
          <w:tcPr>
            <w:tcW w:w="88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147,353</w:t>
            </w:r>
          </w:p>
        </w:tc>
      </w:tr>
      <w:tr>
        <w:trPr>
          <w:trHeight w:val="161"/>
        </w:trPr>
        <w:tc>
          <w:tcPr>
            <w:tcW w:w="4440" w:type="dxa"/>
            <w:vAlign w:val="bottom"/>
          </w:tcPr>
          <w:p>
            <w:pPr>
              <w:spacing w:after="0"/>
              <w:rPr>
                <w:sz w:val="20"/>
                <w:szCs w:val="20"/>
                <w:color w:val="auto"/>
              </w:rPr>
            </w:pPr>
            <w:r>
              <w:rPr>
                <w:rFonts w:ascii="Arial" w:cs="Arial" w:eastAsia="Arial" w:hAnsi="Arial"/>
                <w:sz w:val="12"/>
                <w:szCs w:val="12"/>
                <w:color w:val="auto"/>
              </w:rPr>
              <w:t>Income (loss) before income taxes</w:t>
            </w: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64,513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(32,669)</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38,421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81"/>
              <w:spacing w:after="0"/>
              <w:rPr>
                <w:sz w:val="20"/>
                <w:szCs w:val="20"/>
                <w:color w:val="auto"/>
              </w:rPr>
            </w:pPr>
            <w:r>
              <w:rPr>
                <w:rFonts w:ascii="Arial" w:cs="Arial" w:eastAsia="Arial" w:hAnsi="Arial"/>
                <w:sz w:val="12"/>
                <w:szCs w:val="12"/>
                <w:color w:val="auto"/>
              </w:rPr>
              <w:t>31,844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73,381</w:t>
            </w:r>
          </w:p>
        </w:tc>
      </w:tr>
      <w:tr>
        <w:trPr>
          <w:trHeight w:val="188"/>
        </w:trPr>
        <w:tc>
          <w:tcPr>
            <w:tcW w:w="4440" w:type="dxa"/>
            <w:vAlign w:val="bottom"/>
            <w:shd w:val="clear" w:color="auto" w:fill="E0E7ED"/>
          </w:tcPr>
          <w:p>
            <w:pPr>
              <w:ind w:left="120"/>
              <w:spacing w:after="0"/>
              <w:rPr>
                <w:sz w:val="20"/>
                <w:szCs w:val="20"/>
                <w:color w:val="auto"/>
              </w:rPr>
            </w:pPr>
            <w:r>
              <w:rPr>
                <w:rFonts w:ascii="Arial" w:cs="Arial" w:eastAsia="Arial" w:hAnsi="Arial"/>
                <w:sz w:val="12"/>
                <w:szCs w:val="12"/>
                <w:color w:val="auto"/>
              </w:rPr>
              <w:t>Income taxes</w:t>
            </w:r>
          </w:p>
        </w:tc>
        <w:tc>
          <w:tcPr>
            <w:tcW w:w="26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17,109</w:t>
            </w:r>
          </w:p>
        </w:tc>
        <w:tc>
          <w:tcPr>
            <w:tcW w:w="60" w:type="dxa"/>
            <w:vAlign w:val="bottom"/>
            <w:shd w:val="clear" w:color="auto" w:fill="E0E7ED"/>
          </w:tcPr>
          <w:p>
            <w:pPr>
              <w:spacing w:after="0"/>
              <w:rPr>
                <w:sz w:val="16"/>
                <w:szCs w:val="16"/>
                <w:color w:val="auto"/>
              </w:rPr>
            </w:pPr>
          </w:p>
        </w:tc>
        <w:tc>
          <w:tcPr>
            <w:tcW w:w="100" w:type="dxa"/>
            <w:vAlign w:val="bottom"/>
            <w:tcBorders>
              <w:bottom w:val="single" w:sz="8" w:color="auto"/>
            </w:tcBorders>
            <w:shd w:val="clear" w:color="auto" w:fill="E0E7ED"/>
          </w:tcPr>
          <w:p>
            <w:pPr>
              <w:spacing w:after="0"/>
              <w:rPr>
                <w:sz w:val="16"/>
                <w:szCs w:val="16"/>
                <w:color w:val="auto"/>
              </w:rPr>
            </w:pPr>
          </w:p>
        </w:tc>
        <w:tc>
          <w:tcPr>
            <w:tcW w:w="1220" w:type="dxa"/>
            <w:vAlign w:val="bottom"/>
            <w:tcBorders>
              <w:bottom w:val="single" w:sz="8" w:color="auto"/>
            </w:tcBorders>
            <w:shd w:val="clear" w:color="auto" w:fill="E0E7ED"/>
          </w:tcPr>
          <w:p>
            <w:pPr>
              <w:jc w:val="right"/>
              <w:ind w:right="61"/>
              <w:spacing w:after="0"/>
              <w:rPr>
                <w:sz w:val="20"/>
                <w:szCs w:val="20"/>
                <w:color w:val="auto"/>
              </w:rPr>
            </w:pPr>
            <w:r>
              <w:rPr>
                <w:rFonts w:ascii="Arial" w:cs="Arial" w:eastAsia="Arial" w:hAnsi="Arial"/>
                <w:sz w:val="12"/>
                <w:szCs w:val="12"/>
                <w:color w:val="auto"/>
              </w:rPr>
              <w:t>(2,679)</w:t>
            </w:r>
          </w:p>
        </w:tc>
        <w:tc>
          <w:tcPr>
            <w:tcW w:w="60" w:type="dxa"/>
            <w:vAlign w:val="bottom"/>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11,064</w:t>
            </w:r>
          </w:p>
        </w:tc>
        <w:tc>
          <w:tcPr>
            <w:tcW w:w="80" w:type="dxa"/>
            <w:vAlign w:val="bottom"/>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spacing w:after="0"/>
              <w:rPr>
                <w:sz w:val="16"/>
                <w:szCs w:val="16"/>
                <w:color w:val="auto"/>
              </w:rPr>
            </w:pPr>
          </w:p>
        </w:tc>
        <w:tc>
          <w:tcPr>
            <w:tcW w:w="1040" w:type="dxa"/>
            <w:vAlign w:val="bottom"/>
            <w:tcBorders>
              <w:bottom w:val="single" w:sz="8" w:color="auto"/>
            </w:tcBorders>
            <w:shd w:val="clear" w:color="auto" w:fill="E0E7ED"/>
          </w:tcPr>
          <w:p>
            <w:pPr>
              <w:jc w:val="right"/>
              <w:ind w:right="81"/>
              <w:spacing w:after="0"/>
              <w:rPr>
                <w:sz w:val="20"/>
                <w:szCs w:val="20"/>
                <w:color w:val="auto"/>
              </w:rPr>
            </w:pPr>
            <w:r>
              <w:rPr>
                <w:rFonts w:ascii="Arial" w:cs="Arial" w:eastAsia="Arial" w:hAnsi="Arial"/>
                <w:sz w:val="12"/>
                <w:szCs w:val="12"/>
                <w:color w:val="auto"/>
              </w:rPr>
              <w:t>14,430</w:t>
            </w:r>
          </w:p>
        </w:tc>
        <w:tc>
          <w:tcPr>
            <w:tcW w:w="80" w:type="dxa"/>
            <w:vAlign w:val="bottom"/>
            <w:shd w:val="clear" w:color="auto" w:fill="E0E7ED"/>
          </w:tcPr>
          <w:p>
            <w:pPr>
              <w:spacing w:after="0"/>
              <w:rPr>
                <w:sz w:val="16"/>
                <w:szCs w:val="16"/>
                <w:color w:val="auto"/>
              </w:rPr>
            </w:pPr>
          </w:p>
        </w:tc>
        <w:tc>
          <w:tcPr>
            <w:tcW w:w="440" w:type="dxa"/>
            <w:vAlign w:val="bottom"/>
            <w:tcBorders>
              <w:bottom w:val="single" w:sz="8" w:color="auto"/>
            </w:tcBorders>
            <w:shd w:val="clear" w:color="auto" w:fill="E0E7ED"/>
          </w:tcPr>
          <w:p>
            <w:pPr>
              <w:spacing w:after="0"/>
              <w:rPr>
                <w:sz w:val="16"/>
                <w:szCs w:val="16"/>
                <w:color w:val="auto"/>
              </w:rPr>
            </w:pPr>
          </w:p>
        </w:tc>
        <w:tc>
          <w:tcPr>
            <w:tcW w:w="88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19,799</w:t>
            </w:r>
          </w:p>
        </w:tc>
      </w:tr>
      <w:tr>
        <w:trPr>
          <w:trHeight w:val="161"/>
        </w:trPr>
        <w:tc>
          <w:tcPr>
            <w:tcW w:w="4440" w:type="dxa"/>
            <w:vAlign w:val="bottom"/>
          </w:tcPr>
          <w:p>
            <w:pPr>
              <w:spacing w:after="0"/>
              <w:rPr>
                <w:sz w:val="20"/>
                <w:szCs w:val="20"/>
                <w:color w:val="auto"/>
              </w:rPr>
            </w:pPr>
            <w:r>
              <w:rPr>
                <w:rFonts w:ascii="Arial" w:cs="Arial" w:eastAsia="Arial" w:hAnsi="Arial"/>
                <w:sz w:val="12"/>
                <w:szCs w:val="12"/>
                <w:color w:val="auto"/>
              </w:rPr>
              <w:t>Net income (loss)</w:t>
            </w: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47,404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(29,990)</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27,357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81"/>
              <w:spacing w:after="0"/>
              <w:rPr>
                <w:sz w:val="20"/>
                <w:szCs w:val="20"/>
                <w:color w:val="auto"/>
              </w:rPr>
            </w:pPr>
            <w:r>
              <w:rPr>
                <w:rFonts w:ascii="Arial" w:cs="Arial" w:eastAsia="Arial" w:hAnsi="Arial"/>
                <w:sz w:val="12"/>
                <w:szCs w:val="12"/>
                <w:color w:val="auto"/>
              </w:rPr>
              <w:t>17,414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53,582</w:t>
            </w:r>
          </w:p>
        </w:tc>
      </w:tr>
      <w:tr>
        <w:trPr>
          <w:trHeight w:val="180"/>
        </w:trPr>
        <w:tc>
          <w:tcPr>
            <w:tcW w:w="4440" w:type="dxa"/>
            <w:vAlign w:val="bottom"/>
            <w:shd w:val="clear" w:color="auto" w:fill="E0E7ED"/>
          </w:tcPr>
          <w:p>
            <w:pPr>
              <w:ind w:left="120"/>
              <w:spacing w:after="0"/>
              <w:rPr>
                <w:sz w:val="20"/>
                <w:szCs w:val="20"/>
                <w:color w:val="auto"/>
              </w:rPr>
            </w:pPr>
            <w:r>
              <w:rPr>
                <w:rFonts w:ascii="Arial" w:cs="Arial" w:eastAsia="Arial" w:hAnsi="Arial"/>
                <w:sz w:val="12"/>
                <w:szCs w:val="12"/>
                <w:color w:val="auto"/>
              </w:rPr>
              <w:t>Dividends on preferred stock</w:t>
            </w: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155</w:t>
            </w:r>
          </w:p>
        </w:tc>
        <w:tc>
          <w:tcPr>
            <w:tcW w:w="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8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7ED"/>
          </w:tcPr>
          <w:p>
            <w:pPr>
              <w:spacing w:after="0"/>
              <w:rPr>
                <w:sz w:val="15"/>
                <w:szCs w:val="15"/>
                <w:color w:val="auto"/>
              </w:rPr>
            </w:pPr>
          </w:p>
        </w:tc>
        <w:tc>
          <w:tcPr>
            <w:tcW w:w="114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7ED"/>
          </w:tcPr>
          <w:p>
            <w:pPr>
              <w:spacing w:after="0"/>
              <w:rPr>
                <w:sz w:val="15"/>
                <w:szCs w:val="15"/>
                <w:color w:val="auto"/>
              </w:rPr>
            </w:pPr>
          </w:p>
        </w:tc>
        <w:tc>
          <w:tcPr>
            <w:tcW w:w="104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155</w:t>
            </w: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w:t>
            </w:r>
          </w:p>
        </w:tc>
      </w:tr>
      <w:tr>
        <w:trPr>
          <w:trHeight w:val="193"/>
        </w:trPr>
        <w:tc>
          <w:tcPr>
            <w:tcW w:w="444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Net income (loss) available to common stockholders</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47,249</w:t>
            </w:r>
          </w:p>
        </w:tc>
        <w:tc>
          <w:tcPr>
            <w:tcW w:w="60" w:type="dxa"/>
            <w:vAlign w:val="bottom"/>
            <w:tcBorders>
              <w:bottom w:val="single" w:sz="8" w:color="E0E7ED"/>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(29,990)</w:t>
            </w:r>
          </w:p>
        </w:tc>
        <w:tc>
          <w:tcPr>
            <w:tcW w:w="60" w:type="dxa"/>
            <w:vAlign w:val="bottom"/>
            <w:tcBorders>
              <w:bottom w:val="single" w:sz="8" w:color="E0E7ED"/>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27,357</w:t>
            </w:r>
          </w:p>
        </w:tc>
        <w:tc>
          <w:tcPr>
            <w:tcW w:w="80" w:type="dxa"/>
            <w:vAlign w:val="bottom"/>
            <w:tcBorders>
              <w:bottom w:val="single" w:sz="8" w:color="E0E7ED"/>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rPr>
              <w:t>17,259</w:t>
            </w:r>
          </w:p>
        </w:tc>
        <w:tc>
          <w:tcPr>
            <w:tcW w:w="80" w:type="dxa"/>
            <w:vAlign w:val="bottom"/>
            <w:tcBorders>
              <w:bottom w:val="single" w:sz="8" w:color="E0E7ED"/>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53,582</w:t>
            </w:r>
          </w:p>
        </w:tc>
      </w:tr>
      <w:tr>
        <w:trPr>
          <w:trHeight w:val="153"/>
        </w:trPr>
        <w:tc>
          <w:tcPr>
            <w:tcW w:w="4440" w:type="dxa"/>
            <w:vAlign w:val="bottom"/>
            <w:shd w:val="clear" w:color="auto" w:fill="E0E7ED"/>
          </w:tcPr>
          <w:p>
            <w:pPr>
              <w:spacing w:after="0"/>
              <w:rPr>
                <w:sz w:val="13"/>
                <w:szCs w:val="13"/>
                <w:color w:val="auto"/>
              </w:rPr>
            </w:pPr>
          </w:p>
        </w:tc>
        <w:tc>
          <w:tcPr>
            <w:tcW w:w="26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122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6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60" w:type="dxa"/>
            <w:vAlign w:val="bottom"/>
            <w:shd w:val="clear" w:color="auto" w:fill="E0E7ED"/>
          </w:tcPr>
          <w:p>
            <w:pPr>
              <w:spacing w:after="0"/>
              <w:rPr>
                <w:sz w:val="13"/>
                <w:szCs w:val="13"/>
                <w:color w:val="auto"/>
              </w:rPr>
            </w:pPr>
          </w:p>
        </w:tc>
        <w:tc>
          <w:tcPr>
            <w:tcW w:w="104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440" w:type="dxa"/>
            <w:vAlign w:val="bottom"/>
            <w:shd w:val="clear" w:color="auto" w:fill="E0E7ED"/>
          </w:tcPr>
          <w:p>
            <w:pPr>
              <w:spacing w:after="0"/>
              <w:rPr>
                <w:sz w:val="13"/>
                <w:szCs w:val="13"/>
                <w:color w:val="auto"/>
              </w:rPr>
            </w:pPr>
          </w:p>
        </w:tc>
        <w:tc>
          <w:tcPr>
            <w:tcW w:w="880" w:type="dxa"/>
            <w:vAlign w:val="bottom"/>
            <w:shd w:val="clear" w:color="auto" w:fill="E0E7ED"/>
          </w:tcPr>
          <w:p>
            <w:pPr>
              <w:spacing w:after="0"/>
              <w:rPr>
                <w:sz w:val="13"/>
                <w:szCs w:val="13"/>
                <w:color w:val="auto"/>
              </w:rPr>
            </w:pPr>
          </w:p>
        </w:tc>
      </w:tr>
      <w:tr>
        <w:trPr>
          <w:trHeight w:val="172"/>
        </w:trPr>
        <w:tc>
          <w:tcPr>
            <w:tcW w:w="4440" w:type="dxa"/>
            <w:vAlign w:val="bottom"/>
          </w:tcPr>
          <w:p>
            <w:pPr>
              <w:spacing w:after="0"/>
              <w:rPr>
                <w:sz w:val="20"/>
                <w:szCs w:val="20"/>
                <w:color w:val="auto"/>
              </w:rPr>
            </w:pPr>
            <w:r>
              <w:rPr>
                <w:rFonts w:ascii="Arial" w:cs="Arial" w:eastAsia="Arial" w:hAnsi="Arial"/>
                <w:sz w:val="12"/>
                <w:szCs w:val="12"/>
                <w:color w:val="auto"/>
              </w:rPr>
              <w:t>Basic earnings (loss) per common share</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0.53</w:t>
            </w:r>
          </w:p>
        </w:tc>
        <w:tc>
          <w:tcPr>
            <w:tcW w:w="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1"/>
              <w:spacing w:after="0"/>
              <w:rPr>
                <w:sz w:val="20"/>
                <w:szCs w:val="20"/>
                <w:color w:val="auto"/>
              </w:rPr>
            </w:pPr>
            <w:r>
              <w:rPr>
                <w:rFonts w:ascii="Arial" w:cs="Arial" w:eastAsia="Arial" w:hAnsi="Arial"/>
                <w:sz w:val="12"/>
                <w:szCs w:val="12"/>
                <w:color w:val="auto"/>
              </w:rPr>
              <w:t>(0.44)</w:t>
            </w:r>
          </w:p>
        </w:tc>
        <w:tc>
          <w:tcPr>
            <w:tcW w:w="6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0.48</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81"/>
              <w:spacing w:after="0"/>
              <w:rPr>
                <w:sz w:val="20"/>
                <w:szCs w:val="20"/>
                <w:color w:val="auto"/>
              </w:rPr>
            </w:pPr>
            <w:r>
              <w:rPr>
                <w:rFonts w:ascii="Arial" w:cs="Arial" w:eastAsia="Arial" w:hAnsi="Arial"/>
                <w:sz w:val="12"/>
                <w:szCs w:val="12"/>
                <w:color w:val="auto"/>
              </w:rPr>
              <w:t>0.22</w:t>
            </w:r>
          </w:p>
        </w:tc>
        <w:tc>
          <w:tcPr>
            <w:tcW w:w="8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0.95</w:t>
            </w:r>
          </w:p>
        </w:tc>
      </w:tr>
      <w:tr>
        <w:trPr>
          <w:trHeight w:val="188"/>
        </w:trPr>
        <w:tc>
          <w:tcPr>
            <w:tcW w:w="4440" w:type="dxa"/>
            <w:vAlign w:val="bottom"/>
            <w:shd w:val="clear" w:color="auto" w:fill="E0E7ED"/>
          </w:tcPr>
          <w:p>
            <w:pPr>
              <w:spacing w:after="0"/>
              <w:rPr>
                <w:sz w:val="20"/>
                <w:szCs w:val="20"/>
                <w:color w:val="auto"/>
              </w:rPr>
            </w:pPr>
            <w:r>
              <w:rPr>
                <w:rFonts w:ascii="Arial" w:cs="Arial" w:eastAsia="Arial" w:hAnsi="Arial"/>
                <w:sz w:val="12"/>
                <w:szCs w:val="12"/>
                <w:color w:val="auto"/>
              </w:rPr>
              <w:t>Diluted earnings (loss) per common share</w:t>
            </w: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0.52</w:t>
            </w:r>
          </w:p>
        </w:tc>
        <w:tc>
          <w:tcPr>
            <w:tcW w:w="60" w:type="dxa"/>
            <w:vAlign w:val="bottom"/>
            <w:shd w:val="clear" w:color="auto" w:fill="E0E7ED"/>
          </w:tcPr>
          <w:p>
            <w:pPr>
              <w:spacing w:after="0"/>
              <w:rPr>
                <w:sz w:val="16"/>
                <w:szCs w:val="16"/>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61"/>
              <w:spacing w:after="0"/>
              <w:rPr>
                <w:sz w:val="20"/>
                <w:szCs w:val="20"/>
                <w:color w:val="auto"/>
              </w:rPr>
            </w:pPr>
            <w:r>
              <w:rPr>
                <w:rFonts w:ascii="Arial" w:cs="Arial" w:eastAsia="Arial" w:hAnsi="Arial"/>
                <w:sz w:val="12"/>
                <w:szCs w:val="12"/>
                <w:color w:val="auto"/>
              </w:rPr>
              <w:t>(0.44)</w:t>
            </w:r>
          </w:p>
        </w:tc>
        <w:tc>
          <w:tcPr>
            <w:tcW w:w="60" w:type="dxa"/>
            <w:vAlign w:val="bottom"/>
            <w:shd w:val="clear" w:color="auto" w:fill="E0E7ED"/>
          </w:tcPr>
          <w:p>
            <w:pPr>
              <w:spacing w:after="0"/>
              <w:rPr>
                <w:sz w:val="16"/>
                <w:szCs w:val="16"/>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0.47</w:t>
            </w: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0.22</w:t>
            </w:r>
          </w:p>
        </w:tc>
        <w:tc>
          <w:tcPr>
            <w:tcW w:w="80" w:type="dxa"/>
            <w:vAlign w:val="bottom"/>
            <w:shd w:val="clear" w:color="auto" w:fill="E0E7ED"/>
          </w:tcPr>
          <w:p>
            <w:pPr>
              <w:spacing w:after="0"/>
              <w:rPr>
                <w:sz w:val="16"/>
                <w:szCs w:val="16"/>
                <w:color w:val="auto"/>
              </w:rPr>
            </w:pPr>
          </w:p>
        </w:tc>
        <w:tc>
          <w:tcPr>
            <w:tcW w:w="440" w:type="dxa"/>
            <w:vAlign w:val="bottom"/>
            <w:shd w:val="clear" w:color="auto" w:fill="E0E7ED"/>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0.94</w:t>
            </w:r>
          </w:p>
        </w:tc>
      </w:tr>
      <w:tr>
        <w:trPr>
          <w:trHeight w:val="164"/>
        </w:trPr>
        <w:tc>
          <w:tcPr>
            <w:tcW w:w="4440" w:type="dxa"/>
            <w:vAlign w:val="bottom"/>
          </w:tcPr>
          <w:p>
            <w:pPr>
              <w:spacing w:after="0"/>
              <w:rPr>
                <w:sz w:val="20"/>
                <w:szCs w:val="20"/>
                <w:color w:val="auto"/>
              </w:rPr>
            </w:pPr>
            <w:r>
              <w:rPr>
                <w:rFonts w:ascii="Arial" w:cs="Arial" w:eastAsia="Arial" w:hAnsi="Arial"/>
                <w:sz w:val="12"/>
                <w:szCs w:val="12"/>
                <w:color w:val="auto"/>
              </w:rPr>
              <w:t>Effective income tax rate</w:t>
            </w: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26.52 %</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8.20 %</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28.80 %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45.31 %</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26.98 %</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 w:lineRule="exact"/>
        <w:rPr>
          <w:sz w:val="20"/>
          <w:szCs w:val="20"/>
          <w:color w:val="auto"/>
        </w:rPr>
      </w:pPr>
    </w:p>
    <w:p>
      <w:pPr>
        <w:ind w:left="320" w:hanging="220"/>
        <w:spacing w:after="0" w:line="248" w:lineRule="auto"/>
        <w:tabs>
          <w:tab w:leader="none" w:pos="337" w:val="left"/>
        </w:tabs>
        <w:numPr>
          <w:ilvl w:val="0"/>
          <w:numId w:val="2"/>
        </w:numPr>
        <w:rPr>
          <w:rFonts w:ascii="Arial" w:cs="Arial" w:eastAsia="Arial" w:hAnsi="Arial"/>
          <w:sz w:val="10"/>
          <w:szCs w:val="10"/>
          <w:color w:val="auto"/>
        </w:rPr>
      </w:pPr>
      <w:r>
        <w:rPr>
          <w:rFonts w:ascii="Arial" w:cs="Arial" w:eastAsia="Arial" w:hAnsi="Arial"/>
          <w:sz w:val="10"/>
          <w:szCs w:val="10"/>
          <w:color w:val="auto"/>
        </w:rPr>
        <w:t>Beginning in the second quarter of 2025, Busey revised its presentation, for all periods presented, to reclassify the provision for unfunded commitments so that it is now included within the provision for credit losses; therefore, it is no longer included within total noninterest expense.</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2</w:t>
      </w:r>
    </w:p>
    <w:p>
      <w:pPr>
        <w:sectPr>
          <w:pgSz w:w="11900" w:h="16838" w:orient="portrait"/>
          <w:cols w:equalWidth="0" w:num="1">
            <w:col w:w="11300"/>
          </w:cols>
          <w:pgMar w:left="300" w:top="460" w:right="299" w:bottom="1440" w:gutter="0" w:footer="0" w:header="0"/>
          <w:type w:val="continuous"/>
        </w:sectPr>
      </w:pPr>
    </w:p>
    <w:bookmarkStart w:id="6" w:name="page7"/>
    <w:bookmarkEnd w:id="6"/>
    <w:p>
      <w:pPr>
        <w:jc w:val="both"/>
        <w:spacing w:after="0" w:line="26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Following the acquisition of CrossFirst Bankshares, Inc. (“CrossFirst”) and its subsidiary CrossFirst Bank, by First Busey Corporation, the holding company for Busey Bank, in the first quarter of 2025, CrossFirst Bank was merged with and into Busey Bank (the “Bank Merger”) on June 20, 2025. At the time of the Bank Merger, CrossFirst Bank banking centers became banking centers of Busey Bank. Throughout this document, we refer to First Busey Corporation, together with its consolidated subsidiaries, as “Busey,” the “Company,” “we,” “us,” or “our.”</w:t>
      </w:r>
    </w:p>
    <w:p>
      <w:pPr>
        <w:spacing w:after="0" w:line="96"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Busey’s net income for the second quarter of 2025 was $47.4 million, or $0.52 per diluted common share, compared to a net loss of $30.0 million, or $0.44 per diluted common share, for the first quarter of 2025, and net income of $27.4 million, or $0.47 per diluted common share, for the second quarter of 2024. Annualized return on average assets and annualized return on average tangible common equity</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were 1.00% and 11.24%, respectively, for the second quarter of 2025. The second quarter of 2025 represented the first full quarter in which the CrossFirst acquisition contributed to Busey’s financial results.</w:t>
      </w:r>
    </w:p>
    <w:p>
      <w:pPr>
        <w:spacing w:after="0" w:line="113"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Busey views certain non-operating items, including acquisition-related expenses, restructuring charges, and nonrecurring strategic events, as adjustments to net income reported under U.S. generally accepted accounting principles ("GAAP"). We also adjust for net securities gains and losses to align with industry and research analyst reporting. The objective of our presentation of adjusted earnings and adjusted earnings metrics is to allow investors and analysts to more clearly identify quarterly trends in core earnings performance. Non-operating pre-tax adjustments for acquisition and restructuring expenses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in the second quarter of 2025 were $16.6 million, with an additional $ 4.0 million adjustment to the initial provision for unfunded commitments resulting from the adoption of a new Current Expected Credit Losses (“CECL”) model. Further, net securities gains were $6.0 million, almost entirely related to unrealized gains on Busey’s approximately 3% equity ownership of a financial institution that was the target of an announced acquisition at a significant market premium. For more information and a reconciliation of these non-GAAP measures (which are identified with the End Note labeled as 2) in tabular form, see "</w:t>
      </w:r>
      <w:r>
        <w:rPr>
          <w:rFonts w:ascii="Arial" w:cs="Arial" w:eastAsia="Arial" w:hAnsi="Arial"/>
          <w:sz w:val="12"/>
          <w:szCs w:val="12"/>
          <w:u w:val="single" w:color="auto"/>
          <w:color w:val="0000FF"/>
        </w:rPr>
        <w:t>Non-GAAP Financial Information</w:t>
      </w:r>
      <w:r>
        <w:rPr>
          <w:rFonts w:ascii="Arial" w:cs="Arial" w:eastAsia="Arial" w:hAnsi="Arial"/>
          <w:sz w:val="12"/>
          <w:szCs w:val="12"/>
          <w:color w:val="auto"/>
        </w:rPr>
        <w:t xml:space="preserve">" beginning on page </w:t>
      </w:r>
      <w:r>
        <w:rPr>
          <w:rFonts w:ascii="Arial" w:cs="Arial" w:eastAsia="Arial" w:hAnsi="Arial"/>
          <w:sz w:val="12"/>
          <w:szCs w:val="12"/>
          <w:u w:val="single" w:color="auto"/>
          <w:color w:val="0000FF"/>
        </w:rPr>
        <w:t>13</w:t>
      </w:r>
      <w:r>
        <w:rPr>
          <w:rFonts w:ascii="Arial" w:cs="Arial" w:eastAsia="Arial" w:hAnsi="Arial"/>
          <w:sz w:val="12"/>
          <w:szCs w:val="12"/>
          <w:color w:val="auto"/>
        </w:rPr>
        <w:t>.</w:t>
      </w:r>
    </w:p>
    <w:p>
      <w:pPr>
        <w:spacing w:after="0" w:line="108"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Adjusted net income,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which excludes the impact of non-GAAP adjustments, was $57.4 million, or $0.63 per diluted common share, for the second quarter of 2025, compared to $39.9 million, or $0.57 per diluted common share, for the first quarter of 2025 and $30.5 million, or $0.53 per diluted common share, for the second quarter of 2024. Annualized adjusted return on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and annualized adjusted return on average tangible common equity</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were 1.21% and 13.61%, respectively, for the second quarter of 2025.</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Pre-Provision Net Revenue</w:t>
      </w:r>
      <w:r>
        <w:rPr>
          <w:rFonts w:ascii="Arial" w:cs="Arial" w:eastAsia="Arial" w:hAnsi="Arial"/>
          <w:sz w:val="15"/>
          <w:szCs w:val="15"/>
          <w:color w:val="auto"/>
          <w:vertAlign w:val="superscript"/>
        </w:rPr>
        <w:t>2</w:t>
      </w:r>
    </w:p>
    <w:p>
      <w:pPr>
        <w:spacing w:after="0" w:line="107"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Pre-provision net revenue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$64.2 million for the second quarter of 2025, compared to $28.7 million for the first quarter of 2025 and $40.7 million for the second quarter of 2024. Pre-provision net revenue to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1.35% for the second quarter of 2025, compared to 0.78% for the first quarter of 2025, and 1.35% for the second quarter of 2024.</w:t>
      </w:r>
    </w:p>
    <w:p>
      <w:pPr>
        <w:spacing w:after="0" w:line="60" w:lineRule="exact"/>
        <w:rPr>
          <w:sz w:val="20"/>
          <w:szCs w:val="20"/>
          <w:color w:val="auto"/>
        </w:rPr>
      </w:pPr>
    </w:p>
    <w:p>
      <w:pPr>
        <w:jc w:val="both"/>
        <w:ind w:right="20"/>
        <w:spacing w:after="0" w:line="258" w:lineRule="auto"/>
        <w:rPr>
          <w:sz w:val="20"/>
          <w:szCs w:val="20"/>
          <w:color w:val="auto"/>
        </w:rPr>
      </w:pPr>
      <w:r>
        <w:rPr>
          <w:rFonts w:ascii="Arial" w:cs="Arial" w:eastAsia="Arial" w:hAnsi="Arial"/>
          <w:sz w:val="12"/>
          <w:szCs w:val="12"/>
          <w:color w:val="auto"/>
        </w:rPr>
        <w:t>Adjusted pre-provision net revenue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$80.8 million for the second quarter of 2025, compared to $54.7 million for the first quarter of 2025 and $42.6 million for the second quarter of 2024. Adjusted pre-provision net revenue to average assets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1.70% for the second quarter of 2025, compared to 1.50% for the first quarter of 2025 and 1.42% for the second quarter of 2024.</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Interest Income and Net Interest Margin</w:t>
      </w:r>
      <w:r>
        <w:rPr>
          <w:rFonts w:ascii="Arial" w:cs="Arial" w:eastAsia="Arial" w:hAnsi="Arial"/>
          <w:sz w:val="15"/>
          <w:szCs w:val="15"/>
          <w:color w:val="auto"/>
          <w:vertAlign w:val="superscript"/>
        </w:rPr>
        <w:t>2</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color w:val="auto"/>
        </w:rPr>
        <w:t>Net interest income was $153.2 million in the second quarter of 2025, compared to $103.7 million in the first quarter of 2025 and $82.5 million in the second quarter of 2024.</w:t>
      </w:r>
    </w:p>
    <w:p>
      <w:pPr>
        <w:spacing w:after="0" w:line="123"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Net interest margin</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3.49% for the second quarter of 2025, compared to 3.16% for the first quarter of 2025 and 3.03% for the second quarter of 2024. Excluding purchase accounting accretion, adjusted net interest margin</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3.33% for the second quarter of 2025, compared to 3.08% in the first quarter of 2025 and 3.00% in the second quarter of 2024.</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Components of the 33 basis point increase in net interest margin</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during the second quarter of 2025, which includes a full quarter of assets assumed in the CrossFirst acquisition, were as follows:</w:t>
      </w:r>
    </w:p>
    <w:p>
      <w:pPr>
        <w:spacing w:after="0" w:line="368"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3</w:t>
      </w:r>
    </w:p>
    <w:p>
      <w:pPr>
        <w:sectPr>
          <w:pgSz w:w="11900" w:h="16838" w:orient="portrait"/>
          <w:cols w:equalWidth="0" w:num="1">
            <w:col w:w="11300"/>
          </w:cols>
          <w:pgMar w:left="300" w:top="910" w:right="299" w:bottom="1440" w:gutter="0" w:footer="0" w:header="0"/>
        </w:sectPr>
      </w:pPr>
    </w:p>
    <w:bookmarkStart w:id="7" w:name="page8"/>
    <w:bookmarkEnd w:id="7"/>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Increased loan portfolio and held for sale loan yields contributed +54 basis points</w:t>
      </w:r>
    </w:p>
    <w:p>
      <w:pPr>
        <w:spacing w:after="0" w:line="18"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Increased purchase accounting accretion contributed +8 basis points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Securities repositioning executed in March contributed +4 basis points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Decreased borrowing expense contributed +4 basis points, of which +2 basis points were related to the redemption of subordinated debt in June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Increased non-maturity deposit funding costs contributed -25 basis points</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3"/>
        </w:numPr>
        <w:rPr>
          <w:rFonts w:ascii="Arial" w:cs="Arial" w:eastAsia="Arial" w:hAnsi="Arial"/>
          <w:sz w:val="12"/>
          <w:szCs w:val="12"/>
          <w:color w:val="auto"/>
        </w:rPr>
      </w:pPr>
      <w:r>
        <w:rPr>
          <w:rFonts w:ascii="Arial" w:cs="Arial" w:eastAsia="Arial" w:hAnsi="Arial"/>
          <w:sz w:val="12"/>
          <w:szCs w:val="12"/>
          <w:color w:val="auto"/>
        </w:rPr>
        <w:t>Decreased cash and securities portfolio yield contributed -12 basis points</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Based on our most recent Asset Liability Management Committee (“ALCO”) model, a +100 basis point parallel rate shock is expected to increase net interest income by 2.8% over the subsequent twelve-month period. Busey continues to evaluate and execute off-balance sheet hedging and balance sheet repositioning strategies as well as embedding rate protection in our asset originations to provide stabilization to net interest income in lower rate environments. Time deposit and savings specials have continued to stabilize the funding base, and we had excess earning cash during the second quarter of 2025. Brokered deposit balances were reduced by $368.6 million during the second quarter of 2025 and at June 30, 2025, the Bank had $353.6 million, or 2.2% of total deposits, of remaining brokered funding. Total deposit cost of funds increased, as expected, from 1.91% during the first quarter of 2025 to 2.21% during the second quarter of 2025. Deposit cost of funds increased due to a full quarter of the higher mix of acquired CrossFirst indexed/managed rate customer products and brokered deposits. Busey will continue to deploy excess cash to pay down non-core and non-relationship high cost funding, which we anticipate will compress the asset base in the short term while helping to reduce the Bank’s overall funding cost. We expect the deposit beta will lessen during the year and is expected to normalize in a range between 45% and 50% of the upper limit of the federal funds target range.</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Noninterest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9"/>
              </w:rPr>
              <w:t>Three Months Ended</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1"/>
                <w:szCs w:val="11"/>
                <w:b w:val="1"/>
                <w:bCs w:val="1"/>
                <w:color w:val="auto"/>
              </w:rPr>
              <w:t>Six Months Ended</w:t>
            </w:r>
          </w:p>
        </w:tc>
      </w:tr>
      <w:tr>
        <w:trPr>
          <w:trHeight w:val="88"/>
        </w:trPr>
        <w:tc>
          <w:tcPr>
            <w:tcW w:w="4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7"/>
                <w:szCs w:val="7"/>
                <w:color w:val="auto"/>
              </w:rPr>
            </w:pPr>
          </w:p>
        </w:tc>
        <w:tc>
          <w:tcPr>
            <w:tcW w:w="1240" w:type="dxa"/>
            <w:vAlign w:val="bottom"/>
            <w:gridSpan w:val="2"/>
          </w:tcPr>
          <w:p>
            <w:pPr>
              <w:jc w:val="center"/>
              <w:ind w:right="140"/>
              <w:spacing w:after="0" w:line="89" w:lineRule="exact"/>
              <w:rPr>
                <w:sz w:val="20"/>
                <w:szCs w:val="20"/>
                <w:color w:val="auto"/>
              </w:rPr>
            </w:pPr>
            <w:r>
              <w:rPr>
                <w:rFonts w:ascii="Arial" w:cs="Arial" w:eastAsia="Arial" w:hAnsi="Arial"/>
                <w:sz w:val="10"/>
                <w:szCs w:val="10"/>
                <w:b w:val="1"/>
                <w:bCs w:val="1"/>
                <w:color w:val="auto"/>
              </w:rPr>
              <w:t>March 31,</w:t>
            </w:r>
          </w:p>
        </w:tc>
        <w:tc>
          <w:tcPr>
            <w:tcW w:w="240" w:type="dxa"/>
            <w:vAlign w:val="bottom"/>
          </w:tcPr>
          <w:p>
            <w:pPr>
              <w:spacing w:after="0"/>
              <w:rPr>
                <w:sz w:val="7"/>
                <w:szCs w:val="7"/>
                <w:color w:val="auto"/>
              </w:rPr>
            </w:pPr>
          </w:p>
        </w:tc>
        <w:tc>
          <w:tcPr>
            <w:tcW w:w="1000" w:type="dxa"/>
            <w:vAlign w:val="bottom"/>
          </w:tcPr>
          <w:p>
            <w:pPr>
              <w:jc w:val="right"/>
              <w:ind w:right="341"/>
              <w:spacing w:after="0" w:line="89"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gridSpan w:val="2"/>
          </w:tcPr>
          <w:p>
            <w:pPr>
              <w:ind w:left="180"/>
              <w:spacing w:after="0" w:line="89" w:lineRule="exact"/>
              <w:rPr>
                <w:sz w:val="20"/>
                <w:szCs w:val="20"/>
                <w:color w:val="auto"/>
              </w:rPr>
            </w:pPr>
            <w:r>
              <w:rPr>
                <w:rFonts w:ascii="Arial" w:cs="Arial" w:eastAsia="Arial" w:hAnsi="Arial"/>
                <w:sz w:val="10"/>
                <w:szCs w:val="10"/>
                <w:b w:val="1"/>
                <w:bCs w:val="1"/>
                <w:color w:val="auto"/>
              </w:rPr>
              <w:t>June 30,</w:t>
            </w:r>
          </w:p>
        </w:tc>
        <w:tc>
          <w:tcPr>
            <w:tcW w:w="240" w:type="dxa"/>
            <w:vAlign w:val="bottom"/>
          </w:tcPr>
          <w:p>
            <w:pPr>
              <w:spacing w:after="0"/>
              <w:rPr>
                <w:sz w:val="7"/>
                <w:szCs w:val="7"/>
                <w:color w:val="auto"/>
              </w:rPr>
            </w:pPr>
          </w:p>
        </w:tc>
        <w:tc>
          <w:tcPr>
            <w:tcW w:w="1020" w:type="dxa"/>
            <w:vAlign w:val="bottom"/>
          </w:tcPr>
          <w:p>
            <w:pPr>
              <w:jc w:val="right"/>
              <w:ind w:right="361"/>
              <w:spacing w:after="0" w:line="89" w:lineRule="exact"/>
              <w:rPr>
                <w:sz w:val="20"/>
                <w:szCs w:val="20"/>
                <w:color w:val="auto"/>
              </w:rPr>
            </w:pPr>
            <w:r>
              <w:rPr>
                <w:rFonts w:ascii="Arial" w:cs="Arial" w:eastAsia="Arial" w:hAnsi="Arial"/>
                <w:sz w:val="10"/>
                <w:szCs w:val="10"/>
                <w:b w:val="1"/>
                <w:bCs w:val="1"/>
                <w:color w:val="auto"/>
              </w:rPr>
              <w:t>June 30,</w:t>
            </w:r>
          </w:p>
        </w:tc>
      </w:tr>
      <w:tr>
        <w:trPr>
          <w:trHeight w:val="144"/>
        </w:trPr>
        <w:tc>
          <w:tcPr>
            <w:tcW w:w="4760" w:type="dxa"/>
            <w:vAlign w:val="bottom"/>
            <w:tcBorders>
              <w:bottom w:val="single" w:sz="8" w:color="E0E7ED"/>
            </w:tcBorders>
          </w:tcPr>
          <w:p>
            <w:pPr>
              <w:spacing w:after="0"/>
              <w:rPr>
                <w:sz w:val="20"/>
                <w:szCs w:val="20"/>
                <w:color w:val="auto"/>
              </w:rPr>
            </w:pPr>
            <w:r>
              <w:rPr>
                <w:rFonts w:ascii="Arial" w:cs="Arial" w:eastAsia="Arial" w:hAnsi="Arial"/>
                <w:sz w:val="10"/>
                <w:szCs w:val="10"/>
                <w:i w:val="1"/>
                <w:iCs w:val="1"/>
                <w:color w:val="auto"/>
              </w:rPr>
              <w:t>(dollars in thousands)</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2"/>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2025</w:t>
            </w:r>
          </w:p>
        </w:tc>
        <w:tc>
          <w:tcPr>
            <w:tcW w:w="6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2024</w:t>
            </w:r>
          </w:p>
        </w:tc>
      </w:tr>
      <w:tr>
        <w:trPr>
          <w:trHeight w:val="160"/>
        </w:trPr>
        <w:tc>
          <w:tcPr>
            <w:tcW w:w="4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NONINTEREST INCOME</w:t>
            </w:r>
          </w:p>
        </w:tc>
        <w:tc>
          <w:tcPr>
            <w:tcW w:w="240" w:type="dxa"/>
            <w:vAlign w:val="bottom"/>
            <w:shd w:val="clear" w:color="auto" w:fill="E0E7ED"/>
          </w:tcPr>
          <w:p>
            <w:pPr>
              <w:spacing w:after="0"/>
              <w:rPr>
                <w:sz w:val="13"/>
                <w:szCs w:val="13"/>
                <w:color w:val="auto"/>
              </w:rPr>
            </w:pPr>
          </w:p>
        </w:tc>
        <w:tc>
          <w:tcPr>
            <w:tcW w:w="10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10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102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1020" w:type="dxa"/>
            <w:vAlign w:val="bottom"/>
            <w:shd w:val="clear" w:color="auto" w:fill="E0E7ED"/>
          </w:tcPr>
          <w:p>
            <w:pPr>
              <w:spacing w:after="0"/>
              <w:rPr>
                <w:sz w:val="13"/>
                <w:szCs w:val="13"/>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Wealth management fees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16,777</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17,364</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15,917</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34,141</w:t>
            </w:r>
          </w:p>
        </w:tc>
        <w:tc>
          <w:tcPr>
            <w:tcW w:w="6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31,466</w:t>
            </w: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Payment technology solutions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4,956</w:t>
            </w:r>
          </w:p>
        </w:tc>
        <w:tc>
          <w:tcPr>
            <w:tcW w:w="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5,073</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5,915</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10,029</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11,624</w:t>
            </w: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Treasury management services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4,981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3,017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2,145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7,998</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4,046</w:t>
            </w: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Card services and ATM fees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4,880</w:t>
            </w:r>
          </w:p>
        </w:tc>
        <w:tc>
          <w:tcPr>
            <w:tcW w:w="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3,709</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3,430</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8,589</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6,390</w:t>
            </w: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Other service charges on deposit accounts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1,533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3,046</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4,669</w:t>
            </w: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Mortgage revenue</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776</w:t>
            </w:r>
          </w:p>
        </w:tc>
        <w:tc>
          <w:tcPr>
            <w:tcW w:w="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329</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478</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1,105</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1,224</w:t>
            </w: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Income on bank owned life insurance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1,446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1,442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3,191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2,861</w:t>
            </w: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Realized net gains (losses) on the sale of mortgage servicing rights</w:t>
            </w:r>
          </w:p>
        </w:tc>
        <w:tc>
          <w:tcPr>
            <w:tcW w:w="240" w:type="dxa"/>
            <w:vAlign w:val="bottom"/>
            <w:shd w:val="clear" w:color="auto" w:fill="E0E7ED"/>
          </w:tcPr>
          <w:p>
            <w:pPr>
              <w:spacing w:after="0"/>
              <w:rPr>
                <w:sz w:val="16"/>
                <w:szCs w:val="16"/>
                <w:color w:val="auto"/>
              </w:rPr>
            </w:pPr>
          </w:p>
        </w:tc>
        <w:tc>
          <w:tcPr>
            <w:tcW w:w="108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E0E7ED"/>
          </w:tcPr>
          <w:p>
            <w:pPr>
              <w:spacing w:after="0"/>
              <w:rPr>
                <w:sz w:val="16"/>
                <w:szCs w:val="16"/>
                <w:color w:val="auto"/>
              </w:rPr>
            </w:pPr>
          </w:p>
        </w:tc>
        <w:tc>
          <w:tcPr>
            <w:tcW w:w="124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277</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80" w:type="dxa"/>
            <w:vAlign w:val="bottom"/>
            <w:gridSpan w:val="2"/>
            <w:shd w:val="clear" w:color="auto" w:fill="E0E7ED"/>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7,742</w:t>
            </w: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Net securities gains (losses)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5,997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(15,768)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(353)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(9,771)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(6,728)</w:t>
            </w:r>
          </w:p>
        </w:tc>
      </w:tr>
      <w:tr>
        <w:trPr>
          <w:trHeight w:val="180"/>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Other noninterest income</w:t>
            </w:r>
          </w:p>
        </w:tc>
        <w:tc>
          <w:tcPr>
            <w:tcW w:w="240" w:type="dxa"/>
            <w:vAlign w:val="bottom"/>
            <w:tcBorders>
              <w:bottom w:val="single" w:sz="8" w:color="auto"/>
            </w:tcBorders>
            <w:shd w:val="clear" w:color="auto" w:fill="E0E7ED"/>
          </w:tcPr>
          <w:p>
            <w:pPr>
              <w:spacing w:after="0"/>
              <w:rPr>
                <w:sz w:val="15"/>
                <w:szCs w:val="15"/>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3,238</w:t>
            </w:r>
          </w:p>
        </w:tc>
        <w:tc>
          <w:tcPr>
            <w:tcW w:w="80" w:type="dxa"/>
            <w:vAlign w:val="bottom"/>
            <w:shd w:val="clear" w:color="auto" w:fill="E0E7ED"/>
          </w:tcPr>
          <w:p>
            <w:pPr>
              <w:spacing w:after="0"/>
              <w:rPr>
                <w:sz w:val="15"/>
                <w:szCs w:val="15"/>
                <w:color w:val="auto"/>
              </w:rPr>
            </w:pPr>
          </w:p>
        </w:tc>
        <w:tc>
          <w:tcPr>
            <w:tcW w:w="80" w:type="dxa"/>
            <w:vAlign w:val="bottom"/>
            <w:tcBorders>
              <w:bottom w:val="single" w:sz="8" w:color="auto"/>
            </w:tcBorders>
            <w:shd w:val="clear" w:color="auto" w:fill="E0E7ED"/>
          </w:tcPr>
          <w:p>
            <w:pPr>
              <w:spacing w:after="0"/>
              <w:rPr>
                <w:sz w:val="15"/>
                <w:szCs w:val="15"/>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4,520</w:t>
            </w:r>
          </w:p>
        </w:tc>
        <w:tc>
          <w:tcPr>
            <w:tcW w:w="80" w:type="dxa"/>
            <w:vAlign w:val="bottom"/>
            <w:shd w:val="clear" w:color="auto" w:fill="E0E7ED"/>
          </w:tcPr>
          <w:p>
            <w:pPr>
              <w:spacing w:after="0"/>
              <w:rPr>
                <w:sz w:val="15"/>
                <w:szCs w:val="15"/>
                <w:color w:val="auto"/>
              </w:rPr>
            </w:pPr>
          </w:p>
        </w:tc>
        <w:tc>
          <w:tcPr>
            <w:tcW w:w="240" w:type="dxa"/>
            <w:vAlign w:val="bottom"/>
            <w:tcBorders>
              <w:bottom w:val="single" w:sz="8" w:color="auto"/>
            </w:tcBorders>
            <w:shd w:val="clear" w:color="auto" w:fill="E0E7ED"/>
          </w:tcPr>
          <w:p>
            <w:pPr>
              <w:spacing w:after="0"/>
              <w:rPr>
                <w:sz w:val="15"/>
                <w:szCs w:val="15"/>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2,131</w:t>
            </w:r>
          </w:p>
        </w:tc>
        <w:tc>
          <w:tcPr>
            <w:tcW w:w="80" w:type="dxa"/>
            <w:vAlign w:val="bottom"/>
            <w:shd w:val="clear" w:color="auto" w:fill="E0E7ED"/>
          </w:tcPr>
          <w:p>
            <w:pPr>
              <w:spacing w:after="0"/>
              <w:rPr>
                <w:sz w:val="15"/>
                <w:szCs w:val="15"/>
                <w:color w:val="auto"/>
              </w:rPr>
            </w:pPr>
          </w:p>
        </w:tc>
        <w:tc>
          <w:tcPr>
            <w:tcW w:w="240" w:type="dxa"/>
            <w:vAlign w:val="bottom"/>
            <w:tcBorders>
              <w:bottom w:val="single" w:sz="8" w:color="auto"/>
            </w:tcBorders>
            <w:shd w:val="clear" w:color="auto" w:fill="E0E7ED"/>
          </w:tcPr>
          <w:p>
            <w:pPr>
              <w:spacing w:after="0"/>
              <w:rPr>
                <w:sz w:val="15"/>
                <w:szCs w:val="15"/>
                <w:color w:val="auto"/>
              </w:rPr>
            </w:pPr>
          </w:p>
        </w:tc>
        <w:tc>
          <w:tcPr>
            <w:tcW w:w="102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7,758</w:t>
            </w:r>
          </w:p>
        </w:tc>
        <w:tc>
          <w:tcPr>
            <w:tcW w:w="60" w:type="dxa"/>
            <w:vAlign w:val="bottom"/>
            <w:shd w:val="clear" w:color="auto" w:fill="E0E7ED"/>
          </w:tcPr>
          <w:p>
            <w:pPr>
              <w:spacing w:after="0"/>
              <w:rPr>
                <w:sz w:val="15"/>
                <w:szCs w:val="15"/>
                <w:color w:val="auto"/>
              </w:rPr>
            </w:pPr>
          </w:p>
        </w:tc>
        <w:tc>
          <w:tcPr>
            <w:tcW w:w="240" w:type="dxa"/>
            <w:vAlign w:val="bottom"/>
            <w:tcBorders>
              <w:bottom w:val="single" w:sz="8" w:color="auto"/>
            </w:tcBorders>
            <w:shd w:val="clear" w:color="auto" w:fill="E0E7ED"/>
          </w:tcPr>
          <w:p>
            <w:pPr>
              <w:spacing w:after="0"/>
              <w:rPr>
                <w:sz w:val="15"/>
                <w:szCs w:val="15"/>
                <w:color w:val="auto"/>
              </w:rPr>
            </w:pPr>
          </w:p>
        </w:tc>
        <w:tc>
          <w:tcPr>
            <w:tcW w:w="102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5,322</w:t>
            </w:r>
          </w:p>
        </w:tc>
      </w:tr>
      <w:tr>
        <w:trPr>
          <w:trHeight w:val="177"/>
        </w:trPr>
        <w:tc>
          <w:tcPr>
            <w:tcW w:w="4760" w:type="dxa"/>
            <w:vAlign w:val="bottom"/>
          </w:tcPr>
          <w:p>
            <w:pPr>
              <w:spacing w:after="0"/>
              <w:rPr>
                <w:sz w:val="20"/>
                <w:szCs w:val="20"/>
                <w:color w:val="auto"/>
              </w:rPr>
            </w:pPr>
            <w:r>
              <w:rPr>
                <w:rFonts w:ascii="Arial" w:cs="Arial" w:eastAsia="Arial" w:hAnsi="Arial"/>
                <w:sz w:val="12"/>
                <w:szCs w:val="12"/>
                <w:color w:val="auto"/>
              </w:rPr>
              <w:t>Total noninterest income</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44,863</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21,223</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33,703</w:t>
            </w: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66,086</w:t>
            </w:r>
          </w:p>
        </w:tc>
        <w:tc>
          <w:tcPr>
            <w:tcW w:w="60" w:type="dxa"/>
            <w:vAlign w:val="bottom"/>
          </w:tcPr>
          <w:p>
            <w:pPr>
              <w:spacing w:after="0"/>
              <w:rPr>
                <w:sz w:val="15"/>
                <w:szCs w:val="15"/>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68,616</w:t>
            </w:r>
          </w:p>
        </w:tc>
      </w:tr>
      <w:tr>
        <w:trPr>
          <w:trHeight w:val="20"/>
        </w:trPr>
        <w:tc>
          <w:tcPr>
            <w:tcW w:w="4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Total noninterest income increased by 111.4% compared to the first quarter of 2025 and increased by 33.1% compared to the second quarter of 2024, primarily due to net securities gains and losses, as well as the benefit of a full quarter of income from the CrossFirst acquisition.</w:t>
      </w:r>
    </w:p>
    <w:p>
      <w:pPr>
        <w:spacing w:after="0" w:line="84"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Excluding the impact of net securities gains and losses and the gains on the sale of mortgage servicing rights, adjusted noninterest income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increased by 5.1% to $38.9 million, or 20.2% of operating revenue</w:t>
      </w:r>
      <w:r>
        <w:rPr>
          <w:rFonts w:ascii="Arial" w:cs="Arial" w:eastAsia="Arial" w:hAnsi="Arial"/>
          <w:sz w:val="15"/>
          <w:szCs w:val="15"/>
          <w:color w:val="auto"/>
          <w:vertAlign w:val="superscript"/>
        </w:rPr>
        <w:t>2</w:t>
      </w:r>
      <w:r>
        <w:rPr>
          <w:rFonts w:ascii="Arial" w:cs="Arial" w:eastAsia="Arial" w:hAnsi="Arial"/>
          <w:sz w:val="12"/>
          <w:szCs w:val="12"/>
          <w:color w:val="auto"/>
        </w:rPr>
        <w:t>, during the second quarter of 2025, compared to $37.0 million, or 26.3% of operating revenue</w:t>
      </w:r>
      <w:r>
        <w:rPr>
          <w:rFonts w:ascii="Arial" w:cs="Arial" w:eastAsia="Arial" w:hAnsi="Arial"/>
          <w:sz w:val="15"/>
          <w:szCs w:val="15"/>
          <w:color w:val="auto"/>
          <w:vertAlign w:val="superscript"/>
        </w:rPr>
        <w:t>2</w:t>
      </w:r>
      <w:r>
        <w:rPr>
          <w:rFonts w:ascii="Arial" w:cs="Arial" w:eastAsia="Arial" w:hAnsi="Arial"/>
          <w:sz w:val="12"/>
          <w:szCs w:val="12"/>
          <w:color w:val="auto"/>
        </w:rPr>
        <w:t>, for the first quarter of 2025. Compared to the second quarter of 2024, adjusted noninterest income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increased by 15.1% from $33.8 million, or 29.0% of operating revenue.</w:t>
      </w:r>
      <w:r>
        <w:rPr>
          <w:rFonts w:ascii="Arial" w:cs="Arial" w:eastAsia="Arial" w:hAnsi="Arial"/>
          <w:sz w:val="15"/>
          <w:szCs w:val="15"/>
          <w:color w:val="auto"/>
          <w:vertAlign w:val="superscript"/>
        </w:rPr>
        <w:t>2</w:t>
      </w:r>
    </w:p>
    <w:p>
      <w:pPr>
        <w:spacing w:after="0" w:line="65"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Our fee-based businesses continue to add revenue diversification. Wealth management fees, wealth management referral fees included in other noninterest income, and payment technology solutions contributed 56.4% of adjusted noninterest income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for the second quarter of 2025.</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4</w:t>
      </w:r>
    </w:p>
    <w:p>
      <w:pPr>
        <w:sectPr>
          <w:pgSz w:w="11900" w:h="16838" w:orient="portrait"/>
          <w:cols w:equalWidth="0" w:num="1">
            <w:col w:w="11300"/>
          </w:cols>
          <w:pgMar w:left="300" w:top="910" w:right="299" w:bottom="1440" w:gutter="0" w:footer="0" w:header="0"/>
        </w:sectPr>
      </w:pPr>
    </w:p>
    <w:bookmarkStart w:id="8" w:name="page9"/>
    <w:bookmarkEnd w:id="8"/>
    <w:p>
      <w:pPr>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Noteworthy components of noninterest income are as follows:</w:t>
      </w:r>
    </w:p>
    <w:p>
      <w:pPr>
        <w:spacing w:after="0" w:line="132" w:lineRule="exact"/>
        <w:rPr>
          <w:sz w:val="20"/>
          <w:szCs w:val="20"/>
          <w:color w:val="auto"/>
        </w:rPr>
      </w:pPr>
    </w:p>
    <w:p>
      <w:pPr>
        <w:jc w:val="both"/>
        <w:ind w:left="420" w:hanging="212"/>
        <w:spacing w:after="0" w:line="272"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Wealth management fees declined by 3.4% compared to the first quarter of 2025. The decrease in the second quarter of 2025 was primarily related to seasonal fees, with a decrease in farm management fees, partially offset by higher tax preparation fees. Compared to the second quarter of 2024 wealth management fees increased by 5.4%. Busey’s Wealth Management division ended the second quarter of 2025 with $14.10 billion in assets under care, compared to $13.68 billion at the end of the first quarter of 2025 and $13.02 billion at the end of the second quarter of 2024. Our portfolio management team continues to focus on long-term returns and managing risk in the face of volatile markets and has outperformed its blended benchmark</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over the last three and five years.</w:t>
      </w:r>
    </w:p>
    <w:p>
      <w:pPr>
        <w:spacing w:after="0" w:line="46" w:lineRule="exact"/>
        <w:rPr>
          <w:rFonts w:ascii="Arial" w:cs="Arial" w:eastAsia="Arial" w:hAnsi="Arial"/>
          <w:sz w:val="12"/>
          <w:szCs w:val="12"/>
          <w:color w:val="auto"/>
        </w:rPr>
      </w:pPr>
    </w:p>
    <w:p>
      <w:pPr>
        <w:ind w:left="420" w:right="20" w:hanging="212"/>
        <w:spacing w:after="0" w:line="286"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Payment technology solutions includes income from electronic payments, merchant processing, and lockbox. Revenue in this category declined by 2.3% compared the first quarter of 2025 and declined by 16.2% compared to the second quarter of 2024, primarily due to decreases in income from electronic payments.</w:t>
      </w:r>
    </w:p>
    <w:p>
      <w:pPr>
        <w:spacing w:after="0" w:line="94"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Treasury management services consist primarily of business analysis charges and wire transfer fees on commercial accounts. Income from treasury management services increased by 65.1% compared to the first quarter of 2025 and increased by 132.2% compared to the second quarter of 2024 due to the addition of CrossFirst commercial services.</w:t>
      </w:r>
    </w:p>
    <w:p>
      <w:pPr>
        <w:spacing w:after="0" w:line="85"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Card services and ATM fees, which include both commercial and consumer accounts, increased by 31.6% compared to the first quarter of 2025 and increased by 42.3% compared to the second quarter of 2024 primarily due to addition of CrossFirst corporate card services.</w:t>
      </w:r>
    </w:p>
    <w:p>
      <w:pPr>
        <w:spacing w:after="0" w:line="94"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service charges on deposit accounts declined by 1.3% compared to the first quarter of 2025 and declined by 34.8% compared to the second quarter of 2024. Declines are largely related to lower non-sufficient fund charges.</w:t>
      </w:r>
    </w:p>
    <w:p>
      <w:pPr>
        <w:spacing w:after="0" w:line="94" w:lineRule="exact"/>
        <w:rPr>
          <w:rFonts w:ascii="Arial" w:cs="Arial" w:eastAsia="Arial" w:hAnsi="Arial"/>
          <w:sz w:val="12"/>
          <w:szCs w:val="12"/>
          <w:color w:val="auto"/>
        </w:rPr>
      </w:pPr>
    </w:p>
    <w:p>
      <w:pPr>
        <w:jc w:val="both"/>
        <w:ind w:left="420" w:hanging="212"/>
        <w:spacing w:after="0" w:line="268" w:lineRule="auto"/>
        <w:tabs>
          <w:tab w:leader="none" w:pos="417" w:val="left"/>
        </w:tabs>
        <w:numPr>
          <w:ilvl w:val="0"/>
          <w:numId w:val="4"/>
        </w:numPr>
        <w:rPr>
          <w:rFonts w:ascii="Arial" w:cs="Arial" w:eastAsia="Arial" w:hAnsi="Arial"/>
          <w:sz w:val="12"/>
          <w:szCs w:val="12"/>
          <w:color w:val="auto"/>
        </w:rPr>
      </w:pPr>
      <w:r>
        <w:rPr>
          <w:rFonts w:ascii="Arial" w:cs="Arial" w:eastAsia="Arial" w:hAnsi="Arial"/>
          <w:sz w:val="12"/>
          <w:szCs w:val="12"/>
          <w:color w:val="auto"/>
        </w:rPr>
        <w:t>Other noninterest income decreased by 28.4% compared to the first quarter of 2025, primarily due to declines in gains on commercial loan sales, loss on sales of other real estate owned and a related reduction in income from the sold property, and decreases in venture capital investments. Compared to the second quarter of 2024, other noninterest income increased by 51.9%, primarily due to increases in venture capital investments, commercial loan servicing income, and other loan fee income.</w:t>
      </w:r>
    </w:p>
    <w:p>
      <w:pPr>
        <w:spacing w:after="0" w:line="8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Efficiency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9"/>
              </w:rPr>
              <w:t>Three Months Ended</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1"/>
                <w:szCs w:val="11"/>
                <w:b w:val="1"/>
                <w:bCs w:val="1"/>
                <w:color w:val="auto"/>
              </w:rPr>
              <w:t>Six Months Ended</w:t>
            </w:r>
          </w:p>
        </w:tc>
      </w:tr>
      <w:tr>
        <w:trPr>
          <w:trHeight w:val="88"/>
        </w:trPr>
        <w:tc>
          <w:tcPr>
            <w:tcW w:w="4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7"/>
                <w:szCs w:val="7"/>
                <w:color w:val="auto"/>
              </w:rPr>
            </w:pPr>
          </w:p>
        </w:tc>
        <w:tc>
          <w:tcPr>
            <w:tcW w:w="1240" w:type="dxa"/>
            <w:vAlign w:val="bottom"/>
            <w:gridSpan w:val="2"/>
          </w:tcPr>
          <w:p>
            <w:pPr>
              <w:jc w:val="center"/>
              <w:ind w:right="140"/>
              <w:spacing w:after="0" w:line="89" w:lineRule="exact"/>
              <w:rPr>
                <w:sz w:val="20"/>
                <w:szCs w:val="20"/>
                <w:color w:val="auto"/>
              </w:rPr>
            </w:pPr>
            <w:r>
              <w:rPr>
                <w:rFonts w:ascii="Arial" w:cs="Arial" w:eastAsia="Arial" w:hAnsi="Arial"/>
                <w:sz w:val="10"/>
                <w:szCs w:val="10"/>
                <w:b w:val="1"/>
                <w:bCs w:val="1"/>
                <w:color w:val="auto"/>
              </w:rPr>
              <w:t>March 31,</w:t>
            </w:r>
          </w:p>
        </w:tc>
        <w:tc>
          <w:tcPr>
            <w:tcW w:w="240" w:type="dxa"/>
            <w:vAlign w:val="bottom"/>
          </w:tcPr>
          <w:p>
            <w:pPr>
              <w:spacing w:after="0"/>
              <w:rPr>
                <w:sz w:val="7"/>
                <w:szCs w:val="7"/>
                <w:color w:val="auto"/>
              </w:rPr>
            </w:pPr>
          </w:p>
        </w:tc>
        <w:tc>
          <w:tcPr>
            <w:tcW w:w="1000" w:type="dxa"/>
            <w:vAlign w:val="bottom"/>
          </w:tcPr>
          <w:p>
            <w:pPr>
              <w:jc w:val="right"/>
              <w:ind w:right="341"/>
              <w:spacing w:after="0" w:line="89"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gridSpan w:val="2"/>
          </w:tcPr>
          <w:p>
            <w:pPr>
              <w:ind w:left="180"/>
              <w:spacing w:after="0" w:line="89" w:lineRule="exact"/>
              <w:rPr>
                <w:sz w:val="20"/>
                <w:szCs w:val="20"/>
                <w:color w:val="auto"/>
              </w:rPr>
            </w:pPr>
            <w:r>
              <w:rPr>
                <w:rFonts w:ascii="Arial" w:cs="Arial" w:eastAsia="Arial" w:hAnsi="Arial"/>
                <w:sz w:val="10"/>
                <w:szCs w:val="10"/>
                <w:b w:val="1"/>
                <w:bCs w:val="1"/>
                <w:color w:val="auto"/>
              </w:rPr>
              <w:t>June 30,</w:t>
            </w:r>
          </w:p>
        </w:tc>
        <w:tc>
          <w:tcPr>
            <w:tcW w:w="240" w:type="dxa"/>
            <w:vAlign w:val="bottom"/>
          </w:tcPr>
          <w:p>
            <w:pPr>
              <w:spacing w:after="0"/>
              <w:rPr>
                <w:sz w:val="7"/>
                <w:szCs w:val="7"/>
                <w:color w:val="auto"/>
              </w:rPr>
            </w:pPr>
          </w:p>
        </w:tc>
        <w:tc>
          <w:tcPr>
            <w:tcW w:w="1020" w:type="dxa"/>
            <w:vAlign w:val="bottom"/>
          </w:tcPr>
          <w:p>
            <w:pPr>
              <w:jc w:val="right"/>
              <w:ind w:right="361"/>
              <w:spacing w:after="0" w:line="89" w:lineRule="exact"/>
              <w:rPr>
                <w:sz w:val="20"/>
                <w:szCs w:val="20"/>
                <w:color w:val="auto"/>
              </w:rPr>
            </w:pPr>
            <w:r>
              <w:rPr>
                <w:rFonts w:ascii="Arial" w:cs="Arial" w:eastAsia="Arial" w:hAnsi="Arial"/>
                <w:sz w:val="10"/>
                <w:szCs w:val="10"/>
                <w:b w:val="1"/>
                <w:bCs w:val="1"/>
                <w:color w:val="auto"/>
              </w:rPr>
              <w:t>June 30,</w:t>
            </w:r>
          </w:p>
        </w:tc>
      </w:tr>
      <w:tr>
        <w:trPr>
          <w:trHeight w:val="144"/>
        </w:trPr>
        <w:tc>
          <w:tcPr>
            <w:tcW w:w="4760" w:type="dxa"/>
            <w:vAlign w:val="bottom"/>
            <w:tcBorders>
              <w:bottom w:val="single" w:sz="8" w:color="E0E7ED"/>
            </w:tcBorders>
          </w:tcPr>
          <w:p>
            <w:pPr>
              <w:spacing w:after="0"/>
              <w:rPr>
                <w:sz w:val="20"/>
                <w:szCs w:val="20"/>
                <w:color w:val="auto"/>
              </w:rPr>
            </w:pPr>
            <w:r>
              <w:rPr>
                <w:rFonts w:ascii="Arial" w:cs="Arial" w:eastAsia="Arial" w:hAnsi="Arial"/>
                <w:sz w:val="10"/>
                <w:szCs w:val="10"/>
                <w:i w:val="1"/>
                <w:iCs w:val="1"/>
                <w:color w:val="auto"/>
              </w:rPr>
              <w:t>(dollars in thousands)</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2"/>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1"/>
                <w:szCs w:val="11"/>
                <w:b w:val="1"/>
                <w:bCs w:val="1"/>
                <w:color w:val="auto"/>
              </w:rPr>
              <w:t>2025</w:t>
            </w:r>
          </w:p>
        </w:tc>
        <w:tc>
          <w:tcPr>
            <w:tcW w:w="6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2024</w:t>
            </w:r>
          </w:p>
        </w:tc>
      </w:tr>
      <w:tr>
        <w:trPr>
          <w:trHeight w:val="160"/>
        </w:trPr>
        <w:tc>
          <w:tcPr>
            <w:tcW w:w="4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NONINTEREST EXPENSE</w:t>
            </w:r>
          </w:p>
        </w:tc>
        <w:tc>
          <w:tcPr>
            <w:tcW w:w="240" w:type="dxa"/>
            <w:vAlign w:val="bottom"/>
            <w:shd w:val="clear" w:color="auto" w:fill="E0E7ED"/>
          </w:tcPr>
          <w:p>
            <w:pPr>
              <w:spacing w:after="0"/>
              <w:rPr>
                <w:sz w:val="13"/>
                <w:szCs w:val="13"/>
                <w:color w:val="auto"/>
              </w:rPr>
            </w:pPr>
          </w:p>
        </w:tc>
        <w:tc>
          <w:tcPr>
            <w:tcW w:w="10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10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102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1020" w:type="dxa"/>
            <w:vAlign w:val="bottom"/>
            <w:shd w:val="clear" w:color="auto" w:fill="E0E7ED"/>
          </w:tcPr>
          <w:p>
            <w:pPr>
              <w:spacing w:after="0"/>
              <w:rPr>
                <w:sz w:val="13"/>
                <w:szCs w:val="13"/>
                <w:color w:val="auto"/>
              </w:rPr>
            </w:pP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Salaries, wages, and employee benefits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78,360</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67,563</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43,478</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145,923</w:t>
            </w:r>
          </w:p>
        </w:tc>
        <w:tc>
          <w:tcPr>
            <w:tcW w:w="6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85,568</w:t>
            </w: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Data processing</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14,021</w:t>
            </w:r>
          </w:p>
        </w:tc>
        <w:tc>
          <w:tcPr>
            <w:tcW w:w="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9,575</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7,100</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23,596</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13,650</w:t>
            </w: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Net occupancy expense of premises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7,832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5,799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4,590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13,631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9,310</w:t>
            </w: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Furniture and equipment expenses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2,409</w:t>
            </w:r>
          </w:p>
        </w:tc>
        <w:tc>
          <w:tcPr>
            <w:tcW w:w="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1,744</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1,695</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4,153</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3,508</w:t>
            </w: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Professional fees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2,874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9,511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2,495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12,385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4,748</w:t>
            </w: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Amortization of intangible assets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4,592</w:t>
            </w:r>
          </w:p>
        </w:tc>
        <w:tc>
          <w:tcPr>
            <w:tcW w:w="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3,083</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2,629</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7,675</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5,038</w:t>
            </w:r>
          </w:p>
        </w:tc>
      </w:tr>
      <w:tr>
        <w:trPr>
          <w:trHeight w:val="172"/>
        </w:trPr>
        <w:tc>
          <w:tcPr>
            <w:tcW w:w="4760" w:type="dxa"/>
            <w:vAlign w:val="bottom"/>
          </w:tcPr>
          <w:p>
            <w:pPr>
              <w:ind w:left="120"/>
              <w:spacing w:after="0"/>
              <w:rPr>
                <w:sz w:val="20"/>
                <w:szCs w:val="20"/>
                <w:color w:val="auto"/>
              </w:rPr>
            </w:pPr>
            <w:r>
              <w:rPr>
                <w:rFonts w:ascii="Arial" w:cs="Arial" w:eastAsia="Arial" w:hAnsi="Arial"/>
                <w:sz w:val="12"/>
                <w:szCs w:val="12"/>
                <w:color w:val="auto"/>
              </w:rPr>
              <w:t>Interchange expense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1,343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1,733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2,640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3,344</w:t>
            </w:r>
          </w:p>
        </w:tc>
      </w:tr>
      <w:tr>
        <w:trPr>
          <w:trHeight w:val="188"/>
        </w:trPr>
        <w:tc>
          <w:tcPr>
            <w:tcW w:w="4760" w:type="dxa"/>
            <w:vAlign w:val="bottom"/>
            <w:shd w:val="clear" w:color="auto" w:fill="E0E7ED"/>
          </w:tcPr>
          <w:p>
            <w:pPr>
              <w:ind w:left="120"/>
              <w:spacing w:after="0"/>
              <w:rPr>
                <w:sz w:val="20"/>
                <w:szCs w:val="20"/>
                <w:color w:val="auto"/>
              </w:rPr>
            </w:pPr>
            <w:r>
              <w:rPr>
                <w:rFonts w:ascii="Arial" w:cs="Arial" w:eastAsia="Arial" w:hAnsi="Arial"/>
                <w:sz w:val="12"/>
                <w:szCs w:val="12"/>
                <w:color w:val="auto"/>
              </w:rPr>
              <w:t>FDIC insurance</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2,424</w:t>
            </w:r>
          </w:p>
        </w:tc>
        <w:tc>
          <w:tcPr>
            <w:tcW w:w="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2,167</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1,460</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2"/>
              <w:spacing w:after="0"/>
              <w:rPr>
                <w:sz w:val="20"/>
                <w:szCs w:val="20"/>
                <w:color w:val="auto"/>
              </w:rPr>
            </w:pPr>
            <w:r>
              <w:rPr>
                <w:rFonts w:ascii="Arial" w:cs="Arial" w:eastAsia="Arial" w:hAnsi="Arial"/>
                <w:sz w:val="12"/>
                <w:szCs w:val="12"/>
                <w:color w:val="auto"/>
              </w:rPr>
              <w:t>4,591</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2,860</w:t>
            </w:r>
          </w:p>
        </w:tc>
      </w:tr>
      <w:tr>
        <w:trPr>
          <w:trHeight w:val="180"/>
        </w:trPr>
        <w:tc>
          <w:tcPr>
            <w:tcW w:w="476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Other noninterest expense</w:t>
            </w:r>
            <w:r>
              <w:rPr>
                <w:rFonts w:ascii="Arial" w:cs="Arial" w:eastAsia="Arial" w:hAnsi="Arial"/>
                <w:sz w:val="15"/>
                <w:szCs w:val="15"/>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14,024</w:t>
            </w:r>
          </w:p>
        </w:tc>
        <w:tc>
          <w:tcPr>
            <w:tcW w:w="80" w:type="dxa"/>
            <w:vAlign w:val="bottom"/>
            <w:tcBorders>
              <w:bottom w:val="single" w:sz="8" w:color="E0E7ED"/>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11,245</w:t>
            </w:r>
          </w:p>
        </w:tc>
        <w:tc>
          <w:tcPr>
            <w:tcW w:w="8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10,726</w:t>
            </w:r>
          </w:p>
        </w:tc>
        <w:tc>
          <w:tcPr>
            <w:tcW w:w="8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25,269</w:t>
            </w:r>
          </w:p>
        </w:tc>
        <w:tc>
          <w:tcPr>
            <w:tcW w:w="6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19,327</w:t>
            </w:r>
          </w:p>
        </w:tc>
      </w:tr>
      <w:tr>
        <w:trPr>
          <w:trHeight w:val="185"/>
        </w:trPr>
        <w:tc>
          <w:tcPr>
            <w:tcW w:w="4760" w:type="dxa"/>
            <w:vAlign w:val="bottom"/>
            <w:tcBorders>
              <w:bottom w:val="single" w:sz="8" w:color="E0E7ED"/>
            </w:tcBorders>
            <w:shd w:val="clear" w:color="auto" w:fill="E0E7ED"/>
          </w:tcPr>
          <w:p>
            <w:pPr>
              <w:spacing w:after="0" w:line="169" w:lineRule="exact"/>
              <w:rPr>
                <w:sz w:val="20"/>
                <w:szCs w:val="20"/>
                <w:color w:val="auto"/>
              </w:rPr>
            </w:pPr>
            <w:r>
              <w:rPr>
                <w:rFonts w:ascii="Arial" w:cs="Arial" w:eastAsia="Arial" w:hAnsi="Arial"/>
                <w:sz w:val="12"/>
                <w:szCs w:val="12"/>
                <w:color w:val="auto"/>
              </w:rPr>
              <w:t>Total noninterest expense</w:t>
            </w:r>
            <w:r>
              <w:rPr>
                <w:rFonts w:ascii="Arial" w:cs="Arial" w:eastAsia="Arial" w:hAnsi="Arial"/>
                <w:sz w:val="15"/>
                <w:szCs w:val="15"/>
                <w:color w:val="auto"/>
                <w:vertAlign w:val="superscript"/>
              </w:rPr>
              <w:t>1</w:t>
            </w:r>
          </w:p>
        </w:tc>
        <w:tc>
          <w:tcPr>
            <w:tcW w:w="240" w:type="dxa"/>
            <w:vAlign w:val="bottom"/>
            <w:tcBorders>
              <w:bottom w:val="single" w:sz="8" w:color="auto"/>
            </w:tcBorders>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127,833</w:t>
            </w:r>
          </w:p>
        </w:tc>
        <w:tc>
          <w:tcPr>
            <w:tcW w:w="80" w:type="dxa"/>
            <w:vAlign w:val="bottom"/>
            <w:tcBorders>
              <w:bottom w:val="single" w:sz="8" w:color="E0E7ED"/>
            </w:tcBorders>
            <w:shd w:val="clear" w:color="auto" w:fill="E0E7ED"/>
          </w:tcPr>
          <w:p>
            <w:pPr>
              <w:spacing w:after="0"/>
              <w:rPr>
                <w:sz w:val="16"/>
                <w:szCs w:val="16"/>
                <w:color w:val="auto"/>
              </w:rPr>
            </w:pPr>
          </w:p>
        </w:tc>
        <w:tc>
          <w:tcPr>
            <w:tcW w:w="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112,030</w:t>
            </w:r>
          </w:p>
        </w:tc>
        <w:tc>
          <w:tcPr>
            <w:tcW w:w="8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auto"/>
            </w:tcBorders>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75,906</w:t>
            </w:r>
          </w:p>
        </w:tc>
        <w:tc>
          <w:tcPr>
            <w:tcW w:w="8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auto"/>
            </w:tcBorders>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E0E7ED"/>
          </w:tcPr>
          <w:p>
            <w:pPr>
              <w:jc w:val="right"/>
              <w:ind w:right="2"/>
              <w:spacing w:after="0"/>
              <w:rPr>
                <w:sz w:val="20"/>
                <w:szCs w:val="20"/>
                <w:color w:val="auto"/>
              </w:rPr>
            </w:pPr>
            <w:r>
              <w:rPr>
                <w:rFonts w:ascii="Arial" w:cs="Arial" w:eastAsia="Arial" w:hAnsi="Arial"/>
                <w:sz w:val="12"/>
                <w:szCs w:val="12"/>
                <w:color w:val="auto"/>
              </w:rPr>
              <w:t>239,863</w:t>
            </w:r>
          </w:p>
        </w:tc>
        <w:tc>
          <w:tcPr>
            <w:tcW w:w="60" w:type="dxa"/>
            <w:vAlign w:val="bottom"/>
            <w:tcBorders>
              <w:bottom w:val="single" w:sz="8" w:color="E0E7ED"/>
            </w:tcBorders>
            <w:shd w:val="clear" w:color="auto" w:fill="E0E7ED"/>
          </w:tcPr>
          <w:p>
            <w:pPr>
              <w:spacing w:after="0"/>
              <w:rPr>
                <w:sz w:val="16"/>
                <w:szCs w:val="16"/>
                <w:color w:val="auto"/>
              </w:rPr>
            </w:pPr>
          </w:p>
        </w:tc>
        <w:tc>
          <w:tcPr>
            <w:tcW w:w="240" w:type="dxa"/>
            <w:vAlign w:val="bottom"/>
            <w:tcBorders>
              <w:bottom w:val="single" w:sz="8" w:color="auto"/>
            </w:tcBorders>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147,353</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line="234" w:lineRule="auto"/>
        <w:tabs>
          <w:tab w:leader="none" w:pos="337" w:val="left"/>
        </w:tabs>
        <w:numPr>
          <w:ilvl w:val="0"/>
          <w:numId w:val="5"/>
        </w:numPr>
        <w:rPr>
          <w:rFonts w:ascii="Arial" w:cs="Arial" w:eastAsia="Arial" w:hAnsi="Arial"/>
          <w:sz w:val="10"/>
          <w:szCs w:val="10"/>
          <w:color w:val="auto"/>
        </w:rPr>
      </w:pPr>
      <w:r>
        <w:rPr>
          <w:rFonts w:ascii="Arial" w:cs="Arial" w:eastAsia="Arial" w:hAnsi="Arial"/>
          <w:sz w:val="10"/>
          <w:szCs w:val="10"/>
          <w:color w:val="auto"/>
        </w:rPr>
        <w:t>Beginning in the second quarter of 2025, Busey revised its presentation, for all periods presented, to reclassify the provision for unfunded commitments so that it is now included within the provision for credit losses; therefore, it is no longer included within other noninterest expense or total noninterest expense.</w:t>
      </w:r>
    </w:p>
    <w:p>
      <w:pPr>
        <w:spacing w:after="0" w:line="264"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5</w:t>
      </w:r>
    </w:p>
    <w:p>
      <w:pPr>
        <w:sectPr>
          <w:pgSz w:w="11900" w:h="16838" w:orient="portrait"/>
          <w:cols w:equalWidth="0" w:num="1">
            <w:col w:w="11300"/>
          </w:cols>
          <w:pgMar w:left="300" w:top="928" w:right="29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Total noninterest expense increased by 14.1% compared to the first quarter of 2025 and increased by 68.4% compared to the second quarter of 2024. Growth in noninterest expense was primarily attributable to nonrecurring acquisition expenses related to the CrossFirst acquisition, added costs for operating expenses for two banks during the majority of the second quarter, until the banks were merged on June 20, 2025, and increased expense associated with the larger organization and branch network. Annual pre-tax expense synergy estimates resulting from the CrossFirst acquisition remain on track at $25.0 million, and we expect 50% of the identified synergies to be realized in 2025 and 100% in 2026.</w:t>
      </w:r>
    </w:p>
    <w:p>
      <w:pPr>
        <w:spacing w:after="0" w:line="98"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Adjusted noninterest expense,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which excludes acquisition and restructuring expenses and amortization of intangible assets, was $106.6 million in the second quarter of 2025, a 28.6% increase compared to $82.9 million in the first quarter of 2025 and a 50.1% increase compared to $71.1 million in the second quarter of 2024.</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Noteworthy components of noninterest expense are as follows:</w:t>
      </w:r>
    </w:p>
    <w:p>
      <w:pPr>
        <w:spacing w:after="0" w:line="132" w:lineRule="exact"/>
        <w:rPr>
          <w:sz w:val="20"/>
          <w:szCs w:val="20"/>
          <w:color w:val="auto"/>
        </w:rPr>
      </w:pPr>
    </w:p>
    <w:p>
      <w:pPr>
        <w:jc w:val="both"/>
        <w:ind w:left="420" w:hanging="212"/>
        <w:spacing w:after="0" w:line="259"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Salaries, wages, and employee benefits expenses increased by $10.8 million compared to the first quarter of 2025, with acquisition and restructuring expenses declining by $4.3 million. In connection with the CrossFirst acquisition in March and the addition of 16 banking centers, Busey’s workforce expanded, which resulted in only one month of associated expenses during the first quarter of 2025 in contrast to a full quarter of associated expenses reflected in the Company’s results for the second quarter of 2025. Compared to the second quarter of 2024, salaries, wages, and employee benefits expenses increased by $34.9 million, of which $10.4 million was attributable to increases in acquisition and restructuring expenses. Including associates added in connection with the CrossFirst acquisition, Busey has added 430 FTEs over the past year.</w:t>
      </w:r>
    </w:p>
    <w:p>
      <w:pPr>
        <w:spacing w:after="0" w:line="92" w:lineRule="exact"/>
        <w:rPr>
          <w:rFonts w:ascii="Arial" w:cs="Arial" w:eastAsia="Arial" w:hAnsi="Arial"/>
          <w:sz w:val="12"/>
          <w:szCs w:val="12"/>
          <w:color w:val="auto"/>
        </w:rPr>
      </w:pPr>
    </w:p>
    <w:p>
      <w:pPr>
        <w:ind w:left="420" w:hanging="212"/>
        <w:spacing w:after="0" w:line="286"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Data processing expense increased by $4.4 million compared to the first quarter of 2025 and by $6.9 million compared to the second quarter of 2024, of which $1.7 million and $3.6 million, respectively, was attributable to increases in acquisition and restructuring expenses. Busey has continued to make investments in technology enhancements and has also experienced inflation-driven price increases.</w:t>
      </w:r>
    </w:p>
    <w:p>
      <w:pPr>
        <w:spacing w:after="0" w:line="76" w:lineRule="exact"/>
        <w:rPr>
          <w:rFonts w:ascii="Arial" w:cs="Arial" w:eastAsia="Arial" w:hAnsi="Arial"/>
          <w:sz w:val="12"/>
          <w:szCs w:val="12"/>
          <w:color w:val="auto"/>
        </w:rPr>
      </w:pPr>
    </w:p>
    <w:p>
      <w:pPr>
        <w:jc w:val="both"/>
        <w:ind w:left="420" w:hanging="212"/>
        <w:spacing w:after="0" w:line="268"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Professional fees declined by $6.6 million compared to the first quarter of 2025, which was primarily driven by a $7.0 million decrease in acquisition and restructuring expenses. Compared to the second quarter of 2024, professional fees increased by $0.4 million, primarily due to increased audit and accounting fees and legal fees, partially offset by $0.1 million declines in acquisition and restructuring expenses.</w:t>
      </w:r>
    </w:p>
    <w:p>
      <w:pPr>
        <w:spacing w:after="0" w:line="95" w:lineRule="exact"/>
        <w:rPr>
          <w:rFonts w:ascii="Arial" w:cs="Arial" w:eastAsia="Arial" w:hAnsi="Arial"/>
          <w:sz w:val="12"/>
          <w:szCs w:val="12"/>
          <w:color w:val="auto"/>
        </w:rPr>
      </w:pPr>
    </w:p>
    <w:p>
      <w:pPr>
        <w:jc w:val="both"/>
        <w:ind w:left="420" w:hanging="212"/>
        <w:spacing w:after="0" w:line="268"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Amortization of intangible assets increased by $1.5 million compared to the first quarter of 2025, and by $2.0 million compared to the second quarter of 2024. The CrossFirst acquisition added an estimated $81.8 million of finite-lived intangible assets with amortization of $2.4 million and $3.1 million during the second quarter of 2025 and the first six months of 2025, respectively. Busey uses an accelerated amortization methodology.</w:t>
      </w:r>
    </w:p>
    <w:p>
      <w:pPr>
        <w:spacing w:after="0" w:line="86" w:lineRule="exact"/>
        <w:rPr>
          <w:rFonts w:ascii="Arial" w:cs="Arial" w:eastAsia="Arial" w:hAnsi="Arial"/>
          <w:sz w:val="12"/>
          <w:szCs w:val="12"/>
          <w:color w:val="auto"/>
        </w:rPr>
      </w:pPr>
    </w:p>
    <w:p>
      <w:pPr>
        <w:jc w:val="both"/>
        <w:ind w:left="420" w:hanging="212"/>
        <w:spacing w:after="0" w:line="268" w:lineRule="auto"/>
        <w:tabs>
          <w:tab w:leader="none" w:pos="417" w:val="left"/>
        </w:tabs>
        <w:numPr>
          <w:ilvl w:val="0"/>
          <w:numId w:val="6"/>
        </w:numPr>
        <w:rPr>
          <w:rFonts w:ascii="Arial" w:cs="Arial" w:eastAsia="Arial" w:hAnsi="Arial"/>
          <w:sz w:val="12"/>
          <w:szCs w:val="12"/>
          <w:color w:val="auto"/>
        </w:rPr>
      </w:pPr>
      <w:r>
        <w:rPr>
          <w:rFonts w:ascii="Arial" w:cs="Arial" w:eastAsia="Arial" w:hAnsi="Arial"/>
          <w:sz w:val="12"/>
          <w:szCs w:val="12"/>
          <w:color w:val="auto"/>
        </w:rPr>
        <w:t>Other noninterest expense increased by $2.8 million compared to the first quarter of 2025, and increased by $3.3 million compared to the second quarter of 2024. Items contributing to the increases included marketing, business development, supplies, and onboarding costs as well as increases in acquisition and restructuring expenses of $0.2 million compared to the first quarter of 2025 and $0.5 million compared to the second quarter of 2024.</w:t>
      </w:r>
    </w:p>
    <w:p>
      <w:pPr>
        <w:spacing w:after="0" w:line="87" w:lineRule="exact"/>
        <w:rPr>
          <w:sz w:val="20"/>
          <w:szCs w:val="20"/>
          <w:color w:val="auto"/>
        </w:rPr>
      </w:pPr>
    </w:p>
    <w:p>
      <w:pPr>
        <w:ind w:right="20"/>
        <w:spacing w:after="0" w:line="233" w:lineRule="auto"/>
        <w:rPr>
          <w:sz w:val="20"/>
          <w:szCs w:val="20"/>
          <w:color w:val="auto"/>
        </w:rPr>
      </w:pPr>
      <w:r>
        <w:rPr>
          <w:rFonts w:ascii="Arial" w:cs="Arial" w:eastAsia="Arial" w:hAnsi="Arial"/>
          <w:sz w:val="12"/>
          <w:szCs w:val="12"/>
          <w:color w:val="auto"/>
        </w:rPr>
        <w:t>Busey’s efficiency ratio</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63.9% for the second quarter of 2025, compared to 77.1% for the first quarter of 2025 and 62.6% for the second quarter of 2024. Our adjusted efficiency</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ratio was 55.3% for the second quarter of 2025, compared to 58.7% for the first quarter of 2025, and 60.9% for the second quarter of 2024.</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2"/>
          <w:szCs w:val="12"/>
          <w:color w:val="auto"/>
        </w:rPr>
        <w:t>Busey’s annualized ratio of adjusted noninterest expense to average assets was 2.24% for the second quarter of 2025, compared to 2.27% for the first quarter of 2025 and 2.36% for the second quarter of 2024. As our business grows, Busey remains focused on prudently managing our expense base and operating efficiency.</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6</w:t>
      </w:r>
    </w:p>
    <w:p>
      <w:pPr>
        <w:sectPr>
          <w:pgSz w:w="11900" w:h="16838" w:orient="portrait"/>
          <w:cols w:equalWidth="0" w:num="1">
            <w:col w:w="11300"/>
          </w:cols>
          <w:pgMar w:left="300" w:top="910" w:right="299" w:bottom="1440" w:gutter="0" w:footer="0" w:header="0"/>
        </w:sectPr>
      </w:pPr>
    </w:p>
    <w:bookmarkStart w:id="10" w:name="page11"/>
    <w:bookmarkEnd w:id="10"/>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BALANCE SHEET STRENGTH</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 xml:space="preserve">CONDENSED CONSOLIDATED BALANCE SHEETS </w:t>
      </w:r>
      <w:r>
        <w:rPr>
          <w:rFonts w:ascii="Arial" w:cs="Arial" w:eastAsia="Arial" w:hAnsi="Arial"/>
          <w:sz w:val="12"/>
          <w:szCs w:val="12"/>
          <w:b w:val="1"/>
          <w:bCs w:val="1"/>
          <w:i w:val="1"/>
          <w:i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w w:val="94"/>
              </w:rPr>
              <w:t>As of</w:t>
            </w: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88"/>
        </w:trPr>
        <w:tc>
          <w:tcPr>
            <w:tcW w:w="7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gridSpan w:val="2"/>
          </w:tcPr>
          <w:p>
            <w:pPr>
              <w:ind w:left="160"/>
              <w:spacing w:after="0" w:line="88" w:lineRule="exact"/>
              <w:rPr>
                <w:sz w:val="20"/>
                <w:szCs w:val="20"/>
                <w:color w:val="auto"/>
              </w:rPr>
            </w:pPr>
            <w:r>
              <w:rPr>
                <w:rFonts w:ascii="Arial" w:cs="Arial" w:eastAsia="Arial" w:hAnsi="Arial"/>
                <w:sz w:val="10"/>
                <w:szCs w:val="10"/>
                <w:b w:val="1"/>
                <w:bCs w:val="1"/>
                <w:color w:val="auto"/>
              </w:rPr>
              <w:t>June 30,</w:t>
            </w:r>
          </w:p>
        </w:tc>
        <w:tc>
          <w:tcPr>
            <w:tcW w:w="220" w:type="dxa"/>
            <w:vAlign w:val="bottom"/>
          </w:tcPr>
          <w:p>
            <w:pPr>
              <w:spacing w:after="0"/>
              <w:rPr>
                <w:sz w:val="7"/>
                <w:szCs w:val="7"/>
                <w:color w:val="auto"/>
              </w:rPr>
            </w:pPr>
          </w:p>
        </w:tc>
        <w:tc>
          <w:tcPr>
            <w:tcW w:w="1100" w:type="dxa"/>
            <w:vAlign w:val="bottom"/>
            <w:gridSpan w:val="2"/>
          </w:tcPr>
          <w:p>
            <w:pPr>
              <w:jc w:val="center"/>
              <w:ind w:right="280"/>
              <w:spacing w:after="0" w:line="88" w:lineRule="exact"/>
              <w:rPr>
                <w:sz w:val="20"/>
                <w:szCs w:val="20"/>
                <w:color w:val="auto"/>
              </w:rPr>
            </w:pPr>
            <w:r>
              <w:rPr>
                <w:rFonts w:ascii="Arial" w:cs="Arial" w:eastAsia="Arial" w:hAnsi="Arial"/>
                <w:sz w:val="10"/>
                <w:szCs w:val="10"/>
                <w:b w:val="1"/>
                <w:bCs w:val="1"/>
                <w:color w:val="auto"/>
              </w:rPr>
              <w:t>March 31,</w:t>
            </w:r>
          </w:p>
        </w:tc>
        <w:tc>
          <w:tcPr>
            <w:tcW w:w="240" w:type="dxa"/>
            <w:vAlign w:val="bottom"/>
          </w:tcPr>
          <w:p>
            <w:pPr>
              <w:spacing w:after="0"/>
              <w:rPr>
                <w:sz w:val="7"/>
                <w:szCs w:val="7"/>
                <w:color w:val="auto"/>
              </w:rPr>
            </w:pPr>
          </w:p>
        </w:tc>
        <w:tc>
          <w:tcPr>
            <w:tcW w:w="1020" w:type="dxa"/>
            <w:vAlign w:val="bottom"/>
          </w:tcPr>
          <w:p>
            <w:pPr>
              <w:jc w:val="right"/>
              <w:ind w:right="361"/>
              <w:spacing w:after="0" w:line="88" w:lineRule="exact"/>
              <w:rPr>
                <w:sz w:val="20"/>
                <w:szCs w:val="20"/>
                <w:color w:val="auto"/>
              </w:rPr>
            </w:pPr>
            <w:r>
              <w:rPr>
                <w:rFonts w:ascii="Arial" w:cs="Arial" w:eastAsia="Arial" w:hAnsi="Arial"/>
                <w:sz w:val="10"/>
                <w:szCs w:val="10"/>
                <w:b w:val="1"/>
                <w:bCs w:val="1"/>
                <w:color w:val="auto"/>
              </w:rPr>
              <w:t>June 30,</w:t>
            </w:r>
          </w:p>
        </w:tc>
      </w:tr>
      <w:tr>
        <w:trPr>
          <w:trHeight w:val="144"/>
        </w:trPr>
        <w:tc>
          <w:tcPr>
            <w:tcW w:w="7400" w:type="dxa"/>
            <w:vAlign w:val="bottom"/>
            <w:tcBorders>
              <w:bottom w:val="single" w:sz="8" w:color="E0E7ED"/>
            </w:tcBorders>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181"/>
              <w:spacing w:after="0"/>
              <w:rPr>
                <w:sz w:val="20"/>
                <w:szCs w:val="20"/>
                <w:color w:val="auto"/>
              </w:rPr>
            </w:pPr>
            <w:r>
              <w:rPr>
                <w:rFonts w:ascii="Arial" w:cs="Arial" w:eastAsia="Arial" w:hAnsi="Arial"/>
                <w:sz w:val="11"/>
                <w:szCs w:val="11"/>
                <w:b w:val="1"/>
                <w:bCs w:val="1"/>
                <w:color w:val="auto"/>
                <w:w w:val="97"/>
              </w:rPr>
              <w:t>2025</w:t>
            </w:r>
          </w:p>
        </w:tc>
        <w:tc>
          <w:tcPr>
            <w:tcW w:w="6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2024</w:t>
            </w:r>
          </w:p>
        </w:tc>
      </w:tr>
      <w:tr>
        <w:trPr>
          <w:trHeight w:val="160"/>
        </w:trPr>
        <w:tc>
          <w:tcPr>
            <w:tcW w:w="74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ASSETS</w:t>
            </w:r>
          </w:p>
        </w:tc>
        <w:tc>
          <w:tcPr>
            <w:tcW w:w="240" w:type="dxa"/>
            <w:vAlign w:val="bottom"/>
            <w:shd w:val="clear" w:color="auto" w:fill="E0E7ED"/>
          </w:tcPr>
          <w:p>
            <w:pPr>
              <w:spacing w:after="0"/>
              <w:rPr>
                <w:sz w:val="13"/>
                <w:szCs w:val="13"/>
                <w:color w:val="auto"/>
              </w:rPr>
            </w:pPr>
          </w:p>
        </w:tc>
        <w:tc>
          <w:tcPr>
            <w:tcW w:w="10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20" w:type="dxa"/>
            <w:vAlign w:val="bottom"/>
            <w:shd w:val="clear" w:color="auto" w:fill="E0E7ED"/>
          </w:tcPr>
          <w:p>
            <w:pPr>
              <w:spacing w:after="0"/>
              <w:rPr>
                <w:sz w:val="13"/>
                <w:szCs w:val="13"/>
                <w:color w:val="auto"/>
              </w:rPr>
            </w:pPr>
          </w:p>
        </w:tc>
        <w:tc>
          <w:tcPr>
            <w:tcW w:w="104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1020" w:type="dxa"/>
            <w:vAlign w:val="bottom"/>
            <w:shd w:val="clear" w:color="auto" w:fill="E0E7ED"/>
          </w:tcPr>
          <w:p>
            <w:pPr>
              <w:spacing w:after="0"/>
              <w:rPr>
                <w:sz w:val="13"/>
                <w:szCs w:val="13"/>
                <w:color w:val="auto"/>
              </w:rPr>
            </w:pP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Cash and cash equivalents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752,352</w:t>
            </w:r>
          </w:p>
        </w:tc>
        <w:tc>
          <w:tcPr>
            <w:tcW w:w="8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1,200,292</w:t>
            </w:r>
          </w:p>
        </w:tc>
        <w:tc>
          <w:tcPr>
            <w:tcW w:w="6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285,269</w:t>
            </w:r>
          </w:p>
        </w:tc>
      </w:tr>
      <w:tr>
        <w:trPr>
          <w:trHeight w:val="188"/>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Debt securities available for sale</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2,217,788</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0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2,273,874</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1,829,896</w:t>
            </w: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Debt securities held to maturity</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802,965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815,402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851,261</w:t>
            </w:r>
          </w:p>
        </w:tc>
      </w:tr>
      <w:tr>
        <w:trPr>
          <w:trHeight w:val="188"/>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Equity securities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16,171</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0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10,828</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9,618</w:t>
            </w: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Loans held for sale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10,497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7,270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11,286</w:t>
            </w:r>
          </w:p>
        </w:tc>
      </w:tr>
      <w:tr>
        <w:trPr>
          <w:trHeight w:val="188"/>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Portfolio loans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13,808,619</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0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13,868,357</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7,998,912</w:t>
            </w: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Allowance for credit losses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(183,334)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(195,210)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(85,226)</w:t>
            </w:r>
          </w:p>
        </w:tc>
      </w:tr>
      <w:tr>
        <w:trPr>
          <w:trHeight w:val="188"/>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Restricted bank stock</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77,112</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0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53,518</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6,884</w:t>
            </w: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Premises and equipment, net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181,394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182,003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121,647</w:t>
            </w:r>
          </w:p>
        </w:tc>
      </w:tr>
      <w:tr>
        <w:trPr>
          <w:trHeight w:val="188"/>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Right of use assets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38,065</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0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40,594</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11,137</w:t>
            </w:r>
          </w:p>
        </w:tc>
      </w:tr>
      <w:tr>
        <w:trPr>
          <w:trHeight w:val="172"/>
        </w:trPr>
        <w:tc>
          <w:tcPr>
            <w:tcW w:w="7400" w:type="dxa"/>
            <w:vAlign w:val="bottom"/>
          </w:tcPr>
          <w:p>
            <w:pPr>
              <w:ind w:left="120"/>
              <w:spacing w:after="0"/>
              <w:rPr>
                <w:sz w:val="20"/>
                <w:szCs w:val="20"/>
                <w:color w:val="auto"/>
              </w:rPr>
            </w:pPr>
            <w:r>
              <w:rPr>
                <w:rFonts w:ascii="Arial" w:cs="Arial" w:eastAsia="Arial" w:hAnsi="Arial"/>
                <w:sz w:val="12"/>
                <w:szCs w:val="12"/>
                <w:color w:val="auto"/>
              </w:rPr>
              <w:t>Goodwill and other intangible assets, net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488,181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496,118</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370,580</w:t>
            </w:r>
          </w:p>
        </w:tc>
      </w:tr>
      <w:tr>
        <w:trPr>
          <w:trHeight w:val="180"/>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Other assets</w:t>
            </w:r>
          </w:p>
        </w:tc>
        <w:tc>
          <w:tcPr>
            <w:tcW w:w="240" w:type="dxa"/>
            <w:vAlign w:val="bottom"/>
            <w:tcBorders>
              <w:bottom w:val="single" w:sz="8" w:color="auto"/>
            </w:tcBorders>
            <w:shd w:val="clear" w:color="auto" w:fill="E0E7ED"/>
          </w:tcPr>
          <w:p>
            <w:pPr>
              <w:spacing w:after="0"/>
              <w:rPr>
                <w:sz w:val="15"/>
                <w:szCs w:val="15"/>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708,930</w:t>
            </w:r>
          </w:p>
        </w:tc>
        <w:tc>
          <w:tcPr>
            <w:tcW w:w="80" w:type="dxa"/>
            <w:vAlign w:val="bottom"/>
            <w:shd w:val="clear" w:color="auto" w:fill="E0E7ED"/>
          </w:tcPr>
          <w:p>
            <w:pPr>
              <w:spacing w:after="0"/>
              <w:rPr>
                <w:sz w:val="15"/>
                <w:szCs w:val="15"/>
                <w:color w:val="auto"/>
              </w:rPr>
            </w:pPr>
          </w:p>
        </w:tc>
        <w:tc>
          <w:tcPr>
            <w:tcW w:w="220" w:type="dxa"/>
            <w:vAlign w:val="bottom"/>
            <w:tcBorders>
              <w:bottom w:val="single" w:sz="8" w:color="auto"/>
            </w:tcBorders>
            <w:shd w:val="clear" w:color="auto" w:fill="E0E7ED"/>
          </w:tcPr>
          <w:p>
            <w:pPr>
              <w:spacing w:after="0"/>
              <w:rPr>
                <w:sz w:val="15"/>
                <w:szCs w:val="15"/>
                <w:color w:val="auto"/>
              </w:rPr>
            </w:pPr>
          </w:p>
        </w:tc>
        <w:tc>
          <w:tcPr>
            <w:tcW w:w="104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711,206</w:t>
            </w:r>
          </w:p>
        </w:tc>
        <w:tc>
          <w:tcPr>
            <w:tcW w:w="60" w:type="dxa"/>
            <w:vAlign w:val="bottom"/>
            <w:shd w:val="clear" w:color="auto" w:fill="E0E7ED"/>
          </w:tcPr>
          <w:p>
            <w:pPr>
              <w:spacing w:after="0"/>
              <w:rPr>
                <w:sz w:val="15"/>
                <w:szCs w:val="15"/>
                <w:color w:val="auto"/>
              </w:rPr>
            </w:pPr>
          </w:p>
        </w:tc>
        <w:tc>
          <w:tcPr>
            <w:tcW w:w="240" w:type="dxa"/>
            <w:vAlign w:val="bottom"/>
            <w:tcBorders>
              <w:bottom w:val="single" w:sz="8" w:color="auto"/>
            </w:tcBorders>
            <w:shd w:val="clear" w:color="auto" w:fill="E0E7ED"/>
          </w:tcPr>
          <w:p>
            <w:pPr>
              <w:spacing w:after="0"/>
              <w:rPr>
                <w:sz w:val="15"/>
                <w:szCs w:val="15"/>
                <w:color w:val="auto"/>
              </w:rPr>
            </w:pPr>
          </w:p>
        </w:tc>
        <w:tc>
          <w:tcPr>
            <w:tcW w:w="102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560,152</w:t>
            </w:r>
          </w:p>
        </w:tc>
      </w:tr>
      <w:tr>
        <w:trPr>
          <w:trHeight w:val="193"/>
        </w:trPr>
        <w:tc>
          <w:tcPr>
            <w:tcW w:w="7400" w:type="dxa"/>
            <w:vAlign w:val="bottom"/>
            <w:tcBorders>
              <w:bottom w:val="single" w:sz="8" w:color="E0E7ED"/>
            </w:tcBorders>
          </w:tcPr>
          <w:p>
            <w:pPr>
              <w:spacing w:after="0"/>
              <w:rPr>
                <w:sz w:val="20"/>
                <w:szCs w:val="20"/>
                <w:color w:val="auto"/>
              </w:rPr>
            </w:pPr>
            <w:r>
              <w:rPr>
                <w:rFonts w:ascii="Arial" w:cs="Arial" w:eastAsia="Arial" w:hAnsi="Arial"/>
                <w:sz w:val="12"/>
                <w:szCs w:val="12"/>
                <w:b w:val="1"/>
                <w:bCs w:val="1"/>
                <w:color w:val="auto"/>
              </w:rPr>
              <w:t>Total assets</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18,918,740</w:t>
            </w:r>
          </w:p>
        </w:tc>
        <w:tc>
          <w:tcPr>
            <w:tcW w:w="80" w:type="dxa"/>
            <w:vAlign w:val="bottom"/>
            <w:tcBorders>
              <w:bottom w:val="single" w:sz="8" w:color="E0E7ED"/>
            </w:tcBorders>
          </w:tcPr>
          <w:p>
            <w:pPr>
              <w:spacing w:after="0"/>
              <w:rPr>
                <w:sz w:val="16"/>
                <w:szCs w:val="16"/>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19,464,252</w:t>
            </w:r>
          </w:p>
        </w:tc>
        <w:tc>
          <w:tcPr>
            <w:tcW w:w="60" w:type="dxa"/>
            <w:vAlign w:val="bottom"/>
            <w:tcBorders>
              <w:bottom w:val="single" w:sz="8" w:color="E0E7ED"/>
            </w:tcBorders>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11,971,416</w:t>
            </w:r>
          </w:p>
        </w:tc>
      </w:tr>
      <w:tr>
        <w:trPr>
          <w:trHeight w:val="162"/>
        </w:trPr>
        <w:tc>
          <w:tcPr>
            <w:tcW w:w="7400" w:type="dxa"/>
            <w:vAlign w:val="bottom"/>
            <w:shd w:val="clear" w:color="auto" w:fill="E0E7ED"/>
          </w:tcPr>
          <w:p>
            <w:pPr>
              <w:spacing w:after="0"/>
              <w:rPr>
                <w:sz w:val="14"/>
                <w:szCs w:val="14"/>
                <w:color w:val="auto"/>
              </w:rPr>
            </w:pPr>
          </w:p>
        </w:tc>
        <w:tc>
          <w:tcPr>
            <w:tcW w:w="240" w:type="dxa"/>
            <w:vAlign w:val="bottom"/>
            <w:shd w:val="clear" w:color="auto" w:fill="E0E7ED"/>
          </w:tcPr>
          <w:p>
            <w:pPr>
              <w:spacing w:after="0"/>
              <w:rPr>
                <w:sz w:val="14"/>
                <w:szCs w:val="14"/>
                <w:color w:val="auto"/>
              </w:rPr>
            </w:pPr>
          </w:p>
        </w:tc>
        <w:tc>
          <w:tcPr>
            <w:tcW w:w="10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20" w:type="dxa"/>
            <w:vAlign w:val="bottom"/>
            <w:shd w:val="clear" w:color="auto" w:fill="E0E7ED"/>
          </w:tcPr>
          <w:p>
            <w:pPr>
              <w:spacing w:after="0"/>
              <w:rPr>
                <w:sz w:val="14"/>
                <w:szCs w:val="14"/>
                <w:color w:val="auto"/>
              </w:rPr>
            </w:pPr>
          </w:p>
        </w:tc>
        <w:tc>
          <w:tcPr>
            <w:tcW w:w="104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240" w:type="dxa"/>
            <w:vAlign w:val="bottom"/>
            <w:shd w:val="clear" w:color="auto" w:fill="E0E7ED"/>
          </w:tcPr>
          <w:p>
            <w:pPr>
              <w:spacing w:after="0"/>
              <w:rPr>
                <w:sz w:val="14"/>
                <w:szCs w:val="14"/>
                <w:color w:val="auto"/>
              </w:rPr>
            </w:pPr>
          </w:p>
        </w:tc>
        <w:tc>
          <w:tcPr>
            <w:tcW w:w="1020" w:type="dxa"/>
            <w:vAlign w:val="bottom"/>
            <w:shd w:val="clear" w:color="auto" w:fill="E0E7ED"/>
          </w:tcPr>
          <w:p>
            <w:pPr>
              <w:spacing w:after="0"/>
              <w:rPr>
                <w:sz w:val="14"/>
                <w:szCs w:val="14"/>
                <w:color w:val="auto"/>
              </w:rPr>
            </w:pPr>
          </w:p>
        </w:tc>
      </w:tr>
      <w:tr>
        <w:trPr>
          <w:trHeight w:val="175"/>
        </w:trPr>
        <w:tc>
          <w:tcPr>
            <w:tcW w:w="7400" w:type="dxa"/>
            <w:vAlign w:val="bottom"/>
          </w:tcPr>
          <w:p>
            <w:pPr>
              <w:spacing w:after="0"/>
              <w:rPr>
                <w:sz w:val="20"/>
                <w:szCs w:val="20"/>
                <w:color w:val="auto"/>
              </w:rPr>
            </w:pPr>
            <w:r>
              <w:rPr>
                <w:rFonts w:ascii="Arial" w:cs="Arial" w:eastAsia="Arial" w:hAnsi="Arial"/>
                <w:sz w:val="12"/>
                <w:szCs w:val="12"/>
                <w:b w:val="1"/>
                <w:bCs w:val="1"/>
                <w:color w:val="auto"/>
              </w:rPr>
              <w:t>LIABILITIES &amp; STOCKHOLDERS' EQUITY</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5"/>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b w:val="1"/>
                <w:bCs w:val="1"/>
                <w:color w:val="auto"/>
              </w:rPr>
              <w:t>Liabilities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spacing w:after="0"/>
              <w:rPr>
                <w:sz w:val="16"/>
                <w:szCs w:val="16"/>
                <w:color w:val="auto"/>
              </w:rPr>
            </w:pPr>
          </w:p>
        </w:tc>
      </w:tr>
      <w:tr>
        <w:trPr>
          <w:trHeight w:val="172"/>
        </w:trPr>
        <w:tc>
          <w:tcPr>
            <w:tcW w:w="7400" w:type="dxa"/>
            <w:vAlign w:val="bottom"/>
          </w:tcPr>
          <w:p>
            <w:pPr>
              <w:ind w:left="220"/>
              <w:spacing w:after="0"/>
              <w:rPr>
                <w:sz w:val="20"/>
                <w:szCs w:val="20"/>
                <w:color w:val="auto"/>
              </w:rPr>
            </w:pPr>
            <w:r>
              <w:rPr>
                <w:rFonts w:ascii="Arial" w:cs="Arial" w:eastAsia="Arial" w:hAnsi="Arial"/>
                <w:sz w:val="12"/>
                <w:szCs w:val="12"/>
                <w:color w:val="auto"/>
              </w:rPr>
              <w:t>Deposits: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8"/>
        </w:trPr>
        <w:tc>
          <w:tcPr>
            <w:tcW w:w="7400" w:type="dxa"/>
            <w:vAlign w:val="bottom"/>
            <w:shd w:val="clear" w:color="auto" w:fill="E0E7ED"/>
          </w:tcPr>
          <w:p>
            <w:pPr>
              <w:ind w:left="320"/>
              <w:spacing w:after="0"/>
              <w:rPr>
                <w:sz w:val="20"/>
                <w:szCs w:val="20"/>
                <w:color w:val="auto"/>
              </w:rPr>
            </w:pPr>
            <w:r>
              <w:rPr>
                <w:rFonts w:ascii="Arial" w:cs="Arial" w:eastAsia="Arial" w:hAnsi="Arial"/>
                <w:sz w:val="12"/>
                <w:szCs w:val="12"/>
                <w:color w:val="auto"/>
              </w:rPr>
              <w:t>Noninterest-bearing deposits</w:t>
            </w:r>
          </w:p>
        </w:tc>
        <w:tc>
          <w:tcPr>
            <w:tcW w:w="24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3,590,363</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3,693,070</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2,832,776</w:t>
            </w:r>
          </w:p>
        </w:tc>
      </w:tr>
      <w:tr>
        <w:trPr>
          <w:trHeight w:val="172"/>
        </w:trPr>
        <w:tc>
          <w:tcPr>
            <w:tcW w:w="7400" w:type="dxa"/>
            <w:vAlign w:val="bottom"/>
          </w:tcPr>
          <w:p>
            <w:pPr>
              <w:ind w:left="320"/>
              <w:spacing w:after="0"/>
              <w:rPr>
                <w:sz w:val="20"/>
                <w:szCs w:val="20"/>
                <w:color w:val="auto"/>
              </w:rPr>
            </w:pPr>
            <w:r>
              <w:rPr>
                <w:rFonts w:ascii="Arial" w:cs="Arial" w:eastAsia="Arial" w:hAnsi="Arial"/>
                <w:sz w:val="12"/>
                <w:szCs w:val="12"/>
                <w:color w:val="auto"/>
              </w:rPr>
              <w:t>Interest-bearing checking, savings, and money market deposits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9,578,953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9,675,324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5,619,470</w:t>
            </w:r>
          </w:p>
        </w:tc>
      </w:tr>
      <w:tr>
        <w:trPr>
          <w:trHeight w:val="188"/>
        </w:trPr>
        <w:tc>
          <w:tcPr>
            <w:tcW w:w="7400" w:type="dxa"/>
            <w:vAlign w:val="bottom"/>
            <w:shd w:val="clear" w:color="auto" w:fill="E0E7ED"/>
          </w:tcPr>
          <w:p>
            <w:pPr>
              <w:ind w:left="320"/>
              <w:spacing w:after="0"/>
              <w:rPr>
                <w:sz w:val="20"/>
                <w:szCs w:val="20"/>
                <w:color w:val="auto"/>
              </w:rPr>
            </w:pPr>
            <w:r>
              <w:rPr>
                <w:rFonts w:ascii="Arial" w:cs="Arial" w:eastAsia="Arial" w:hAnsi="Arial"/>
                <w:sz w:val="12"/>
                <w:szCs w:val="12"/>
                <w:color w:val="auto"/>
              </w:rPr>
              <w:t>Time deposits</w:t>
            </w:r>
          </w:p>
        </w:tc>
        <w:tc>
          <w:tcPr>
            <w:tcW w:w="240" w:type="dxa"/>
            <w:vAlign w:val="bottom"/>
            <w:tcBorders>
              <w:bottom w:val="single" w:sz="8" w:color="auto"/>
            </w:tcBorders>
            <w:shd w:val="clear" w:color="auto" w:fill="E0E7ED"/>
          </w:tcPr>
          <w:p>
            <w:pPr>
              <w:spacing w:after="0"/>
              <w:rPr>
                <w:sz w:val="16"/>
                <w:szCs w:val="16"/>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2,632,456</w:t>
            </w:r>
          </w:p>
        </w:tc>
        <w:tc>
          <w:tcPr>
            <w:tcW w:w="80" w:type="dxa"/>
            <w:vAlign w:val="bottom"/>
            <w:shd w:val="clear" w:color="auto" w:fill="E0E7ED"/>
          </w:tcPr>
          <w:p>
            <w:pPr>
              <w:spacing w:after="0"/>
              <w:rPr>
                <w:sz w:val="16"/>
                <w:szCs w:val="16"/>
                <w:color w:val="auto"/>
              </w:rPr>
            </w:pPr>
          </w:p>
        </w:tc>
        <w:tc>
          <w:tcPr>
            <w:tcW w:w="220" w:type="dxa"/>
            <w:vAlign w:val="bottom"/>
            <w:tcBorders>
              <w:bottom w:val="single" w:sz="8" w:color="auto"/>
            </w:tcBorders>
            <w:shd w:val="clear" w:color="auto" w:fill="E0E7ED"/>
          </w:tcPr>
          <w:p>
            <w:pPr>
              <w:spacing w:after="0"/>
              <w:rPr>
                <w:sz w:val="16"/>
                <w:szCs w:val="16"/>
                <w:color w:val="auto"/>
              </w:rPr>
            </w:pPr>
          </w:p>
        </w:tc>
        <w:tc>
          <w:tcPr>
            <w:tcW w:w="104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3,091,076</w:t>
            </w:r>
          </w:p>
        </w:tc>
        <w:tc>
          <w:tcPr>
            <w:tcW w:w="60" w:type="dxa"/>
            <w:vAlign w:val="bottom"/>
            <w:shd w:val="clear" w:color="auto" w:fill="E0E7ED"/>
          </w:tcPr>
          <w:p>
            <w:pPr>
              <w:spacing w:after="0"/>
              <w:rPr>
                <w:sz w:val="16"/>
                <w:szCs w:val="16"/>
                <w:color w:val="auto"/>
              </w:rPr>
            </w:pPr>
          </w:p>
        </w:tc>
        <w:tc>
          <w:tcPr>
            <w:tcW w:w="240" w:type="dxa"/>
            <w:vAlign w:val="bottom"/>
            <w:tcBorders>
              <w:bottom w:val="single" w:sz="8" w:color="auto"/>
            </w:tcBorders>
            <w:shd w:val="clear" w:color="auto" w:fill="E0E7ED"/>
          </w:tcPr>
          <w:p>
            <w:pPr>
              <w:spacing w:after="0"/>
              <w:rPr>
                <w:sz w:val="16"/>
                <w:szCs w:val="16"/>
                <w:color w:val="auto"/>
              </w:rPr>
            </w:pPr>
          </w:p>
        </w:tc>
        <w:tc>
          <w:tcPr>
            <w:tcW w:w="102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1,523,889</w:t>
            </w:r>
          </w:p>
        </w:tc>
      </w:tr>
      <w:tr>
        <w:trPr>
          <w:trHeight w:val="161"/>
        </w:trPr>
        <w:tc>
          <w:tcPr>
            <w:tcW w:w="7400" w:type="dxa"/>
            <w:vAlign w:val="bottom"/>
          </w:tcPr>
          <w:p>
            <w:pPr>
              <w:ind w:left="220"/>
              <w:spacing w:after="0"/>
              <w:rPr>
                <w:sz w:val="20"/>
                <w:szCs w:val="20"/>
                <w:color w:val="auto"/>
              </w:rPr>
            </w:pPr>
            <w:r>
              <w:rPr>
                <w:rFonts w:ascii="Arial" w:cs="Arial" w:eastAsia="Arial" w:hAnsi="Arial"/>
                <w:sz w:val="12"/>
                <w:szCs w:val="12"/>
                <w:color w:val="auto"/>
              </w:rPr>
              <w:t>Total deposits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15,801,772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16,459,470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9,976,135</w:t>
            </w:r>
          </w:p>
        </w:tc>
      </w:tr>
      <w:tr>
        <w:trPr>
          <w:trHeight w:val="188"/>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Securities sold under agreements to repurchase</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158,030</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0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137,340</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140,283</w:t>
            </w:r>
          </w:p>
        </w:tc>
      </w:tr>
      <w:tr>
        <w:trPr>
          <w:trHeight w:val="172"/>
        </w:trPr>
        <w:tc>
          <w:tcPr>
            <w:tcW w:w="7400" w:type="dxa"/>
            <w:vAlign w:val="bottom"/>
          </w:tcPr>
          <w:p>
            <w:pPr>
              <w:ind w:left="220"/>
              <w:spacing w:after="0"/>
              <w:rPr>
                <w:sz w:val="20"/>
                <w:szCs w:val="20"/>
                <w:color w:val="auto"/>
              </w:rPr>
            </w:pPr>
            <w:r>
              <w:rPr>
                <w:rFonts w:ascii="Arial" w:cs="Arial" w:eastAsia="Arial" w:hAnsi="Arial"/>
                <w:sz w:val="12"/>
                <w:szCs w:val="12"/>
                <w:color w:val="auto"/>
              </w:rPr>
              <w:t>Short-term borrowings</w:t>
            </w:r>
          </w:p>
        </w:tc>
        <w:tc>
          <w:tcPr>
            <w:tcW w:w="24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11,209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88"/>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Long-term debt</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189,726</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0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313,535</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227,245</w:t>
            </w:r>
          </w:p>
        </w:tc>
      </w:tr>
      <w:tr>
        <w:trPr>
          <w:trHeight w:val="172"/>
        </w:trPr>
        <w:tc>
          <w:tcPr>
            <w:tcW w:w="7400" w:type="dxa"/>
            <w:vAlign w:val="bottom"/>
          </w:tcPr>
          <w:p>
            <w:pPr>
              <w:ind w:left="220"/>
              <w:spacing w:after="0"/>
              <w:rPr>
                <w:sz w:val="20"/>
                <w:szCs w:val="20"/>
                <w:color w:val="auto"/>
              </w:rPr>
            </w:pPr>
            <w:r>
              <w:rPr>
                <w:rFonts w:ascii="Arial" w:cs="Arial" w:eastAsia="Arial" w:hAnsi="Arial"/>
                <w:sz w:val="12"/>
                <w:szCs w:val="12"/>
                <w:color w:val="auto"/>
              </w:rPr>
              <w:t>Junior subordinated debt owed to unconsolidated trusts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77,187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77,117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74,693</w:t>
            </w:r>
          </w:p>
        </w:tc>
      </w:tr>
      <w:tr>
        <w:trPr>
          <w:trHeight w:val="188"/>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Lease liabilities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39,235</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04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41,111</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11,469</w:t>
            </w:r>
          </w:p>
        </w:tc>
      </w:tr>
      <w:tr>
        <w:trPr>
          <w:trHeight w:val="172"/>
        </w:trPr>
        <w:tc>
          <w:tcPr>
            <w:tcW w:w="7400" w:type="dxa"/>
            <w:vAlign w:val="bottom"/>
            <w:tcBorders>
              <w:bottom w:val="single" w:sz="8" w:color="E0E7ED"/>
            </w:tcBorders>
          </w:tcPr>
          <w:p>
            <w:pPr>
              <w:ind w:left="220"/>
              <w:spacing w:after="0"/>
              <w:rPr>
                <w:sz w:val="20"/>
                <w:szCs w:val="20"/>
                <w:color w:val="auto"/>
              </w:rPr>
            </w:pPr>
            <w:r>
              <w:rPr>
                <w:rFonts w:ascii="Arial" w:cs="Arial" w:eastAsia="Arial" w:hAnsi="Arial"/>
                <w:sz w:val="12"/>
                <w:szCs w:val="12"/>
                <w:color w:val="auto"/>
              </w:rPr>
              <w:t>Other liabilities</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240,244</w:t>
            </w:r>
          </w:p>
        </w:tc>
        <w:tc>
          <w:tcPr>
            <w:tcW w:w="80" w:type="dxa"/>
            <w:vAlign w:val="bottom"/>
            <w:tcBorders>
              <w:bottom w:val="single" w:sz="8" w:color="E0E7ED"/>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244,864</w:t>
            </w:r>
          </w:p>
        </w:tc>
        <w:tc>
          <w:tcPr>
            <w:tcW w:w="6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207,781</w:t>
            </w:r>
          </w:p>
        </w:tc>
      </w:tr>
      <w:tr>
        <w:trPr>
          <w:trHeight w:val="169"/>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Total liabilities</w:t>
            </w:r>
          </w:p>
        </w:tc>
        <w:tc>
          <w:tcPr>
            <w:tcW w:w="240" w:type="dxa"/>
            <w:vAlign w:val="bottom"/>
            <w:tcBorders>
              <w:bottom w:val="single" w:sz="8" w:color="auto"/>
            </w:tcBorders>
            <w:shd w:val="clear" w:color="auto" w:fill="E0E7ED"/>
          </w:tcPr>
          <w:p>
            <w:pPr>
              <w:spacing w:after="0"/>
              <w:rPr>
                <w:sz w:val="14"/>
                <w:szCs w:val="14"/>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16,506,194</w:t>
            </w:r>
          </w:p>
        </w:tc>
        <w:tc>
          <w:tcPr>
            <w:tcW w:w="80" w:type="dxa"/>
            <w:vAlign w:val="bottom"/>
            <w:shd w:val="clear" w:color="auto" w:fill="E0E7ED"/>
          </w:tcPr>
          <w:p>
            <w:pPr>
              <w:spacing w:after="0"/>
              <w:rPr>
                <w:sz w:val="14"/>
                <w:szCs w:val="14"/>
                <w:color w:val="auto"/>
              </w:rPr>
            </w:pPr>
          </w:p>
        </w:tc>
        <w:tc>
          <w:tcPr>
            <w:tcW w:w="220" w:type="dxa"/>
            <w:vAlign w:val="bottom"/>
            <w:tcBorders>
              <w:bottom w:val="single" w:sz="8" w:color="auto"/>
            </w:tcBorders>
            <w:shd w:val="clear" w:color="auto" w:fill="E0E7ED"/>
          </w:tcPr>
          <w:p>
            <w:pPr>
              <w:spacing w:after="0"/>
              <w:rPr>
                <w:sz w:val="14"/>
                <w:szCs w:val="14"/>
                <w:color w:val="auto"/>
              </w:rPr>
            </w:pPr>
          </w:p>
        </w:tc>
        <w:tc>
          <w:tcPr>
            <w:tcW w:w="104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17,284,646</w:t>
            </w:r>
          </w:p>
        </w:tc>
        <w:tc>
          <w:tcPr>
            <w:tcW w:w="60" w:type="dxa"/>
            <w:vAlign w:val="bottom"/>
            <w:shd w:val="clear" w:color="auto" w:fill="E0E7ED"/>
          </w:tcPr>
          <w:p>
            <w:pPr>
              <w:spacing w:after="0"/>
              <w:rPr>
                <w:sz w:val="14"/>
                <w:szCs w:val="14"/>
                <w:color w:val="auto"/>
              </w:rPr>
            </w:pPr>
          </w:p>
        </w:tc>
        <w:tc>
          <w:tcPr>
            <w:tcW w:w="240" w:type="dxa"/>
            <w:vAlign w:val="bottom"/>
            <w:tcBorders>
              <w:bottom w:val="single" w:sz="8" w:color="auto"/>
            </w:tcBorders>
            <w:shd w:val="clear" w:color="auto" w:fill="E0E7ED"/>
          </w:tcPr>
          <w:p>
            <w:pPr>
              <w:spacing w:after="0"/>
              <w:rPr>
                <w:sz w:val="14"/>
                <w:szCs w:val="14"/>
                <w:color w:val="auto"/>
              </w:rPr>
            </w:pPr>
          </w:p>
        </w:tc>
        <w:tc>
          <w:tcPr>
            <w:tcW w:w="102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10,637,606</w:t>
            </w:r>
          </w:p>
        </w:tc>
      </w:tr>
      <w:tr>
        <w:trPr>
          <w:trHeight w:val="168"/>
        </w:trPr>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0"/>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b w:val="1"/>
                <w:bCs w:val="1"/>
                <w:color w:val="auto"/>
              </w:rPr>
              <w:t>Stockholders' equity</w:t>
            </w:r>
          </w:p>
        </w:tc>
        <w:tc>
          <w:tcPr>
            <w:tcW w:w="240" w:type="dxa"/>
            <w:vAlign w:val="bottom"/>
            <w:shd w:val="clear" w:color="auto" w:fill="E0E7ED"/>
          </w:tcPr>
          <w:p>
            <w:pPr>
              <w:spacing w:after="0"/>
              <w:rPr>
                <w:sz w:val="15"/>
                <w:szCs w:val="15"/>
                <w:color w:val="auto"/>
              </w:rPr>
            </w:pPr>
          </w:p>
        </w:tc>
        <w:tc>
          <w:tcPr>
            <w:tcW w:w="10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1020" w:type="dxa"/>
            <w:vAlign w:val="bottom"/>
            <w:shd w:val="clear" w:color="auto" w:fill="E0E7ED"/>
          </w:tcPr>
          <w:p>
            <w:pPr>
              <w:spacing w:after="0"/>
              <w:rPr>
                <w:sz w:val="15"/>
                <w:szCs w:val="15"/>
                <w:color w:val="auto"/>
              </w:rPr>
            </w:pPr>
          </w:p>
        </w:tc>
      </w:tr>
      <w:tr>
        <w:trPr>
          <w:trHeight w:val="172"/>
        </w:trPr>
        <w:tc>
          <w:tcPr>
            <w:tcW w:w="7400" w:type="dxa"/>
            <w:vAlign w:val="bottom"/>
          </w:tcPr>
          <w:p>
            <w:pPr>
              <w:ind w:left="220"/>
              <w:spacing w:after="0"/>
              <w:rPr>
                <w:sz w:val="20"/>
                <w:szCs w:val="20"/>
                <w:color w:val="auto"/>
              </w:rPr>
            </w:pPr>
            <w:r>
              <w:rPr>
                <w:rFonts w:ascii="Arial" w:cs="Arial" w:eastAsia="Arial" w:hAnsi="Arial"/>
                <w:sz w:val="12"/>
                <w:szCs w:val="12"/>
                <w:color w:val="auto"/>
              </w:rPr>
              <w:t>Retained earnings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273,799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249,484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261,820</w:t>
            </w:r>
          </w:p>
        </w:tc>
      </w:tr>
      <w:tr>
        <w:trPr>
          <w:trHeight w:val="188"/>
        </w:trPr>
        <w:tc>
          <w:tcPr>
            <w:tcW w:w="7400" w:type="dxa"/>
            <w:vAlign w:val="bottom"/>
            <w:shd w:val="clear" w:color="auto" w:fill="E0E7ED"/>
          </w:tcPr>
          <w:p>
            <w:pPr>
              <w:ind w:left="220"/>
              <w:spacing w:after="0"/>
              <w:rPr>
                <w:sz w:val="20"/>
                <w:szCs w:val="20"/>
                <w:color w:val="auto"/>
              </w:rPr>
            </w:pPr>
            <w:r>
              <w:rPr>
                <w:rFonts w:ascii="Arial" w:cs="Arial" w:eastAsia="Arial" w:hAnsi="Arial"/>
                <w:sz w:val="12"/>
                <w:szCs w:val="12"/>
                <w:color w:val="auto"/>
              </w:rPr>
              <w:t>Accumulated other comprehensive income (loss)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(155,311)</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(172,810)</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(220,326)</w:t>
            </w:r>
          </w:p>
        </w:tc>
      </w:tr>
      <w:tr>
        <w:trPr>
          <w:trHeight w:val="180"/>
        </w:trPr>
        <w:tc>
          <w:tcPr>
            <w:tcW w:w="7400" w:type="dxa"/>
            <w:vAlign w:val="bottom"/>
            <w:tcBorders>
              <w:bottom w:val="single" w:sz="8" w:color="E0E7ED"/>
            </w:tcBorders>
          </w:tcPr>
          <w:p>
            <w:pPr>
              <w:ind w:left="220"/>
              <w:spacing w:after="0"/>
              <w:rPr>
                <w:sz w:val="20"/>
                <w:szCs w:val="20"/>
                <w:color w:val="auto"/>
              </w:rPr>
            </w:pPr>
            <w:r>
              <w:rPr>
                <w:rFonts w:ascii="Arial" w:cs="Arial" w:eastAsia="Arial" w:hAnsi="Arial"/>
                <w:sz w:val="12"/>
                <w:szCs w:val="12"/>
                <w:color w:val="auto"/>
              </w:rPr>
              <w:t>Other stockholders' equity</w:t>
            </w:r>
            <w:r>
              <w:rPr>
                <w:rFonts w:ascii="Arial" w:cs="Arial" w:eastAsia="Arial" w:hAnsi="Arial"/>
                <w:sz w:val="15"/>
                <w:szCs w:val="15"/>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2,294,058</w:t>
            </w:r>
          </w:p>
        </w:tc>
        <w:tc>
          <w:tcPr>
            <w:tcW w:w="8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2,102,932</w:t>
            </w:r>
          </w:p>
        </w:tc>
        <w:tc>
          <w:tcPr>
            <w:tcW w:w="6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1,292,316</w:t>
            </w:r>
          </w:p>
        </w:tc>
      </w:tr>
      <w:tr>
        <w:trPr>
          <w:trHeight w:val="161"/>
        </w:trPr>
        <w:tc>
          <w:tcPr>
            <w:tcW w:w="74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Total stockholders' equity</w:t>
            </w:r>
          </w:p>
        </w:tc>
        <w:tc>
          <w:tcPr>
            <w:tcW w:w="240" w:type="dxa"/>
            <w:vAlign w:val="bottom"/>
            <w:tcBorders>
              <w:bottom w:val="single" w:sz="8" w:color="auto"/>
            </w:tcBorders>
            <w:shd w:val="clear" w:color="auto" w:fill="E0E7ED"/>
          </w:tcPr>
          <w:p>
            <w:pPr>
              <w:spacing w:after="0"/>
              <w:rPr>
                <w:sz w:val="14"/>
                <w:szCs w:val="14"/>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2,412,546</w:t>
            </w:r>
          </w:p>
        </w:tc>
        <w:tc>
          <w:tcPr>
            <w:tcW w:w="80" w:type="dxa"/>
            <w:vAlign w:val="bottom"/>
            <w:shd w:val="clear" w:color="auto" w:fill="E0E7ED"/>
          </w:tcPr>
          <w:p>
            <w:pPr>
              <w:spacing w:after="0"/>
              <w:rPr>
                <w:sz w:val="14"/>
                <w:szCs w:val="14"/>
                <w:color w:val="auto"/>
              </w:rPr>
            </w:pPr>
          </w:p>
        </w:tc>
        <w:tc>
          <w:tcPr>
            <w:tcW w:w="220" w:type="dxa"/>
            <w:vAlign w:val="bottom"/>
            <w:tcBorders>
              <w:bottom w:val="single" w:sz="8" w:color="auto"/>
            </w:tcBorders>
            <w:shd w:val="clear" w:color="auto" w:fill="E0E7ED"/>
          </w:tcPr>
          <w:p>
            <w:pPr>
              <w:spacing w:after="0"/>
              <w:rPr>
                <w:sz w:val="14"/>
                <w:szCs w:val="14"/>
                <w:color w:val="auto"/>
              </w:rPr>
            </w:pPr>
          </w:p>
        </w:tc>
        <w:tc>
          <w:tcPr>
            <w:tcW w:w="104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2,179,606</w:t>
            </w:r>
          </w:p>
        </w:tc>
        <w:tc>
          <w:tcPr>
            <w:tcW w:w="60" w:type="dxa"/>
            <w:vAlign w:val="bottom"/>
            <w:shd w:val="clear" w:color="auto" w:fill="E0E7ED"/>
          </w:tcPr>
          <w:p>
            <w:pPr>
              <w:spacing w:after="0"/>
              <w:rPr>
                <w:sz w:val="14"/>
                <w:szCs w:val="14"/>
                <w:color w:val="auto"/>
              </w:rPr>
            </w:pPr>
          </w:p>
        </w:tc>
        <w:tc>
          <w:tcPr>
            <w:tcW w:w="240" w:type="dxa"/>
            <w:vAlign w:val="bottom"/>
            <w:tcBorders>
              <w:bottom w:val="single" w:sz="8" w:color="auto"/>
            </w:tcBorders>
            <w:shd w:val="clear" w:color="auto" w:fill="E0E7ED"/>
          </w:tcPr>
          <w:p>
            <w:pPr>
              <w:spacing w:after="0"/>
              <w:rPr>
                <w:sz w:val="14"/>
                <w:szCs w:val="14"/>
                <w:color w:val="auto"/>
              </w:rPr>
            </w:pPr>
          </w:p>
        </w:tc>
        <w:tc>
          <w:tcPr>
            <w:tcW w:w="102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1,333,810</w:t>
            </w:r>
          </w:p>
        </w:tc>
      </w:tr>
      <w:tr>
        <w:trPr>
          <w:trHeight w:val="177"/>
        </w:trPr>
        <w:tc>
          <w:tcPr>
            <w:tcW w:w="7400" w:type="dxa"/>
            <w:vAlign w:val="bottom"/>
          </w:tcPr>
          <w:p>
            <w:pPr>
              <w:spacing w:after="0"/>
              <w:rPr>
                <w:sz w:val="20"/>
                <w:szCs w:val="20"/>
                <w:color w:val="auto"/>
              </w:rPr>
            </w:pPr>
            <w:r>
              <w:rPr>
                <w:rFonts w:ascii="Arial" w:cs="Arial" w:eastAsia="Arial" w:hAnsi="Arial"/>
                <w:sz w:val="12"/>
                <w:szCs w:val="12"/>
                <w:b w:val="1"/>
                <w:bCs w:val="1"/>
                <w:color w:val="auto"/>
              </w:rPr>
              <w:t>Total liabilities &amp; stockholders' equity</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18,918,740</w:t>
            </w:r>
          </w:p>
        </w:tc>
        <w:tc>
          <w:tcPr>
            <w:tcW w:w="80" w:type="dxa"/>
            <w:vAlign w:val="bottom"/>
          </w:tcPr>
          <w:p>
            <w:pPr>
              <w:spacing w:after="0"/>
              <w:rPr>
                <w:sz w:val="15"/>
                <w:szCs w:val="15"/>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19,464,252</w:t>
            </w:r>
          </w:p>
        </w:tc>
        <w:tc>
          <w:tcPr>
            <w:tcW w:w="60" w:type="dxa"/>
            <w:vAlign w:val="bottom"/>
          </w:tcPr>
          <w:p>
            <w:pPr>
              <w:spacing w:after="0"/>
              <w:rPr>
                <w:sz w:val="15"/>
                <w:szCs w:val="15"/>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11,971,416</w:t>
            </w:r>
          </w:p>
        </w:tc>
      </w:tr>
      <w:tr>
        <w:trPr>
          <w:trHeight w:val="20"/>
        </w:trPr>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40" w:hanging="240"/>
        <w:spacing w:after="0"/>
        <w:tabs>
          <w:tab w:leader="none" w:pos="340" w:val="left"/>
        </w:tabs>
        <w:numPr>
          <w:ilvl w:val="0"/>
          <w:numId w:val="7"/>
        </w:numPr>
        <w:rPr>
          <w:rFonts w:ascii="Arial" w:cs="Arial" w:eastAsia="Arial" w:hAnsi="Arial"/>
          <w:sz w:val="10"/>
          <w:szCs w:val="10"/>
          <w:color w:val="auto"/>
        </w:rPr>
      </w:pPr>
      <w:r>
        <w:rPr>
          <w:rFonts w:ascii="Arial" w:cs="Arial" w:eastAsia="Arial" w:hAnsi="Arial"/>
          <w:sz w:val="10"/>
          <w:szCs w:val="10"/>
          <w:color w:val="auto"/>
        </w:rPr>
        <w:t>Net balance of preferred stock ($0.001 par value), common stock ($0.001 par value), additional paid-in capital, and treasury stock.</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7</w:t>
      </w:r>
    </w:p>
    <w:p>
      <w:pPr>
        <w:sectPr>
          <w:pgSz w:w="11900" w:h="16838" w:orient="portrait"/>
          <w:cols w:equalWidth="0" w:num="1">
            <w:col w:w="11300"/>
          </w:cols>
          <w:pgMar w:left="300" w:top="910" w:right="299" w:bottom="1440" w:gutter="0" w:footer="0" w:header="0"/>
        </w:sectPr>
      </w:pPr>
    </w:p>
    <w:bookmarkStart w:id="11" w:name="page12"/>
    <w:bookmarkEnd w:id="11"/>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AVERAGE BALANCES </w:t>
      </w:r>
      <w:r>
        <w:rPr>
          <w:rFonts w:ascii="Arial" w:cs="Arial" w:eastAsia="Arial" w:hAnsi="Arial"/>
          <w:sz w:val="12"/>
          <w:szCs w:val="12"/>
          <w:b w:val="1"/>
          <w:bCs w:val="1"/>
          <w:i w:val="1"/>
          <w:i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9"/>
              </w:rPr>
              <w:t>Three Months Ended</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1"/>
                <w:szCs w:val="11"/>
                <w:b w:val="1"/>
                <w:bCs w:val="1"/>
                <w:color w:val="auto"/>
              </w:rPr>
              <w:t>Six Months Ended</w:t>
            </w:r>
          </w:p>
        </w:tc>
      </w:tr>
      <w:tr>
        <w:trPr>
          <w:trHeight w:val="88"/>
        </w:trPr>
        <w:tc>
          <w:tcPr>
            <w:tcW w:w="4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gridSpan w:val="2"/>
          </w:tcPr>
          <w:p>
            <w:pPr>
              <w:ind w:left="160"/>
              <w:spacing w:after="0" w:line="89"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7"/>
                <w:szCs w:val="7"/>
                <w:color w:val="auto"/>
              </w:rPr>
            </w:pPr>
          </w:p>
        </w:tc>
        <w:tc>
          <w:tcPr>
            <w:tcW w:w="1240" w:type="dxa"/>
            <w:vAlign w:val="bottom"/>
            <w:gridSpan w:val="2"/>
          </w:tcPr>
          <w:p>
            <w:pPr>
              <w:jc w:val="center"/>
              <w:ind w:right="140"/>
              <w:spacing w:after="0" w:line="89" w:lineRule="exact"/>
              <w:rPr>
                <w:sz w:val="20"/>
                <w:szCs w:val="20"/>
                <w:color w:val="auto"/>
              </w:rPr>
            </w:pPr>
            <w:r>
              <w:rPr>
                <w:rFonts w:ascii="Arial" w:cs="Arial" w:eastAsia="Arial" w:hAnsi="Arial"/>
                <w:sz w:val="10"/>
                <w:szCs w:val="10"/>
                <w:b w:val="1"/>
                <w:bCs w:val="1"/>
                <w:color w:val="auto"/>
              </w:rPr>
              <w:t>March 31,</w:t>
            </w:r>
          </w:p>
        </w:tc>
        <w:tc>
          <w:tcPr>
            <w:tcW w:w="240" w:type="dxa"/>
            <w:vAlign w:val="bottom"/>
          </w:tcPr>
          <w:p>
            <w:pPr>
              <w:spacing w:after="0"/>
              <w:rPr>
                <w:sz w:val="7"/>
                <w:szCs w:val="7"/>
                <w:color w:val="auto"/>
              </w:rPr>
            </w:pPr>
          </w:p>
        </w:tc>
        <w:tc>
          <w:tcPr>
            <w:tcW w:w="1000" w:type="dxa"/>
            <w:vAlign w:val="bottom"/>
          </w:tcPr>
          <w:p>
            <w:pPr>
              <w:jc w:val="right"/>
              <w:ind w:right="341"/>
              <w:spacing w:after="0" w:line="89"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gridSpan w:val="2"/>
          </w:tcPr>
          <w:p>
            <w:pPr>
              <w:ind w:left="180"/>
              <w:spacing w:after="0" w:line="89" w:lineRule="exact"/>
              <w:rPr>
                <w:sz w:val="20"/>
                <w:szCs w:val="20"/>
                <w:color w:val="auto"/>
              </w:rPr>
            </w:pPr>
            <w:r>
              <w:rPr>
                <w:rFonts w:ascii="Arial" w:cs="Arial" w:eastAsia="Arial" w:hAnsi="Arial"/>
                <w:sz w:val="10"/>
                <w:szCs w:val="10"/>
                <w:b w:val="1"/>
                <w:bCs w:val="1"/>
                <w:color w:val="auto"/>
              </w:rPr>
              <w:t>June 30,</w:t>
            </w:r>
          </w:p>
        </w:tc>
        <w:tc>
          <w:tcPr>
            <w:tcW w:w="240" w:type="dxa"/>
            <w:vAlign w:val="bottom"/>
          </w:tcPr>
          <w:p>
            <w:pPr>
              <w:spacing w:after="0"/>
              <w:rPr>
                <w:sz w:val="7"/>
                <w:szCs w:val="7"/>
                <w:color w:val="auto"/>
              </w:rPr>
            </w:pPr>
          </w:p>
        </w:tc>
        <w:tc>
          <w:tcPr>
            <w:tcW w:w="1020" w:type="dxa"/>
            <w:vAlign w:val="bottom"/>
          </w:tcPr>
          <w:p>
            <w:pPr>
              <w:jc w:val="right"/>
              <w:ind w:right="361"/>
              <w:spacing w:after="0" w:line="89" w:lineRule="exact"/>
              <w:rPr>
                <w:sz w:val="20"/>
                <w:szCs w:val="20"/>
                <w:color w:val="auto"/>
              </w:rPr>
            </w:pPr>
            <w:r>
              <w:rPr>
                <w:rFonts w:ascii="Arial" w:cs="Arial" w:eastAsia="Arial" w:hAnsi="Arial"/>
                <w:sz w:val="10"/>
                <w:szCs w:val="10"/>
                <w:b w:val="1"/>
                <w:bCs w:val="1"/>
                <w:color w:val="auto"/>
              </w:rPr>
              <w:t>June 30,</w:t>
            </w:r>
          </w:p>
        </w:tc>
      </w:tr>
      <w:tr>
        <w:trPr>
          <w:trHeight w:val="144"/>
        </w:trPr>
        <w:tc>
          <w:tcPr>
            <w:tcW w:w="4760" w:type="dxa"/>
            <w:vAlign w:val="bottom"/>
            <w:tcBorders>
              <w:bottom w:val="single" w:sz="8" w:color="E0E7ED"/>
            </w:tcBorders>
          </w:tcPr>
          <w:p>
            <w:pPr>
              <w:ind w:left="40"/>
              <w:spacing w:after="0"/>
              <w:rPr>
                <w:sz w:val="20"/>
                <w:szCs w:val="20"/>
                <w:color w:val="auto"/>
              </w:rPr>
            </w:pPr>
            <w:r>
              <w:rPr>
                <w:rFonts w:ascii="Arial" w:cs="Arial" w:eastAsia="Arial" w:hAnsi="Arial"/>
                <w:sz w:val="10"/>
                <w:szCs w:val="10"/>
                <w:i w:val="1"/>
                <w:iCs w:val="1"/>
                <w:color w:val="auto"/>
              </w:rPr>
              <w:t>(dollars in thousands)</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1"/>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rPr>
                <w:sz w:val="20"/>
                <w:szCs w:val="20"/>
                <w:color w:val="auto"/>
              </w:rPr>
            </w:pPr>
            <w:r>
              <w:rPr>
                <w:rFonts w:ascii="Arial" w:cs="Arial" w:eastAsia="Arial" w:hAnsi="Arial"/>
                <w:sz w:val="11"/>
                <w:szCs w:val="11"/>
                <w:b w:val="1"/>
                <w:bCs w:val="1"/>
                <w:color w:val="auto"/>
              </w:rPr>
              <w:t>2025</w:t>
            </w:r>
          </w:p>
        </w:tc>
        <w:tc>
          <w:tcPr>
            <w:tcW w:w="60" w:type="dxa"/>
            <w:vAlign w:val="bottom"/>
            <w:tcBorders>
              <w:bottom w:val="single" w:sz="8" w:color="E0E7ED"/>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1"/>
                <w:szCs w:val="11"/>
                <w:b w:val="1"/>
                <w:bCs w:val="1"/>
                <w:color w:val="auto"/>
              </w:rPr>
              <w:t>2024</w:t>
            </w:r>
          </w:p>
        </w:tc>
      </w:tr>
      <w:tr>
        <w:trPr>
          <w:trHeight w:val="160"/>
        </w:trPr>
        <w:tc>
          <w:tcPr>
            <w:tcW w:w="4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ASSETS</w:t>
            </w:r>
          </w:p>
        </w:tc>
        <w:tc>
          <w:tcPr>
            <w:tcW w:w="240" w:type="dxa"/>
            <w:vAlign w:val="bottom"/>
            <w:shd w:val="clear" w:color="auto" w:fill="E0E7ED"/>
          </w:tcPr>
          <w:p>
            <w:pPr>
              <w:spacing w:after="0"/>
              <w:rPr>
                <w:sz w:val="13"/>
                <w:szCs w:val="13"/>
                <w:color w:val="auto"/>
              </w:rPr>
            </w:pPr>
          </w:p>
        </w:tc>
        <w:tc>
          <w:tcPr>
            <w:tcW w:w="10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1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100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102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40" w:type="dxa"/>
            <w:vAlign w:val="bottom"/>
            <w:shd w:val="clear" w:color="auto" w:fill="E0E7ED"/>
          </w:tcPr>
          <w:p>
            <w:pPr>
              <w:spacing w:after="0"/>
              <w:rPr>
                <w:sz w:val="13"/>
                <w:szCs w:val="13"/>
                <w:color w:val="auto"/>
              </w:rPr>
            </w:pPr>
          </w:p>
        </w:tc>
        <w:tc>
          <w:tcPr>
            <w:tcW w:w="1020" w:type="dxa"/>
            <w:vAlign w:val="bottom"/>
            <w:shd w:val="clear" w:color="auto" w:fill="E0E7ED"/>
          </w:tcPr>
          <w:p>
            <w:pPr>
              <w:spacing w:after="0"/>
              <w:rPr>
                <w:sz w:val="13"/>
                <w:szCs w:val="13"/>
                <w:color w:val="auto"/>
              </w:rPr>
            </w:pPr>
          </w:p>
        </w:tc>
      </w:tr>
      <w:tr>
        <w:trPr>
          <w:trHeight w:val="172"/>
        </w:trPr>
        <w:tc>
          <w:tcPr>
            <w:tcW w:w="476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868,164</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861,021</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346,381</w:t>
            </w:r>
          </w:p>
        </w:tc>
        <w:tc>
          <w:tcPr>
            <w:tcW w:w="8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864,613</w:t>
            </w:r>
          </w:p>
        </w:tc>
        <w:tc>
          <w:tcPr>
            <w:tcW w:w="6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470,287</w:t>
            </w:r>
          </w:p>
        </w:tc>
      </w:tr>
      <w:tr>
        <w:trPr>
          <w:trHeight w:val="188"/>
        </w:trPr>
        <w:tc>
          <w:tcPr>
            <w:tcW w:w="4760" w:type="dxa"/>
            <w:vAlign w:val="bottom"/>
            <w:shd w:val="clear" w:color="auto" w:fill="E0E7ED"/>
          </w:tcPr>
          <w:p>
            <w:pPr>
              <w:spacing w:after="0"/>
              <w:rPr>
                <w:sz w:val="20"/>
                <w:szCs w:val="20"/>
                <w:color w:val="auto"/>
              </w:rPr>
            </w:pPr>
            <w:r>
              <w:rPr>
                <w:rFonts w:ascii="Arial" w:cs="Arial" w:eastAsia="Arial" w:hAnsi="Arial"/>
                <w:sz w:val="12"/>
                <w:szCs w:val="12"/>
                <w:color w:val="auto"/>
              </w:rPr>
              <w:t>Investment securities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3,083,284</w:t>
            </w:r>
          </w:p>
        </w:tc>
        <w:tc>
          <w:tcPr>
            <w:tcW w:w="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2,782,435</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2,737,313</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2,933,690</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2,822,228</w:t>
            </w:r>
          </w:p>
        </w:tc>
      </w:tr>
      <w:tr>
        <w:trPr>
          <w:trHeight w:val="172"/>
        </w:trPr>
        <w:tc>
          <w:tcPr>
            <w:tcW w:w="4760" w:type="dxa"/>
            <w:vAlign w:val="bottom"/>
          </w:tcPr>
          <w:p>
            <w:pPr>
              <w:spacing w:after="0"/>
              <w:rPr>
                <w:sz w:val="20"/>
                <w:szCs w:val="20"/>
                <w:color w:val="auto"/>
              </w:rPr>
            </w:pPr>
            <w:r>
              <w:rPr>
                <w:rFonts w:ascii="Arial" w:cs="Arial" w:eastAsia="Arial" w:hAnsi="Arial"/>
                <w:sz w:val="12"/>
                <w:szCs w:val="12"/>
                <w:color w:val="auto"/>
              </w:rPr>
              <w:t>Loans held for sale</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6,899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3,443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9,353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5,181</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7,093</w:t>
            </w:r>
          </w:p>
        </w:tc>
      </w:tr>
      <w:tr>
        <w:trPr>
          <w:trHeight w:val="188"/>
        </w:trPr>
        <w:tc>
          <w:tcPr>
            <w:tcW w:w="4760" w:type="dxa"/>
            <w:vAlign w:val="bottom"/>
            <w:shd w:val="clear" w:color="auto" w:fill="E0E7ED"/>
          </w:tcPr>
          <w:p>
            <w:pPr>
              <w:spacing w:after="0"/>
              <w:rPr>
                <w:sz w:val="20"/>
                <w:szCs w:val="20"/>
                <w:color w:val="auto"/>
              </w:rPr>
            </w:pPr>
            <w:r>
              <w:rPr>
                <w:rFonts w:ascii="Arial" w:cs="Arial" w:eastAsia="Arial" w:hAnsi="Arial"/>
                <w:sz w:val="12"/>
                <w:szCs w:val="12"/>
                <w:color w:val="auto"/>
              </w:rPr>
              <w:t>Portfolio loans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13,840,190</w:t>
            </w:r>
          </w:p>
        </w:tc>
        <w:tc>
          <w:tcPr>
            <w:tcW w:w="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9,838,337</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8,010,636</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11,850,318</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7,804,976</w:t>
            </w:r>
          </w:p>
        </w:tc>
      </w:tr>
      <w:tr>
        <w:trPr>
          <w:trHeight w:val="172"/>
        </w:trPr>
        <w:tc>
          <w:tcPr>
            <w:tcW w:w="4760" w:type="dxa"/>
            <w:vAlign w:val="bottom"/>
          </w:tcPr>
          <w:p>
            <w:pPr>
              <w:spacing w:after="0"/>
              <w:rPr>
                <w:sz w:val="20"/>
                <w:szCs w:val="20"/>
                <w:color w:val="auto"/>
              </w:rPr>
            </w:pPr>
            <w:r>
              <w:rPr>
                <w:rFonts w:ascii="Arial" w:cs="Arial" w:eastAsia="Arial" w:hAnsi="Arial"/>
                <w:sz w:val="12"/>
                <w:szCs w:val="12"/>
                <w:color w:val="auto"/>
              </w:rPr>
              <w:t>Interest-earning assets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17,700,356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13,363,594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11,000,785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15,543,955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11,003,344</w:t>
            </w:r>
          </w:p>
        </w:tc>
      </w:tr>
      <w:tr>
        <w:trPr>
          <w:trHeight w:val="188"/>
        </w:trPr>
        <w:tc>
          <w:tcPr>
            <w:tcW w:w="4760" w:type="dxa"/>
            <w:vAlign w:val="bottom"/>
            <w:shd w:val="clear" w:color="auto" w:fill="E0E7ED"/>
          </w:tcPr>
          <w:p>
            <w:pPr>
              <w:spacing w:after="0"/>
              <w:rPr>
                <w:sz w:val="20"/>
                <w:szCs w:val="20"/>
                <w:color w:val="auto"/>
              </w:rPr>
            </w:pPr>
            <w:r>
              <w:rPr>
                <w:rFonts w:ascii="Arial" w:cs="Arial" w:eastAsia="Arial" w:hAnsi="Arial"/>
                <w:sz w:val="12"/>
                <w:szCs w:val="12"/>
                <w:color w:val="auto"/>
              </w:rPr>
              <w:t>Total assets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19,068,086</w:t>
            </w:r>
          </w:p>
        </w:tc>
        <w:tc>
          <w:tcPr>
            <w:tcW w:w="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14,831,298</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12,089,692</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16,961,396</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12,056,950</w:t>
            </w:r>
          </w:p>
        </w:tc>
      </w:tr>
      <w:tr>
        <w:trPr>
          <w:trHeight w:val="171"/>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0"/>
        </w:trPr>
        <w:tc>
          <w:tcPr>
            <w:tcW w:w="476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LIABILITIES &amp; STOCKHOLDERS’ EQUITY</w:t>
            </w:r>
          </w:p>
        </w:tc>
        <w:tc>
          <w:tcPr>
            <w:tcW w:w="240" w:type="dxa"/>
            <w:vAlign w:val="bottom"/>
            <w:shd w:val="clear" w:color="auto" w:fill="E0E7ED"/>
          </w:tcPr>
          <w:p>
            <w:pPr>
              <w:spacing w:after="0"/>
              <w:rPr>
                <w:sz w:val="15"/>
                <w:szCs w:val="15"/>
                <w:color w:val="auto"/>
              </w:rPr>
            </w:pPr>
          </w:p>
        </w:tc>
        <w:tc>
          <w:tcPr>
            <w:tcW w:w="10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10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102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1020" w:type="dxa"/>
            <w:vAlign w:val="bottom"/>
            <w:shd w:val="clear" w:color="auto" w:fill="E0E7ED"/>
          </w:tcPr>
          <w:p>
            <w:pPr>
              <w:spacing w:after="0"/>
              <w:rPr>
                <w:sz w:val="15"/>
                <w:szCs w:val="15"/>
                <w:color w:val="auto"/>
              </w:rPr>
            </w:pPr>
          </w:p>
        </w:tc>
      </w:tr>
      <w:tr>
        <w:trPr>
          <w:trHeight w:val="172"/>
        </w:trPr>
        <w:tc>
          <w:tcPr>
            <w:tcW w:w="4760" w:type="dxa"/>
            <w:vAlign w:val="bottom"/>
          </w:tcPr>
          <w:p>
            <w:pPr>
              <w:spacing w:after="0"/>
              <w:rPr>
                <w:sz w:val="20"/>
                <w:szCs w:val="20"/>
                <w:color w:val="auto"/>
              </w:rPr>
            </w:pPr>
            <w:r>
              <w:rPr>
                <w:rFonts w:ascii="Arial" w:cs="Arial" w:eastAsia="Arial" w:hAnsi="Arial"/>
                <w:sz w:val="12"/>
                <w:szCs w:val="12"/>
                <w:color w:val="auto"/>
              </w:rPr>
              <w:t>Noninterest-bearing deposits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3,542,617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3,036,127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2,816,293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3,290,770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2,762,439</w:t>
            </w:r>
          </w:p>
        </w:tc>
      </w:tr>
      <w:tr>
        <w:trPr>
          <w:trHeight w:val="188"/>
        </w:trPr>
        <w:tc>
          <w:tcPr>
            <w:tcW w:w="4760" w:type="dxa"/>
            <w:vAlign w:val="bottom"/>
            <w:shd w:val="clear" w:color="auto" w:fill="E0E7ED"/>
          </w:tcPr>
          <w:p>
            <w:pPr>
              <w:spacing w:after="0"/>
              <w:rPr>
                <w:sz w:val="20"/>
                <w:szCs w:val="20"/>
                <w:color w:val="auto"/>
              </w:rPr>
            </w:pPr>
            <w:r>
              <w:rPr>
                <w:rFonts w:ascii="Arial" w:cs="Arial" w:eastAsia="Arial" w:hAnsi="Arial"/>
                <w:sz w:val="12"/>
                <w:szCs w:val="12"/>
                <w:color w:val="auto"/>
              </w:rPr>
              <w:t>Interest-bearing deposits</w:t>
            </w:r>
          </w:p>
        </w:tc>
        <w:tc>
          <w:tcPr>
            <w:tcW w:w="240" w:type="dxa"/>
            <w:vAlign w:val="bottom"/>
            <w:tcBorders>
              <w:bottom w:val="single" w:sz="8" w:color="auto"/>
            </w:tcBorders>
            <w:shd w:val="clear" w:color="auto" w:fill="E0E7ED"/>
          </w:tcPr>
          <w:p>
            <w:pPr>
              <w:spacing w:after="0"/>
              <w:rPr>
                <w:sz w:val="16"/>
                <w:szCs w:val="16"/>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12,450,529</w:t>
            </w:r>
          </w:p>
        </w:tc>
        <w:tc>
          <w:tcPr>
            <w:tcW w:w="80" w:type="dxa"/>
            <w:vAlign w:val="bottom"/>
            <w:shd w:val="clear" w:color="auto" w:fill="E0E7ED"/>
          </w:tcPr>
          <w:p>
            <w:pPr>
              <w:spacing w:after="0"/>
              <w:rPr>
                <w:sz w:val="16"/>
                <w:szCs w:val="16"/>
                <w:color w:val="auto"/>
              </w:rPr>
            </w:pPr>
          </w:p>
        </w:tc>
        <w:tc>
          <w:tcPr>
            <w:tcW w:w="80" w:type="dxa"/>
            <w:vAlign w:val="bottom"/>
            <w:tcBorders>
              <w:bottom w:val="single" w:sz="8" w:color="auto"/>
            </w:tcBorders>
            <w:shd w:val="clear" w:color="auto" w:fill="E0E7ED"/>
          </w:tcPr>
          <w:p>
            <w:pPr>
              <w:spacing w:after="0"/>
              <w:rPr>
                <w:sz w:val="16"/>
                <w:szCs w:val="16"/>
                <w:color w:val="auto"/>
              </w:rPr>
            </w:pP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9,142,781</w:t>
            </w:r>
          </w:p>
        </w:tc>
        <w:tc>
          <w:tcPr>
            <w:tcW w:w="80" w:type="dxa"/>
            <w:vAlign w:val="bottom"/>
            <w:shd w:val="clear" w:color="auto" w:fill="E0E7ED"/>
          </w:tcPr>
          <w:p>
            <w:pPr>
              <w:spacing w:after="0"/>
              <w:rPr>
                <w:sz w:val="16"/>
                <w:szCs w:val="16"/>
                <w:color w:val="auto"/>
              </w:rPr>
            </w:pPr>
          </w:p>
        </w:tc>
        <w:tc>
          <w:tcPr>
            <w:tcW w:w="240" w:type="dxa"/>
            <w:vAlign w:val="bottom"/>
            <w:tcBorders>
              <w:bottom w:val="single" w:sz="8" w:color="auto"/>
            </w:tcBorders>
            <w:shd w:val="clear" w:color="auto" w:fill="E0E7ED"/>
          </w:tcPr>
          <w:p>
            <w:pPr>
              <w:spacing w:after="0"/>
              <w:rPr>
                <w:sz w:val="16"/>
                <w:szCs w:val="16"/>
                <w:color w:val="auto"/>
              </w:rPr>
            </w:pPr>
          </w:p>
        </w:tc>
        <w:tc>
          <w:tcPr>
            <w:tcW w:w="10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rPr>
              <w:t>7,251,582</w:t>
            </w:r>
          </w:p>
        </w:tc>
        <w:tc>
          <w:tcPr>
            <w:tcW w:w="80" w:type="dxa"/>
            <w:vAlign w:val="bottom"/>
            <w:shd w:val="clear" w:color="auto" w:fill="E0E7ED"/>
          </w:tcPr>
          <w:p>
            <w:pPr>
              <w:spacing w:after="0"/>
              <w:rPr>
                <w:sz w:val="16"/>
                <w:szCs w:val="16"/>
                <w:color w:val="auto"/>
              </w:rPr>
            </w:pPr>
          </w:p>
        </w:tc>
        <w:tc>
          <w:tcPr>
            <w:tcW w:w="240" w:type="dxa"/>
            <w:vAlign w:val="bottom"/>
            <w:tcBorders>
              <w:bottom w:val="single" w:sz="8" w:color="auto"/>
            </w:tcBorders>
            <w:shd w:val="clear" w:color="auto" w:fill="E0E7ED"/>
          </w:tcPr>
          <w:p>
            <w:pPr>
              <w:spacing w:after="0"/>
              <w:rPr>
                <w:sz w:val="16"/>
                <w:szCs w:val="16"/>
                <w:color w:val="auto"/>
              </w:rPr>
            </w:pPr>
          </w:p>
        </w:tc>
        <w:tc>
          <w:tcPr>
            <w:tcW w:w="102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10,805,793</w:t>
            </w:r>
          </w:p>
        </w:tc>
        <w:tc>
          <w:tcPr>
            <w:tcW w:w="60" w:type="dxa"/>
            <w:vAlign w:val="bottom"/>
            <w:shd w:val="clear" w:color="auto" w:fill="E0E7ED"/>
          </w:tcPr>
          <w:p>
            <w:pPr>
              <w:spacing w:after="0"/>
              <w:rPr>
                <w:sz w:val="16"/>
                <w:szCs w:val="16"/>
                <w:color w:val="auto"/>
              </w:rPr>
            </w:pPr>
          </w:p>
        </w:tc>
        <w:tc>
          <w:tcPr>
            <w:tcW w:w="240" w:type="dxa"/>
            <w:vAlign w:val="bottom"/>
            <w:tcBorders>
              <w:bottom w:val="single" w:sz="8" w:color="auto"/>
            </w:tcBorders>
            <w:shd w:val="clear" w:color="auto" w:fill="E0E7ED"/>
          </w:tcPr>
          <w:p>
            <w:pPr>
              <w:spacing w:after="0"/>
              <w:rPr>
                <w:sz w:val="16"/>
                <w:szCs w:val="16"/>
                <w:color w:val="auto"/>
              </w:rPr>
            </w:pPr>
          </w:p>
        </w:tc>
        <w:tc>
          <w:tcPr>
            <w:tcW w:w="1020" w:type="dxa"/>
            <w:vAlign w:val="bottom"/>
            <w:tcBorders>
              <w:bottom w:val="single" w:sz="8" w:color="auto"/>
            </w:tcBorders>
            <w:shd w:val="clear" w:color="auto" w:fill="E0E7ED"/>
          </w:tcPr>
          <w:p>
            <w:pPr>
              <w:jc w:val="right"/>
              <w:ind w:right="1"/>
              <w:spacing w:after="0"/>
              <w:rPr>
                <w:sz w:val="20"/>
                <w:szCs w:val="20"/>
                <w:color w:val="auto"/>
              </w:rPr>
            </w:pPr>
            <w:r>
              <w:rPr>
                <w:rFonts w:ascii="Arial" w:cs="Arial" w:eastAsia="Arial" w:hAnsi="Arial"/>
                <w:sz w:val="12"/>
                <w:szCs w:val="12"/>
                <w:color w:val="auto"/>
              </w:rPr>
              <w:t>7,290,844</w:t>
            </w:r>
          </w:p>
        </w:tc>
      </w:tr>
      <w:tr>
        <w:trPr>
          <w:trHeight w:val="161"/>
        </w:trPr>
        <w:tc>
          <w:tcPr>
            <w:tcW w:w="4760" w:type="dxa"/>
            <w:vAlign w:val="bottom"/>
          </w:tcPr>
          <w:p>
            <w:pPr>
              <w:spacing w:after="0"/>
              <w:rPr>
                <w:sz w:val="20"/>
                <w:szCs w:val="20"/>
                <w:color w:val="auto"/>
              </w:rPr>
            </w:pPr>
            <w:r>
              <w:rPr>
                <w:rFonts w:ascii="Arial" w:cs="Arial" w:eastAsia="Arial" w:hAnsi="Arial"/>
                <w:sz w:val="12"/>
                <w:szCs w:val="12"/>
                <w:color w:val="auto"/>
              </w:rPr>
              <w:t>Total deposits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15,993,146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12,178,908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10,067,875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14,096,563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10,053,283</w:t>
            </w:r>
          </w:p>
        </w:tc>
      </w:tr>
      <w:tr>
        <w:trPr>
          <w:trHeight w:val="188"/>
        </w:trPr>
        <w:tc>
          <w:tcPr>
            <w:tcW w:w="4760" w:type="dxa"/>
            <w:vAlign w:val="bottom"/>
            <w:shd w:val="clear" w:color="auto" w:fill="E0E7ED"/>
          </w:tcPr>
          <w:p>
            <w:pPr>
              <w:spacing w:after="0"/>
              <w:rPr>
                <w:sz w:val="20"/>
                <w:szCs w:val="20"/>
                <w:color w:val="auto"/>
              </w:rPr>
            </w:pPr>
            <w:r>
              <w:rPr>
                <w:rFonts w:ascii="Arial" w:cs="Arial" w:eastAsia="Arial" w:hAnsi="Arial"/>
                <w:sz w:val="12"/>
                <w:szCs w:val="12"/>
                <w:color w:val="auto"/>
              </w:rPr>
              <w:t>Federal funds purchased and securities sold under agreements to repurchase</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141,978</w:t>
            </w:r>
          </w:p>
        </w:tc>
        <w:tc>
          <w:tcPr>
            <w:tcW w:w="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144,838</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144,370</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143,400</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161,514</w:t>
            </w:r>
          </w:p>
        </w:tc>
      </w:tr>
      <w:tr>
        <w:trPr>
          <w:trHeight w:val="172"/>
        </w:trPr>
        <w:tc>
          <w:tcPr>
            <w:tcW w:w="4760" w:type="dxa"/>
            <w:vAlign w:val="bottom"/>
          </w:tcPr>
          <w:p>
            <w:pPr>
              <w:spacing w:after="0"/>
              <w:rPr>
                <w:sz w:val="20"/>
                <w:szCs w:val="20"/>
                <w:color w:val="auto"/>
              </w:rPr>
            </w:pPr>
            <w:r>
              <w:rPr>
                <w:rFonts w:ascii="Arial" w:cs="Arial" w:eastAsia="Arial" w:hAnsi="Arial"/>
                <w:sz w:val="12"/>
                <w:szCs w:val="12"/>
                <w:color w:val="auto"/>
              </w:rPr>
              <w:t>Interest-bearing liabilities</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12,985,015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9,627,841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7,725,832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11,315,702</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7,778,744</w:t>
            </w:r>
          </w:p>
        </w:tc>
      </w:tr>
      <w:tr>
        <w:trPr>
          <w:trHeight w:val="188"/>
        </w:trPr>
        <w:tc>
          <w:tcPr>
            <w:tcW w:w="4760" w:type="dxa"/>
            <w:vAlign w:val="bottom"/>
            <w:shd w:val="clear" w:color="auto" w:fill="E0E7ED"/>
          </w:tcPr>
          <w:p>
            <w:pPr>
              <w:spacing w:after="0"/>
              <w:rPr>
                <w:sz w:val="20"/>
                <w:szCs w:val="20"/>
                <w:color w:val="auto"/>
              </w:rPr>
            </w:pPr>
            <w:r>
              <w:rPr>
                <w:rFonts w:ascii="Arial" w:cs="Arial" w:eastAsia="Arial" w:hAnsi="Arial"/>
                <w:sz w:val="12"/>
                <w:szCs w:val="12"/>
                <w:color w:val="auto"/>
              </w:rPr>
              <w:t>Total liabilities</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16,783,504</w:t>
            </w:r>
          </w:p>
        </w:tc>
        <w:tc>
          <w:tcPr>
            <w:tcW w:w="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12,896,222</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10,757,877</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14,850,601</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10,753,180</w:t>
            </w:r>
          </w:p>
        </w:tc>
      </w:tr>
      <w:tr>
        <w:trPr>
          <w:trHeight w:val="172"/>
        </w:trPr>
        <w:tc>
          <w:tcPr>
            <w:tcW w:w="4760" w:type="dxa"/>
            <w:vAlign w:val="bottom"/>
          </w:tcPr>
          <w:p>
            <w:pPr>
              <w:spacing w:after="0"/>
              <w:rPr>
                <w:sz w:val="20"/>
                <w:szCs w:val="20"/>
                <w:color w:val="auto"/>
              </w:rPr>
            </w:pPr>
            <w:r>
              <w:rPr>
                <w:rFonts w:ascii="Arial" w:cs="Arial" w:eastAsia="Arial" w:hAnsi="Arial"/>
                <w:sz w:val="12"/>
                <w:szCs w:val="12"/>
                <w:color w:val="auto"/>
              </w:rPr>
              <w:t>Stockholders' equity - preferred</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103,619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2,669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53,423</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88"/>
        </w:trPr>
        <w:tc>
          <w:tcPr>
            <w:tcW w:w="4760" w:type="dxa"/>
            <w:vAlign w:val="bottom"/>
            <w:shd w:val="clear" w:color="auto" w:fill="E0E7ED"/>
          </w:tcPr>
          <w:p>
            <w:pPr>
              <w:spacing w:after="0"/>
              <w:rPr>
                <w:sz w:val="20"/>
                <w:szCs w:val="20"/>
                <w:color w:val="auto"/>
              </w:rPr>
            </w:pPr>
            <w:r>
              <w:rPr>
                <w:rFonts w:ascii="Arial" w:cs="Arial" w:eastAsia="Arial" w:hAnsi="Arial"/>
                <w:sz w:val="12"/>
                <w:szCs w:val="12"/>
                <w:color w:val="auto"/>
              </w:rPr>
              <w:t>Stockholders' equity - common</w:t>
            </w: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2,180,963</w:t>
            </w:r>
          </w:p>
        </w:tc>
        <w:tc>
          <w:tcPr>
            <w:tcW w:w="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1,932,407</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1,331,815</w:t>
            </w:r>
          </w:p>
        </w:tc>
        <w:tc>
          <w:tcPr>
            <w:tcW w:w="8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2,057,372</w:t>
            </w:r>
          </w:p>
        </w:tc>
        <w:tc>
          <w:tcPr>
            <w:tcW w:w="60" w:type="dxa"/>
            <w:vAlign w:val="bottom"/>
            <w:shd w:val="clear" w:color="auto" w:fill="E0E7ED"/>
          </w:tcPr>
          <w:p>
            <w:pPr>
              <w:spacing w:after="0"/>
              <w:rPr>
                <w:sz w:val="16"/>
                <w:szCs w:val="16"/>
                <w:color w:val="auto"/>
              </w:rPr>
            </w:pPr>
          </w:p>
        </w:tc>
        <w:tc>
          <w:tcPr>
            <w:tcW w:w="240" w:type="dxa"/>
            <w:vAlign w:val="bottom"/>
            <w:shd w:val="clear" w:color="auto" w:fill="E0E7ED"/>
          </w:tcPr>
          <w:p>
            <w:pPr>
              <w:spacing w:after="0"/>
              <w:rPr>
                <w:sz w:val="16"/>
                <w:szCs w:val="16"/>
                <w:color w:val="auto"/>
              </w:rPr>
            </w:pPr>
          </w:p>
        </w:tc>
        <w:tc>
          <w:tcPr>
            <w:tcW w:w="1020" w:type="dxa"/>
            <w:vAlign w:val="bottom"/>
            <w:shd w:val="clear" w:color="auto" w:fill="E0E7ED"/>
          </w:tcPr>
          <w:p>
            <w:pPr>
              <w:jc w:val="right"/>
              <w:ind w:right="1"/>
              <w:spacing w:after="0"/>
              <w:rPr>
                <w:sz w:val="20"/>
                <w:szCs w:val="20"/>
                <w:color w:val="auto"/>
              </w:rPr>
            </w:pPr>
            <w:r>
              <w:rPr>
                <w:rFonts w:ascii="Arial" w:cs="Arial" w:eastAsia="Arial" w:hAnsi="Arial"/>
                <w:sz w:val="12"/>
                <w:szCs w:val="12"/>
                <w:color w:val="auto"/>
              </w:rPr>
              <w:t>1,303,770</w:t>
            </w:r>
          </w:p>
        </w:tc>
      </w:tr>
      <w:tr>
        <w:trPr>
          <w:trHeight w:val="220"/>
        </w:trPr>
        <w:tc>
          <w:tcPr>
            <w:tcW w:w="4760" w:type="dxa"/>
            <w:vAlign w:val="bottom"/>
          </w:tcPr>
          <w:p>
            <w:pPr>
              <w:spacing w:after="0"/>
              <w:rPr>
                <w:sz w:val="20"/>
                <w:szCs w:val="20"/>
                <w:color w:val="auto"/>
              </w:rPr>
            </w:pPr>
            <w:r>
              <w:rPr>
                <w:rFonts w:ascii="Arial" w:cs="Arial" w:eastAsia="Arial" w:hAnsi="Arial"/>
                <w:sz w:val="12"/>
                <w:szCs w:val="12"/>
                <w:color w:val="auto"/>
              </w:rPr>
              <w:t>Tangible common equity</w:t>
            </w:r>
            <w:r>
              <w:rPr>
                <w:rFonts w:ascii="Arial" w:cs="Arial" w:eastAsia="Arial" w:hAnsi="Arial"/>
                <w:sz w:val="15"/>
                <w:szCs w:val="15"/>
                <w:color w:val="auto"/>
                <w:vertAlign w:val="superscript"/>
              </w:rPr>
              <w:t>1</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1,686,490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1,521,387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955,591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1,604,394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1"/>
              <w:spacing w:after="0"/>
              <w:rPr>
                <w:sz w:val="20"/>
                <w:szCs w:val="20"/>
                <w:color w:val="auto"/>
              </w:rPr>
            </w:pPr>
            <w:r>
              <w:rPr>
                <w:rFonts w:ascii="Arial" w:cs="Arial" w:eastAsia="Arial" w:hAnsi="Arial"/>
                <w:sz w:val="12"/>
                <w:szCs w:val="12"/>
                <w:color w:val="auto"/>
              </w:rPr>
              <w:t>939,150</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40" w:hanging="240"/>
        <w:spacing w:after="0"/>
        <w:tabs>
          <w:tab w:leader="none" w:pos="340" w:val="left"/>
        </w:tabs>
        <w:numPr>
          <w:ilvl w:val="0"/>
          <w:numId w:val="8"/>
        </w:numPr>
        <w:rPr>
          <w:rFonts w:ascii="Arial" w:cs="Arial" w:eastAsia="Arial" w:hAnsi="Arial"/>
          <w:sz w:val="10"/>
          <w:szCs w:val="10"/>
          <w:color w:val="auto"/>
        </w:rPr>
      </w:pPr>
      <w:r>
        <w:rPr>
          <w:rFonts w:ascii="Arial" w:cs="Arial" w:eastAsia="Arial" w:hAnsi="Arial"/>
          <w:sz w:val="10"/>
          <w:szCs w:val="10"/>
          <w:color w:val="auto"/>
        </w:rPr>
        <w:t xml:space="preserve">See </w:t>
      </w:r>
      <w:r>
        <w:rPr>
          <w:rFonts w:ascii="Arial" w:cs="Arial" w:eastAsia="Arial" w:hAnsi="Arial"/>
          <w:sz w:val="10"/>
          <w:szCs w:val="10"/>
          <w:i w:val="1"/>
          <w:iCs w:val="1"/>
          <w:color w:val="auto"/>
        </w:rPr>
        <w:t>“</w:t>
      </w:r>
      <w:r>
        <w:rPr>
          <w:rFonts w:ascii="Arial" w:cs="Arial" w:eastAsia="Arial" w:hAnsi="Arial"/>
          <w:sz w:val="10"/>
          <w:szCs w:val="10"/>
          <w:i w:val="1"/>
          <w:iCs w:val="1"/>
          <w:u w:val="single" w:color="auto"/>
          <w:color w:val="0000FF"/>
        </w:rPr>
        <w:t>Non-GAAP Financial Information</w:t>
      </w:r>
      <w:r>
        <w:rPr>
          <w:rFonts w:ascii="Arial" w:cs="Arial" w:eastAsia="Arial" w:hAnsi="Arial"/>
          <w:sz w:val="10"/>
          <w:szCs w:val="10"/>
          <w:i w:val="1"/>
          <w:iCs w:val="1"/>
          <w:color w:val="auto"/>
        </w:rPr>
        <w:t>”</w:t>
      </w:r>
      <w:r>
        <w:rPr>
          <w:rFonts w:ascii="Arial" w:cs="Arial" w:eastAsia="Arial" w:hAnsi="Arial"/>
          <w:sz w:val="10"/>
          <w:szCs w:val="10"/>
          <w:color w:val="auto"/>
        </w:rPr>
        <w:t xml:space="preserve"> for reconciliation.</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Busey’s financial strength is built on a long-term conservative operating approach. That focus has endured over time and will continue to guide us in the future.</w:t>
      </w:r>
    </w:p>
    <w:p>
      <w:pPr>
        <w:spacing w:after="0" w:line="12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Total assets were $18.92 billion as of June 30, 2025, compared to $19.46 billion as of March 31, 2025, and $11.97 billion as of June 30, 2024. Average interest-earning assets were $17.70 billion for the second quarter of 2025, compared to $13.36 billion for the first quarter of 2025, and $11.00 billion for the second quarter of 2024.</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Portfolio Loans</w:t>
      </w:r>
    </w:p>
    <w:p>
      <w:pPr>
        <w:spacing w:after="0" w:line="12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remain steadfast in our conservative approach to underwriting and our disciplined approach to pricing. Loan demand has been tempered with borrowers hesitant to invest because of lingering macroeconomic uncertainty. At the same time, our commercial real estate portfolio continues to season, resulting in payoffs as properties are completed, stabilized, and refinanced to permanent markets or sold. We expect continued pressure from paydowns within our commercial real estate portfolio through the remainder of 2025. Portfolio loans totaled $13.81 billion at June 30, 2025, compared to $13.87 billion at March 31, 2025, and $8.00 billion at June 30, 2024.</w:t>
      </w:r>
    </w:p>
    <w:p>
      <w:pPr>
        <w:spacing w:after="0" w:line="90" w:lineRule="exact"/>
        <w:rPr>
          <w:sz w:val="20"/>
          <w:szCs w:val="20"/>
          <w:color w:val="auto"/>
        </w:rPr>
      </w:pPr>
    </w:p>
    <w:p>
      <w:pPr>
        <w:ind w:right="1980"/>
        <w:spacing w:after="0" w:line="469" w:lineRule="auto"/>
        <w:rPr>
          <w:sz w:val="20"/>
          <w:szCs w:val="20"/>
          <w:color w:val="auto"/>
        </w:rPr>
      </w:pPr>
      <w:r>
        <w:rPr>
          <w:rFonts w:ascii="Arial" w:cs="Arial" w:eastAsia="Arial" w:hAnsi="Arial"/>
          <w:sz w:val="12"/>
          <w:szCs w:val="12"/>
          <w:color w:val="auto"/>
        </w:rPr>
        <w:t xml:space="preserve">Average portfolio loans were $13.84 billion for the second quarter of 2025, compared to $9.84 billion for the first quarter of 2025 and $8.01 billion for the second quarter of 2024. </w:t>
      </w:r>
      <w:r>
        <w:rPr>
          <w:rFonts w:ascii="Arial" w:cs="Arial" w:eastAsia="Arial" w:hAnsi="Arial"/>
          <w:sz w:val="12"/>
          <w:szCs w:val="12"/>
          <w:u w:val="single" w:color="auto"/>
          <w:color w:val="auto"/>
        </w:rPr>
        <w:t>Asset Quality</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Asset quality continues to be strong. Busey Bank maintains a well-diversified loan portfolio and, as a matter of policy and practice, limits concentration exposure in any particular loan segment. Following the Bank Merger in June, we are operating as one bank, with a singular credit policy, concentration limits, and monitoring that will continue to align with Busey Bank’s pillars of credit quality.</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8</w:t>
      </w:r>
    </w:p>
    <w:p>
      <w:pPr>
        <w:sectPr>
          <w:pgSz w:w="11900" w:h="16838" w:orient="portrait"/>
          <w:cols w:equalWidth="0" w:num="1">
            <w:col w:w="11300"/>
          </w:cols>
          <w:pgMar w:left="300" w:top="946"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ASSET QUALITY </w:t>
      </w:r>
      <w:r>
        <w:rPr>
          <w:rFonts w:ascii="Arial" w:cs="Arial" w:eastAsia="Arial" w:hAnsi="Arial"/>
          <w:sz w:val="12"/>
          <w:szCs w:val="12"/>
          <w:b w:val="1"/>
          <w:bCs w:val="1"/>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7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4"/>
              </w:rPr>
              <w:t>As of</w:t>
            </w: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88"/>
        </w:trPr>
        <w:tc>
          <w:tcPr>
            <w:tcW w:w="7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gridSpan w:val="2"/>
          </w:tcPr>
          <w:p>
            <w:pPr>
              <w:ind w:left="180"/>
              <w:spacing w:after="0" w:line="89" w:lineRule="exact"/>
              <w:rPr>
                <w:sz w:val="20"/>
                <w:szCs w:val="20"/>
                <w:color w:val="auto"/>
              </w:rPr>
            </w:pPr>
            <w:r>
              <w:rPr>
                <w:rFonts w:ascii="Arial" w:cs="Arial" w:eastAsia="Arial" w:hAnsi="Arial"/>
                <w:sz w:val="10"/>
                <w:szCs w:val="10"/>
                <w:b w:val="1"/>
                <w:bCs w:val="1"/>
                <w:color w:val="auto"/>
              </w:rPr>
              <w:t>June 30,</w:t>
            </w:r>
          </w:p>
        </w:tc>
        <w:tc>
          <w:tcPr>
            <w:tcW w:w="260" w:type="dxa"/>
            <w:vAlign w:val="bottom"/>
          </w:tcPr>
          <w:p>
            <w:pPr>
              <w:spacing w:after="0"/>
              <w:rPr>
                <w:sz w:val="7"/>
                <w:szCs w:val="7"/>
                <w:color w:val="auto"/>
              </w:rPr>
            </w:pPr>
          </w:p>
        </w:tc>
        <w:tc>
          <w:tcPr>
            <w:tcW w:w="1160" w:type="dxa"/>
            <w:vAlign w:val="bottom"/>
            <w:gridSpan w:val="2"/>
          </w:tcPr>
          <w:p>
            <w:pPr>
              <w:jc w:val="center"/>
              <w:ind w:right="340"/>
              <w:spacing w:after="0" w:line="89" w:lineRule="exact"/>
              <w:rPr>
                <w:sz w:val="20"/>
                <w:szCs w:val="20"/>
                <w:color w:val="auto"/>
              </w:rPr>
            </w:pPr>
            <w:r>
              <w:rPr>
                <w:rFonts w:ascii="Arial" w:cs="Arial" w:eastAsia="Arial" w:hAnsi="Arial"/>
                <w:sz w:val="10"/>
                <w:szCs w:val="10"/>
                <w:b w:val="1"/>
                <w:bCs w:val="1"/>
                <w:color w:val="auto"/>
              </w:rPr>
              <w:t>March 31,</w:t>
            </w:r>
          </w:p>
        </w:tc>
        <w:tc>
          <w:tcPr>
            <w:tcW w:w="260" w:type="dxa"/>
            <w:vAlign w:val="bottom"/>
          </w:tcPr>
          <w:p>
            <w:pPr>
              <w:spacing w:after="0"/>
              <w:rPr>
                <w:sz w:val="7"/>
                <w:szCs w:val="7"/>
                <w:color w:val="auto"/>
              </w:rPr>
            </w:pPr>
          </w:p>
        </w:tc>
        <w:tc>
          <w:tcPr>
            <w:tcW w:w="1080" w:type="dxa"/>
            <w:vAlign w:val="bottom"/>
          </w:tcPr>
          <w:p>
            <w:pPr>
              <w:jc w:val="right"/>
              <w:ind w:right="401"/>
              <w:spacing w:after="0" w:line="89" w:lineRule="exact"/>
              <w:rPr>
                <w:sz w:val="20"/>
                <w:szCs w:val="20"/>
                <w:color w:val="auto"/>
              </w:rPr>
            </w:pPr>
            <w:r>
              <w:rPr>
                <w:rFonts w:ascii="Arial" w:cs="Arial" w:eastAsia="Arial" w:hAnsi="Arial"/>
                <w:sz w:val="10"/>
                <w:szCs w:val="10"/>
                <w:b w:val="1"/>
                <w:bCs w:val="1"/>
                <w:color w:val="auto"/>
              </w:rPr>
              <w:t>June 30,</w:t>
            </w:r>
          </w:p>
        </w:tc>
      </w:tr>
      <w:tr>
        <w:trPr>
          <w:trHeight w:val="144"/>
        </w:trPr>
        <w:tc>
          <w:tcPr>
            <w:tcW w:w="7120" w:type="dxa"/>
            <w:vAlign w:val="bottom"/>
            <w:tcBorders>
              <w:bottom w:val="single" w:sz="8" w:color="E0E7ED"/>
            </w:tcBorders>
          </w:tcPr>
          <w:p>
            <w:pPr>
              <w:spacing w:after="0"/>
              <w:rPr>
                <w:sz w:val="20"/>
                <w:szCs w:val="20"/>
                <w:color w:val="auto"/>
              </w:rPr>
            </w:pPr>
            <w:r>
              <w:rPr>
                <w:rFonts w:ascii="Arial" w:cs="Arial" w:eastAsia="Arial" w:hAnsi="Arial"/>
                <w:sz w:val="10"/>
                <w:szCs w:val="10"/>
                <w:i w:val="1"/>
                <w:iCs w:val="1"/>
                <w:color w:val="auto"/>
              </w:rPr>
              <w:t>(dollars in thousands)</w:t>
            </w: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82"/>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2024</w:t>
            </w:r>
          </w:p>
        </w:tc>
      </w:tr>
      <w:tr>
        <w:trPr>
          <w:trHeight w:val="169"/>
        </w:trPr>
        <w:tc>
          <w:tcPr>
            <w:tcW w:w="71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Total assets</w:t>
            </w:r>
          </w:p>
        </w:tc>
        <w:tc>
          <w:tcPr>
            <w:tcW w:w="280" w:type="dxa"/>
            <w:vAlign w:val="bottom"/>
            <w:shd w:val="clear" w:color="auto" w:fill="E0E7ED"/>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18,918,740</w:t>
            </w: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19,464,252</w:t>
            </w: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11,971,416</w:t>
            </w:r>
          </w:p>
        </w:tc>
      </w:tr>
      <w:tr>
        <w:trPr>
          <w:trHeight w:val="175"/>
        </w:trPr>
        <w:tc>
          <w:tcPr>
            <w:tcW w:w="7120" w:type="dxa"/>
            <w:vAlign w:val="bottom"/>
          </w:tcPr>
          <w:p>
            <w:pPr>
              <w:spacing w:after="0"/>
              <w:rPr>
                <w:sz w:val="20"/>
                <w:szCs w:val="20"/>
                <w:color w:val="auto"/>
              </w:rPr>
            </w:pPr>
            <w:r>
              <w:rPr>
                <w:rFonts w:ascii="Arial" w:cs="Arial" w:eastAsia="Arial" w:hAnsi="Arial"/>
                <w:sz w:val="12"/>
                <w:szCs w:val="12"/>
                <w:b w:val="1"/>
                <w:bCs w:val="1"/>
                <w:color w:val="auto"/>
              </w:rPr>
              <w:t>Portfolio loans</w:t>
            </w:r>
          </w:p>
        </w:tc>
        <w:tc>
          <w:tcPr>
            <w:tcW w:w="280" w:type="dxa"/>
            <w:vAlign w:val="bottom"/>
          </w:tcPr>
          <w:p>
            <w:pPr>
              <w:spacing w:after="0"/>
              <w:rPr>
                <w:sz w:val="15"/>
                <w:szCs w:val="15"/>
                <w:color w:val="auto"/>
              </w:rPr>
            </w:pPr>
          </w:p>
        </w:tc>
        <w:tc>
          <w:tcPr>
            <w:tcW w:w="1060" w:type="dxa"/>
            <w:vAlign w:val="bottom"/>
          </w:tcPr>
          <w:p>
            <w:pPr>
              <w:jc w:val="right"/>
              <w:ind w:right="81"/>
              <w:spacing w:after="0"/>
              <w:rPr>
                <w:sz w:val="20"/>
                <w:szCs w:val="20"/>
                <w:color w:val="auto"/>
              </w:rPr>
            </w:pPr>
            <w:r>
              <w:rPr>
                <w:rFonts w:ascii="Arial" w:cs="Arial" w:eastAsia="Arial" w:hAnsi="Arial"/>
                <w:sz w:val="12"/>
                <w:szCs w:val="12"/>
                <w:color w:val="auto"/>
              </w:rPr>
              <w:t>13,808,619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Arial" w:cs="Arial" w:eastAsia="Arial" w:hAnsi="Arial"/>
                <w:sz w:val="12"/>
                <w:szCs w:val="12"/>
                <w:color w:val="auto"/>
              </w:rPr>
              <w:t>13,868,357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101"/>
              <w:spacing w:after="0"/>
              <w:rPr>
                <w:sz w:val="20"/>
                <w:szCs w:val="20"/>
                <w:color w:val="auto"/>
              </w:rPr>
            </w:pPr>
            <w:r>
              <w:rPr>
                <w:rFonts w:ascii="Arial" w:cs="Arial" w:eastAsia="Arial" w:hAnsi="Arial"/>
                <w:sz w:val="12"/>
                <w:szCs w:val="12"/>
                <w:color w:val="auto"/>
              </w:rPr>
              <w:t>7,998,912</w:t>
            </w:r>
          </w:p>
        </w:tc>
      </w:tr>
      <w:tr>
        <w:trPr>
          <w:trHeight w:val="185"/>
        </w:trPr>
        <w:tc>
          <w:tcPr>
            <w:tcW w:w="7120" w:type="dxa"/>
            <w:vAlign w:val="bottom"/>
            <w:shd w:val="clear" w:color="auto" w:fill="E0E7ED"/>
          </w:tcPr>
          <w:p>
            <w:pPr>
              <w:spacing w:after="0"/>
              <w:rPr>
                <w:sz w:val="20"/>
                <w:szCs w:val="20"/>
                <w:color w:val="auto"/>
              </w:rPr>
            </w:pPr>
            <w:r>
              <w:rPr>
                <w:rFonts w:ascii="Arial" w:cs="Arial" w:eastAsia="Arial" w:hAnsi="Arial"/>
                <w:sz w:val="12"/>
                <w:szCs w:val="12"/>
                <w:color w:val="auto"/>
              </w:rPr>
              <w:t>Loans 30 – 89 days past due</w:t>
            </w:r>
          </w:p>
        </w:tc>
        <w:tc>
          <w:tcPr>
            <w:tcW w:w="28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42,188</w:t>
            </w: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18,554</w:t>
            </w: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23,463</w:t>
            </w:r>
          </w:p>
        </w:tc>
      </w:tr>
      <w:tr>
        <w:trPr>
          <w:trHeight w:val="172"/>
        </w:trPr>
        <w:tc>
          <w:tcPr>
            <w:tcW w:w="7120" w:type="dxa"/>
            <w:vAlign w:val="bottom"/>
          </w:tcPr>
          <w:p>
            <w:pPr>
              <w:spacing w:after="0"/>
              <w:rPr>
                <w:sz w:val="20"/>
                <w:szCs w:val="20"/>
                <w:color w:val="auto"/>
              </w:rPr>
            </w:pPr>
            <w:r>
              <w:rPr>
                <w:rFonts w:ascii="Arial" w:cs="Arial" w:eastAsia="Arial" w:hAnsi="Arial"/>
                <w:sz w:val="12"/>
                <w:szCs w:val="12"/>
                <w:color w:val="auto"/>
              </w:rPr>
              <w:t>Non-performing loans: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8"/>
        </w:trPr>
        <w:tc>
          <w:tcPr>
            <w:tcW w:w="7120" w:type="dxa"/>
            <w:vAlign w:val="bottom"/>
            <w:shd w:val="clear" w:color="auto" w:fill="E0E7ED"/>
          </w:tcPr>
          <w:p>
            <w:pPr>
              <w:ind w:left="120"/>
              <w:spacing w:after="0"/>
              <w:rPr>
                <w:sz w:val="20"/>
                <w:szCs w:val="20"/>
                <w:color w:val="auto"/>
              </w:rPr>
            </w:pPr>
            <w:r>
              <w:rPr>
                <w:rFonts w:ascii="Arial" w:cs="Arial" w:eastAsia="Arial" w:hAnsi="Arial"/>
                <w:sz w:val="12"/>
                <w:szCs w:val="12"/>
                <w:color w:val="auto"/>
              </w:rPr>
              <w:t>Non-accrual loans</w:t>
            </w:r>
          </w:p>
        </w:tc>
        <w:tc>
          <w:tcPr>
            <w:tcW w:w="28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53,614</w:t>
            </w: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48,647</w:t>
            </w: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8,393</w:t>
            </w:r>
          </w:p>
        </w:tc>
      </w:tr>
      <w:tr>
        <w:trPr>
          <w:trHeight w:val="172"/>
        </w:trPr>
        <w:tc>
          <w:tcPr>
            <w:tcW w:w="712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Loans 90+ days past due and still accruing</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941</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6,077</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712</w:t>
            </w:r>
          </w:p>
        </w:tc>
      </w:tr>
      <w:tr>
        <w:trPr>
          <w:trHeight w:val="177"/>
        </w:trPr>
        <w:tc>
          <w:tcPr>
            <w:tcW w:w="7120" w:type="dxa"/>
            <w:vAlign w:val="bottom"/>
            <w:shd w:val="clear" w:color="auto" w:fill="E0E7ED"/>
          </w:tcPr>
          <w:p>
            <w:pPr>
              <w:spacing w:after="0"/>
              <w:rPr>
                <w:sz w:val="20"/>
                <w:szCs w:val="20"/>
                <w:color w:val="auto"/>
              </w:rPr>
            </w:pPr>
            <w:r>
              <w:rPr>
                <w:rFonts w:ascii="Arial" w:cs="Arial" w:eastAsia="Arial" w:hAnsi="Arial"/>
                <w:sz w:val="12"/>
                <w:szCs w:val="12"/>
                <w:color w:val="auto"/>
              </w:rPr>
              <w:t>Non-performing loans</w:t>
            </w:r>
          </w:p>
        </w:tc>
        <w:tc>
          <w:tcPr>
            <w:tcW w:w="28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54,555</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54,724</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9,105</w:t>
            </w:r>
          </w:p>
        </w:tc>
      </w:tr>
      <w:tr>
        <w:trPr>
          <w:trHeight w:val="172"/>
        </w:trPr>
        <w:tc>
          <w:tcPr>
            <w:tcW w:w="712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Other non-performing assets</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3,596</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4,757</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90</w:t>
            </w:r>
          </w:p>
        </w:tc>
      </w:tr>
      <w:tr>
        <w:trPr>
          <w:trHeight w:val="177"/>
        </w:trPr>
        <w:tc>
          <w:tcPr>
            <w:tcW w:w="7120" w:type="dxa"/>
            <w:vAlign w:val="bottom"/>
            <w:shd w:val="clear" w:color="auto" w:fill="E0E7ED"/>
          </w:tcPr>
          <w:p>
            <w:pPr>
              <w:spacing w:after="0"/>
              <w:rPr>
                <w:sz w:val="20"/>
                <w:szCs w:val="20"/>
                <w:color w:val="auto"/>
              </w:rPr>
            </w:pPr>
            <w:r>
              <w:rPr>
                <w:rFonts w:ascii="Arial" w:cs="Arial" w:eastAsia="Arial" w:hAnsi="Arial"/>
                <w:sz w:val="12"/>
                <w:szCs w:val="12"/>
                <w:color w:val="auto"/>
              </w:rPr>
              <w:t>Non-performing assets</w:t>
            </w:r>
          </w:p>
        </w:tc>
        <w:tc>
          <w:tcPr>
            <w:tcW w:w="28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58,151</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59,481</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9,195</w:t>
            </w:r>
          </w:p>
        </w:tc>
      </w:tr>
      <w:tr>
        <w:trPr>
          <w:trHeight w:val="172"/>
        </w:trPr>
        <w:tc>
          <w:tcPr>
            <w:tcW w:w="712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Substandard (excludes 90+ days past due)</w:t>
            </w: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117,580</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131,078</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86,579</w:t>
            </w:r>
          </w:p>
        </w:tc>
      </w:tr>
      <w:tr>
        <w:trPr>
          <w:trHeight w:val="193"/>
        </w:trPr>
        <w:tc>
          <w:tcPr>
            <w:tcW w:w="712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Classified assets</w:t>
            </w:r>
          </w:p>
        </w:tc>
        <w:tc>
          <w:tcPr>
            <w:tcW w:w="280" w:type="dxa"/>
            <w:vAlign w:val="bottom"/>
            <w:tcBorders>
              <w:bottom w:val="single" w:sz="8" w:color="auto"/>
            </w:tcBorders>
            <w:shd w:val="clear" w:color="auto" w:fill="E0E7ED"/>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81"/>
              <w:spacing w:after="0"/>
              <w:rPr>
                <w:sz w:val="20"/>
                <w:szCs w:val="20"/>
                <w:color w:val="auto"/>
              </w:rPr>
            </w:pPr>
            <w:r>
              <w:rPr>
                <w:rFonts w:ascii="Arial" w:cs="Arial" w:eastAsia="Arial" w:hAnsi="Arial"/>
                <w:sz w:val="12"/>
                <w:szCs w:val="12"/>
                <w:color w:val="auto"/>
              </w:rPr>
              <w:t>175,731</w:t>
            </w:r>
          </w:p>
        </w:tc>
        <w:tc>
          <w:tcPr>
            <w:tcW w:w="80" w:type="dxa"/>
            <w:vAlign w:val="bottom"/>
            <w:tcBorders>
              <w:bottom w:val="single" w:sz="8" w:color="E0E7ED"/>
            </w:tcBorders>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190,559</w:t>
            </w:r>
          </w:p>
        </w:tc>
        <w:tc>
          <w:tcPr>
            <w:tcW w:w="80" w:type="dxa"/>
            <w:vAlign w:val="bottom"/>
            <w:tcBorders>
              <w:bottom w:val="single" w:sz="8" w:color="E0E7ED"/>
            </w:tcBorders>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95,774</w:t>
            </w:r>
          </w:p>
        </w:tc>
      </w:tr>
      <w:tr>
        <w:trPr>
          <w:trHeight w:val="162"/>
        </w:trPr>
        <w:tc>
          <w:tcPr>
            <w:tcW w:w="7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0"/>
        </w:trPr>
        <w:tc>
          <w:tcPr>
            <w:tcW w:w="712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Allowance for credit losses</w:t>
            </w:r>
          </w:p>
        </w:tc>
        <w:tc>
          <w:tcPr>
            <w:tcW w:w="280" w:type="dxa"/>
            <w:vAlign w:val="bottom"/>
            <w:shd w:val="clear" w:color="auto" w:fill="E0E7ED"/>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183,334</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195,210</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85,226</w:t>
            </w: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98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RATIOS</w:t>
            </w:r>
          </w:p>
        </w:tc>
        <w:tc>
          <w:tcPr>
            <w:tcW w:w="3000" w:type="dxa"/>
            <w:vAlign w:val="bottom"/>
            <w:shd w:val="clear" w:color="auto" w:fill="E0E7ED"/>
          </w:tcPr>
          <w:p>
            <w:pPr>
              <w:spacing w:after="0"/>
              <w:rPr>
                <w:sz w:val="15"/>
                <w:szCs w:val="15"/>
                <w:color w:val="auto"/>
              </w:rPr>
            </w:pPr>
          </w:p>
        </w:tc>
        <w:tc>
          <w:tcPr>
            <w:tcW w:w="1400" w:type="dxa"/>
            <w:vAlign w:val="bottom"/>
            <w:shd w:val="clear" w:color="auto" w:fill="E0E7ED"/>
          </w:tcPr>
          <w:p>
            <w:pPr>
              <w:spacing w:after="0"/>
              <w:rPr>
                <w:sz w:val="15"/>
                <w:szCs w:val="15"/>
                <w:color w:val="auto"/>
              </w:rPr>
            </w:pPr>
          </w:p>
        </w:tc>
        <w:tc>
          <w:tcPr>
            <w:tcW w:w="920" w:type="dxa"/>
            <w:vAlign w:val="bottom"/>
            <w:shd w:val="clear" w:color="auto" w:fill="E0E7ED"/>
          </w:tcPr>
          <w:p>
            <w:pPr>
              <w:spacing w:after="0"/>
              <w:rPr>
                <w:sz w:val="15"/>
                <w:szCs w:val="15"/>
                <w:color w:val="auto"/>
              </w:rPr>
            </w:pPr>
          </w:p>
        </w:tc>
      </w:tr>
      <w:tr>
        <w:trPr>
          <w:trHeight w:val="172"/>
        </w:trPr>
        <w:tc>
          <w:tcPr>
            <w:tcW w:w="5980" w:type="dxa"/>
            <w:vAlign w:val="bottom"/>
          </w:tcPr>
          <w:p>
            <w:pPr>
              <w:spacing w:after="0"/>
              <w:rPr>
                <w:sz w:val="20"/>
                <w:szCs w:val="20"/>
                <w:color w:val="auto"/>
              </w:rPr>
            </w:pPr>
            <w:r>
              <w:rPr>
                <w:rFonts w:ascii="Arial" w:cs="Arial" w:eastAsia="Arial" w:hAnsi="Arial"/>
                <w:sz w:val="12"/>
                <w:szCs w:val="12"/>
                <w:color w:val="auto"/>
              </w:rPr>
              <w:t>Non-performing loans to portfolio loans</w:t>
            </w:r>
          </w:p>
        </w:tc>
        <w:tc>
          <w:tcPr>
            <w:tcW w:w="3000" w:type="dxa"/>
            <w:vAlign w:val="bottom"/>
          </w:tcPr>
          <w:p>
            <w:pPr>
              <w:jc w:val="right"/>
              <w:ind w:right="460"/>
              <w:spacing w:after="0"/>
              <w:rPr>
                <w:sz w:val="20"/>
                <w:szCs w:val="20"/>
                <w:color w:val="auto"/>
              </w:rPr>
            </w:pPr>
            <w:r>
              <w:rPr>
                <w:rFonts w:ascii="Arial" w:cs="Arial" w:eastAsia="Arial" w:hAnsi="Arial"/>
                <w:sz w:val="12"/>
                <w:szCs w:val="12"/>
                <w:color w:val="auto"/>
              </w:rPr>
              <w:t>0.40 %</w:t>
            </w:r>
          </w:p>
        </w:tc>
        <w:tc>
          <w:tcPr>
            <w:tcW w:w="1400" w:type="dxa"/>
            <w:vAlign w:val="bottom"/>
          </w:tcPr>
          <w:p>
            <w:pPr>
              <w:jc w:val="right"/>
              <w:ind w:right="440"/>
              <w:spacing w:after="0"/>
              <w:rPr>
                <w:sz w:val="20"/>
                <w:szCs w:val="20"/>
                <w:color w:val="auto"/>
              </w:rPr>
            </w:pPr>
            <w:r>
              <w:rPr>
                <w:rFonts w:ascii="Arial" w:cs="Arial" w:eastAsia="Arial" w:hAnsi="Arial"/>
                <w:sz w:val="12"/>
                <w:szCs w:val="12"/>
                <w:color w:val="auto"/>
              </w:rPr>
              <w:t>0.39 %</w:t>
            </w:r>
          </w:p>
        </w:tc>
        <w:tc>
          <w:tcPr>
            <w:tcW w:w="920" w:type="dxa"/>
            <w:vAlign w:val="bottom"/>
          </w:tcPr>
          <w:p>
            <w:pPr>
              <w:jc w:val="right"/>
              <w:spacing w:after="0"/>
              <w:rPr>
                <w:sz w:val="20"/>
                <w:szCs w:val="20"/>
                <w:color w:val="auto"/>
              </w:rPr>
            </w:pPr>
            <w:r>
              <w:rPr>
                <w:rFonts w:ascii="Arial" w:cs="Arial" w:eastAsia="Arial" w:hAnsi="Arial"/>
                <w:sz w:val="12"/>
                <w:szCs w:val="12"/>
                <w:color w:val="auto"/>
              </w:rPr>
              <w:t>0.11 %</w:t>
            </w:r>
          </w:p>
        </w:tc>
      </w:tr>
      <w:tr>
        <w:trPr>
          <w:trHeight w:val="188"/>
        </w:trPr>
        <w:tc>
          <w:tcPr>
            <w:tcW w:w="5980" w:type="dxa"/>
            <w:vAlign w:val="bottom"/>
            <w:shd w:val="clear" w:color="auto" w:fill="E0E7ED"/>
          </w:tcPr>
          <w:p>
            <w:pPr>
              <w:spacing w:after="0"/>
              <w:rPr>
                <w:sz w:val="20"/>
                <w:szCs w:val="20"/>
                <w:color w:val="auto"/>
              </w:rPr>
            </w:pPr>
            <w:r>
              <w:rPr>
                <w:rFonts w:ascii="Arial" w:cs="Arial" w:eastAsia="Arial" w:hAnsi="Arial"/>
                <w:sz w:val="12"/>
                <w:szCs w:val="12"/>
                <w:color w:val="auto"/>
              </w:rPr>
              <w:t>Non-performing assets to total assets</w:t>
            </w:r>
          </w:p>
        </w:tc>
        <w:tc>
          <w:tcPr>
            <w:tcW w:w="3000" w:type="dxa"/>
            <w:vAlign w:val="bottom"/>
            <w:shd w:val="clear" w:color="auto" w:fill="E0E7ED"/>
          </w:tcPr>
          <w:p>
            <w:pPr>
              <w:jc w:val="right"/>
              <w:ind w:right="460"/>
              <w:spacing w:after="0"/>
              <w:rPr>
                <w:sz w:val="20"/>
                <w:szCs w:val="20"/>
                <w:color w:val="auto"/>
              </w:rPr>
            </w:pPr>
            <w:r>
              <w:rPr>
                <w:rFonts w:ascii="Arial" w:cs="Arial" w:eastAsia="Arial" w:hAnsi="Arial"/>
                <w:sz w:val="12"/>
                <w:szCs w:val="12"/>
                <w:color w:val="auto"/>
              </w:rPr>
              <w:t>0.31 %</w:t>
            </w:r>
          </w:p>
        </w:tc>
        <w:tc>
          <w:tcPr>
            <w:tcW w:w="1400" w:type="dxa"/>
            <w:vAlign w:val="bottom"/>
            <w:shd w:val="clear" w:color="auto" w:fill="E0E7ED"/>
          </w:tcPr>
          <w:p>
            <w:pPr>
              <w:jc w:val="right"/>
              <w:ind w:right="440"/>
              <w:spacing w:after="0"/>
              <w:rPr>
                <w:sz w:val="20"/>
                <w:szCs w:val="20"/>
                <w:color w:val="auto"/>
              </w:rPr>
            </w:pPr>
            <w:r>
              <w:rPr>
                <w:rFonts w:ascii="Arial" w:cs="Arial" w:eastAsia="Arial" w:hAnsi="Arial"/>
                <w:sz w:val="12"/>
                <w:szCs w:val="12"/>
                <w:color w:val="auto"/>
              </w:rPr>
              <w:t>0.31 %</w:t>
            </w: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0.08 %</w:t>
            </w:r>
          </w:p>
        </w:tc>
      </w:tr>
      <w:tr>
        <w:trPr>
          <w:trHeight w:val="172"/>
        </w:trPr>
        <w:tc>
          <w:tcPr>
            <w:tcW w:w="5980" w:type="dxa"/>
            <w:vAlign w:val="bottom"/>
          </w:tcPr>
          <w:p>
            <w:pPr>
              <w:spacing w:after="0"/>
              <w:rPr>
                <w:sz w:val="20"/>
                <w:szCs w:val="20"/>
                <w:color w:val="auto"/>
              </w:rPr>
            </w:pPr>
            <w:r>
              <w:rPr>
                <w:rFonts w:ascii="Arial" w:cs="Arial" w:eastAsia="Arial" w:hAnsi="Arial"/>
                <w:sz w:val="12"/>
                <w:szCs w:val="12"/>
                <w:color w:val="auto"/>
              </w:rPr>
              <w:t>Non-performing assets to portfolio loans and other non-performing assets</w:t>
            </w:r>
          </w:p>
        </w:tc>
        <w:tc>
          <w:tcPr>
            <w:tcW w:w="3000" w:type="dxa"/>
            <w:vAlign w:val="bottom"/>
          </w:tcPr>
          <w:p>
            <w:pPr>
              <w:jc w:val="right"/>
              <w:ind w:right="460"/>
              <w:spacing w:after="0"/>
              <w:rPr>
                <w:sz w:val="20"/>
                <w:szCs w:val="20"/>
                <w:color w:val="auto"/>
              </w:rPr>
            </w:pPr>
            <w:r>
              <w:rPr>
                <w:rFonts w:ascii="Arial" w:cs="Arial" w:eastAsia="Arial" w:hAnsi="Arial"/>
                <w:sz w:val="12"/>
                <w:szCs w:val="12"/>
                <w:color w:val="auto"/>
              </w:rPr>
              <w:t>0.42 %</w:t>
            </w:r>
          </w:p>
        </w:tc>
        <w:tc>
          <w:tcPr>
            <w:tcW w:w="1400" w:type="dxa"/>
            <w:vAlign w:val="bottom"/>
          </w:tcPr>
          <w:p>
            <w:pPr>
              <w:jc w:val="right"/>
              <w:ind w:right="440"/>
              <w:spacing w:after="0"/>
              <w:rPr>
                <w:sz w:val="20"/>
                <w:szCs w:val="20"/>
                <w:color w:val="auto"/>
              </w:rPr>
            </w:pPr>
            <w:r>
              <w:rPr>
                <w:rFonts w:ascii="Arial" w:cs="Arial" w:eastAsia="Arial" w:hAnsi="Arial"/>
                <w:sz w:val="12"/>
                <w:szCs w:val="12"/>
                <w:color w:val="auto"/>
              </w:rPr>
              <w:t>0.43 %</w:t>
            </w:r>
          </w:p>
        </w:tc>
        <w:tc>
          <w:tcPr>
            <w:tcW w:w="920" w:type="dxa"/>
            <w:vAlign w:val="bottom"/>
          </w:tcPr>
          <w:p>
            <w:pPr>
              <w:jc w:val="right"/>
              <w:spacing w:after="0"/>
              <w:rPr>
                <w:sz w:val="20"/>
                <w:szCs w:val="20"/>
                <w:color w:val="auto"/>
              </w:rPr>
            </w:pPr>
            <w:r>
              <w:rPr>
                <w:rFonts w:ascii="Arial" w:cs="Arial" w:eastAsia="Arial" w:hAnsi="Arial"/>
                <w:sz w:val="12"/>
                <w:szCs w:val="12"/>
                <w:color w:val="auto"/>
              </w:rPr>
              <w:t>0.11 %</w:t>
            </w:r>
          </w:p>
        </w:tc>
      </w:tr>
      <w:tr>
        <w:trPr>
          <w:trHeight w:val="188"/>
        </w:trPr>
        <w:tc>
          <w:tcPr>
            <w:tcW w:w="5980" w:type="dxa"/>
            <w:vAlign w:val="bottom"/>
            <w:shd w:val="clear" w:color="auto" w:fill="E0E7ED"/>
          </w:tcPr>
          <w:p>
            <w:pPr>
              <w:spacing w:after="0"/>
              <w:rPr>
                <w:sz w:val="20"/>
                <w:szCs w:val="20"/>
                <w:color w:val="auto"/>
              </w:rPr>
            </w:pPr>
            <w:r>
              <w:rPr>
                <w:rFonts w:ascii="Arial" w:cs="Arial" w:eastAsia="Arial" w:hAnsi="Arial"/>
                <w:sz w:val="12"/>
                <w:szCs w:val="12"/>
                <w:color w:val="auto"/>
              </w:rPr>
              <w:t>Allowance for credit losses to portfolio loans</w:t>
            </w:r>
          </w:p>
        </w:tc>
        <w:tc>
          <w:tcPr>
            <w:tcW w:w="3000" w:type="dxa"/>
            <w:vAlign w:val="bottom"/>
            <w:shd w:val="clear" w:color="auto" w:fill="E0E7ED"/>
          </w:tcPr>
          <w:p>
            <w:pPr>
              <w:jc w:val="right"/>
              <w:ind w:right="460"/>
              <w:spacing w:after="0"/>
              <w:rPr>
                <w:sz w:val="20"/>
                <w:szCs w:val="20"/>
                <w:color w:val="auto"/>
              </w:rPr>
            </w:pPr>
            <w:r>
              <w:rPr>
                <w:rFonts w:ascii="Arial" w:cs="Arial" w:eastAsia="Arial" w:hAnsi="Arial"/>
                <w:sz w:val="12"/>
                <w:szCs w:val="12"/>
                <w:color w:val="auto"/>
              </w:rPr>
              <w:t>1.33 %</w:t>
            </w:r>
          </w:p>
        </w:tc>
        <w:tc>
          <w:tcPr>
            <w:tcW w:w="1400" w:type="dxa"/>
            <w:vAlign w:val="bottom"/>
            <w:shd w:val="clear" w:color="auto" w:fill="E0E7ED"/>
          </w:tcPr>
          <w:p>
            <w:pPr>
              <w:jc w:val="right"/>
              <w:ind w:right="440"/>
              <w:spacing w:after="0"/>
              <w:rPr>
                <w:sz w:val="20"/>
                <w:szCs w:val="20"/>
                <w:color w:val="auto"/>
              </w:rPr>
            </w:pPr>
            <w:r>
              <w:rPr>
                <w:rFonts w:ascii="Arial" w:cs="Arial" w:eastAsia="Arial" w:hAnsi="Arial"/>
                <w:sz w:val="12"/>
                <w:szCs w:val="12"/>
                <w:color w:val="auto"/>
              </w:rPr>
              <w:t>1.41 %</w:t>
            </w: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1.07 %</w:t>
            </w:r>
          </w:p>
        </w:tc>
      </w:tr>
      <w:tr>
        <w:trPr>
          <w:trHeight w:val="172"/>
        </w:trPr>
        <w:tc>
          <w:tcPr>
            <w:tcW w:w="5980" w:type="dxa"/>
            <w:vAlign w:val="bottom"/>
          </w:tcPr>
          <w:p>
            <w:pPr>
              <w:spacing w:after="0"/>
              <w:rPr>
                <w:sz w:val="20"/>
                <w:szCs w:val="20"/>
                <w:color w:val="auto"/>
              </w:rPr>
            </w:pPr>
            <w:r>
              <w:rPr>
                <w:rFonts w:ascii="Arial" w:cs="Arial" w:eastAsia="Arial" w:hAnsi="Arial"/>
                <w:sz w:val="12"/>
                <w:szCs w:val="12"/>
                <w:color w:val="auto"/>
              </w:rPr>
              <w:t>Coverage ratio of the allowance for credit losses to non-performing loans</w:t>
            </w:r>
          </w:p>
        </w:tc>
        <w:tc>
          <w:tcPr>
            <w:tcW w:w="3000" w:type="dxa"/>
            <w:vAlign w:val="bottom"/>
          </w:tcPr>
          <w:p>
            <w:pPr>
              <w:jc w:val="right"/>
              <w:ind w:right="460"/>
              <w:spacing w:after="0"/>
              <w:rPr>
                <w:sz w:val="20"/>
                <w:szCs w:val="20"/>
                <w:color w:val="auto"/>
              </w:rPr>
            </w:pPr>
            <w:r>
              <w:rPr>
                <w:rFonts w:ascii="Arial" w:cs="Arial" w:eastAsia="Arial" w:hAnsi="Arial"/>
                <w:sz w:val="12"/>
                <w:szCs w:val="12"/>
                <w:color w:val="auto"/>
              </w:rPr>
              <w:t>3.36 x</w:t>
            </w:r>
          </w:p>
        </w:tc>
        <w:tc>
          <w:tcPr>
            <w:tcW w:w="1400" w:type="dxa"/>
            <w:vAlign w:val="bottom"/>
          </w:tcPr>
          <w:p>
            <w:pPr>
              <w:jc w:val="right"/>
              <w:ind w:right="440"/>
              <w:spacing w:after="0"/>
              <w:rPr>
                <w:sz w:val="20"/>
                <w:szCs w:val="20"/>
                <w:color w:val="auto"/>
              </w:rPr>
            </w:pPr>
            <w:r>
              <w:rPr>
                <w:rFonts w:ascii="Arial" w:cs="Arial" w:eastAsia="Arial" w:hAnsi="Arial"/>
                <w:sz w:val="12"/>
                <w:szCs w:val="12"/>
                <w:color w:val="auto"/>
              </w:rPr>
              <w:t>3.57 x</w:t>
            </w:r>
          </w:p>
        </w:tc>
        <w:tc>
          <w:tcPr>
            <w:tcW w:w="920" w:type="dxa"/>
            <w:vAlign w:val="bottom"/>
          </w:tcPr>
          <w:p>
            <w:pPr>
              <w:jc w:val="right"/>
              <w:spacing w:after="0"/>
              <w:rPr>
                <w:sz w:val="20"/>
                <w:szCs w:val="20"/>
                <w:color w:val="auto"/>
              </w:rPr>
            </w:pPr>
            <w:r>
              <w:rPr>
                <w:rFonts w:ascii="Arial" w:cs="Arial" w:eastAsia="Arial" w:hAnsi="Arial"/>
                <w:sz w:val="12"/>
                <w:szCs w:val="12"/>
                <w:color w:val="auto"/>
              </w:rPr>
              <w:t>9.36 x</w:t>
            </w:r>
          </w:p>
        </w:tc>
      </w:tr>
      <w:tr>
        <w:trPr>
          <w:trHeight w:val="188"/>
        </w:trPr>
        <w:tc>
          <w:tcPr>
            <w:tcW w:w="5980" w:type="dxa"/>
            <w:vAlign w:val="bottom"/>
            <w:shd w:val="clear" w:color="auto" w:fill="E0E7ED"/>
          </w:tcPr>
          <w:p>
            <w:pPr>
              <w:spacing w:after="0"/>
              <w:rPr>
                <w:sz w:val="20"/>
                <w:szCs w:val="20"/>
                <w:color w:val="auto"/>
              </w:rPr>
            </w:pPr>
            <w:r>
              <w:rPr>
                <w:rFonts w:ascii="Arial" w:cs="Arial" w:eastAsia="Arial" w:hAnsi="Arial"/>
                <w:sz w:val="12"/>
                <w:szCs w:val="12"/>
                <w:color w:val="auto"/>
              </w:rPr>
              <w:t>Classified assets to Bank Tier 1 capital</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and reserves</w:t>
            </w:r>
          </w:p>
        </w:tc>
        <w:tc>
          <w:tcPr>
            <w:tcW w:w="3000" w:type="dxa"/>
            <w:vAlign w:val="bottom"/>
            <w:shd w:val="clear" w:color="auto" w:fill="E0E7ED"/>
          </w:tcPr>
          <w:p>
            <w:pPr>
              <w:jc w:val="right"/>
              <w:ind w:right="460"/>
              <w:spacing w:after="0"/>
              <w:rPr>
                <w:sz w:val="20"/>
                <w:szCs w:val="20"/>
                <w:color w:val="auto"/>
              </w:rPr>
            </w:pPr>
            <w:r>
              <w:rPr>
                <w:rFonts w:ascii="Arial" w:cs="Arial" w:eastAsia="Arial" w:hAnsi="Arial"/>
                <w:sz w:val="12"/>
                <w:szCs w:val="12"/>
                <w:color w:val="auto"/>
              </w:rPr>
              <w:t>7.70 %</w:t>
            </w:r>
          </w:p>
        </w:tc>
        <w:tc>
          <w:tcPr>
            <w:tcW w:w="1400" w:type="dxa"/>
            <w:vAlign w:val="bottom"/>
            <w:shd w:val="clear" w:color="auto" w:fill="E0E7ED"/>
          </w:tcPr>
          <w:p>
            <w:pPr>
              <w:jc w:val="right"/>
              <w:ind w:right="440"/>
              <w:spacing w:after="0"/>
              <w:rPr>
                <w:sz w:val="20"/>
                <w:szCs w:val="20"/>
                <w:color w:val="auto"/>
              </w:rPr>
            </w:pPr>
            <w:r>
              <w:rPr>
                <w:rFonts w:ascii="Arial" w:cs="Arial" w:eastAsia="Arial" w:hAnsi="Arial"/>
                <w:sz w:val="12"/>
                <w:szCs w:val="12"/>
                <w:color w:val="auto"/>
              </w:rPr>
              <w:t>8.40 %</w:t>
            </w:r>
          </w:p>
        </w:tc>
        <w:tc>
          <w:tcPr>
            <w:tcW w:w="9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6.40 %</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40" w:hanging="240"/>
        <w:spacing w:after="0"/>
        <w:tabs>
          <w:tab w:leader="none" w:pos="340" w:val="left"/>
        </w:tabs>
        <w:numPr>
          <w:ilvl w:val="0"/>
          <w:numId w:val="9"/>
        </w:numPr>
        <w:rPr>
          <w:rFonts w:ascii="Arial" w:cs="Arial" w:eastAsia="Arial" w:hAnsi="Arial"/>
          <w:sz w:val="10"/>
          <w:szCs w:val="10"/>
          <w:color w:val="auto"/>
        </w:rPr>
      </w:pPr>
      <w:r>
        <w:rPr>
          <w:rFonts w:ascii="Arial" w:cs="Arial" w:eastAsia="Arial" w:hAnsi="Arial"/>
          <w:sz w:val="10"/>
          <w:szCs w:val="10"/>
          <w:color w:val="auto"/>
        </w:rPr>
        <w:t>Capital amounts for the second quarter of 2025 are not yet finalized and are subject to change.</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Loans 30-89 days past due increased by $23.6 million compared to March 31, 2025, and increased by $18.7 million compared to June 30, 2024. Increases are primarily due to two commercial credits, one of which —representing approximately $12.5 million—was brought current after the end of the second quarter.</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Non-performing loans decreased by $0.2 million compared to March 31, 2025, and increased by $45.5 million compared to June 30, 2024, with the increase compared to the prior year due to loans purchased with credit deterioration (“PCD” loans) assumed in the CrossFirst acquisition. Non-performing loans were 0.40% of portfolio loans as of June 30, 2025, a 1 basis point increase from March 31, 2025, and a 29 basis point increase from June 30, 2024.</w:t>
      </w:r>
    </w:p>
    <w:p>
      <w:pPr>
        <w:spacing w:after="0" w:line="96"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Non-performing assets decreased by $1.3 million compared to March 31, 2025, and increased by $ 49.0 million compared to June 30, 2024, with the increase compared to the prior year due to the PCD loans assumed in the CrossFirst acquisition. Non-performing assets represented 0.31% of total assets as of both June 30, 2025, and March 31, 2025, which is a 23 basis point increase from June 30, 2024.</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Classified assets decreased by $14.8 million compared to March 31, 2025, and increased by $80.0 million compared to June 30, 2024, with the increase compared to the prior year due to the PCD loans assumed in the CrossFirst acquisition.</w:t>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auto"/>
        </w:rPr>
        <w:t>The allowance for credit losses was $183.3 million as of June 30, 2025, representing 1.33% of total portfolio loans outstanding, and providing coverage of 3.36 times our non-performing loans balance.</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9</w:t>
      </w:r>
    </w:p>
    <w:p>
      <w:pPr>
        <w:sectPr>
          <w:pgSz w:w="11900" w:h="16838" w:orient="portrait"/>
          <w:cols w:equalWidth="0" w:num="1">
            <w:col w:w="11300"/>
          </w:cols>
          <w:pgMar w:left="300" w:top="946" w:right="299" w:bottom="1440" w:gutter="0" w:footer="0" w:header="0"/>
        </w:sectPr>
      </w:pPr>
    </w:p>
    <w:bookmarkStart w:id="13" w:name="page14"/>
    <w:bookmarkEnd w:id="13"/>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NET CHARGE-OFFS (RECOVERIES) AND PROVISION EXPENSE (RELEASE) </w:t>
      </w:r>
      <w:r>
        <w:rPr>
          <w:rFonts w:ascii="Arial" w:cs="Arial" w:eastAsia="Arial" w:hAnsi="Arial"/>
          <w:sz w:val="12"/>
          <w:szCs w:val="12"/>
          <w:b w:val="1"/>
          <w:bCs w:val="1"/>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7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9"/>
              </w:rPr>
              <w:t>Three Months Ended</w:t>
            </w:r>
          </w:p>
        </w:tc>
        <w:tc>
          <w:tcPr>
            <w:tcW w:w="8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jc w:val="right"/>
              <w:ind w:right="763"/>
              <w:spacing w:after="0"/>
              <w:rPr>
                <w:sz w:val="20"/>
                <w:szCs w:val="20"/>
                <w:color w:val="auto"/>
              </w:rPr>
            </w:pPr>
            <w:r>
              <w:rPr>
                <w:rFonts w:ascii="Arial" w:cs="Arial" w:eastAsia="Arial" w:hAnsi="Arial"/>
                <w:sz w:val="11"/>
                <w:szCs w:val="11"/>
                <w:b w:val="1"/>
                <w:bCs w:val="1"/>
                <w:color w:val="auto"/>
              </w:rPr>
              <w:t>Six Months Ended</w:t>
            </w:r>
          </w:p>
        </w:tc>
      </w:tr>
      <w:tr>
        <w:trPr>
          <w:trHeight w:val="88"/>
        </w:trPr>
        <w:tc>
          <w:tcPr>
            <w:tcW w:w="4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gridSpan w:val="2"/>
          </w:tcPr>
          <w:p>
            <w:pPr>
              <w:ind w:left="160"/>
              <w:spacing w:after="0" w:line="88"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7"/>
                <w:szCs w:val="7"/>
                <w:color w:val="auto"/>
              </w:rPr>
            </w:pPr>
          </w:p>
        </w:tc>
        <w:tc>
          <w:tcPr>
            <w:tcW w:w="1240" w:type="dxa"/>
            <w:vAlign w:val="bottom"/>
            <w:gridSpan w:val="2"/>
          </w:tcPr>
          <w:p>
            <w:pPr>
              <w:jc w:val="center"/>
              <w:ind w:right="140"/>
              <w:spacing w:after="0" w:line="88" w:lineRule="exact"/>
              <w:rPr>
                <w:sz w:val="20"/>
                <w:szCs w:val="20"/>
                <w:color w:val="auto"/>
              </w:rPr>
            </w:pPr>
            <w:r>
              <w:rPr>
                <w:rFonts w:ascii="Arial" w:cs="Arial" w:eastAsia="Arial" w:hAnsi="Arial"/>
                <w:sz w:val="10"/>
                <w:szCs w:val="10"/>
                <w:b w:val="1"/>
                <w:bCs w:val="1"/>
                <w:color w:val="auto"/>
              </w:rPr>
              <w:t>March 31,</w:t>
            </w:r>
          </w:p>
        </w:tc>
        <w:tc>
          <w:tcPr>
            <w:tcW w:w="86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June 30,</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gridSpan w:val="2"/>
          </w:tcPr>
          <w:p>
            <w:pPr>
              <w:ind w:left="180"/>
              <w:spacing w:after="0" w:line="88" w:lineRule="exact"/>
              <w:rPr>
                <w:sz w:val="20"/>
                <w:szCs w:val="20"/>
                <w:color w:val="auto"/>
              </w:rPr>
            </w:pPr>
            <w:r>
              <w:rPr>
                <w:rFonts w:ascii="Arial" w:cs="Arial" w:eastAsia="Arial" w:hAnsi="Arial"/>
                <w:sz w:val="10"/>
                <w:szCs w:val="10"/>
                <w:b w:val="1"/>
                <w:bCs w:val="1"/>
                <w:color w:val="auto"/>
              </w:rPr>
              <w:t>June 30,</w:t>
            </w:r>
          </w:p>
        </w:tc>
        <w:tc>
          <w:tcPr>
            <w:tcW w:w="240" w:type="dxa"/>
            <w:vAlign w:val="bottom"/>
          </w:tcPr>
          <w:p>
            <w:pPr>
              <w:spacing w:after="0"/>
              <w:rPr>
                <w:sz w:val="7"/>
                <w:szCs w:val="7"/>
                <w:color w:val="auto"/>
              </w:rPr>
            </w:pPr>
          </w:p>
        </w:tc>
        <w:tc>
          <w:tcPr>
            <w:tcW w:w="1020" w:type="dxa"/>
            <w:vAlign w:val="bottom"/>
          </w:tcPr>
          <w:p>
            <w:pPr>
              <w:jc w:val="right"/>
              <w:ind w:right="363"/>
              <w:spacing w:after="0" w:line="88" w:lineRule="exact"/>
              <w:rPr>
                <w:sz w:val="20"/>
                <w:szCs w:val="20"/>
                <w:color w:val="auto"/>
              </w:rPr>
            </w:pPr>
            <w:r>
              <w:rPr>
                <w:rFonts w:ascii="Arial" w:cs="Arial" w:eastAsia="Arial" w:hAnsi="Arial"/>
                <w:sz w:val="10"/>
                <w:szCs w:val="10"/>
                <w:b w:val="1"/>
                <w:bCs w:val="1"/>
                <w:color w:val="auto"/>
              </w:rPr>
              <w:t>June 30,</w:t>
            </w:r>
          </w:p>
        </w:tc>
      </w:tr>
      <w:tr>
        <w:trPr>
          <w:trHeight w:val="144"/>
        </w:trPr>
        <w:tc>
          <w:tcPr>
            <w:tcW w:w="4760" w:type="dxa"/>
            <w:vAlign w:val="bottom"/>
            <w:tcBorders>
              <w:bottom w:val="single" w:sz="8" w:color="DBE2E9"/>
            </w:tcBorders>
          </w:tcPr>
          <w:p>
            <w:pPr>
              <w:spacing w:after="0"/>
              <w:rPr>
                <w:sz w:val="20"/>
                <w:szCs w:val="20"/>
                <w:color w:val="auto"/>
              </w:rPr>
            </w:pPr>
            <w:r>
              <w:rPr>
                <w:rFonts w:ascii="Arial" w:cs="Arial" w:eastAsia="Arial" w:hAnsi="Arial"/>
                <w:sz w:val="10"/>
                <w:szCs w:val="10"/>
                <w:i w:val="1"/>
                <w:iCs w:val="1"/>
                <w:color w:val="auto"/>
              </w:rPr>
              <w:t>(dollars in thousands)</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DBE2E9"/>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center"/>
              <w:ind w:right="23"/>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Borders>
              <w:bottom w:val="single" w:sz="8" w:color="DBE2E9"/>
            </w:tcBorders>
          </w:tcPr>
          <w:p>
            <w:pPr>
              <w:spacing w:after="0"/>
              <w:rPr>
                <w:sz w:val="12"/>
                <w:szCs w:val="12"/>
                <w:color w:val="auto"/>
              </w:rPr>
            </w:pPr>
          </w:p>
        </w:tc>
        <w:tc>
          <w:tcPr>
            <w:tcW w:w="8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2024</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DBE2E9"/>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2025</w:t>
            </w:r>
          </w:p>
        </w:tc>
        <w:tc>
          <w:tcPr>
            <w:tcW w:w="60" w:type="dxa"/>
            <w:vAlign w:val="bottom"/>
            <w:tcBorders>
              <w:bottom w:val="single" w:sz="8" w:color="DBE2E9"/>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2024</w:t>
            </w:r>
          </w:p>
        </w:tc>
      </w:tr>
      <w:tr>
        <w:trPr>
          <w:trHeight w:val="169"/>
        </w:trPr>
        <w:tc>
          <w:tcPr>
            <w:tcW w:w="4760" w:type="dxa"/>
            <w:vAlign w:val="bottom"/>
            <w:shd w:val="clear" w:color="auto" w:fill="DBE2E9"/>
          </w:tcPr>
          <w:p>
            <w:pPr>
              <w:spacing w:after="0"/>
              <w:rPr>
                <w:sz w:val="20"/>
                <w:szCs w:val="20"/>
                <w:color w:val="auto"/>
              </w:rPr>
            </w:pPr>
            <w:r>
              <w:rPr>
                <w:rFonts w:ascii="Arial" w:cs="Arial" w:eastAsia="Arial" w:hAnsi="Arial"/>
                <w:sz w:val="12"/>
                <w:szCs w:val="12"/>
                <w:color w:val="auto"/>
              </w:rPr>
              <w:t>Net charge-offs (recoveries)</w:t>
            </w:r>
          </w:p>
        </w:tc>
        <w:tc>
          <w:tcPr>
            <w:tcW w:w="240" w:type="dxa"/>
            <w:vAlign w:val="bottom"/>
            <w:shd w:val="clear" w:color="auto" w:fill="DBE2E9"/>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DBE2E9"/>
          </w:tcPr>
          <w:p>
            <w:pPr>
              <w:jc w:val="right"/>
              <w:spacing w:after="0"/>
              <w:rPr>
                <w:sz w:val="20"/>
                <w:szCs w:val="20"/>
                <w:color w:val="auto"/>
              </w:rPr>
            </w:pPr>
            <w:r>
              <w:rPr>
                <w:rFonts w:ascii="Arial" w:cs="Arial" w:eastAsia="Arial" w:hAnsi="Arial"/>
                <w:sz w:val="12"/>
                <w:szCs w:val="12"/>
                <w:color w:val="auto"/>
              </w:rPr>
              <w:t>12,882</w:t>
            </w:r>
          </w:p>
        </w:tc>
        <w:tc>
          <w:tcPr>
            <w:tcW w:w="80" w:type="dxa"/>
            <w:vAlign w:val="bottom"/>
            <w:shd w:val="clear" w:color="auto" w:fill="DBE2E9"/>
          </w:tcPr>
          <w:p>
            <w:pPr>
              <w:spacing w:after="0"/>
              <w:rPr>
                <w:sz w:val="14"/>
                <w:szCs w:val="14"/>
                <w:color w:val="auto"/>
              </w:rPr>
            </w:pPr>
          </w:p>
        </w:tc>
        <w:tc>
          <w:tcPr>
            <w:tcW w:w="80" w:type="dxa"/>
            <w:vAlign w:val="bottom"/>
            <w:shd w:val="clear" w:color="auto" w:fill="DBE2E9"/>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DBE2E9"/>
          </w:tcPr>
          <w:p>
            <w:pPr>
              <w:jc w:val="right"/>
              <w:spacing w:after="0"/>
              <w:rPr>
                <w:sz w:val="20"/>
                <w:szCs w:val="20"/>
                <w:color w:val="auto"/>
              </w:rPr>
            </w:pPr>
            <w:r>
              <w:rPr>
                <w:rFonts w:ascii="Arial" w:cs="Arial" w:eastAsia="Arial" w:hAnsi="Arial"/>
                <w:sz w:val="12"/>
                <w:szCs w:val="12"/>
                <w:color w:val="auto"/>
              </w:rPr>
              <w:t>31,429</w:t>
            </w:r>
          </w:p>
        </w:tc>
        <w:tc>
          <w:tcPr>
            <w:tcW w:w="80" w:type="dxa"/>
            <w:vAlign w:val="bottom"/>
            <w:shd w:val="clear" w:color="auto" w:fill="DBE2E9"/>
          </w:tcPr>
          <w:p>
            <w:pPr>
              <w:spacing w:after="0"/>
              <w:rPr>
                <w:sz w:val="14"/>
                <w:szCs w:val="14"/>
                <w:color w:val="auto"/>
              </w:rPr>
            </w:pPr>
          </w:p>
        </w:tc>
        <w:tc>
          <w:tcPr>
            <w:tcW w:w="860" w:type="dxa"/>
            <w:vAlign w:val="bottom"/>
            <w:shd w:val="clear" w:color="auto" w:fill="DBE2E9"/>
          </w:tcPr>
          <w:p>
            <w:pPr>
              <w:jc w:val="right"/>
              <w:ind w:right="723"/>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DBE2E9"/>
          </w:tcPr>
          <w:p>
            <w:pPr>
              <w:jc w:val="right"/>
              <w:spacing w:after="0"/>
              <w:rPr>
                <w:sz w:val="20"/>
                <w:szCs w:val="20"/>
                <w:color w:val="auto"/>
              </w:rPr>
            </w:pPr>
            <w:r>
              <w:rPr>
                <w:rFonts w:ascii="Arial" w:cs="Arial" w:eastAsia="Arial" w:hAnsi="Arial"/>
                <w:sz w:val="12"/>
                <w:szCs w:val="12"/>
                <w:color w:val="auto"/>
              </w:rPr>
              <w:t>9,856</w:t>
            </w:r>
          </w:p>
        </w:tc>
        <w:tc>
          <w:tcPr>
            <w:tcW w:w="80" w:type="dxa"/>
            <w:vAlign w:val="bottom"/>
            <w:shd w:val="clear" w:color="auto" w:fill="DBE2E9"/>
          </w:tcPr>
          <w:p>
            <w:pPr>
              <w:spacing w:after="0"/>
              <w:rPr>
                <w:sz w:val="14"/>
                <w:szCs w:val="14"/>
                <w:color w:val="auto"/>
              </w:rPr>
            </w:pPr>
          </w:p>
        </w:tc>
        <w:tc>
          <w:tcPr>
            <w:tcW w:w="240" w:type="dxa"/>
            <w:vAlign w:val="bottom"/>
            <w:shd w:val="clear" w:color="auto" w:fill="DBE2E9"/>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E2E9"/>
          </w:tcPr>
          <w:p>
            <w:pPr>
              <w:jc w:val="right"/>
              <w:ind w:right="3"/>
              <w:spacing w:after="0"/>
              <w:rPr>
                <w:sz w:val="20"/>
                <w:szCs w:val="20"/>
                <w:color w:val="auto"/>
              </w:rPr>
            </w:pPr>
            <w:r>
              <w:rPr>
                <w:rFonts w:ascii="Arial" w:cs="Arial" w:eastAsia="Arial" w:hAnsi="Arial"/>
                <w:sz w:val="12"/>
                <w:szCs w:val="12"/>
                <w:color w:val="auto"/>
              </w:rPr>
              <w:t>44,311</w:t>
            </w:r>
          </w:p>
        </w:tc>
        <w:tc>
          <w:tcPr>
            <w:tcW w:w="60" w:type="dxa"/>
            <w:vAlign w:val="bottom"/>
            <w:shd w:val="clear" w:color="auto" w:fill="DBE2E9"/>
          </w:tcPr>
          <w:p>
            <w:pPr>
              <w:spacing w:after="0"/>
              <w:rPr>
                <w:sz w:val="14"/>
                <w:szCs w:val="14"/>
                <w:color w:val="auto"/>
              </w:rPr>
            </w:pPr>
          </w:p>
        </w:tc>
        <w:tc>
          <w:tcPr>
            <w:tcW w:w="240" w:type="dxa"/>
            <w:vAlign w:val="bottom"/>
            <w:shd w:val="clear" w:color="auto" w:fill="DBE2E9"/>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E2E9"/>
          </w:tcPr>
          <w:p>
            <w:pPr>
              <w:jc w:val="right"/>
              <w:ind w:right="3"/>
              <w:spacing w:after="0"/>
              <w:rPr>
                <w:sz w:val="20"/>
                <w:szCs w:val="20"/>
                <w:color w:val="auto"/>
              </w:rPr>
            </w:pPr>
            <w:r>
              <w:rPr>
                <w:rFonts w:ascii="Arial" w:cs="Arial" w:eastAsia="Arial" w:hAnsi="Arial"/>
                <w:sz w:val="12"/>
                <w:szCs w:val="12"/>
                <w:color w:val="auto"/>
              </w:rPr>
              <w:t>15,072</w:t>
            </w:r>
          </w:p>
        </w:tc>
      </w:tr>
      <w:tr>
        <w:trPr>
          <w:trHeight w:val="171"/>
        </w:trPr>
        <w:tc>
          <w:tcPr>
            <w:tcW w:w="4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0"/>
        </w:trPr>
        <w:tc>
          <w:tcPr>
            <w:tcW w:w="4760" w:type="dxa"/>
            <w:vAlign w:val="bottom"/>
            <w:shd w:val="clear" w:color="auto" w:fill="DBE2E9"/>
          </w:tcPr>
          <w:p>
            <w:pPr>
              <w:spacing w:after="0"/>
              <w:rPr>
                <w:sz w:val="20"/>
                <w:szCs w:val="20"/>
                <w:color w:val="auto"/>
              </w:rPr>
            </w:pPr>
            <w:r>
              <w:rPr>
                <w:rFonts w:ascii="Arial" w:cs="Arial" w:eastAsia="Arial" w:hAnsi="Arial"/>
                <w:sz w:val="12"/>
                <w:szCs w:val="12"/>
                <w:color w:val="auto"/>
              </w:rPr>
              <w:t>Provision for loan losses</w:t>
            </w:r>
            <w:r>
              <w:rPr>
                <w:rFonts w:ascii="Arial" w:cs="Arial" w:eastAsia="Arial" w:hAnsi="Arial"/>
                <w:sz w:val="15"/>
                <w:szCs w:val="15"/>
                <w:color w:val="auto"/>
                <w:vertAlign w:val="superscript"/>
              </w:rPr>
              <w:t>1</w:t>
            </w:r>
          </w:p>
        </w:tc>
        <w:tc>
          <w:tcPr>
            <w:tcW w:w="240" w:type="dxa"/>
            <w:vAlign w:val="bottom"/>
            <w:shd w:val="clear" w:color="auto" w:fill="DBE2E9"/>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shd w:val="clear" w:color="auto" w:fill="DBE2E9"/>
          </w:tcPr>
          <w:p>
            <w:pPr>
              <w:jc w:val="right"/>
              <w:spacing w:after="0"/>
              <w:rPr>
                <w:sz w:val="20"/>
                <w:szCs w:val="20"/>
                <w:color w:val="auto"/>
              </w:rPr>
            </w:pPr>
            <w:r>
              <w:rPr>
                <w:rFonts w:ascii="Arial" w:cs="Arial" w:eastAsia="Arial" w:hAnsi="Arial"/>
                <w:sz w:val="12"/>
                <w:szCs w:val="12"/>
                <w:color w:val="auto"/>
              </w:rPr>
              <w:t>1,005</w:t>
            </w:r>
          </w:p>
        </w:tc>
        <w:tc>
          <w:tcPr>
            <w:tcW w:w="80" w:type="dxa"/>
            <w:vAlign w:val="bottom"/>
            <w:shd w:val="clear" w:color="auto" w:fill="DBE2E9"/>
          </w:tcPr>
          <w:p>
            <w:pPr>
              <w:spacing w:after="0"/>
              <w:rPr>
                <w:sz w:val="15"/>
                <w:szCs w:val="15"/>
                <w:color w:val="auto"/>
              </w:rPr>
            </w:pPr>
          </w:p>
        </w:tc>
        <w:tc>
          <w:tcPr>
            <w:tcW w:w="80" w:type="dxa"/>
            <w:vAlign w:val="bottom"/>
            <w:shd w:val="clear" w:color="auto" w:fill="DBE2E9"/>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shd w:val="clear" w:color="auto" w:fill="DBE2E9"/>
          </w:tcPr>
          <w:p>
            <w:pPr>
              <w:jc w:val="right"/>
              <w:spacing w:after="0"/>
              <w:rPr>
                <w:sz w:val="20"/>
                <w:szCs w:val="20"/>
                <w:color w:val="auto"/>
              </w:rPr>
            </w:pPr>
            <w:r>
              <w:rPr>
                <w:rFonts w:ascii="Arial" w:cs="Arial" w:eastAsia="Arial" w:hAnsi="Arial"/>
                <w:sz w:val="12"/>
                <w:szCs w:val="12"/>
                <w:color w:val="auto"/>
              </w:rPr>
              <w:t>42,452</w:t>
            </w:r>
          </w:p>
        </w:tc>
        <w:tc>
          <w:tcPr>
            <w:tcW w:w="80" w:type="dxa"/>
            <w:vAlign w:val="bottom"/>
            <w:shd w:val="clear" w:color="auto" w:fill="DBE2E9"/>
          </w:tcPr>
          <w:p>
            <w:pPr>
              <w:spacing w:after="0"/>
              <w:rPr>
                <w:sz w:val="15"/>
                <w:szCs w:val="15"/>
                <w:color w:val="auto"/>
              </w:rPr>
            </w:pPr>
          </w:p>
        </w:tc>
        <w:tc>
          <w:tcPr>
            <w:tcW w:w="860" w:type="dxa"/>
            <w:vAlign w:val="bottom"/>
            <w:shd w:val="clear" w:color="auto" w:fill="DBE2E9"/>
          </w:tcPr>
          <w:p>
            <w:pPr>
              <w:jc w:val="right"/>
              <w:ind w:right="723"/>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DBE2E9"/>
          </w:tcPr>
          <w:p>
            <w:pPr>
              <w:jc w:val="right"/>
              <w:spacing w:after="0"/>
              <w:rPr>
                <w:sz w:val="20"/>
                <w:szCs w:val="20"/>
                <w:color w:val="auto"/>
              </w:rPr>
            </w:pPr>
            <w:r>
              <w:rPr>
                <w:rFonts w:ascii="Arial" w:cs="Arial" w:eastAsia="Arial" w:hAnsi="Arial"/>
                <w:sz w:val="12"/>
                <w:szCs w:val="12"/>
                <w:color w:val="auto"/>
              </w:rPr>
              <w:t>2,277</w:t>
            </w:r>
          </w:p>
        </w:tc>
        <w:tc>
          <w:tcPr>
            <w:tcW w:w="80" w:type="dxa"/>
            <w:vAlign w:val="bottom"/>
            <w:shd w:val="clear" w:color="auto" w:fill="DBE2E9"/>
          </w:tcPr>
          <w:p>
            <w:pPr>
              <w:spacing w:after="0"/>
              <w:rPr>
                <w:sz w:val="15"/>
                <w:szCs w:val="15"/>
                <w:color w:val="auto"/>
              </w:rPr>
            </w:pPr>
          </w:p>
        </w:tc>
        <w:tc>
          <w:tcPr>
            <w:tcW w:w="240" w:type="dxa"/>
            <w:vAlign w:val="bottom"/>
            <w:shd w:val="clear" w:color="auto" w:fill="DBE2E9"/>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E2E9"/>
          </w:tcPr>
          <w:p>
            <w:pPr>
              <w:jc w:val="right"/>
              <w:ind w:right="3"/>
              <w:spacing w:after="0"/>
              <w:rPr>
                <w:sz w:val="20"/>
                <w:szCs w:val="20"/>
                <w:color w:val="auto"/>
              </w:rPr>
            </w:pPr>
            <w:r>
              <w:rPr>
                <w:rFonts w:ascii="Arial" w:cs="Arial" w:eastAsia="Arial" w:hAnsi="Arial"/>
                <w:sz w:val="12"/>
                <w:szCs w:val="12"/>
                <w:color w:val="auto"/>
              </w:rPr>
              <w:t>43,457</w:t>
            </w:r>
          </w:p>
        </w:tc>
        <w:tc>
          <w:tcPr>
            <w:tcW w:w="60" w:type="dxa"/>
            <w:vAlign w:val="bottom"/>
            <w:shd w:val="clear" w:color="auto" w:fill="DBE2E9"/>
          </w:tcPr>
          <w:p>
            <w:pPr>
              <w:spacing w:after="0"/>
              <w:rPr>
                <w:sz w:val="15"/>
                <w:szCs w:val="15"/>
                <w:color w:val="auto"/>
              </w:rPr>
            </w:pPr>
          </w:p>
        </w:tc>
        <w:tc>
          <w:tcPr>
            <w:tcW w:w="240" w:type="dxa"/>
            <w:vAlign w:val="bottom"/>
            <w:shd w:val="clear" w:color="auto" w:fill="DBE2E9"/>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DBE2E9"/>
          </w:tcPr>
          <w:p>
            <w:pPr>
              <w:jc w:val="right"/>
              <w:ind w:right="3"/>
              <w:spacing w:after="0"/>
              <w:rPr>
                <w:sz w:val="20"/>
                <w:szCs w:val="20"/>
                <w:color w:val="auto"/>
              </w:rPr>
            </w:pPr>
            <w:r>
              <w:rPr>
                <w:rFonts w:ascii="Arial" w:cs="Arial" w:eastAsia="Arial" w:hAnsi="Arial"/>
                <w:sz w:val="12"/>
                <w:szCs w:val="12"/>
                <w:color w:val="auto"/>
              </w:rPr>
              <w:t>7,315</w:t>
            </w:r>
          </w:p>
        </w:tc>
      </w:tr>
      <w:tr>
        <w:trPr>
          <w:trHeight w:val="180"/>
        </w:trPr>
        <w:tc>
          <w:tcPr>
            <w:tcW w:w="4760" w:type="dxa"/>
            <w:vAlign w:val="bottom"/>
            <w:tcBorders>
              <w:bottom w:val="single" w:sz="8" w:color="DBE2E9"/>
            </w:tcBorders>
          </w:tcPr>
          <w:p>
            <w:pPr>
              <w:spacing w:after="0"/>
              <w:rPr>
                <w:sz w:val="20"/>
                <w:szCs w:val="20"/>
                <w:color w:val="auto"/>
              </w:rPr>
            </w:pPr>
            <w:r>
              <w:rPr>
                <w:rFonts w:ascii="Arial" w:cs="Arial" w:eastAsia="Arial" w:hAnsi="Arial"/>
                <w:sz w:val="12"/>
                <w:szCs w:val="12"/>
                <w:color w:val="auto"/>
              </w:rPr>
              <w:t>Provision for unfunded commitments</w:t>
            </w:r>
            <w:r>
              <w:rPr>
                <w:rFonts w:ascii="Arial" w:cs="Arial" w:eastAsia="Arial" w:hAnsi="Arial"/>
                <w:sz w:val="15"/>
                <w:szCs w:val="15"/>
                <w:color w:val="auto"/>
                <w:vertAlign w:val="superscript"/>
              </w:rPr>
              <w:t>2</w:t>
            </w: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4,695</w:t>
            </w:r>
          </w:p>
        </w:tc>
        <w:tc>
          <w:tcPr>
            <w:tcW w:w="80" w:type="dxa"/>
            <w:vAlign w:val="bottom"/>
            <w:tcBorders>
              <w:bottom w:val="single" w:sz="8" w:color="DBE2E9"/>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3,141</w:t>
            </w:r>
          </w:p>
        </w:tc>
        <w:tc>
          <w:tcPr>
            <w:tcW w:w="80" w:type="dxa"/>
            <w:vAlign w:val="bottom"/>
            <w:tcBorders>
              <w:bottom w:val="single" w:sz="8" w:color="DBE2E9"/>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(369)</w:t>
            </w:r>
          </w:p>
        </w:tc>
        <w:tc>
          <w:tcPr>
            <w:tcW w:w="80" w:type="dxa"/>
            <w:vAlign w:val="bottom"/>
            <w:tcBorders>
              <w:bottom w:val="single" w:sz="8" w:color="DBE2E9"/>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7,836</w:t>
            </w:r>
          </w:p>
        </w:tc>
        <w:tc>
          <w:tcPr>
            <w:tcW w:w="60" w:type="dxa"/>
            <w:vAlign w:val="bottom"/>
            <w:tcBorders>
              <w:bottom w:val="single" w:sz="8" w:color="DBE2E9"/>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(1,047)</w:t>
            </w:r>
          </w:p>
        </w:tc>
      </w:tr>
      <w:tr>
        <w:trPr>
          <w:trHeight w:val="185"/>
        </w:trPr>
        <w:tc>
          <w:tcPr>
            <w:tcW w:w="4760" w:type="dxa"/>
            <w:vAlign w:val="bottom"/>
            <w:tcBorders>
              <w:bottom w:val="single" w:sz="8" w:color="DBE2E9"/>
            </w:tcBorders>
            <w:shd w:val="clear" w:color="auto" w:fill="DBE2E9"/>
          </w:tcPr>
          <w:p>
            <w:pPr>
              <w:spacing w:after="0" w:line="169" w:lineRule="exact"/>
              <w:rPr>
                <w:sz w:val="20"/>
                <w:szCs w:val="20"/>
                <w:color w:val="auto"/>
              </w:rPr>
            </w:pPr>
            <w:r>
              <w:rPr>
                <w:rFonts w:ascii="Arial" w:cs="Arial" w:eastAsia="Arial" w:hAnsi="Arial"/>
                <w:sz w:val="12"/>
                <w:szCs w:val="12"/>
                <w:color w:val="auto"/>
              </w:rPr>
              <w:t>Provision for credit losses</w:t>
            </w:r>
            <w:r>
              <w:rPr>
                <w:rFonts w:ascii="Arial" w:cs="Arial" w:eastAsia="Arial" w:hAnsi="Arial"/>
                <w:sz w:val="15"/>
                <w:szCs w:val="15"/>
                <w:color w:val="auto"/>
                <w:vertAlign w:val="superscript"/>
              </w:rPr>
              <w:t>3</w:t>
            </w:r>
          </w:p>
        </w:tc>
        <w:tc>
          <w:tcPr>
            <w:tcW w:w="240" w:type="dxa"/>
            <w:vAlign w:val="bottom"/>
            <w:tcBorders>
              <w:bottom w:val="single" w:sz="8" w:color="auto"/>
            </w:tcBorders>
            <w:shd w:val="clear" w:color="auto" w:fill="DBE2E9"/>
          </w:tcPr>
          <w:p>
            <w:pPr>
              <w:jc w:val="right"/>
              <w:ind w:right="10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DBE2E9"/>
          </w:tcPr>
          <w:p>
            <w:pPr>
              <w:jc w:val="right"/>
              <w:spacing w:after="0"/>
              <w:rPr>
                <w:sz w:val="20"/>
                <w:szCs w:val="20"/>
                <w:color w:val="auto"/>
              </w:rPr>
            </w:pPr>
            <w:r>
              <w:rPr>
                <w:rFonts w:ascii="Arial" w:cs="Arial" w:eastAsia="Arial" w:hAnsi="Arial"/>
                <w:sz w:val="12"/>
                <w:szCs w:val="12"/>
                <w:color w:val="auto"/>
              </w:rPr>
              <w:t>5,700</w:t>
            </w:r>
          </w:p>
        </w:tc>
        <w:tc>
          <w:tcPr>
            <w:tcW w:w="80" w:type="dxa"/>
            <w:vAlign w:val="bottom"/>
            <w:tcBorders>
              <w:bottom w:val="single" w:sz="8" w:color="DBE2E9"/>
            </w:tcBorders>
            <w:shd w:val="clear" w:color="auto" w:fill="DBE2E9"/>
          </w:tcPr>
          <w:p>
            <w:pPr>
              <w:spacing w:after="0"/>
              <w:rPr>
                <w:sz w:val="16"/>
                <w:szCs w:val="16"/>
                <w:color w:val="auto"/>
              </w:rPr>
            </w:pPr>
          </w:p>
        </w:tc>
        <w:tc>
          <w:tcPr>
            <w:tcW w:w="80" w:type="dxa"/>
            <w:vAlign w:val="bottom"/>
            <w:tcBorders>
              <w:bottom w:val="single" w:sz="8" w:color="auto"/>
            </w:tcBorders>
            <w:shd w:val="clear" w:color="auto" w:fill="DBE2E9"/>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shd w:val="clear" w:color="auto" w:fill="DBE2E9"/>
          </w:tcPr>
          <w:p>
            <w:pPr>
              <w:jc w:val="right"/>
              <w:spacing w:after="0"/>
              <w:rPr>
                <w:sz w:val="20"/>
                <w:szCs w:val="20"/>
                <w:color w:val="auto"/>
              </w:rPr>
            </w:pPr>
            <w:r>
              <w:rPr>
                <w:rFonts w:ascii="Arial" w:cs="Arial" w:eastAsia="Arial" w:hAnsi="Arial"/>
                <w:sz w:val="12"/>
                <w:szCs w:val="12"/>
                <w:color w:val="auto"/>
              </w:rPr>
              <w:t>45,593</w:t>
            </w:r>
          </w:p>
        </w:tc>
        <w:tc>
          <w:tcPr>
            <w:tcW w:w="80" w:type="dxa"/>
            <w:vAlign w:val="bottom"/>
            <w:tcBorders>
              <w:bottom w:val="single" w:sz="8" w:color="DBE2E9"/>
            </w:tcBorders>
            <w:shd w:val="clear" w:color="auto" w:fill="DBE2E9"/>
          </w:tcPr>
          <w:p>
            <w:pPr>
              <w:spacing w:after="0"/>
              <w:rPr>
                <w:sz w:val="16"/>
                <w:szCs w:val="16"/>
                <w:color w:val="auto"/>
              </w:rPr>
            </w:pPr>
          </w:p>
        </w:tc>
        <w:tc>
          <w:tcPr>
            <w:tcW w:w="860" w:type="dxa"/>
            <w:vAlign w:val="bottom"/>
            <w:tcBorders>
              <w:bottom w:val="single" w:sz="8" w:color="auto"/>
            </w:tcBorders>
            <w:shd w:val="clear" w:color="auto" w:fill="DBE2E9"/>
          </w:tcPr>
          <w:p>
            <w:pPr>
              <w:jc w:val="right"/>
              <w:ind w:right="723"/>
              <w:spacing w:after="0"/>
              <w:rPr>
                <w:sz w:val="20"/>
                <w:szCs w:val="20"/>
                <w:color w:val="auto"/>
              </w:rPr>
            </w:pPr>
            <w:r>
              <w:rPr>
                <w:rFonts w:ascii="Arial" w:cs="Arial" w:eastAsia="Arial" w:hAnsi="Arial"/>
                <w:sz w:val="12"/>
                <w:szCs w:val="12"/>
                <w:color w:val="auto"/>
                <w:w w:val="89"/>
              </w:rPr>
              <w:t>$</w:t>
            </w:r>
          </w:p>
        </w:tc>
        <w:tc>
          <w:tcPr>
            <w:tcW w:w="380" w:type="dxa"/>
            <w:vAlign w:val="bottom"/>
            <w:tcBorders>
              <w:bottom w:val="single" w:sz="8" w:color="auto"/>
            </w:tcBorders>
            <w:shd w:val="clear" w:color="auto" w:fill="DBE2E9"/>
          </w:tcPr>
          <w:p>
            <w:pPr>
              <w:jc w:val="right"/>
              <w:spacing w:after="0"/>
              <w:rPr>
                <w:sz w:val="20"/>
                <w:szCs w:val="20"/>
                <w:color w:val="auto"/>
              </w:rPr>
            </w:pPr>
            <w:r>
              <w:rPr>
                <w:rFonts w:ascii="Arial" w:cs="Arial" w:eastAsia="Arial" w:hAnsi="Arial"/>
                <w:sz w:val="12"/>
                <w:szCs w:val="12"/>
                <w:color w:val="auto"/>
              </w:rPr>
              <w:t>1,908</w:t>
            </w:r>
          </w:p>
        </w:tc>
        <w:tc>
          <w:tcPr>
            <w:tcW w:w="80" w:type="dxa"/>
            <w:vAlign w:val="bottom"/>
            <w:tcBorders>
              <w:bottom w:val="single" w:sz="8" w:color="DBE2E9"/>
            </w:tcBorders>
            <w:shd w:val="clear" w:color="auto" w:fill="DBE2E9"/>
          </w:tcPr>
          <w:p>
            <w:pPr>
              <w:spacing w:after="0"/>
              <w:rPr>
                <w:sz w:val="16"/>
                <w:szCs w:val="16"/>
                <w:color w:val="auto"/>
              </w:rPr>
            </w:pPr>
          </w:p>
        </w:tc>
        <w:tc>
          <w:tcPr>
            <w:tcW w:w="240" w:type="dxa"/>
            <w:vAlign w:val="bottom"/>
            <w:tcBorders>
              <w:bottom w:val="single" w:sz="8" w:color="auto"/>
            </w:tcBorders>
            <w:shd w:val="clear" w:color="auto" w:fill="DBE2E9"/>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DBE2E9"/>
          </w:tcPr>
          <w:p>
            <w:pPr>
              <w:jc w:val="right"/>
              <w:ind w:right="3"/>
              <w:spacing w:after="0"/>
              <w:rPr>
                <w:sz w:val="20"/>
                <w:szCs w:val="20"/>
                <w:color w:val="auto"/>
              </w:rPr>
            </w:pPr>
            <w:r>
              <w:rPr>
                <w:rFonts w:ascii="Arial" w:cs="Arial" w:eastAsia="Arial" w:hAnsi="Arial"/>
                <w:sz w:val="12"/>
                <w:szCs w:val="12"/>
                <w:color w:val="auto"/>
              </w:rPr>
              <w:t>51,293</w:t>
            </w:r>
          </w:p>
        </w:tc>
        <w:tc>
          <w:tcPr>
            <w:tcW w:w="60" w:type="dxa"/>
            <w:vAlign w:val="bottom"/>
            <w:tcBorders>
              <w:bottom w:val="single" w:sz="8" w:color="DBE2E9"/>
            </w:tcBorders>
            <w:shd w:val="clear" w:color="auto" w:fill="DBE2E9"/>
          </w:tcPr>
          <w:p>
            <w:pPr>
              <w:spacing w:after="0"/>
              <w:rPr>
                <w:sz w:val="16"/>
                <w:szCs w:val="16"/>
                <w:color w:val="auto"/>
              </w:rPr>
            </w:pPr>
          </w:p>
        </w:tc>
        <w:tc>
          <w:tcPr>
            <w:tcW w:w="240" w:type="dxa"/>
            <w:vAlign w:val="bottom"/>
            <w:tcBorders>
              <w:bottom w:val="single" w:sz="8" w:color="auto"/>
            </w:tcBorders>
            <w:shd w:val="clear" w:color="auto" w:fill="DBE2E9"/>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DBE2E9"/>
          </w:tcPr>
          <w:p>
            <w:pPr>
              <w:jc w:val="right"/>
              <w:ind w:right="3"/>
              <w:spacing w:after="0"/>
              <w:rPr>
                <w:sz w:val="20"/>
                <w:szCs w:val="20"/>
                <w:color w:val="auto"/>
              </w:rPr>
            </w:pPr>
            <w:r>
              <w:rPr>
                <w:rFonts w:ascii="Arial" w:cs="Arial" w:eastAsia="Arial" w:hAnsi="Arial"/>
                <w:sz w:val="12"/>
                <w:szCs w:val="12"/>
                <w:color w:val="auto"/>
              </w:rPr>
              <w:t>6,268</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line="244" w:lineRule="auto"/>
        <w:tabs>
          <w:tab w:leader="none" w:pos="337" w:val="left"/>
        </w:tabs>
        <w:numPr>
          <w:ilvl w:val="0"/>
          <w:numId w:val="10"/>
        </w:numPr>
        <w:rPr>
          <w:rFonts w:ascii="Arial" w:cs="Arial" w:eastAsia="Arial" w:hAnsi="Arial"/>
          <w:sz w:val="10"/>
          <w:szCs w:val="10"/>
          <w:color w:val="auto"/>
        </w:rPr>
      </w:pPr>
      <w:r>
        <w:rPr>
          <w:rFonts w:ascii="Arial" w:cs="Arial" w:eastAsia="Arial" w:hAnsi="Arial"/>
          <w:sz w:val="10"/>
          <w:szCs w:val="10"/>
          <w:color w:val="auto"/>
        </w:rPr>
        <w:t>Amounts reported as provision for loan losses for periods ending prior to June 30, 2025, were previously reported as provision for credit losses. March 31, 2025, included $42.4 million to establish an initial allowance for credit losses for loans purchased without credit deterioration (“non-PCD” loans) following the close of the CrossFirst acquisition.</w:t>
      </w:r>
    </w:p>
    <w:p>
      <w:pPr>
        <w:ind w:left="320" w:hanging="220"/>
        <w:spacing w:after="0" w:line="234" w:lineRule="auto"/>
        <w:tabs>
          <w:tab w:leader="none" w:pos="319" w:val="left"/>
        </w:tabs>
        <w:numPr>
          <w:ilvl w:val="0"/>
          <w:numId w:val="10"/>
        </w:numPr>
        <w:rPr>
          <w:rFonts w:ascii="Arial" w:cs="Arial" w:eastAsia="Arial" w:hAnsi="Arial"/>
          <w:sz w:val="10"/>
          <w:szCs w:val="10"/>
          <w:color w:val="auto"/>
        </w:rPr>
      </w:pPr>
      <w:r>
        <w:rPr>
          <w:rFonts w:ascii="Arial" w:cs="Arial" w:eastAsia="Arial" w:hAnsi="Arial"/>
          <w:sz w:val="10"/>
          <w:szCs w:val="10"/>
          <w:color w:val="auto"/>
        </w:rPr>
        <w:t>June 30, 2025, included an additional $4.0 million adjustment to the initial provision for unfunded commitments resulting from the adoption of a new CECL model. March 31, 2025, included $3.1 million to establish an initial allowance for unfunded commitments following the close of the CrossFirst acquisition.</w:t>
      </w:r>
    </w:p>
    <w:p>
      <w:pPr>
        <w:ind w:left="320" w:hanging="220"/>
        <w:spacing w:after="0"/>
        <w:tabs>
          <w:tab w:leader="none" w:pos="320" w:val="left"/>
        </w:tabs>
        <w:numPr>
          <w:ilvl w:val="0"/>
          <w:numId w:val="10"/>
        </w:numPr>
        <w:rPr>
          <w:rFonts w:ascii="Arial" w:cs="Arial" w:eastAsia="Arial" w:hAnsi="Arial"/>
          <w:sz w:val="10"/>
          <w:szCs w:val="10"/>
          <w:color w:val="auto"/>
        </w:rPr>
      </w:pPr>
      <w:r>
        <w:rPr>
          <w:rFonts w:ascii="Arial" w:cs="Arial" w:eastAsia="Arial" w:hAnsi="Arial"/>
          <w:sz w:val="10"/>
          <w:szCs w:val="10"/>
          <w:color w:val="auto"/>
        </w:rPr>
        <w:t>Beginning in the second quarter of 2025, Busey revised its presentation, for all periods presented, to reclassify the provision for unfunded commitments so that it is now included within the provision for credit losses.</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Net charge-offs decreased by $18.5 million when compared to the first quarter of 2025, and increased by $3.0 million when compared with the second quarter of 2024. Net charge-offs during the second quarter of 2025 primarily related to one legacy-Busey medical office credit. Net charge-offs during the first quarter of 2025 included $29.6 million related to PCD loans acquired from CrossFirst Bank, which were fully reserved at acquisition and did not require recording additional provision expense.</w:t>
      </w:r>
    </w:p>
    <w:p>
      <w:pPr>
        <w:spacing w:after="0" w:line="96"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The $1.0 million provision for loan losses recorded in the second quarter of 2025 included a release of the PCD provision of $11.8 million due to PCD loan payoffs/paydowns and non-PCD provision expense of $12.8 million to support charge-offs, to adjust for the loan portfolio mix, and as a response to economic factors.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Deposits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Total deposits were $15.80 billion at June 30, 2025, compared to $16.46 billion at March 31, 2025, and $9.98 billion at June 30, 2024. Average deposits were $15.99 billion for the second quarter of 2025, compared to $ 12.18 billion for the first quarter of 2025 and $10.07 billion for the second quarter of 2024. The deliberate run-off of higher cost brokered deposits and listing service CD reductions accounted for $386.8 million of the quarter over quarter decrease as well as seasonal tax payments that put additional pressure on funding during the quarter.</w:t>
      </w:r>
    </w:p>
    <w:p>
      <w:pPr>
        <w:spacing w:after="0" w:line="95"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Core deposits</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accounted for 92.5% of total deposits as of June 30, 2025. The quality of our core deposit franchise is a critical value driver of our institution. We estimated that 33% of our deposits were uninsured and uncollateralized</w:t>
      </w:r>
      <w:r>
        <w:rPr>
          <w:rFonts w:ascii="Arial" w:cs="Arial" w:eastAsia="Arial" w:hAnsi="Arial"/>
          <w:sz w:val="15"/>
          <w:szCs w:val="15"/>
          <w:color w:val="auto"/>
          <w:vertAlign w:val="superscript"/>
        </w:rPr>
        <w:t>4</w:t>
      </w:r>
      <w:r>
        <w:rPr>
          <w:rFonts w:ascii="Arial" w:cs="Arial" w:eastAsia="Arial" w:hAnsi="Arial"/>
          <w:sz w:val="12"/>
          <w:szCs w:val="12"/>
          <w:color w:val="auto"/>
        </w:rPr>
        <w:t xml:space="preserve"> as of June 30, 2025, and we have sufficient on- and off-balance sheet liquidity to manage deposit fluctuations and the liquidity needs of our customers.</w:t>
      </w:r>
    </w:p>
    <w:p>
      <w:pPr>
        <w:spacing w:after="0" w:line="51"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color w:val="auto"/>
        </w:rPr>
        <w:t>We have executed various deposit campaigns to attract term funding and savings accounts at a lower rate than our marginal cost of funds. New certificate of deposit production in the second quarter of 2025 had a weighted average term of 8.0 months at a rate of 3.74%, which was 80 basis points below our average marginal wholesale equivalent-term funding cost during the quarter.</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Borrowings</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color w:val="auto"/>
        </w:rPr>
        <w:t>On June 1, 2025, Busey redeemed the entire $ 125.0 million outstanding principal amount of its 5.25% Fixed-to-Floating Rate Subordinated Notes due 2030 (the “Subordinated Notes”). The aggregate principal amount of the Subordinated Notes, plus accrued and unpaid interest thereon up to, but excluding, June 1, 2025, was $128.3 million.</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10</w:t>
      </w:r>
    </w:p>
    <w:p>
      <w:pPr>
        <w:sectPr>
          <w:pgSz w:w="11900" w:h="16838" w:orient="portrait"/>
          <w:cols w:equalWidth="0" w:num="1">
            <w:col w:w="11300"/>
          </w:cols>
          <w:pgMar w:left="300" w:top="964" w:right="299" w:bottom="1440" w:gutter="0" w:footer="0" w:header="0"/>
        </w:sectPr>
      </w:pPr>
    </w:p>
    <w:bookmarkStart w:id="14" w:name="page15"/>
    <w:bookmarkEnd w:id="14"/>
    <w:p>
      <w:pPr>
        <w:spacing w:after="0"/>
        <w:rPr>
          <w:sz w:val="20"/>
          <w:szCs w:val="20"/>
          <w:color w:val="auto"/>
        </w:rPr>
      </w:pPr>
      <w:r>
        <w:rPr>
          <w:rFonts w:ascii="Arial" w:cs="Arial" w:eastAsia="Arial" w:hAnsi="Arial"/>
          <w:sz w:val="12"/>
          <w:szCs w:val="12"/>
          <w:b w:val="1"/>
          <w:bCs w:val="1"/>
          <w:i w:val="1"/>
          <w:i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Liquidity</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As of June 30, 2025, Busey’s available sources of on- and off-balance sheet liquidity</w:t>
      </w:r>
      <w:r>
        <w:rPr>
          <w:rFonts w:ascii="Arial" w:cs="Arial" w:eastAsia="Arial" w:hAnsi="Arial"/>
          <w:sz w:val="15"/>
          <w:szCs w:val="15"/>
          <w:color w:val="auto"/>
          <w:vertAlign w:val="superscript"/>
        </w:rPr>
        <w:t>5</w:t>
      </w:r>
      <w:r>
        <w:rPr>
          <w:rFonts w:ascii="Arial" w:cs="Arial" w:eastAsia="Arial" w:hAnsi="Arial"/>
          <w:sz w:val="12"/>
          <w:szCs w:val="12"/>
          <w:color w:val="auto"/>
        </w:rPr>
        <w:t xml:space="preserve"> totaled $7.95 billion. Furthermore, Busey’s balance sheet liquidity profile continues to be aided by the cash flows expected from Busey’s relatively short-duration securities portfolio. Those cash flows were approximately $123.1 million in the second quarter of 2025. Cash flows from maturing securities within our portfolio are expected to be approximately $181.0 million for the remainder of 2025, with a current book yield of 2.52%, and approximately $289.7 million for 2026, with a current book yield of 2.58%.</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 Strength</w:t>
      </w:r>
    </w:p>
    <w:p>
      <w:pPr>
        <w:spacing w:after="0" w:line="130" w:lineRule="exact"/>
        <w:rPr>
          <w:sz w:val="20"/>
          <w:szCs w:val="20"/>
          <w:color w:val="auto"/>
        </w:rPr>
      </w:pPr>
    </w:p>
    <w:p>
      <w:pPr>
        <w:jc w:val="both"/>
        <w:spacing w:after="0" w:line="233" w:lineRule="auto"/>
        <w:rPr>
          <w:sz w:val="20"/>
          <w:szCs w:val="20"/>
          <w:color w:val="auto"/>
        </w:rPr>
      </w:pPr>
      <w:r>
        <w:rPr>
          <w:rFonts w:ascii="Arial" w:cs="Arial" w:eastAsia="Arial" w:hAnsi="Arial"/>
          <w:sz w:val="12"/>
          <w:szCs w:val="12"/>
          <w:color w:val="auto"/>
        </w:rPr>
        <w:t>The strength of our balance sheet is also reflected in our capital foundation. Although still impacted by the strategic deployment of capital for the CrossFirst acquisition, as well as by Busey’s active share repurchase program, our capital ratios remain strong, and as of June 30, 2025, our estimated regulatory capital ratios</w:t>
      </w:r>
      <w:r>
        <w:rPr>
          <w:rFonts w:ascii="Arial" w:cs="Arial" w:eastAsia="Arial" w:hAnsi="Arial"/>
          <w:sz w:val="15"/>
          <w:szCs w:val="15"/>
          <w:color w:val="auto"/>
          <w:vertAlign w:val="superscript"/>
        </w:rPr>
        <w:t>6</w:t>
      </w:r>
      <w:r>
        <w:rPr>
          <w:rFonts w:ascii="Arial" w:cs="Arial" w:eastAsia="Arial" w:hAnsi="Arial"/>
          <w:sz w:val="12"/>
          <w:szCs w:val="12"/>
          <w:color w:val="auto"/>
        </w:rPr>
        <w:t xml:space="preserve"> continued to provide a buffer of more than $870 million above levels required to be designated well-capitalized. Busey’s Common Equity Tier 1 ratio is estimated</w:t>
      </w:r>
      <w:r>
        <w:rPr>
          <w:rFonts w:ascii="Arial" w:cs="Arial" w:eastAsia="Arial" w:hAnsi="Arial"/>
          <w:sz w:val="15"/>
          <w:szCs w:val="15"/>
          <w:color w:val="auto"/>
          <w:vertAlign w:val="superscript"/>
        </w:rPr>
        <w:t>6</w:t>
      </w:r>
      <w:r>
        <w:rPr>
          <w:rFonts w:ascii="Arial" w:cs="Arial" w:eastAsia="Arial" w:hAnsi="Arial"/>
          <w:sz w:val="12"/>
          <w:szCs w:val="12"/>
          <w:color w:val="auto"/>
        </w:rPr>
        <w:t xml:space="preserve"> to be 12.22% at June 30, 2025, compared to 12.00% at March 31, 2025, and 13.20% at June 30, 2024. Our Total Capital to Risk Weighted Assets ratio is estimated</w:t>
      </w:r>
      <w:r>
        <w:rPr>
          <w:rFonts w:ascii="Arial" w:cs="Arial" w:eastAsia="Arial" w:hAnsi="Arial"/>
          <w:sz w:val="15"/>
          <w:szCs w:val="15"/>
          <w:color w:val="auto"/>
          <w:vertAlign w:val="superscript"/>
        </w:rPr>
        <w:t>6</w:t>
      </w:r>
      <w:r>
        <w:rPr>
          <w:rFonts w:ascii="Arial" w:cs="Arial" w:eastAsia="Arial" w:hAnsi="Arial"/>
          <w:sz w:val="12"/>
          <w:szCs w:val="12"/>
          <w:color w:val="auto"/>
        </w:rPr>
        <w:t xml:space="preserve"> to be 15.75% at June 30, 2025, compared to 14.88% at March 31, 2025, and 17.50% at June 30, 2024.</w:t>
      </w:r>
    </w:p>
    <w:p>
      <w:pPr>
        <w:spacing w:after="0" w:line="56"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Busey’s tangible common equity</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$1.71 billion at June 30, 2025, compared to $1.68 billion at March 31, 2025, and $963.2 million at June 30, 2024. Tangible common equity</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represented 9.27% of tangible assets at June 30, 2025, compared to 8.83% at March 31, 2025, and 8.30% at June 30, 2024.</w:t>
      </w:r>
    </w:p>
    <w:p>
      <w:pPr>
        <w:spacing w:after="0" w:line="103" w:lineRule="exact"/>
        <w:rPr>
          <w:sz w:val="20"/>
          <w:szCs w:val="20"/>
          <w:color w:val="auto"/>
        </w:rPr>
      </w:pPr>
    </w:p>
    <w:p>
      <w:pPr>
        <w:ind w:right="1080"/>
        <w:spacing w:after="0" w:line="410" w:lineRule="auto"/>
        <w:rPr>
          <w:sz w:val="20"/>
          <w:szCs w:val="20"/>
          <w:color w:val="auto"/>
        </w:rPr>
      </w:pPr>
      <w:r>
        <w:rPr>
          <w:rFonts w:ascii="Arial" w:cs="Arial" w:eastAsia="Arial" w:hAnsi="Arial"/>
          <w:sz w:val="12"/>
          <w:szCs w:val="12"/>
          <w:color w:val="auto"/>
        </w:rPr>
        <w:t>Busey’s tangible book value per common share</w:t>
      </w:r>
      <w:r>
        <w:rPr>
          <w:rFonts w:ascii="Arial" w:cs="Arial" w:eastAsia="Arial" w:hAnsi="Arial"/>
          <w:sz w:val="15"/>
          <w:szCs w:val="15"/>
          <w:color w:val="auto"/>
          <w:vertAlign w:val="superscript"/>
        </w:rPr>
        <w:t>2</w:t>
      </w:r>
      <w:r>
        <w:rPr>
          <w:rFonts w:ascii="Arial" w:cs="Arial" w:eastAsia="Arial" w:hAnsi="Arial"/>
          <w:sz w:val="12"/>
          <w:szCs w:val="12"/>
          <w:color w:val="auto"/>
        </w:rPr>
        <w:t xml:space="preserve"> was $19.18 at June 30, 2025, compared to $18.62 at March 31, 2025, and $16.97 at June 30, 2024, reflecting a 13.0% year-over-year increase. </w:t>
      </w:r>
      <w:r>
        <w:rPr>
          <w:rFonts w:ascii="Arial" w:cs="Arial" w:eastAsia="Arial" w:hAnsi="Arial"/>
          <w:sz w:val="12"/>
          <w:szCs w:val="12"/>
          <w:u w:val="single" w:color="auto"/>
          <w:color w:val="auto"/>
        </w:rPr>
        <w:t>Dividends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Busey's strong capital levels, coupled with its earnings, have allowed the Company to provide a steady return to its stockholders through dividends. During the second quarter of 2025, Busey paid a dividend of $0.25 per share on its common stock. Busey has consistently paid dividends to its common stockholders since the bank holding company was organized in 1980. Additionally, during the second quarter of 2025, Busey paid a dividend of $20.00 per share on its Series A Non-cumulative Perpetual Preferred Stock, which was issued in connection with the CrossFirst acquisition.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Series B Preferred Stock Issuance</w:t>
      </w:r>
    </w:p>
    <w:p>
      <w:pPr>
        <w:spacing w:after="0" w:line="132" w:lineRule="exact"/>
        <w:rPr>
          <w:sz w:val="20"/>
          <w:szCs w:val="20"/>
          <w:color w:val="auto"/>
        </w:rPr>
      </w:pPr>
    </w:p>
    <w:p>
      <w:pPr>
        <w:jc w:val="both"/>
        <w:spacing w:after="0" w:line="268" w:lineRule="auto"/>
        <w:rPr>
          <w:rFonts w:ascii="Arial" w:cs="Arial" w:eastAsia="Arial" w:hAnsi="Arial"/>
          <w:sz w:val="12"/>
          <w:szCs w:val="12"/>
          <w:color w:val="auto"/>
        </w:rPr>
      </w:pPr>
      <w:r>
        <w:rPr>
          <w:rFonts w:ascii="Arial" w:cs="Arial" w:eastAsia="Arial" w:hAnsi="Arial"/>
          <w:sz w:val="12"/>
          <w:szCs w:val="12"/>
          <w:color w:val="auto"/>
        </w:rPr>
        <w:t xml:space="preserve">On May 20, 2025, Busey issued an aggregate of 8,600,000 depositary shares (the “Depositary Shares”), each representing a 1/40th interest in a share of Busey’s 8.25% Fixed-Rate Series B Non-Cumulative Perpetual Preferred Stock, $0.001 par value (the “Series B Preferred Stock”), with a liquidation preference of $ 1,000 per share of Series B Preferred Stock (equivalent to $25 per Depositary Share). Additional information about the Depositary Shares and Series B Preferred Stock issuance can be found in Busey’s </w:t>
      </w:r>
      <w:hyperlink r:id="rId32">
        <w:r>
          <w:rPr>
            <w:rFonts w:ascii="Arial" w:cs="Arial" w:eastAsia="Arial" w:hAnsi="Arial"/>
            <w:sz w:val="12"/>
            <w:szCs w:val="12"/>
            <w:u w:val="single" w:color="auto"/>
            <w:color w:val="0000FF"/>
          </w:rPr>
          <w:t>8-K filed with the SEC on May 20, 2025</w:t>
        </w:r>
      </w:hyperlink>
      <w:r>
        <w:rPr>
          <w:rFonts w:ascii="Arial" w:cs="Arial" w:eastAsia="Arial" w:hAnsi="Arial"/>
          <w:sz w:val="12"/>
          <w:szCs w:val="12"/>
          <w:color w:val="auto"/>
        </w:rPr>
        <w:t>, and the related exhibits thereto.</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Share Repurchases</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During the second quarter of 2025, Busey’s board of directors authorized the purchase of up to 2,000,000 additional shares of the Company’s common stock under Busey’s stock repurchase plan. Busey purchased 1,012,000 shares of its common stock under the plan during the second quarter of 2025 at a weighted average price of $21.40 per share for a total of $21.7 million. As of June 30, 2025, Busey had 2,687,275 shares remaining available for repurchase under the plan.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SECOND QUARTER EARNINGS INVESTOR PRESENTATION</w:t>
      </w:r>
    </w:p>
    <w:p>
      <w:pPr>
        <w:spacing w:after="0" w:line="96" w:lineRule="exact"/>
        <w:rPr>
          <w:sz w:val="20"/>
          <w:szCs w:val="20"/>
          <w:color w:val="auto"/>
        </w:rPr>
      </w:pPr>
    </w:p>
    <w:p>
      <w:pPr>
        <w:jc w:val="both"/>
        <w:spacing w:after="0" w:line="165" w:lineRule="exact"/>
        <w:rPr>
          <w:sz w:val="20"/>
          <w:szCs w:val="20"/>
          <w:color w:val="auto"/>
        </w:rPr>
      </w:pPr>
      <w:r>
        <w:rPr>
          <w:rFonts w:ascii="Arial" w:cs="Arial" w:eastAsia="Arial" w:hAnsi="Arial"/>
          <w:sz w:val="12"/>
          <w:szCs w:val="12"/>
          <w:color w:val="auto"/>
        </w:rPr>
        <w:t xml:space="preserve">For additional information on Busey’s financial condition and operating results, please refer to our </w:t>
      </w:r>
      <w:r>
        <w:rPr>
          <w:rFonts w:ascii="Arial" w:cs="Arial" w:eastAsia="Arial" w:hAnsi="Arial"/>
          <w:sz w:val="12"/>
          <w:szCs w:val="12"/>
          <w:b w:val="1"/>
          <w:bCs w:val="1"/>
          <w:i w:val="1"/>
          <w:iCs w:val="1"/>
          <w:color w:val="auto"/>
        </w:rPr>
        <w:t>Q2 2025 Earnings Investor Presentation</w:t>
      </w:r>
      <w:r>
        <w:rPr>
          <w:rFonts w:ascii="Arial" w:cs="Arial" w:eastAsia="Arial" w:hAnsi="Arial"/>
          <w:sz w:val="12"/>
          <w:szCs w:val="12"/>
          <w:color w:val="auto"/>
        </w:rPr>
        <w:t xml:space="preserve"> furnished via Form 8</w:t>
      </w:r>
      <w:r>
        <w:rPr>
          <w:rFonts w:ascii="MS PGothic" w:cs="MS PGothic" w:eastAsia="MS PGothic" w:hAnsi="MS PGothic"/>
          <w:sz w:val="12"/>
          <w:szCs w:val="12"/>
          <w:color w:val="auto"/>
        </w:rPr>
        <w:t>‑</w:t>
      </w:r>
      <w:r>
        <w:rPr>
          <w:rFonts w:ascii="Arial" w:cs="Arial" w:eastAsia="Arial" w:hAnsi="Arial"/>
          <w:sz w:val="12"/>
          <w:szCs w:val="12"/>
          <w:color w:val="auto"/>
        </w:rPr>
        <w:t>K on July 22, 2025, in connection with this earnings release.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PROFILE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As of June 30, 2025, First Busey Corporation (Nasdaq: BUSE) was a $18.92 billion financial holding company headquartered in Leawood, Kansas.</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11</w:t>
      </w:r>
    </w:p>
    <w:p>
      <w:pPr>
        <w:sectPr>
          <w:pgSz w:w="11900" w:h="16838" w:orient="portrait"/>
          <w:cols w:equalWidth="0" w:num="1">
            <w:col w:w="11300"/>
          </w:cols>
          <w:pgMar w:left="300" w:top="912" w:right="299" w:bottom="1440" w:gutter="0" w:footer="0" w:header="0"/>
        </w:sectPr>
      </w:pPr>
    </w:p>
    <w:bookmarkStart w:id="15" w:name="page16"/>
    <w:bookmarkEnd w:id="15"/>
    <w:p>
      <w:pPr>
        <w:jc w:val="both"/>
        <w:spacing w:after="0" w:line="262"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Busey Bank, a wholly-owned bank subsidiary of First Busey Corporation headquartered in Champaign, Illinois, had total assets of $18.87 billion as of June 30, 2025. Busey Bank currently has 78 banking centers, with 21 in Central Illinois markets, 17 in suburban Chicago markets, 20 in the St. Louis Metropolitan Statistical Area, four in the Dallas-Fort Worth-Arlington Metropolitan Statistical Area, three in the Kansas City Metropolitan Statistical Area, three in Southwest Florida, one in Indianapolis, two in Oklahoma City, one in Tulsa, one in Wichita, one in Denver, one in Colorado Springs, one in Phoenix, one in Tucson, and one in New Mexico. More information about Busey Bank can be found at busey.com.</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Through Busey’s Wealth Management division, the Company provides a full range of asset management, investment, brokerage, fiduciary, philanthropic advisory, tax preparation, and farm management services to individuals, businesses, and foundations. Assets under care totaled $14.10 billion as of June 30, 2025. More information about Busey’s Wealth Management services can be found at busey.com/wealth-management.</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Busey Bank’s wholly-owned subsidiary, FirsTech, specializes in the evolving financial technology needs of small and medium-sized businesses, highly regulated enterprise industries, and financial institutions. FirsTech provides comprehensive and innovative payment technology solutions, including online, mobile, and voice-recognition bill payments; money and data movement; merchant services; direct debit services; lockbox remittance processing for payments made by mail; and walk-in payments at retail agents. Additionally, FirsTech simplifies client workflows through integrations enabling support with billing, reconciliation, bill reminders, and treasury services. More information about FirsTech can be found at firstechpayments.com.</w:t>
      </w:r>
    </w:p>
    <w:p>
      <w:pPr>
        <w:spacing w:after="0" w:line="108"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 xml:space="preserve">For the fourth consecutive year, Busey was named among </w:t>
      </w:r>
      <w:r>
        <w:rPr>
          <w:rFonts w:ascii="Arial" w:cs="Arial" w:eastAsia="Arial" w:hAnsi="Arial"/>
          <w:sz w:val="12"/>
          <w:szCs w:val="12"/>
          <w:i w:val="1"/>
          <w:iCs w:val="1"/>
          <w:color w:val="auto"/>
        </w:rPr>
        <w:t>Forbes</w:t>
      </w:r>
      <w:r>
        <w:rPr>
          <w:rFonts w:ascii="Arial" w:cs="Arial" w:eastAsia="Arial" w:hAnsi="Arial"/>
          <w:sz w:val="12"/>
          <w:szCs w:val="12"/>
          <w:color w:val="auto"/>
        </w:rPr>
        <w:t xml:space="preserve">’ 2025’s America’s Best Banks. In 2025, </w:t>
      </w:r>
      <w:r>
        <w:rPr>
          <w:rFonts w:ascii="Arial" w:cs="Arial" w:eastAsia="Arial" w:hAnsi="Arial"/>
          <w:sz w:val="12"/>
          <w:szCs w:val="12"/>
          <w:i w:val="1"/>
          <w:iCs w:val="1"/>
          <w:color w:val="auto"/>
        </w:rPr>
        <w:t>Forbes</w:t>
      </w:r>
      <w:r>
        <w:rPr>
          <w:rFonts w:ascii="Arial" w:cs="Arial" w:eastAsia="Arial" w:hAnsi="Arial"/>
          <w:sz w:val="12"/>
          <w:szCs w:val="12"/>
          <w:color w:val="auto"/>
        </w:rPr>
        <w:t xml:space="preserve"> also recognized Busey as a Best-in-State Bank, based on rankings of customer service, quality of financial advice, fee structures, ease of digital services, accessing help at branch locations and the degree of trust inspired. Busey was also named among the 2024 Best Banks to Work For by </w:t>
      </w:r>
      <w:r>
        <w:rPr>
          <w:rFonts w:ascii="Arial" w:cs="Arial" w:eastAsia="Arial" w:hAnsi="Arial"/>
          <w:sz w:val="12"/>
          <w:szCs w:val="12"/>
          <w:i w:val="1"/>
          <w:iCs w:val="1"/>
          <w:color w:val="auto"/>
        </w:rPr>
        <w:t>American Banker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and </w:t>
      </w:r>
      <w:r>
        <w:rPr>
          <w:rFonts w:ascii="Arial" w:cs="Arial" w:eastAsia="Arial" w:hAnsi="Arial"/>
          <w:sz w:val="12"/>
          <w:szCs w:val="12"/>
          <w:color w:val="auto"/>
        </w:rPr>
        <w:t>the 2024 Best Places to Work in Money Management by</w:t>
      </w:r>
      <w:r>
        <w:rPr>
          <w:rFonts w:ascii="Arial" w:cs="Arial" w:eastAsia="Arial" w:hAnsi="Arial"/>
          <w:sz w:val="12"/>
          <w:szCs w:val="12"/>
          <w:i w:val="1"/>
          <w:iCs w:val="1"/>
          <w:color w:val="auto"/>
        </w:rPr>
        <w:t xml:space="preserve"> Pensions and Investments. </w:t>
      </w:r>
      <w:r>
        <w:rPr>
          <w:rFonts w:ascii="Arial" w:cs="Arial" w:eastAsia="Arial" w:hAnsi="Arial"/>
          <w:sz w:val="12"/>
          <w:szCs w:val="12"/>
          <w:color w:val="auto"/>
        </w:rPr>
        <w:t>We are honored to be consistently recognized as an outstanding financial services organization with an engaged culture of</w:t>
      </w:r>
      <w:r>
        <w:rPr>
          <w:rFonts w:ascii="Arial" w:cs="Arial" w:eastAsia="Arial" w:hAnsi="Arial"/>
          <w:sz w:val="12"/>
          <w:szCs w:val="12"/>
          <w:i w:val="1"/>
          <w:iCs w:val="1"/>
          <w:color w:val="auto"/>
        </w:rPr>
        <w:t xml:space="preserve"> </w:t>
      </w:r>
      <w:r>
        <w:rPr>
          <w:rFonts w:ascii="Arial" w:cs="Arial" w:eastAsia="Arial" w:hAnsi="Arial"/>
          <w:sz w:val="12"/>
          <w:szCs w:val="12"/>
          <w:color w:val="auto"/>
        </w:rPr>
        <w:t>integrity and commitment to community development.</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12</w:t>
      </w:r>
    </w:p>
    <w:p>
      <w:pPr>
        <w:sectPr>
          <w:pgSz w:w="11900" w:h="16838" w:orient="portrait"/>
          <w:cols w:equalWidth="0" w:num="1">
            <w:col w:w="11300"/>
          </w:cols>
          <w:pgMar w:left="300" w:top="910" w:right="299" w:bottom="1440" w:gutter="0" w:footer="0" w:header="0"/>
        </w:sectPr>
      </w:pPr>
    </w:p>
    <w:bookmarkStart w:id="16" w:name="page17"/>
    <w:bookmarkEnd w:id="16"/>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NON-GAAP FINANCIAL INFORMATION</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This earnings release contains certain financial information determined by methods other than GAAP. Management uses these non-GAAP measures, together with the related GAAP measures, in analysis of Busey’s performance and in making business decisions, as well as for comparison to Busey’s peers. Busey believes the adjusted measures are useful for investors and management to understand the effects of certain non-core and non-recurring items and provide additional perspective on Busey’s performance over time.</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present reconciliations between these non-GAAP measures and what management believes to be the most directly comparable GAAP financial measures.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These non-GAAP disclosures have inherent limitations and are not audited. They should not be considered in isolation or as a substitute for operating results reported in accordance with GAAP, nor are they necessarily comparable to non-GAAP performance measures that may be presented by other companies. Tax effected numbers included in these non-GAAP disclosures are based on estimated statutory rates, estimated federal income tax rates, or effective tax rates, as noted with the tables below.</w:t>
      </w:r>
    </w:p>
    <w:p>
      <w:pPr>
        <w:spacing w:after="0" w:line="36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13</w:t>
      </w:r>
    </w:p>
    <w:p>
      <w:pPr>
        <w:sectPr>
          <w:pgSz w:w="11900" w:h="16838" w:orient="portrait"/>
          <w:cols w:equalWidth="0" w:num="1">
            <w:col w:w="11300"/>
          </w:cols>
          <w:pgMar w:left="300" w:top="910" w:right="299" w:bottom="1440" w:gutter="0" w:footer="0" w:header="0"/>
        </w:sectPr>
      </w:pPr>
    </w:p>
    <w:bookmarkStart w:id="17" w:name="page18"/>
    <w:bookmarkEnd w:id="17"/>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Pre-Provision Net Revenue and Related Measures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7"/>
              </w:rPr>
              <w:t>Three Months Ended</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2"/>
          </w:tcPr>
          <w:p>
            <w:pPr>
              <w:ind w:left="180"/>
              <w:spacing w:after="0" w:line="88" w:lineRule="exact"/>
              <w:rPr>
                <w:sz w:val="20"/>
                <w:szCs w:val="20"/>
                <w:color w:val="auto"/>
              </w:rPr>
            </w:pPr>
            <w:r>
              <w:rPr>
                <w:rFonts w:ascii="Arial" w:cs="Arial" w:eastAsia="Arial" w:hAnsi="Arial"/>
                <w:sz w:val="10"/>
                <w:szCs w:val="10"/>
                <w:b w:val="1"/>
                <w:bCs w:val="1"/>
                <w:color w:val="auto"/>
              </w:rPr>
              <w:t>June 30,</w:t>
            </w:r>
          </w:p>
        </w:tc>
        <w:tc>
          <w:tcPr>
            <w:tcW w:w="120" w:type="dxa"/>
            <w:vAlign w:val="bottom"/>
          </w:tcPr>
          <w:p>
            <w:pPr>
              <w:spacing w:after="0"/>
              <w:rPr>
                <w:sz w:val="7"/>
                <w:szCs w:val="7"/>
                <w:color w:val="auto"/>
              </w:rPr>
            </w:pPr>
          </w:p>
        </w:tc>
        <w:tc>
          <w:tcPr>
            <w:tcW w:w="128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rPr>
              <w:t>March 31,</w:t>
            </w:r>
          </w:p>
        </w:tc>
        <w:tc>
          <w:tcPr>
            <w:tcW w:w="260" w:type="dxa"/>
            <w:vAlign w:val="bottom"/>
          </w:tcPr>
          <w:p>
            <w:pPr>
              <w:spacing w:after="0"/>
              <w:rPr>
                <w:sz w:val="7"/>
                <w:szCs w:val="7"/>
                <w:color w:val="auto"/>
              </w:rPr>
            </w:pPr>
          </w:p>
        </w:tc>
        <w:tc>
          <w:tcPr>
            <w:tcW w:w="1060" w:type="dxa"/>
            <w:vAlign w:val="bottom"/>
          </w:tcPr>
          <w:p>
            <w:pPr>
              <w:jc w:val="right"/>
              <w:ind w:right="381"/>
              <w:spacing w:after="0" w:line="88"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gridSpan w:val="2"/>
          </w:tcPr>
          <w:p>
            <w:pPr>
              <w:ind w:left="180"/>
              <w:spacing w:after="0" w:line="88" w:lineRule="exact"/>
              <w:rPr>
                <w:sz w:val="20"/>
                <w:szCs w:val="20"/>
                <w:color w:val="auto"/>
              </w:rPr>
            </w:pPr>
            <w:r>
              <w:rPr>
                <w:rFonts w:ascii="Arial" w:cs="Arial" w:eastAsia="Arial" w:hAnsi="Arial"/>
                <w:sz w:val="10"/>
                <w:szCs w:val="10"/>
                <w:b w:val="1"/>
                <w:bCs w:val="1"/>
                <w:color w:val="auto"/>
              </w:rPr>
              <w:t>June 30,</w:t>
            </w:r>
          </w:p>
        </w:tc>
        <w:tc>
          <w:tcPr>
            <w:tcW w:w="440" w:type="dxa"/>
            <w:vAlign w:val="bottom"/>
          </w:tcPr>
          <w:p>
            <w:pPr>
              <w:spacing w:after="0"/>
              <w:rPr>
                <w:sz w:val="7"/>
                <w:szCs w:val="7"/>
                <w:color w:val="auto"/>
              </w:rPr>
            </w:pPr>
          </w:p>
        </w:tc>
        <w:tc>
          <w:tcPr>
            <w:tcW w:w="880" w:type="dxa"/>
            <w:vAlign w:val="bottom"/>
          </w:tcPr>
          <w:p>
            <w:pPr>
              <w:jc w:val="right"/>
              <w:ind w:right="381"/>
              <w:spacing w:after="0" w:line="88" w:lineRule="exact"/>
              <w:rPr>
                <w:sz w:val="20"/>
                <w:szCs w:val="20"/>
                <w:color w:val="auto"/>
              </w:rPr>
            </w:pPr>
            <w:r>
              <w:rPr>
                <w:rFonts w:ascii="Arial" w:cs="Arial" w:eastAsia="Arial" w:hAnsi="Arial"/>
                <w:sz w:val="10"/>
                <w:szCs w:val="10"/>
                <w:b w:val="1"/>
                <w:bCs w:val="1"/>
                <w:color w:val="auto"/>
              </w:rPr>
              <w:t>June 30,</w:t>
            </w:r>
          </w:p>
        </w:tc>
        <w:tc>
          <w:tcPr>
            <w:tcW w:w="0" w:type="dxa"/>
            <w:vAlign w:val="bottom"/>
          </w:tcPr>
          <w:p>
            <w:pPr>
              <w:spacing w:after="0"/>
              <w:rPr>
                <w:sz w:val="1"/>
                <w:szCs w:val="1"/>
                <w:color w:val="auto"/>
              </w:rPr>
            </w:pPr>
          </w:p>
        </w:tc>
      </w:tr>
      <w:tr>
        <w:trPr>
          <w:trHeight w:val="144"/>
        </w:trPr>
        <w:tc>
          <w:tcPr>
            <w:tcW w:w="3700" w:type="dxa"/>
            <w:vAlign w:val="bottom"/>
            <w:tcBorders>
              <w:bottom w:val="single" w:sz="8" w:color="E0E7ED"/>
            </w:tcBorders>
          </w:tcPr>
          <w:p>
            <w:pPr>
              <w:spacing w:after="0"/>
              <w:rPr>
                <w:sz w:val="20"/>
                <w:szCs w:val="20"/>
                <w:color w:val="auto"/>
              </w:rPr>
            </w:pPr>
            <w:r>
              <w:rPr>
                <w:rFonts w:ascii="Arial" w:cs="Arial" w:eastAsia="Arial" w:hAnsi="Arial"/>
                <w:sz w:val="10"/>
                <w:szCs w:val="10"/>
                <w:i w:val="1"/>
                <w:iCs w:val="1"/>
                <w:color w:val="auto"/>
              </w:rPr>
              <w:t>(dollars in thousands)</w:t>
            </w:r>
          </w:p>
        </w:tc>
        <w:tc>
          <w:tcPr>
            <w:tcW w:w="70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2025</w:t>
            </w:r>
          </w:p>
        </w:tc>
        <w:tc>
          <w:tcPr>
            <w:tcW w:w="60" w:type="dxa"/>
            <w:vAlign w:val="bottom"/>
            <w:tcBorders>
              <w:bottom w:val="single" w:sz="8" w:color="E0E7ED"/>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1"/>
                <w:szCs w:val="11"/>
                <w:b w:val="1"/>
                <w:bCs w:val="1"/>
                <w:color w:val="auto"/>
                <w:w w:val="97"/>
              </w:rPr>
              <w:t>2025</w:t>
            </w:r>
          </w:p>
        </w:tc>
        <w:tc>
          <w:tcPr>
            <w:tcW w:w="6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9"/>
        </w:trPr>
        <w:tc>
          <w:tcPr>
            <w:tcW w:w="37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interest income (GAAP)</w:t>
            </w:r>
          </w:p>
        </w:tc>
        <w:tc>
          <w:tcPr>
            <w:tcW w:w="70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153,183</w:t>
            </w:r>
          </w:p>
        </w:tc>
        <w:tc>
          <w:tcPr>
            <w:tcW w:w="60" w:type="dxa"/>
            <w:vAlign w:val="bottom"/>
            <w:shd w:val="clear" w:color="auto" w:fill="E0E7ED"/>
          </w:tcPr>
          <w:p>
            <w:pPr>
              <w:spacing w:after="0"/>
              <w:rPr>
                <w:sz w:val="14"/>
                <w:szCs w:val="14"/>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103,731</w:t>
            </w:r>
          </w:p>
        </w:tc>
        <w:tc>
          <w:tcPr>
            <w:tcW w:w="6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82,532</w:t>
            </w: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256,914</w:t>
            </w:r>
          </w:p>
        </w:tc>
        <w:tc>
          <w:tcPr>
            <w:tcW w:w="80" w:type="dxa"/>
            <w:vAlign w:val="bottom"/>
            <w:shd w:val="clear" w:color="auto" w:fill="E0E7ED"/>
          </w:tcPr>
          <w:p>
            <w:pPr>
              <w:spacing w:after="0"/>
              <w:rPr>
                <w:sz w:val="14"/>
                <w:szCs w:val="14"/>
                <w:color w:val="auto"/>
              </w:rPr>
            </w:pPr>
          </w:p>
        </w:tc>
        <w:tc>
          <w:tcPr>
            <w:tcW w:w="440" w:type="dxa"/>
            <w:vAlign w:val="bottom"/>
            <w:shd w:val="clear" w:color="auto" w:fill="E0E7ED"/>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158,386</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20"/>
                <w:szCs w:val="20"/>
                <w:color w:val="auto"/>
              </w:rPr>
            </w:pPr>
            <w:r>
              <w:rPr>
                <w:rFonts w:ascii="Arial" w:cs="Arial" w:eastAsia="Arial" w:hAnsi="Arial"/>
                <w:sz w:val="12"/>
                <w:szCs w:val="12"/>
                <w:b w:val="1"/>
                <w:bCs w:val="1"/>
                <w:color w:val="auto"/>
              </w:rPr>
              <w:t>Total noninterest income (GAAP)</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44,863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21,223</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33,703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color w:val="auto"/>
              </w:rPr>
              <w:t>66,086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68,616</w:t>
            </w:r>
          </w:p>
        </w:tc>
        <w:tc>
          <w:tcPr>
            <w:tcW w:w="0" w:type="dxa"/>
            <w:vAlign w:val="bottom"/>
          </w:tcPr>
          <w:p>
            <w:pPr>
              <w:spacing w:after="0"/>
              <w:rPr>
                <w:sz w:val="1"/>
                <w:szCs w:val="1"/>
                <w:color w:val="auto"/>
              </w:rPr>
            </w:pPr>
          </w:p>
        </w:tc>
      </w:tr>
      <w:tr>
        <w:trPr>
          <w:trHeight w:val="185"/>
        </w:trPr>
        <w:tc>
          <w:tcPr>
            <w:tcW w:w="37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security (gains) losses (GAAP)</w:t>
            </w:r>
          </w:p>
        </w:tc>
        <w:tc>
          <w:tcPr>
            <w:tcW w:w="70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61"/>
              <w:spacing w:after="0"/>
              <w:rPr>
                <w:sz w:val="20"/>
                <w:szCs w:val="20"/>
                <w:color w:val="auto"/>
              </w:rPr>
            </w:pPr>
            <w:r>
              <w:rPr>
                <w:rFonts w:ascii="Arial" w:cs="Arial" w:eastAsia="Arial" w:hAnsi="Arial"/>
                <w:sz w:val="12"/>
                <w:szCs w:val="12"/>
                <w:color w:val="auto"/>
              </w:rPr>
              <w:t>(5,997)</w:t>
            </w:r>
          </w:p>
        </w:tc>
        <w:tc>
          <w:tcPr>
            <w:tcW w:w="6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2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15,768</w:t>
            </w:r>
          </w:p>
        </w:tc>
        <w:tc>
          <w:tcPr>
            <w:tcW w:w="6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353</w:t>
            </w: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9,771</w:t>
            </w:r>
          </w:p>
        </w:tc>
        <w:tc>
          <w:tcPr>
            <w:tcW w:w="80" w:type="dxa"/>
            <w:vAlign w:val="bottom"/>
            <w:shd w:val="clear" w:color="auto" w:fill="E0E7ED"/>
          </w:tcPr>
          <w:p>
            <w:pPr>
              <w:spacing w:after="0"/>
              <w:rPr>
                <w:sz w:val="16"/>
                <w:szCs w:val="16"/>
                <w:color w:val="auto"/>
              </w:rPr>
            </w:pPr>
          </w:p>
        </w:tc>
        <w:tc>
          <w:tcPr>
            <w:tcW w:w="440" w:type="dxa"/>
            <w:vAlign w:val="bottom"/>
            <w:shd w:val="clear" w:color="auto" w:fill="E0E7ED"/>
          </w:tcPr>
          <w:p>
            <w:pPr>
              <w:spacing w:after="0"/>
              <w:rPr>
                <w:sz w:val="16"/>
                <w:szCs w:val="16"/>
                <w:color w:val="auto"/>
              </w:rPr>
            </w:pP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6,728</w:t>
            </w:r>
          </w:p>
        </w:tc>
        <w:tc>
          <w:tcPr>
            <w:tcW w:w="0" w:type="dxa"/>
            <w:vAlign w:val="bottom"/>
          </w:tcPr>
          <w:p>
            <w:pPr>
              <w:spacing w:after="0"/>
              <w:rPr>
                <w:sz w:val="1"/>
                <w:szCs w:val="1"/>
                <w:color w:val="auto"/>
              </w:rPr>
            </w:pPr>
          </w:p>
        </w:tc>
      </w:tr>
      <w:tr>
        <w:trPr>
          <w:trHeight w:val="180"/>
        </w:trPr>
        <w:tc>
          <w:tcPr>
            <w:tcW w:w="3700" w:type="dxa"/>
            <w:vAlign w:val="bottom"/>
            <w:tcBorders>
              <w:bottom w:val="single" w:sz="8" w:color="E0E7ED"/>
            </w:tcBorders>
          </w:tcPr>
          <w:p>
            <w:pPr>
              <w:spacing w:after="0"/>
              <w:rPr>
                <w:sz w:val="20"/>
                <w:szCs w:val="20"/>
                <w:color w:val="auto"/>
              </w:rPr>
            </w:pPr>
            <w:r>
              <w:rPr>
                <w:rFonts w:ascii="Arial" w:cs="Arial" w:eastAsia="Arial" w:hAnsi="Arial"/>
                <w:sz w:val="12"/>
                <w:szCs w:val="12"/>
                <w:b w:val="1"/>
                <w:bCs w:val="1"/>
                <w:color w:val="auto"/>
              </w:rPr>
              <w:t>Total noninterest expense (GAAP)</w:t>
            </w:r>
            <w:r>
              <w:rPr>
                <w:rFonts w:ascii="Arial" w:cs="Arial" w:eastAsia="Arial" w:hAnsi="Arial"/>
                <w:sz w:val="15"/>
                <w:szCs w:val="15"/>
                <w:b w:val="1"/>
                <w:bCs w:val="1"/>
                <w:color w:val="auto"/>
                <w:vertAlign w:val="superscript"/>
              </w:rPr>
              <w:t>1</w:t>
            </w:r>
          </w:p>
        </w:tc>
        <w:tc>
          <w:tcPr>
            <w:tcW w:w="70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(127,833)</w:t>
            </w:r>
          </w:p>
        </w:tc>
        <w:tc>
          <w:tcPr>
            <w:tcW w:w="6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(112,030)</w:t>
            </w:r>
          </w:p>
        </w:tc>
        <w:tc>
          <w:tcPr>
            <w:tcW w:w="6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(75,906)</w:t>
            </w:r>
          </w:p>
        </w:tc>
        <w:tc>
          <w:tcPr>
            <w:tcW w:w="8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(239,863)</w:t>
            </w:r>
          </w:p>
        </w:tc>
        <w:tc>
          <w:tcPr>
            <w:tcW w:w="80" w:type="dxa"/>
            <w:vAlign w:val="bottom"/>
            <w:tcBorders>
              <w:bottom w:val="single" w:sz="8" w:color="E0E7ED"/>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(147,353)</w:t>
            </w:r>
          </w:p>
        </w:tc>
        <w:tc>
          <w:tcPr>
            <w:tcW w:w="0" w:type="dxa"/>
            <w:vAlign w:val="bottom"/>
          </w:tcPr>
          <w:p>
            <w:pPr>
              <w:spacing w:after="0"/>
              <w:rPr>
                <w:sz w:val="1"/>
                <w:szCs w:val="1"/>
                <w:color w:val="auto"/>
              </w:rPr>
            </w:pPr>
          </w:p>
        </w:tc>
      </w:tr>
      <w:tr>
        <w:trPr>
          <w:trHeight w:val="169"/>
        </w:trPr>
        <w:tc>
          <w:tcPr>
            <w:tcW w:w="3700" w:type="dxa"/>
            <w:vAlign w:val="bottom"/>
            <w:shd w:val="clear" w:color="auto" w:fill="E0E7ED"/>
          </w:tcPr>
          <w:p>
            <w:pPr>
              <w:spacing w:after="0"/>
              <w:rPr>
                <w:sz w:val="20"/>
                <w:szCs w:val="20"/>
                <w:color w:val="auto"/>
              </w:rPr>
            </w:pPr>
            <w:r>
              <w:rPr>
                <w:rFonts w:ascii="Arial" w:cs="Arial" w:eastAsia="Arial" w:hAnsi="Arial"/>
                <w:sz w:val="12"/>
                <w:szCs w:val="12"/>
                <w:color w:val="auto"/>
              </w:rPr>
              <w:t>Pre-provision net revenue (Non-GAAP)</w:t>
            </w:r>
          </w:p>
        </w:tc>
        <w:tc>
          <w:tcPr>
            <w:tcW w:w="7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w:t>
            </w:r>
          </w:p>
        </w:tc>
        <w:tc>
          <w:tcPr>
            <w:tcW w:w="260" w:type="dxa"/>
            <w:vAlign w:val="bottom"/>
            <w:shd w:val="clear" w:color="auto" w:fill="E0E7ED"/>
          </w:tcPr>
          <w:p>
            <w:pPr>
              <w:spacing w:after="0"/>
              <w:rPr>
                <w:sz w:val="14"/>
                <w:szCs w:val="14"/>
                <w:color w:val="auto"/>
              </w:rPr>
            </w:pP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64,216</w:t>
            </w:r>
          </w:p>
        </w:tc>
        <w:tc>
          <w:tcPr>
            <w:tcW w:w="60" w:type="dxa"/>
            <w:vAlign w:val="bottom"/>
            <w:shd w:val="clear" w:color="auto" w:fill="E0E7ED"/>
          </w:tcPr>
          <w:p>
            <w:pPr>
              <w:spacing w:after="0"/>
              <w:rPr>
                <w:sz w:val="14"/>
                <w:szCs w:val="14"/>
                <w:color w:val="auto"/>
              </w:rPr>
            </w:pPr>
          </w:p>
        </w:tc>
        <w:tc>
          <w:tcPr>
            <w:tcW w:w="120" w:type="dxa"/>
            <w:vAlign w:val="bottom"/>
            <w:shd w:val="clear" w:color="auto" w:fill="E0E7ED"/>
          </w:tcPr>
          <w:p>
            <w:pPr>
              <w:spacing w:after="0"/>
              <w:rPr>
                <w:sz w:val="14"/>
                <w:szCs w:val="14"/>
                <w:color w:val="auto"/>
              </w:rPr>
            </w:pPr>
          </w:p>
        </w:tc>
        <w:tc>
          <w:tcPr>
            <w:tcW w:w="12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28,692</w:t>
            </w:r>
          </w:p>
        </w:tc>
        <w:tc>
          <w:tcPr>
            <w:tcW w:w="6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40,682</w:t>
            </w: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92,908</w:t>
            </w:r>
          </w:p>
        </w:tc>
        <w:tc>
          <w:tcPr>
            <w:tcW w:w="80" w:type="dxa"/>
            <w:vAlign w:val="bottom"/>
            <w:shd w:val="clear" w:color="auto" w:fill="E0E7ED"/>
          </w:tcPr>
          <w:p>
            <w:pPr>
              <w:spacing w:after="0"/>
              <w:rPr>
                <w:sz w:val="14"/>
                <w:szCs w:val="14"/>
                <w:color w:val="auto"/>
              </w:rPr>
            </w:pPr>
          </w:p>
        </w:tc>
        <w:tc>
          <w:tcPr>
            <w:tcW w:w="440" w:type="dxa"/>
            <w:vAlign w:val="bottom"/>
            <w:shd w:val="clear" w:color="auto" w:fill="E0E7ED"/>
          </w:tcPr>
          <w:p>
            <w:pPr>
              <w:spacing w:after="0"/>
              <w:rPr>
                <w:sz w:val="14"/>
                <w:szCs w:val="14"/>
                <w:color w:val="auto"/>
              </w:rPr>
            </w:pP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86,377</w:t>
            </w:r>
          </w:p>
        </w:tc>
        <w:tc>
          <w:tcPr>
            <w:tcW w:w="0" w:type="dxa"/>
            <w:vAlign w:val="bottom"/>
          </w:tcPr>
          <w:p>
            <w:pPr>
              <w:spacing w:after="0"/>
              <w:rPr>
                <w:sz w:val="1"/>
                <w:szCs w:val="1"/>
                <w:color w:val="auto"/>
              </w:rPr>
            </w:pPr>
          </w:p>
        </w:tc>
      </w:tr>
      <w:tr>
        <w:trPr>
          <w:trHeight w:val="149"/>
        </w:trPr>
        <w:tc>
          <w:tcPr>
            <w:tcW w:w="3700" w:type="dxa"/>
            <w:vAlign w:val="bottom"/>
          </w:tcPr>
          <w:p>
            <w:pPr>
              <w:ind w:left="120"/>
              <w:spacing w:after="0"/>
              <w:rPr>
                <w:sz w:val="20"/>
                <w:szCs w:val="20"/>
                <w:color w:val="auto"/>
              </w:rPr>
            </w:pPr>
            <w:r>
              <w:rPr>
                <w:rFonts w:ascii="Arial" w:cs="Arial" w:eastAsia="Arial" w:hAnsi="Arial"/>
                <w:sz w:val="12"/>
                <w:szCs w:val="12"/>
                <w:color w:val="auto"/>
              </w:rPr>
              <w:t>Acquisition and restructuring expenses, excluding initial provision</w:t>
            </w: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00" w:type="dxa"/>
            <w:vAlign w:val="bottom"/>
          </w:tcPr>
          <w:p>
            <w:pPr>
              <w:ind w:left="120"/>
              <w:spacing w:after="0"/>
              <w:rPr>
                <w:sz w:val="20"/>
                <w:szCs w:val="20"/>
                <w:color w:val="auto"/>
              </w:rPr>
            </w:pPr>
            <w:r>
              <w:rPr>
                <w:rFonts w:ascii="Arial" w:cs="Arial" w:eastAsia="Arial" w:hAnsi="Arial"/>
                <w:sz w:val="12"/>
                <w:szCs w:val="12"/>
                <w:color w:val="auto"/>
              </w:rPr>
              <w:t>expenses</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16,600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26,026</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2,212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color w:val="auto"/>
              </w:rPr>
              <w:t>42,626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2,620</w:t>
            </w:r>
          </w:p>
        </w:tc>
        <w:tc>
          <w:tcPr>
            <w:tcW w:w="0" w:type="dxa"/>
            <w:vAlign w:val="bottom"/>
          </w:tcPr>
          <w:p>
            <w:pPr>
              <w:spacing w:after="0"/>
              <w:rPr>
                <w:sz w:val="1"/>
                <w:szCs w:val="1"/>
                <w:color w:val="auto"/>
              </w:rPr>
            </w:pPr>
          </w:p>
        </w:tc>
      </w:tr>
      <w:tr>
        <w:trPr>
          <w:trHeight w:val="180"/>
        </w:trPr>
        <w:tc>
          <w:tcPr>
            <w:tcW w:w="37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Realized net (gains) losses on the sale of mortgage service rights</w:t>
            </w:r>
          </w:p>
        </w:tc>
        <w:tc>
          <w:tcPr>
            <w:tcW w:w="70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12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E0E7ED"/>
          </w:tcPr>
          <w:p>
            <w:pPr>
              <w:spacing w:after="0"/>
              <w:rPr>
                <w:sz w:val="15"/>
                <w:szCs w:val="15"/>
                <w:color w:val="auto"/>
              </w:rPr>
            </w:pPr>
          </w:p>
        </w:tc>
        <w:tc>
          <w:tcPr>
            <w:tcW w:w="128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61"/>
              <w:spacing w:after="0"/>
              <w:rPr>
                <w:sz w:val="20"/>
                <w:szCs w:val="20"/>
                <w:color w:val="auto"/>
              </w:rPr>
            </w:pPr>
            <w:r>
              <w:rPr>
                <w:rFonts w:ascii="Arial" w:cs="Arial" w:eastAsia="Arial" w:hAnsi="Arial"/>
                <w:sz w:val="12"/>
                <w:szCs w:val="12"/>
                <w:color w:val="auto"/>
              </w:rPr>
              <w:t>(277)</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14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61"/>
              <w:spacing w:after="0"/>
              <w:rPr>
                <w:sz w:val="20"/>
                <w:szCs w:val="20"/>
                <w:color w:val="auto"/>
              </w:rPr>
            </w:pPr>
            <w:r>
              <w:rPr>
                <w:rFonts w:ascii="Arial" w:cs="Arial" w:eastAsia="Arial" w:hAnsi="Arial"/>
                <w:sz w:val="12"/>
                <w:szCs w:val="12"/>
                <w:color w:val="auto"/>
              </w:rPr>
              <w:t>(7,742)</w:t>
            </w:r>
          </w:p>
        </w:tc>
        <w:tc>
          <w:tcPr>
            <w:tcW w:w="0" w:type="dxa"/>
            <w:vAlign w:val="bottom"/>
          </w:tcPr>
          <w:p>
            <w:pPr>
              <w:spacing w:after="0"/>
              <w:rPr>
                <w:sz w:val="1"/>
                <w:szCs w:val="1"/>
                <w:color w:val="auto"/>
              </w:rPr>
            </w:pPr>
          </w:p>
        </w:tc>
      </w:tr>
      <w:tr>
        <w:trPr>
          <w:trHeight w:val="193"/>
        </w:trPr>
        <w:tc>
          <w:tcPr>
            <w:tcW w:w="370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Adjusted pre-provision net revenue (Non-GAAP)</w:t>
            </w:r>
          </w:p>
        </w:tc>
        <w:tc>
          <w:tcPr>
            <w:tcW w:w="7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[b]</w:t>
            </w: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80,816</w:t>
            </w:r>
          </w:p>
        </w:tc>
        <w:tc>
          <w:tcPr>
            <w:tcW w:w="60" w:type="dxa"/>
            <w:vAlign w:val="bottom"/>
            <w:tcBorders>
              <w:bottom w:val="single" w:sz="8" w:color="E0E7ED"/>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54,718</w:t>
            </w:r>
          </w:p>
        </w:tc>
        <w:tc>
          <w:tcPr>
            <w:tcW w:w="60" w:type="dxa"/>
            <w:vAlign w:val="bottom"/>
            <w:tcBorders>
              <w:bottom w:val="single" w:sz="8" w:color="E0E7ED"/>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42,617</w:t>
            </w:r>
          </w:p>
        </w:tc>
        <w:tc>
          <w:tcPr>
            <w:tcW w:w="80" w:type="dxa"/>
            <w:vAlign w:val="bottom"/>
            <w:tcBorders>
              <w:bottom w:val="single" w:sz="8" w:color="E0E7ED"/>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2"/>
                <w:szCs w:val="12"/>
                <w:color w:val="auto"/>
              </w:rPr>
              <w:t>135,534</w:t>
            </w:r>
          </w:p>
        </w:tc>
        <w:tc>
          <w:tcPr>
            <w:tcW w:w="80" w:type="dxa"/>
            <w:vAlign w:val="bottom"/>
            <w:tcBorders>
              <w:bottom w:val="single" w:sz="8" w:color="E0E7ED"/>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81,255</w:t>
            </w:r>
          </w:p>
        </w:tc>
        <w:tc>
          <w:tcPr>
            <w:tcW w:w="0" w:type="dxa"/>
            <w:vAlign w:val="bottom"/>
          </w:tcPr>
          <w:p>
            <w:pPr>
              <w:spacing w:after="0"/>
              <w:rPr>
                <w:sz w:val="1"/>
                <w:szCs w:val="1"/>
                <w:color w:val="auto"/>
              </w:rPr>
            </w:pPr>
          </w:p>
        </w:tc>
      </w:tr>
      <w:tr>
        <w:trPr>
          <w:trHeight w:val="162"/>
        </w:trPr>
        <w:tc>
          <w:tcPr>
            <w:tcW w:w="3700" w:type="dxa"/>
            <w:vAlign w:val="bottom"/>
            <w:shd w:val="clear" w:color="auto" w:fill="E0E7ED"/>
          </w:tcPr>
          <w:p>
            <w:pPr>
              <w:spacing w:after="0"/>
              <w:rPr>
                <w:sz w:val="14"/>
                <w:szCs w:val="14"/>
                <w:color w:val="auto"/>
              </w:rPr>
            </w:pPr>
          </w:p>
        </w:tc>
        <w:tc>
          <w:tcPr>
            <w:tcW w:w="70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120" w:type="dxa"/>
            <w:vAlign w:val="bottom"/>
            <w:shd w:val="clear" w:color="auto" w:fill="E0E7ED"/>
          </w:tcPr>
          <w:p>
            <w:pPr>
              <w:spacing w:after="0"/>
              <w:rPr>
                <w:sz w:val="14"/>
                <w:szCs w:val="14"/>
                <w:color w:val="auto"/>
              </w:rPr>
            </w:pPr>
          </w:p>
        </w:tc>
        <w:tc>
          <w:tcPr>
            <w:tcW w:w="1220" w:type="dxa"/>
            <w:vAlign w:val="bottom"/>
            <w:shd w:val="clear" w:color="auto" w:fill="E0E7ED"/>
          </w:tcPr>
          <w:p>
            <w:pPr>
              <w:spacing w:after="0"/>
              <w:rPr>
                <w:sz w:val="14"/>
                <w:szCs w:val="14"/>
                <w:color w:val="auto"/>
              </w:rPr>
            </w:pPr>
          </w:p>
        </w:tc>
        <w:tc>
          <w:tcPr>
            <w:tcW w:w="6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440" w:type="dxa"/>
            <w:vAlign w:val="bottom"/>
            <w:shd w:val="clear" w:color="auto" w:fill="E0E7ED"/>
          </w:tcPr>
          <w:p>
            <w:pPr>
              <w:spacing w:after="0"/>
              <w:rPr>
                <w:sz w:val="14"/>
                <w:szCs w:val="14"/>
                <w:color w:val="auto"/>
              </w:rPr>
            </w:pPr>
          </w:p>
        </w:tc>
        <w:tc>
          <w:tcPr>
            <w:tcW w:w="88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700" w:type="dxa"/>
            <w:vAlign w:val="bottom"/>
          </w:tcPr>
          <w:p>
            <w:pPr>
              <w:spacing w:after="0"/>
              <w:rPr>
                <w:sz w:val="20"/>
                <w:szCs w:val="20"/>
                <w:color w:val="auto"/>
              </w:rPr>
            </w:pPr>
            <w:r>
              <w:rPr>
                <w:rFonts w:ascii="Arial" w:cs="Arial" w:eastAsia="Arial" w:hAnsi="Arial"/>
                <w:sz w:val="12"/>
                <w:szCs w:val="12"/>
                <w:color w:val="auto"/>
              </w:rPr>
              <w:t>Average total assets</w:t>
            </w:r>
          </w:p>
        </w:tc>
        <w:tc>
          <w:tcPr>
            <w:tcW w:w="700" w:type="dxa"/>
            <w:vAlign w:val="bottom"/>
          </w:tcPr>
          <w:p>
            <w:pPr>
              <w:ind w:left="120"/>
              <w:spacing w:after="0"/>
              <w:rPr>
                <w:sz w:val="20"/>
                <w:szCs w:val="20"/>
                <w:color w:val="auto"/>
              </w:rPr>
            </w:pPr>
            <w:r>
              <w:rPr>
                <w:rFonts w:ascii="Arial" w:cs="Arial" w:eastAsia="Arial" w:hAnsi="Arial"/>
                <w:sz w:val="12"/>
                <w:szCs w:val="12"/>
                <w:color w:val="auto"/>
              </w:rPr>
              <w:t>[c]</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19,068,086</w:t>
            </w:r>
          </w:p>
        </w:tc>
        <w:tc>
          <w:tcPr>
            <w:tcW w:w="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14,831,298</w:t>
            </w:r>
          </w:p>
        </w:tc>
        <w:tc>
          <w:tcPr>
            <w:tcW w:w="6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12,089,692</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2"/>
              <w:spacing w:after="0"/>
              <w:rPr>
                <w:sz w:val="20"/>
                <w:szCs w:val="20"/>
                <w:color w:val="auto"/>
              </w:rPr>
            </w:pPr>
            <w:r>
              <w:rPr>
                <w:rFonts w:ascii="Arial" w:cs="Arial" w:eastAsia="Arial" w:hAnsi="Arial"/>
                <w:sz w:val="12"/>
                <w:szCs w:val="12"/>
                <w:color w:val="auto"/>
              </w:rPr>
              <w:t>16,961,396</w:t>
            </w:r>
          </w:p>
        </w:tc>
        <w:tc>
          <w:tcPr>
            <w:tcW w:w="8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12,056,950</w:t>
            </w:r>
          </w:p>
        </w:tc>
        <w:tc>
          <w:tcPr>
            <w:tcW w:w="0" w:type="dxa"/>
            <w:vAlign w:val="bottom"/>
          </w:tcPr>
          <w:p>
            <w:pPr>
              <w:spacing w:after="0"/>
              <w:rPr>
                <w:sz w:val="1"/>
                <w:szCs w:val="1"/>
                <w:color w:val="auto"/>
              </w:rPr>
            </w:pPr>
          </w:p>
        </w:tc>
      </w:tr>
      <w:tr>
        <w:trPr>
          <w:trHeight w:val="188"/>
        </w:trPr>
        <w:tc>
          <w:tcPr>
            <w:tcW w:w="3700" w:type="dxa"/>
            <w:vAlign w:val="bottom"/>
            <w:shd w:val="clear" w:color="auto" w:fill="E0E7ED"/>
          </w:tcPr>
          <w:p>
            <w:pPr>
              <w:spacing w:after="0"/>
              <w:rPr>
                <w:sz w:val="16"/>
                <w:szCs w:val="16"/>
                <w:color w:val="auto"/>
              </w:rPr>
            </w:pPr>
          </w:p>
        </w:tc>
        <w:tc>
          <w:tcPr>
            <w:tcW w:w="70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6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6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440" w:type="dxa"/>
            <w:vAlign w:val="bottom"/>
            <w:shd w:val="clear" w:color="auto" w:fill="E0E7ED"/>
          </w:tcPr>
          <w:p>
            <w:pPr>
              <w:spacing w:after="0"/>
              <w:rPr>
                <w:sz w:val="16"/>
                <w:szCs w:val="16"/>
                <w:color w:val="auto"/>
              </w:rPr>
            </w:pPr>
          </w:p>
        </w:tc>
        <w:tc>
          <w:tcPr>
            <w:tcW w:w="88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00" w:type="dxa"/>
            <w:vAlign w:val="bottom"/>
          </w:tcPr>
          <w:p>
            <w:pPr>
              <w:spacing w:after="0"/>
              <w:rPr>
                <w:sz w:val="20"/>
                <w:szCs w:val="20"/>
                <w:color w:val="auto"/>
              </w:rPr>
            </w:pPr>
            <w:r>
              <w:rPr>
                <w:rFonts w:ascii="Arial" w:cs="Arial" w:eastAsia="Arial" w:hAnsi="Arial"/>
                <w:sz w:val="12"/>
                <w:szCs w:val="12"/>
                <w:color w:val="auto"/>
              </w:rPr>
              <w:t>Pre-provision net revenue to average total assets (Non-GAAP)</w:t>
            </w:r>
            <w:r>
              <w:rPr>
                <w:rFonts w:ascii="Arial" w:cs="Arial" w:eastAsia="Arial" w:hAnsi="Arial"/>
                <w:sz w:val="15"/>
                <w:szCs w:val="15"/>
                <w:color w:val="auto"/>
                <w:vertAlign w:val="superscript"/>
              </w:rPr>
              <w:t>2</w:t>
            </w:r>
          </w:p>
        </w:tc>
        <w:tc>
          <w:tcPr>
            <w:tcW w:w="700" w:type="dxa"/>
            <w:vAlign w:val="bottom"/>
          </w:tcPr>
          <w:p>
            <w:pPr>
              <w:ind w:left="120"/>
              <w:spacing w:after="0"/>
              <w:rPr>
                <w:sz w:val="20"/>
                <w:szCs w:val="20"/>
                <w:color w:val="auto"/>
              </w:rPr>
            </w:pPr>
            <w:r>
              <w:rPr>
                <w:rFonts w:ascii="Arial" w:cs="Arial" w:eastAsia="Arial" w:hAnsi="Arial"/>
                <w:sz w:val="12"/>
                <w:szCs w:val="12"/>
                <w:color w:val="auto"/>
              </w:rPr>
              <w:t>[a÷c]</w:t>
            </w: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1.35 %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0.78 %</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1.35 %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1.10 %</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1.44 %</w:t>
            </w:r>
          </w:p>
        </w:tc>
        <w:tc>
          <w:tcPr>
            <w:tcW w:w="0" w:type="dxa"/>
            <w:vAlign w:val="bottom"/>
          </w:tcPr>
          <w:p>
            <w:pPr>
              <w:spacing w:after="0"/>
              <w:rPr>
                <w:sz w:val="1"/>
                <w:szCs w:val="1"/>
                <w:color w:val="auto"/>
              </w:rPr>
            </w:pPr>
          </w:p>
        </w:tc>
      </w:tr>
      <w:tr>
        <w:trPr>
          <w:trHeight w:val="148"/>
        </w:trPr>
        <w:tc>
          <w:tcPr>
            <w:tcW w:w="3700" w:type="dxa"/>
            <w:vAlign w:val="bottom"/>
            <w:shd w:val="clear" w:color="auto" w:fill="E0E7ED"/>
          </w:tcPr>
          <w:p>
            <w:pPr>
              <w:spacing w:after="0"/>
              <w:rPr>
                <w:sz w:val="20"/>
                <w:szCs w:val="20"/>
                <w:color w:val="auto"/>
              </w:rPr>
            </w:pPr>
            <w:r>
              <w:rPr>
                <w:rFonts w:ascii="Arial" w:cs="Arial" w:eastAsia="Arial" w:hAnsi="Arial"/>
                <w:sz w:val="12"/>
                <w:szCs w:val="12"/>
                <w:color w:val="auto"/>
              </w:rPr>
              <w:t>Adjusted pre-provision net revenue to average total assets (Non-</w:t>
            </w:r>
          </w:p>
        </w:tc>
        <w:tc>
          <w:tcPr>
            <w:tcW w:w="700" w:type="dxa"/>
            <w:vAlign w:val="bottom"/>
            <w:shd w:val="clear" w:color="auto" w:fill="E0E7ED"/>
          </w:tcPr>
          <w:p>
            <w:pPr>
              <w:spacing w:after="0"/>
              <w:rPr>
                <w:sz w:val="12"/>
                <w:szCs w:val="12"/>
                <w:color w:val="auto"/>
              </w:rPr>
            </w:pPr>
          </w:p>
        </w:tc>
        <w:tc>
          <w:tcPr>
            <w:tcW w:w="260" w:type="dxa"/>
            <w:vAlign w:val="bottom"/>
            <w:shd w:val="clear" w:color="auto" w:fill="E0E7ED"/>
          </w:tcPr>
          <w:p>
            <w:pPr>
              <w:spacing w:after="0"/>
              <w:rPr>
                <w:sz w:val="12"/>
                <w:szCs w:val="12"/>
                <w:color w:val="auto"/>
              </w:rPr>
            </w:pPr>
          </w:p>
        </w:tc>
        <w:tc>
          <w:tcPr>
            <w:tcW w:w="1060" w:type="dxa"/>
            <w:vAlign w:val="bottom"/>
            <w:vMerge w:val="restart"/>
            <w:shd w:val="clear" w:color="auto" w:fill="E0E7ED"/>
          </w:tcPr>
          <w:p>
            <w:pPr>
              <w:jc w:val="right"/>
              <w:spacing w:after="0"/>
              <w:rPr>
                <w:sz w:val="20"/>
                <w:szCs w:val="20"/>
                <w:color w:val="auto"/>
              </w:rPr>
            </w:pPr>
            <w:r>
              <w:rPr>
                <w:rFonts w:ascii="Arial" w:cs="Arial" w:eastAsia="Arial" w:hAnsi="Arial"/>
                <w:sz w:val="12"/>
                <w:szCs w:val="12"/>
                <w:color w:val="auto"/>
              </w:rPr>
              <w:t>1.70 %</w:t>
            </w:r>
          </w:p>
        </w:tc>
        <w:tc>
          <w:tcPr>
            <w:tcW w:w="6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1220" w:type="dxa"/>
            <w:vAlign w:val="bottom"/>
            <w:vMerge w:val="restart"/>
            <w:shd w:val="clear" w:color="auto" w:fill="E0E7ED"/>
          </w:tcPr>
          <w:p>
            <w:pPr>
              <w:jc w:val="right"/>
              <w:spacing w:after="0"/>
              <w:rPr>
                <w:sz w:val="20"/>
                <w:szCs w:val="20"/>
                <w:color w:val="auto"/>
              </w:rPr>
            </w:pPr>
            <w:r>
              <w:rPr>
                <w:rFonts w:ascii="Arial" w:cs="Arial" w:eastAsia="Arial" w:hAnsi="Arial"/>
                <w:sz w:val="12"/>
                <w:szCs w:val="12"/>
                <w:color w:val="auto"/>
              </w:rPr>
              <w:t>1.50 %</w:t>
            </w:r>
          </w:p>
        </w:tc>
        <w:tc>
          <w:tcPr>
            <w:tcW w:w="60" w:type="dxa"/>
            <w:vAlign w:val="bottom"/>
            <w:shd w:val="clear" w:color="auto" w:fill="E0E7ED"/>
          </w:tcPr>
          <w:p>
            <w:pPr>
              <w:spacing w:after="0"/>
              <w:rPr>
                <w:sz w:val="12"/>
                <w:szCs w:val="12"/>
                <w:color w:val="auto"/>
              </w:rPr>
            </w:pPr>
          </w:p>
        </w:tc>
        <w:tc>
          <w:tcPr>
            <w:tcW w:w="260" w:type="dxa"/>
            <w:vAlign w:val="bottom"/>
            <w:shd w:val="clear" w:color="auto" w:fill="E0E7ED"/>
          </w:tcPr>
          <w:p>
            <w:pPr>
              <w:spacing w:after="0"/>
              <w:rPr>
                <w:sz w:val="12"/>
                <w:szCs w:val="12"/>
                <w:color w:val="auto"/>
              </w:rPr>
            </w:pPr>
          </w:p>
        </w:tc>
        <w:tc>
          <w:tcPr>
            <w:tcW w:w="1060" w:type="dxa"/>
            <w:vAlign w:val="bottom"/>
            <w:vMerge w:val="restart"/>
            <w:shd w:val="clear" w:color="auto" w:fill="E0E7ED"/>
          </w:tcPr>
          <w:p>
            <w:pPr>
              <w:jc w:val="right"/>
              <w:spacing w:after="0"/>
              <w:rPr>
                <w:sz w:val="20"/>
                <w:szCs w:val="20"/>
                <w:color w:val="auto"/>
              </w:rPr>
            </w:pPr>
            <w:r>
              <w:rPr>
                <w:rFonts w:ascii="Arial" w:cs="Arial" w:eastAsia="Arial" w:hAnsi="Arial"/>
                <w:sz w:val="12"/>
                <w:szCs w:val="12"/>
                <w:color w:val="auto"/>
              </w:rPr>
              <w:t>1.42 %</w:t>
            </w:r>
          </w:p>
        </w:tc>
        <w:tc>
          <w:tcPr>
            <w:tcW w:w="80" w:type="dxa"/>
            <w:vAlign w:val="bottom"/>
            <w:shd w:val="clear" w:color="auto" w:fill="E0E7ED"/>
          </w:tcPr>
          <w:p>
            <w:pPr>
              <w:spacing w:after="0"/>
              <w:rPr>
                <w:sz w:val="12"/>
                <w:szCs w:val="12"/>
                <w:color w:val="auto"/>
              </w:rPr>
            </w:pPr>
          </w:p>
        </w:tc>
        <w:tc>
          <w:tcPr>
            <w:tcW w:w="260" w:type="dxa"/>
            <w:vAlign w:val="bottom"/>
            <w:shd w:val="clear" w:color="auto" w:fill="E0E7ED"/>
          </w:tcPr>
          <w:p>
            <w:pPr>
              <w:spacing w:after="0"/>
              <w:rPr>
                <w:sz w:val="12"/>
                <w:szCs w:val="12"/>
                <w:color w:val="auto"/>
              </w:rPr>
            </w:pPr>
          </w:p>
        </w:tc>
        <w:tc>
          <w:tcPr>
            <w:tcW w:w="1060" w:type="dxa"/>
            <w:vAlign w:val="bottom"/>
            <w:vMerge w:val="restart"/>
            <w:shd w:val="clear" w:color="auto" w:fill="E0E7ED"/>
          </w:tcPr>
          <w:p>
            <w:pPr>
              <w:jc w:val="right"/>
              <w:spacing w:after="0"/>
              <w:rPr>
                <w:sz w:val="20"/>
                <w:szCs w:val="20"/>
                <w:color w:val="auto"/>
              </w:rPr>
            </w:pPr>
            <w:r>
              <w:rPr>
                <w:rFonts w:ascii="Arial" w:cs="Arial" w:eastAsia="Arial" w:hAnsi="Arial"/>
                <w:sz w:val="12"/>
                <w:szCs w:val="12"/>
                <w:color w:val="auto"/>
              </w:rPr>
              <w:t>1.61 %</w:t>
            </w:r>
          </w:p>
        </w:tc>
        <w:tc>
          <w:tcPr>
            <w:tcW w:w="80" w:type="dxa"/>
            <w:vAlign w:val="bottom"/>
            <w:shd w:val="clear" w:color="auto" w:fill="E0E7ED"/>
          </w:tcPr>
          <w:p>
            <w:pPr>
              <w:spacing w:after="0"/>
              <w:rPr>
                <w:sz w:val="12"/>
                <w:szCs w:val="12"/>
                <w:color w:val="auto"/>
              </w:rPr>
            </w:pPr>
          </w:p>
        </w:tc>
        <w:tc>
          <w:tcPr>
            <w:tcW w:w="440" w:type="dxa"/>
            <w:vAlign w:val="bottom"/>
            <w:shd w:val="clear" w:color="auto" w:fill="E0E7ED"/>
          </w:tcPr>
          <w:p>
            <w:pPr>
              <w:spacing w:after="0"/>
              <w:rPr>
                <w:sz w:val="12"/>
                <w:szCs w:val="12"/>
                <w:color w:val="auto"/>
              </w:rPr>
            </w:pPr>
          </w:p>
        </w:tc>
        <w:tc>
          <w:tcPr>
            <w:tcW w:w="880" w:type="dxa"/>
            <w:vAlign w:val="bottom"/>
            <w:vMerge w:val="restart"/>
            <w:shd w:val="clear" w:color="auto" w:fill="E0E7ED"/>
          </w:tcPr>
          <w:p>
            <w:pPr>
              <w:jc w:val="right"/>
              <w:spacing w:after="0"/>
              <w:rPr>
                <w:sz w:val="20"/>
                <w:szCs w:val="20"/>
                <w:color w:val="auto"/>
              </w:rPr>
            </w:pPr>
            <w:r>
              <w:rPr>
                <w:rFonts w:ascii="Arial" w:cs="Arial" w:eastAsia="Arial" w:hAnsi="Arial"/>
                <w:sz w:val="12"/>
                <w:szCs w:val="12"/>
                <w:color w:val="auto"/>
              </w:rPr>
              <w:t>1.36 %</w:t>
            </w:r>
          </w:p>
        </w:tc>
        <w:tc>
          <w:tcPr>
            <w:tcW w:w="0" w:type="dxa"/>
            <w:vAlign w:val="bottom"/>
          </w:tcPr>
          <w:p>
            <w:pPr>
              <w:spacing w:after="0"/>
              <w:rPr>
                <w:sz w:val="1"/>
                <w:szCs w:val="1"/>
                <w:color w:val="auto"/>
              </w:rPr>
            </w:pPr>
          </w:p>
        </w:tc>
      </w:tr>
      <w:tr>
        <w:trPr>
          <w:trHeight w:val="176"/>
        </w:trPr>
        <w:tc>
          <w:tcPr>
            <w:tcW w:w="3700" w:type="dxa"/>
            <w:vAlign w:val="bottom"/>
            <w:shd w:val="clear" w:color="auto" w:fill="E0E7ED"/>
          </w:tcPr>
          <w:p>
            <w:pPr>
              <w:spacing w:after="0"/>
              <w:rPr>
                <w:sz w:val="20"/>
                <w:szCs w:val="20"/>
                <w:color w:val="auto"/>
              </w:rPr>
            </w:pPr>
            <w:r>
              <w:rPr>
                <w:rFonts w:ascii="Arial" w:cs="Arial" w:eastAsia="Arial" w:hAnsi="Arial"/>
                <w:sz w:val="12"/>
                <w:szCs w:val="12"/>
                <w:color w:val="auto"/>
              </w:rPr>
              <w:t>GAAP)</w:t>
            </w:r>
            <w:r>
              <w:rPr>
                <w:rFonts w:ascii="Arial" w:cs="Arial" w:eastAsia="Arial" w:hAnsi="Arial"/>
                <w:sz w:val="15"/>
                <w:szCs w:val="15"/>
                <w:color w:val="auto"/>
                <w:vertAlign w:val="superscript"/>
              </w:rPr>
              <w:t>2</w:t>
            </w:r>
          </w:p>
        </w:tc>
        <w:tc>
          <w:tcPr>
            <w:tcW w:w="7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[b÷c]</w:t>
            </w:r>
          </w:p>
        </w:tc>
        <w:tc>
          <w:tcPr>
            <w:tcW w:w="260" w:type="dxa"/>
            <w:vAlign w:val="bottom"/>
            <w:shd w:val="clear" w:color="auto" w:fill="E0E7ED"/>
          </w:tcPr>
          <w:p>
            <w:pPr>
              <w:spacing w:after="0"/>
              <w:rPr>
                <w:sz w:val="15"/>
                <w:szCs w:val="15"/>
                <w:color w:val="auto"/>
              </w:rPr>
            </w:pPr>
          </w:p>
        </w:tc>
        <w:tc>
          <w:tcPr>
            <w:tcW w:w="1060" w:type="dxa"/>
            <w:vAlign w:val="bottom"/>
            <w:vMerge w:val="continue"/>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1220" w:type="dxa"/>
            <w:vAlign w:val="bottom"/>
            <w:vMerge w:val="continue"/>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spacing w:after="0"/>
              <w:rPr>
                <w:sz w:val="15"/>
                <w:szCs w:val="15"/>
                <w:color w:val="auto"/>
              </w:rPr>
            </w:pPr>
          </w:p>
        </w:tc>
        <w:tc>
          <w:tcPr>
            <w:tcW w:w="8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 w:lineRule="exact"/>
        <w:rPr>
          <w:sz w:val="20"/>
          <w:szCs w:val="20"/>
          <w:color w:val="auto"/>
        </w:rPr>
      </w:pPr>
    </w:p>
    <w:p>
      <w:pPr>
        <w:ind w:left="320" w:hanging="220"/>
        <w:spacing w:after="0" w:line="244" w:lineRule="auto"/>
        <w:tabs>
          <w:tab w:leader="none" w:pos="337" w:val="left"/>
        </w:tabs>
        <w:numPr>
          <w:ilvl w:val="0"/>
          <w:numId w:val="11"/>
        </w:numPr>
        <w:rPr>
          <w:rFonts w:ascii="Arial" w:cs="Arial" w:eastAsia="Arial" w:hAnsi="Arial"/>
          <w:sz w:val="10"/>
          <w:szCs w:val="10"/>
          <w:color w:val="auto"/>
        </w:rPr>
      </w:pPr>
      <w:r>
        <w:rPr>
          <w:rFonts w:ascii="Arial" w:cs="Arial" w:eastAsia="Arial" w:hAnsi="Arial"/>
          <w:sz w:val="10"/>
          <w:szCs w:val="10"/>
          <w:color w:val="auto"/>
        </w:rPr>
        <w:t>Beginning in the second quarter of 2025, Busey revised its presentation, for all periods presented, to reclassify the provision for unfunded commitments so that it is now included within the provision for credit losses; therefore, it is no longer included within total noninterest expense.</w:t>
      </w:r>
    </w:p>
    <w:p>
      <w:pPr>
        <w:ind w:left="320" w:hanging="220"/>
        <w:spacing w:after="0"/>
        <w:tabs>
          <w:tab w:leader="none" w:pos="320" w:val="left"/>
        </w:tabs>
        <w:numPr>
          <w:ilvl w:val="0"/>
          <w:numId w:val="11"/>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14</w:t>
      </w:r>
    </w:p>
    <w:p>
      <w:pPr>
        <w:sectPr>
          <w:pgSz w:w="11900" w:h="16838" w:orient="portrait"/>
          <w:cols w:equalWidth="0" w:num="1">
            <w:col w:w="11300"/>
          </w:cols>
          <w:pgMar w:left="300" w:top="910"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Adjusted Net Income, Average Tangible Common Equity, and Related Ratios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9"/>
              </w:rPr>
              <w:t>Three Months Ended</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8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2"/>
          </w:tcPr>
          <w:p>
            <w:pPr>
              <w:ind w:left="180"/>
              <w:spacing w:after="0" w:line="89" w:lineRule="exact"/>
              <w:rPr>
                <w:sz w:val="20"/>
                <w:szCs w:val="20"/>
                <w:color w:val="auto"/>
              </w:rPr>
            </w:pPr>
            <w:r>
              <w:rPr>
                <w:rFonts w:ascii="Arial" w:cs="Arial" w:eastAsia="Arial" w:hAnsi="Arial"/>
                <w:sz w:val="10"/>
                <w:szCs w:val="10"/>
                <w:b w:val="1"/>
                <w:bCs w:val="1"/>
                <w:color w:val="auto"/>
              </w:rPr>
              <w:t>June 30,</w:t>
            </w:r>
          </w:p>
        </w:tc>
        <w:tc>
          <w:tcPr>
            <w:tcW w:w="100" w:type="dxa"/>
            <w:vAlign w:val="bottom"/>
          </w:tcPr>
          <w:p>
            <w:pPr>
              <w:spacing w:after="0"/>
              <w:rPr>
                <w:sz w:val="7"/>
                <w:szCs w:val="7"/>
                <w:color w:val="auto"/>
              </w:rPr>
            </w:pPr>
          </w:p>
        </w:tc>
        <w:tc>
          <w:tcPr>
            <w:tcW w:w="1280" w:type="dxa"/>
            <w:vAlign w:val="bottom"/>
            <w:gridSpan w:val="2"/>
          </w:tcPr>
          <w:p>
            <w:pPr>
              <w:jc w:val="center"/>
              <w:ind w:right="180"/>
              <w:spacing w:after="0" w:line="89" w:lineRule="exact"/>
              <w:rPr>
                <w:sz w:val="20"/>
                <w:szCs w:val="20"/>
                <w:color w:val="auto"/>
              </w:rPr>
            </w:pPr>
            <w:r>
              <w:rPr>
                <w:rFonts w:ascii="Arial" w:cs="Arial" w:eastAsia="Arial" w:hAnsi="Arial"/>
                <w:sz w:val="10"/>
                <w:szCs w:val="10"/>
                <w:b w:val="1"/>
                <w:bCs w:val="1"/>
                <w:color w:val="auto"/>
              </w:rPr>
              <w:t>March 31,</w:t>
            </w:r>
          </w:p>
        </w:tc>
        <w:tc>
          <w:tcPr>
            <w:tcW w:w="260" w:type="dxa"/>
            <w:vAlign w:val="bottom"/>
          </w:tcPr>
          <w:p>
            <w:pPr>
              <w:spacing w:after="0"/>
              <w:rPr>
                <w:sz w:val="7"/>
                <w:szCs w:val="7"/>
                <w:color w:val="auto"/>
              </w:rPr>
            </w:pPr>
          </w:p>
        </w:tc>
        <w:tc>
          <w:tcPr>
            <w:tcW w:w="1060" w:type="dxa"/>
            <w:vAlign w:val="bottom"/>
          </w:tcPr>
          <w:p>
            <w:pPr>
              <w:jc w:val="right"/>
              <w:ind w:right="381"/>
              <w:spacing w:after="0" w:line="89"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gridSpan w:val="2"/>
          </w:tcPr>
          <w:p>
            <w:pPr>
              <w:ind w:left="180"/>
              <w:spacing w:after="0" w:line="89" w:lineRule="exact"/>
              <w:rPr>
                <w:sz w:val="20"/>
                <w:szCs w:val="20"/>
                <w:color w:val="auto"/>
              </w:rPr>
            </w:pPr>
            <w:r>
              <w:rPr>
                <w:rFonts w:ascii="Arial" w:cs="Arial" w:eastAsia="Arial" w:hAnsi="Arial"/>
                <w:sz w:val="10"/>
                <w:szCs w:val="10"/>
                <w:b w:val="1"/>
                <w:bCs w:val="1"/>
                <w:color w:val="auto"/>
              </w:rPr>
              <w:t>June 30,</w:t>
            </w:r>
          </w:p>
        </w:tc>
        <w:tc>
          <w:tcPr>
            <w:tcW w:w="440" w:type="dxa"/>
            <w:vAlign w:val="bottom"/>
          </w:tcPr>
          <w:p>
            <w:pPr>
              <w:spacing w:after="0"/>
              <w:rPr>
                <w:sz w:val="7"/>
                <w:szCs w:val="7"/>
                <w:color w:val="auto"/>
              </w:rPr>
            </w:pPr>
          </w:p>
        </w:tc>
        <w:tc>
          <w:tcPr>
            <w:tcW w:w="880" w:type="dxa"/>
            <w:vAlign w:val="bottom"/>
          </w:tcPr>
          <w:p>
            <w:pPr>
              <w:jc w:val="right"/>
              <w:ind w:right="381"/>
              <w:spacing w:after="0" w:line="89" w:lineRule="exact"/>
              <w:rPr>
                <w:sz w:val="20"/>
                <w:szCs w:val="20"/>
                <w:color w:val="auto"/>
              </w:rPr>
            </w:pPr>
            <w:r>
              <w:rPr>
                <w:rFonts w:ascii="Arial" w:cs="Arial" w:eastAsia="Arial" w:hAnsi="Arial"/>
                <w:sz w:val="10"/>
                <w:szCs w:val="10"/>
                <w:b w:val="1"/>
                <w:bCs w:val="1"/>
                <w:color w:val="auto"/>
              </w:rPr>
              <w:t>June 30,</w:t>
            </w:r>
          </w:p>
        </w:tc>
        <w:tc>
          <w:tcPr>
            <w:tcW w:w="0" w:type="dxa"/>
            <w:vAlign w:val="bottom"/>
          </w:tcPr>
          <w:p>
            <w:pPr>
              <w:spacing w:after="0"/>
              <w:rPr>
                <w:sz w:val="1"/>
                <w:szCs w:val="1"/>
                <w:color w:val="auto"/>
              </w:rPr>
            </w:pPr>
          </w:p>
        </w:tc>
      </w:tr>
      <w:tr>
        <w:trPr>
          <w:trHeight w:val="144"/>
        </w:trPr>
        <w:tc>
          <w:tcPr>
            <w:tcW w:w="3800" w:type="dxa"/>
            <w:vAlign w:val="bottom"/>
            <w:tcBorders>
              <w:bottom w:val="single" w:sz="8" w:color="E0E7ED"/>
            </w:tcBorders>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62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41"/>
              <w:spacing w:after="0"/>
              <w:rPr>
                <w:sz w:val="20"/>
                <w:szCs w:val="20"/>
                <w:color w:val="auto"/>
              </w:rPr>
            </w:pPr>
            <w:r>
              <w:rPr>
                <w:rFonts w:ascii="Arial" w:cs="Arial" w:eastAsia="Arial" w:hAnsi="Arial"/>
                <w:sz w:val="11"/>
                <w:szCs w:val="11"/>
                <w:b w:val="1"/>
                <w:bCs w:val="1"/>
                <w:color w:val="auto"/>
                <w:w w:val="97"/>
              </w:rPr>
              <w:t>2025</w:t>
            </w:r>
          </w:p>
        </w:tc>
        <w:tc>
          <w:tcPr>
            <w:tcW w:w="6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9"/>
        </w:trPr>
        <w:tc>
          <w:tcPr>
            <w:tcW w:w="38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income (loss) (GAAP)</w:t>
            </w:r>
          </w:p>
        </w:tc>
        <w:tc>
          <w:tcPr>
            <w:tcW w:w="620" w:type="dxa"/>
            <w:vAlign w:val="bottom"/>
            <w:shd w:val="clear" w:color="auto" w:fill="E0E7ED"/>
          </w:tcPr>
          <w:p>
            <w:pPr>
              <w:ind w:left="20"/>
              <w:spacing w:after="0"/>
              <w:rPr>
                <w:sz w:val="20"/>
                <w:szCs w:val="20"/>
                <w:color w:val="auto"/>
              </w:rPr>
            </w:pPr>
            <w:r>
              <w:rPr>
                <w:rFonts w:ascii="Arial" w:cs="Arial" w:eastAsia="Arial" w:hAnsi="Arial"/>
                <w:sz w:val="12"/>
                <w:szCs w:val="12"/>
                <w:color w:val="auto"/>
              </w:rPr>
              <w:t>[a]</w:t>
            </w:r>
          </w:p>
        </w:tc>
        <w:tc>
          <w:tcPr>
            <w:tcW w:w="260" w:type="dxa"/>
            <w:vAlign w:val="bottom"/>
            <w:shd w:val="clear" w:color="auto" w:fill="E0E7ED"/>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47,404</w:t>
            </w:r>
          </w:p>
        </w:tc>
        <w:tc>
          <w:tcPr>
            <w:tcW w:w="80" w:type="dxa"/>
            <w:vAlign w:val="bottom"/>
            <w:shd w:val="clear" w:color="auto" w:fill="E0E7ED"/>
          </w:tcPr>
          <w:p>
            <w:pPr>
              <w:spacing w:after="0"/>
              <w:rPr>
                <w:sz w:val="14"/>
                <w:szCs w:val="14"/>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(29,990)</w:t>
            </w:r>
          </w:p>
        </w:tc>
        <w:tc>
          <w:tcPr>
            <w:tcW w:w="6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27,357</w:t>
            </w: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17,414</w:t>
            </w:r>
          </w:p>
        </w:tc>
        <w:tc>
          <w:tcPr>
            <w:tcW w:w="80" w:type="dxa"/>
            <w:vAlign w:val="bottom"/>
            <w:shd w:val="clear" w:color="auto" w:fill="E0E7ED"/>
          </w:tcPr>
          <w:p>
            <w:pPr>
              <w:spacing w:after="0"/>
              <w:rPr>
                <w:sz w:val="14"/>
                <w:szCs w:val="14"/>
                <w:color w:val="auto"/>
              </w:rPr>
            </w:pPr>
          </w:p>
        </w:tc>
        <w:tc>
          <w:tcPr>
            <w:tcW w:w="440" w:type="dxa"/>
            <w:vAlign w:val="bottom"/>
            <w:shd w:val="clear" w:color="auto" w:fill="E0E7ED"/>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53,582</w:t>
            </w:r>
          </w:p>
        </w:tc>
        <w:tc>
          <w:tcPr>
            <w:tcW w:w="0" w:type="dxa"/>
            <w:vAlign w:val="bottom"/>
          </w:tcPr>
          <w:p>
            <w:pPr>
              <w:spacing w:after="0"/>
              <w:rPr>
                <w:sz w:val="1"/>
                <w:szCs w:val="1"/>
                <w:color w:val="auto"/>
              </w:rPr>
            </w:pPr>
          </w:p>
        </w:tc>
      </w:tr>
      <w:tr>
        <w:trPr>
          <w:trHeight w:val="180"/>
        </w:trPr>
        <w:tc>
          <w:tcPr>
            <w:tcW w:w="3800" w:type="dxa"/>
            <w:vAlign w:val="bottom"/>
          </w:tcPr>
          <w:p>
            <w:pPr>
              <w:ind w:left="120"/>
              <w:spacing w:after="0"/>
              <w:rPr>
                <w:sz w:val="20"/>
                <w:szCs w:val="20"/>
                <w:color w:val="auto"/>
              </w:rPr>
            </w:pPr>
            <w:r>
              <w:rPr>
                <w:rFonts w:ascii="Arial" w:cs="Arial" w:eastAsia="Arial" w:hAnsi="Arial"/>
                <w:sz w:val="12"/>
                <w:szCs w:val="12"/>
                <w:color w:val="auto"/>
              </w:rPr>
              <w:t>Day 2 provision for credit losses</w:t>
            </w:r>
            <w:r>
              <w:rPr>
                <w:rFonts w:ascii="Arial" w:cs="Arial" w:eastAsia="Arial" w:hAnsi="Arial"/>
                <w:sz w:val="15"/>
                <w:szCs w:val="15"/>
                <w:color w:val="auto"/>
                <w:vertAlign w:val="superscript"/>
              </w:rPr>
              <w:t>1</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45,572</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45,572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8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Adjustment of initial provision for unfunded commitments due to</w:t>
            </w:r>
          </w:p>
        </w:tc>
        <w:tc>
          <w:tcPr>
            <w:tcW w:w="620" w:type="dxa"/>
            <w:vAlign w:val="bottom"/>
            <w:shd w:val="clear" w:color="auto" w:fill="E0E7ED"/>
          </w:tcPr>
          <w:p>
            <w:pPr>
              <w:spacing w:after="0"/>
              <w:rPr>
                <w:sz w:val="12"/>
                <w:szCs w:val="12"/>
                <w:color w:val="auto"/>
              </w:rPr>
            </w:pPr>
          </w:p>
        </w:tc>
        <w:tc>
          <w:tcPr>
            <w:tcW w:w="260" w:type="dxa"/>
            <w:vAlign w:val="bottom"/>
            <w:shd w:val="clear" w:color="auto" w:fill="E0E7ED"/>
          </w:tcPr>
          <w:p>
            <w:pPr>
              <w:spacing w:after="0"/>
              <w:rPr>
                <w:sz w:val="12"/>
                <w:szCs w:val="12"/>
                <w:color w:val="auto"/>
              </w:rPr>
            </w:pPr>
          </w:p>
        </w:tc>
        <w:tc>
          <w:tcPr>
            <w:tcW w:w="104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220" w:type="dxa"/>
            <w:vAlign w:val="bottom"/>
            <w:shd w:val="clear" w:color="auto" w:fill="E0E7ED"/>
          </w:tcPr>
          <w:p>
            <w:pPr>
              <w:spacing w:after="0"/>
              <w:rPr>
                <w:sz w:val="12"/>
                <w:szCs w:val="12"/>
                <w:color w:val="auto"/>
              </w:rPr>
            </w:pPr>
          </w:p>
        </w:tc>
        <w:tc>
          <w:tcPr>
            <w:tcW w:w="60" w:type="dxa"/>
            <w:vAlign w:val="bottom"/>
            <w:shd w:val="clear" w:color="auto" w:fill="E0E7ED"/>
          </w:tcPr>
          <w:p>
            <w:pPr>
              <w:spacing w:after="0"/>
              <w:rPr>
                <w:sz w:val="12"/>
                <w:szCs w:val="12"/>
                <w:color w:val="auto"/>
              </w:rPr>
            </w:pPr>
          </w:p>
        </w:tc>
        <w:tc>
          <w:tcPr>
            <w:tcW w:w="260" w:type="dxa"/>
            <w:vAlign w:val="bottom"/>
            <w:shd w:val="clear" w:color="auto" w:fill="E0E7ED"/>
          </w:tcPr>
          <w:p>
            <w:pPr>
              <w:spacing w:after="0"/>
              <w:rPr>
                <w:sz w:val="12"/>
                <w:szCs w:val="12"/>
                <w:color w:val="auto"/>
              </w:rPr>
            </w:pPr>
          </w:p>
        </w:tc>
        <w:tc>
          <w:tcPr>
            <w:tcW w:w="10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260" w:type="dxa"/>
            <w:vAlign w:val="bottom"/>
            <w:shd w:val="clear" w:color="auto" w:fill="E0E7ED"/>
          </w:tcPr>
          <w:p>
            <w:pPr>
              <w:spacing w:after="0"/>
              <w:rPr>
                <w:sz w:val="12"/>
                <w:szCs w:val="12"/>
                <w:color w:val="auto"/>
              </w:rPr>
            </w:pPr>
          </w:p>
        </w:tc>
        <w:tc>
          <w:tcPr>
            <w:tcW w:w="106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440" w:type="dxa"/>
            <w:vAlign w:val="bottom"/>
            <w:shd w:val="clear" w:color="auto" w:fill="E0E7ED"/>
          </w:tcPr>
          <w:p>
            <w:pPr>
              <w:spacing w:after="0"/>
              <w:rPr>
                <w:sz w:val="12"/>
                <w:szCs w:val="12"/>
                <w:color w:val="auto"/>
              </w:rPr>
            </w:pPr>
          </w:p>
        </w:tc>
        <w:tc>
          <w:tcPr>
            <w:tcW w:w="88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adoption of new model</w:t>
            </w:r>
            <w:r>
              <w:rPr>
                <w:rFonts w:ascii="Arial" w:cs="Arial" w:eastAsia="Arial" w:hAnsi="Arial"/>
                <w:sz w:val="15"/>
                <w:szCs w:val="15"/>
                <w:color w:val="auto"/>
                <w:vertAlign w:val="superscript"/>
              </w:rPr>
              <w:t>1</w:t>
            </w:r>
          </w:p>
        </w:tc>
        <w:tc>
          <w:tcPr>
            <w:tcW w:w="62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4,030</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8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7ED"/>
          </w:tcPr>
          <w:p>
            <w:pPr>
              <w:spacing w:after="0"/>
              <w:rPr>
                <w:sz w:val="15"/>
                <w:szCs w:val="15"/>
                <w:color w:val="auto"/>
              </w:rPr>
            </w:pPr>
          </w:p>
        </w:tc>
        <w:tc>
          <w:tcPr>
            <w:tcW w:w="114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4,030</w:t>
            </w: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3800" w:type="dxa"/>
            <w:vAlign w:val="bottom"/>
          </w:tcPr>
          <w:p>
            <w:pPr>
              <w:ind w:left="120"/>
              <w:spacing w:after="0"/>
              <w:rPr>
                <w:sz w:val="20"/>
                <w:szCs w:val="20"/>
                <w:color w:val="auto"/>
              </w:rPr>
            </w:pPr>
            <w:r>
              <w:rPr>
                <w:rFonts w:ascii="Arial" w:cs="Arial" w:eastAsia="Arial" w:hAnsi="Arial"/>
                <w:sz w:val="12"/>
                <w:szCs w:val="12"/>
                <w:color w:val="auto"/>
              </w:rPr>
              <w:t>Other acquisition expenses</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101"/>
              <w:spacing w:after="0"/>
              <w:rPr>
                <w:sz w:val="20"/>
                <w:szCs w:val="20"/>
                <w:color w:val="auto"/>
              </w:rPr>
            </w:pPr>
            <w:r>
              <w:rPr>
                <w:rFonts w:ascii="Arial" w:cs="Arial" w:eastAsia="Arial" w:hAnsi="Arial"/>
                <w:sz w:val="12"/>
                <w:szCs w:val="12"/>
                <w:color w:val="auto"/>
              </w:rPr>
              <w:t>16,600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26,026</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2,212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42,626</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2,497</w:t>
            </w:r>
          </w:p>
        </w:tc>
        <w:tc>
          <w:tcPr>
            <w:tcW w:w="0" w:type="dxa"/>
            <w:vAlign w:val="bottom"/>
          </w:tcPr>
          <w:p>
            <w:pPr>
              <w:spacing w:after="0"/>
              <w:rPr>
                <w:sz w:val="1"/>
                <w:szCs w:val="1"/>
                <w:color w:val="auto"/>
              </w:rPr>
            </w:pPr>
          </w:p>
        </w:tc>
      </w:tr>
      <w:tr>
        <w:trPr>
          <w:trHeight w:val="188"/>
        </w:trPr>
        <w:tc>
          <w:tcPr>
            <w:tcW w:w="38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Restructuring expenses</w:t>
            </w:r>
          </w:p>
        </w:tc>
        <w:tc>
          <w:tcPr>
            <w:tcW w:w="62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12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E0E7ED"/>
          </w:tcPr>
          <w:p>
            <w:pPr>
              <w:spacing w:after="0"/>
              <w:rPr>
                <w:sz w:val="16"/>
                <w:szCs w:val="16"/>
                <w:color w:val="auto"/>
              </w:rPr>
            </w:pPr>
          </w:p>
        </w:tc>
        <w:tc>
          <w:tcPr>
            <w:tcW w:w="128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7ED"/>
          </w:tcPr>
          <w:p>
            <w:pPr>
              <w:spacing w:after="0"/>
              <w:rPr>
                <w:sz w:val="16"/>
                <w:szCs w:val="16"/>
                <w:color w:val="auto"/>
              </w:rPr>
            </w:pPr>
          </w:p>
        </w:tc>
        <w:tc>
          <w:tcPr>
            <w:tcW w:w="114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7ED"/>
          </w:tcPr>
          <w:p>
            <w:pPr>
              <w:spacing w:after="0"/>
              <w:rPr>
                <w:sz w:val="16"/>
                <w:szCs w:val="16"/>
                <w:color w:val="auto"/>
              </w:rPr>
            </w:pPr>
          </w:p>
        </w:tc>
        <w:tc>
          <w:tcPr>
            <w:tcW w:w="114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shd w:val="clear" w:color="auto" w:fill="E0E7ED"/>
          </w:tcPr>
          <w:p>
            <w:pPr>
              <w:spacing w:after="0"/>
              <w:rPr>
                <w:sz w:val="16"/>
                <w:szCs w:val="16"/>
                <w:color w:val="auto"/>
              </w:rPr>
            </w:pP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72"/>
        </w:trPr>
        <w:tc>
          <w:tcPr>
            <w:tcW w:w="3800" w:type="dxa"/>
            <w:vAlign w:val="bottom"/>
          </w:tcPr>
          <w:p>
            <w:pPr>
              <w:ind w:left="120"/>
              <w:spacing w:after="0"/>
              <w:rPr>
                <w:sz w:val="20"/>
                <w:szCs w:val="20"/>
                <w:color w:val="auto"/>
              </w:rPr>
            </w:pPr>
            <w:r>
              <w:rPr>
                <w:rFonts w:ascii="Arial" w:cs="Arial" w:eastAsia="Arial" w:hAnsi="Arial"/>
                <w:sz w:val="12"/>
                <w:szCs w:val="12"/>
                <w:color w:val="auto"/>
              </w:rPr>
              <w:t>Net securities (gains) losses</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(5,997)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15,768</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353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9,771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6,728</w:t>
            </w:r>
          </w:p>
        </w:tc>
        <w:tc>
          <w:tcPr>
            <w:tcW w:w="0" w:type="dxa"/>
            <w:vAlign w:val="bottom"/>
          </w:tcPr>
          <w:p>
            <w:pPr>
              <w:spacing w:after="0"/>
              <w:rPr>
                <w:sz w:val="1"/>
                <w:szCs w:val="1"/>
                <w:color w:val="auto"/>
              </w:rPr>
            </w:pPr>
          </w:p>
        </w:tc>
      </w:tr>
      <w:tr>
        <w:trPr>
          <w:trHeight w:val="188"/>
        </w:trPr>
        <w:tc>
          <w:tcPr>
            <w:tcW w:w="38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Realized net (gains) losses on the sale of mortgage servicing rights</w:t>
            </w:r>
          </w:p>
        </w:tc>
        <w:tc>
          <w:tcPr>
            <w:tcW w:w="62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12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shd w:val="clear" w:color="auto" w:fill="E0E7ED"/>
          </w:tcPr>
          <w:p>
            <w:pPr>
              <w:spacing w:after="0"/>
              <w:rPr>
                <w:sz w:val="16"/>
                <w:szCs w:val="16"/>
                <w:color w:val="auto"/>
              </w:rPr>
            </w:pPr>
          </w:p>
        </w:tc>
        <w:tc>
          <w:tcPr>
            <w:tcW w:w="128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61"/>
              <w:spacing w:after="0"/>
              <w:rPr>
                <w:sz w:val="20"/>
                <w:szCs w:val="20"/>
                <w:color w:val="auto"/>
              </w:rPr>
            </w:pPr>
            <w:r>
              <w:rPr>
                <w:rFonts w:ascii="Arial" w:cs="Arial" w:eastAsia="Arial" w:hAnsi="Arial"/>
                <w:sz w:val="12"/>
                <w:szCs w:val="12"/>
                <w:color w:val="auto"/>
              </w:rPr>
              <w:t>(277)</w:t>
            </w: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14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shd w:val="clear" w:color="auto" w:fill="E0E7ED"/>
          </w:tcPr>
          <w:p>
            <w:pPr>
              <w:spacing w:after="0"/>
              <w:rPr>
                <w:sz w:val="16"/>
                <w:szCs w:val="16"/>
                <w:color w:val="auto"/>
              </w:rPr>
            </w:pPr>
          </w:p>
        </w:tc>
        <w:tc>
          <w:tcPr>
            <w:tcW w:w="880" w:type="dxa"/>
            <w:vAlign w:val="bottom"/>
            <w:shd w:val="clear" w:color="auto" w:fill="E0E7ED"/>
          </w:tcPr>
          <w:p>
            <w:pPr>
              <w:jc w:val="right"/>
              <w:ind w:right="61"/>
              <w:spacing w:after="0"/>
              <w:rPr>
                <w:sz w:val="20"/>
                <w:szCs w:val="20"/>
                <w:color w:val="auto"/>
              </w:rPr>
            </w:pPr>
            <w:r>
              <w:rPr>
                <w:rFonts w:ascii="Arial" w:cs="Arial" w:eastAsia="Arial" w:hAnsi="Arial"/>
                <w:sz w:val="12"/>
                <w:szCs w:val="12"/>
                <w:color w:val="auto"/>
              </w:rPr>
              <w:t>(7,742)</w:t>
            </w:r>
          </w:p>
        </w:tc>
        <w:tc>
          <w:tcPr>
            <w:tcW w:w="0" w:type="dxa"/>
            <w:vAlign w:val="bottom"/>
          </w:tcPr>
          <w:p>
            <w:pPr>
              <w:spacing w:after="0"/>
              <w:rPr>
                <w:sz w:val="1"/>
                <w:szCs w:val="1"/>
                <w:color w:val="auto"/>
              </w:rPr>
            </w:pPr>
          </w:p>
        </w:tc>
      </w:tr>
      <w:tr>
        <w:trPr>
          <w:trHeight w:val="180"/>
        </w:trPr>
        <w:tc>
          <w:tcPr>
            <w:tcW w:w="3800" w:type="dxa"/>
            <w:vAlign w:val="bottom"/>
          </w:tcPr>
          <w:p>
            <w:pPr>
              <w:ind w:left="120"/>
              <w:spacing w:after="0"/>
              <w:rPr>
                <w:sz w:val="20"/>
                <w:szCs w:val="20"/>
                <w:color w:val="auto"/>
              </w:rPr>
            </w:pPr>
            <w:r>
              <w:rPr>
                <w:rFonts w:ascii="Arial" w:cs="Arial" w:eastAsia="Arial" w:hAnsi="Arial"/>
                <w:sz w:val="12"/>
                <w:szCs w:val="12"/>
                <w:color w:val="auto"/>
              </w:rPr>
              <w:t>Related tax (benefit) expense</w:t>
            </w:r>
            <w:r>
              <w:rPr>
                <w:rFonts w:ascii="Arial" w:cs="Arial" w:eastAsia="Arial" w:hAnsi="Arial"/>
                <w:sz w:val="15"/>
                <w:szCs w:val="15"/>
                <w:color w:val="auto"/>
                <w:vertAlign w:val="superscript"/>
              </w:rPr>
              <w:t>2</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Arial" w:cs="Arial" w:eastAsia="Arial" w:hAnsi="Arial"/>
                <w:sz w:val="12"/>
                <w:szCs w:val="12"/>
                <w:color w:val="auto"/>
              </w:rPr>
              <w:t>(4,971)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81"/>
              <w:spacing w:after="0"/>
              <w:rPr>
                <w:sz w:val="20"/>
                <w:szCs w:val="20"/>
                <w:color w:val="auto"/>
              </w:rPr>
            </w:pPr>
            <w:r>
              <w:rPr>
                <w:rFonts w:ascii="Arial" w:cs="Arial" w:eastAsia="Arial" w:hAnsi="Arial"/>
                <w:sz w:val="12"/>
                <w:szCs w:val="12"/>
                <w:color w:val="auto"/>
              </w:rPr>
              <w:t>(22,069)</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(572)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(27,040)</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(402)</w:t>
            </w:r>
          </w:p>
        </w:tc>
        <w:tc>
          <w:tcPr>
            <w:tcW w:w="0" w:type="dxa"/>
            <w:vAlign w:val="bottom"/>
          </w:tcPr>
          <w:p>
            <w:pPr>
              <w:spacing w:after="0"/>
              <w:rPr>
                <w:sz w:val="1"/>
                <w:szCs w:val="1"/>
                <w:color w:val="auto"/>
              </w:rPr>
            </w:pPr>
          </w:p>
        </w:tc>
      </w:tr>
      <w:tr>
        <w:trPr>
          <w:trHeight w:val="180"/>
        </w:trPr>
        <w:tc>
          <w:tcPr>
            <w:tcW w:w="38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Non-recurring deferred tax adjustment</w:t>
            </w:r>
            <w:r>
              <w:rPr>
                <w:rFonts w:ascii="Arial" w:cs="Arial" w:eastAsia="Arial" w:hAnsi="Arial"/>
                <w:sz w:val="15"/>
                <w:szCs w:val="15"/>
                <w:color w:val="auto"/>
                <w:vertAlign w:val="superscript"/>
              </w:rPr>
              <w:t>3</w:t>
            </w:r>
          </w:p>
        </w:tc>
        <w:tc>
          <w:tcPr>
            <w:tcW w:w="620" w:type="dxa"/>
            <w:vAlign w:val="bottom"/>
            <w:shd w:val="clear" w:color="auto" w:fill="E0E7ED"/>
          </w:tcPr>
          <w:p>
            <w:pPr>
              <w:spacing w:after="0"/>
              <w:rPr>
                <w:sz w:val="15"/>
                <w:szCs w:val="15"/>
                <w:color w:val="auto"/>
              </w:rPr>
            </w:pPr>
          </w:p>
        </w:tc>
        <w:tc>
          <w:tcPr>
            <w:tcW w:w="260" w:type="dxa"/>
            <w:vAlign w:val="bottom"/>
            <w:tcBorders>
              <w:bottom w:val="single" w:sz="8" w:color="auto"/>
            </w:tcBorders>
            <w:shd w:val="clear" w:color="auto" w:fill="E0E7ED"/>
          </w:tcPr>
          <w:p>
            <w:pPr>
              <w:spacing w:after="0"/>
              <w:rPr>
                <w:sz w:val="15"/>
                <w:szCs w:val="15"/>
                <w:color w:val="auto"/>
              </w:rPr>
            </w:pPr>
          </w:p>
        </w:tc>
        <w:tc>
          <w:tcPr>
            <w:tcW w:w="104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328</w:t>
            </w:r>
          </w:p>
        </w:tc>
        <w:tc>
          <w:tcPr>
            <w:tcW w:w="80" w:type="dxa"/>
            <w:vAlign w:val="bottom"/>
            <w:shd w:val="clear" w:color="auto" w:fill="E0E7ED"/>
          </w:tcPr>
          <w:p>
            <w:pPr>
              <w:spacing w:after="0"/>
              <w:rPr>
                <w:sz w:val="15"/>
                <w:szCs w:val="15"/>
                <w:color w:val="auto"/>
              </w:rPr>
            </w:pPr>
          </w:p>
        </w:tc>
        <w:tc>
          <w:tcPr>
            <w:tcW w:w="100" w:type="dxa"/>
            <w:vAlign w:val="bottom"/>
            <w:tcBorders>
              <w:bottom w:val="single" w:sz="8" w:color="auto"/>
            </w:tcBorders>
            <w:shd w:val="clear" w:color="auto" w:fill="E0E7ED"/>
          </w:tcPr>
          <w:p>
            <w:pPr>
              <w:spacing w:after="0"/>
              <w:rPr>
                <w:sz w:val="15"/>
                <w:szCs w:val="15"/>
                <w:color w:val="auto"/>
              </w:rPr>
            </w:pPr>
          </w:p>
        </w:tc>
        <w:tc>
          <w:tcPr>
            <w:tcW w:w="122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4,591</w:t>
            </w:r>
          </w:p>
        </w:tc>
        <w:tc>
          <w:tcPr>
            <w:tcW w:w="60" w:type="dxa"/>
            <w:vAlign w:val="bottom"/>
            <w:shd w:val="clear" w:color="auto" w:fill="E0E7ED"/>
          </w:tcPr>
          <w:p>
            <w:pPr>
              <w:spacing w:after="0"/>
              <w:rPr>
                <w:sz w:val="15"/>
                <w:szCs w:val="15"/>
                <w:color w:val="auto"/>
              </w:rPr>
            </w:pPr>
          </w:p>
        </w:tc>
        <w:tc>
          <w:tcPr>
            <w:tcW w:w="26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1,446</w:t>
            </w:r>
          </w:p>
        </w:tc>
        <w:tc>
          <w:tcPr>
            <w:tcW w:w="80" w:type="dxa"/>
            <w:vAlign w:val="bottom"/>
            <w:shd w:val="clear" w:color="auto" w:fill="E0E7ED"/>
          </w:tcPr>
          <w:p>
            <w:pPr>
              <w:spacing w:after="0"/>
              <w:rPr>
                <w:sz w:val="15"/>
                <w:szCs w:val="15"/>
                <w:color w:val="auto"/>
              </w:rPr>
            </w:pPr>
          </w:p>
        </w:tc>
        <w:tc>
          <w:tcPr>
            <w:tcW w:w="26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4,919</w:t>
            </w:r>
          </w:p>
        </w:tc>
        <w:tc>
          <w:tcPr>
            <w:tcW w:w="80" w:type="dxa"/>
            <w:vAlign w:val="bottom"/>
            <w:shd w:val="clear" w:color="auto" w:fill="E0E7ED"/>
          </w:tcPr>
          <w:p>
            <w:pPr>
              <w:spacing w:after="0"/>
              <w:rPr>
                <w:sz w:val="15"/>
                <w:szCs w:val="15"/>
                <w:color w:val="auto"/>
              </w:rPr>
            </w:pPr>
          </w:p>
        </w:tc>
        <w:tc>
          <w:tcPr>
            <w:tcW w:w="440" w:type="dxa"/>
            <w:vAlign w:val="bottom"/>
            <w:tcBorders>
              <w:bottom w:val="single" w:sz="8" w:color="auto"/>
            </w:tcBorders>
            <w:shd w:val="clear" w:color="auto" w:fill="E0E7ED"/>
          </w:tcPr>
          <w:p>
            <w:pPr>
              <w:spacing w:after="0"/>
              <w:rPr>
                <w:sz w:val="15"/>
                <w:szCs w:val="15"/>
                <w:color w:val="auto"/>
              </w:rPr>
            </w:pPr>
          </w:p>
        </w:tc>
        <w:tc>
          <w:tcPr>
            <w:tcW w:w="88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1,446</w:t>
            </w:r>
          </w:p>
        </w:tc>
        <w:tc>
          <w:tcPr>
            <w:tcW w:w="0" w:type="dxa"/>
            <w:vAlign w:val="bottom"/>
          </w:tcPr>
          <w:p>
            <w:pPr>
              <w:spacing w:after="0"/>
              <w:rPr>
                <w:sz w:val="1"/>
                <w:szCs w:val="1"/>
                <w:color w:val="auto"/>
              </w:rPr>
            </w:pPr>
          </w:p>
        </w:tc>
      </w:tr>
      <w:tr>
        <w:trPr>
          <w:trHeight w:val="169"/>
        </w:trPr>
        <w:tc>
          <w:tcPr>
            <w:tcW w:w="3800" w:type="dxa"/>
            <w:vAlign w:val="bottom"/>
          </w:tcPr>
          <w:p>
            <w:pPr>
              <w:spacing w:after="0" w:line="169" w:lineRule="exact"/>
              <w:rPr>
                <w:sz w:val="20"/>
                <w:szCs w:val="20"/>
                <w:color w:val="auto"/>
              </w:rPr>
            </w:pPr>
            <w:r>
              <w:rPr>
                <w:rFonts w:ascii="Arial" w:cs="Arial" w:eastAsia="Arial" w:hAnsi="Arial"/>
                <w:sz w:val="12"/>
                <w:szCs w:val="12"/>
                <w:color w:val="auto"/>
              </w:rPr>
              <w:t>Adjusted net income (Non-GAAP)</w:t>
            </w:r>
            <w:r>
              <w:rPr>
                <w:rFonts w:ascii="Arial" w:cs="Arial" w:eastAsia="Arial" w:hAnsi="Arial"/>
                <w:sz w:val="15"/>
                <w:szCs w:val="15"/>
                <w:color w:val="auto"/>
                <w:vertAlign w:val="superscript"/>
              </w:rPr>
              <w:t>4</w:t>
            </w:r>
          </w:p>
        </w:tc>
        <w:tc>
          <w:tcPr>
            <w:tcW w:w="620" w:type="dxa"/>
            <w:vAlign w:val="bottom"/>
          </w:tcPr>
          <w:p>
            <w:pPr>
              <w:ind w:left="20"/>
              <w:spacing w:after="0"/>
              <w:rPr>
                <w:sz w:val="20"/>
                <w:szCs w:val="20"/>
                <w:color w:val="auto"/>
              </w:rPr>
            </w:pPr>
            <w:r>
              <w:rPr>
                <w:rFonts w:ascii="Arial" w:cs="Arial" w:eastAsia="Arial" w:hAnsi="Arial"/>
                <w:sz w:val="12"/>
                <w:szCs w:val="12"/>
                <w:color w:val="auto"/>
              </w:rPr>
              <w:t>[b]</w:t>
            </w:r>
          </w:p>
        </w:tc>
        <w:tc>
          <w:tcPr>
            <w:tcW w:w="260" w:type="dxa"/>
            <w:vAlign w:val="bottom"/>
          </w:tcPr>
          <w:p>
            <w:pPr>
              <w:spacing w:after="0"/>
              <w:rPr>
                <w:sz w:val="14"/>
                <w:szCs w:val="14"/>
                <w:color w:val="auto"/>
              </w:rPr>
            </w:pPr>
          </w:p>
        </w:tc>
        <w:tc>
          <w:tcPr>
            <w:tcW w:w="1040" w:type="dxa"/>
            <w:vAlign w:val="bottom"/>
          </w:tcPr>
          <w:p>
            <w:pPr>
              <w:jc w:val="right"/>
              <w:ind w:right="101"/>
              <w:spacing w:after="0"/>
              <w:rPr>
                <w:sz w:val="20"/>
                <w:szCs w:val="20"/>
                <w:color w:val="auto"/>
              </w:rPr>
            </w:pPr>
            <w:r>
              <w:rPr>
                <w:rFonts w:ascii="Arial" w:cs="Arial" w:eastAsia="Arial" w:hAnsi="Arial"/>
                <w:sz w:val="12"/>
                <w:szCs w:val="12"/>
                <w:color w:val="auto"/>
              </w:rPr>
              <w:t>57,394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39,898</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30,519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97,292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56,232</w:t>
            </w:r>
          </w:p>
        </w:tc>
        <w:tc>
          <w:tcPr>
            <w:tcW w:w="0" w:type="dxa"/>
            <w:vAlign w:val="bottom"/>
          </w:tcPr>
          <w:p>
            <w:pPr>
              <w:spacing w:after="0"/>
              <w:rPr>
                <w:sz w:val="1"/>
                <w:szCs w:val="1"/>
                <w:color w:val="auto"/>
              </w:rPr>
            </w:pPr>
          </w:p>
        </w:tc>
      </w:tr>
      <w:tr>
        <w:trPr>
          <w:trHeight w:val="172"/>
        </w:trPr>
        <w:tc>
          <w:tcPr>
            <w:tcW w:w="3800" w:type="dxa"/>
            <w:vAlign w:val="bottom"/>
            <w:shd w:val="clear" w:color="auto" w:fill="E0E7ED"/>
          </w:tcPr>
          <w:p>
            <w:pPr>
              <w:spacing w:after="0"/>
              <w:rPr>
                <w:sz w:val="20"/>
                <w:szCs w:val="20"/>
                <w:color w:val="auto"/>
              </w:rPr>
            </w:pPr>
            <w:r>
              <w:rPr>
                <w:rFonts w:ascii="Arial" w:cs="Arial" w:eastAsia="Arial" w:hAnsi="Arial"/>
                <w:sz w:val="12"/>
                <w:szCs w:val="12"/>
                <w:color w:val="auto"/>
              </w:rPr>
              <w:t>Preferred dividends</w:t>
            </w:r>
          </w:p>
        </w:tc>
        <w:tc>
          <w:tcPr>
            <w:tcW w:w="620" w:type="dxa"/>
            <w:vAlign w:val="bottom"/>
            <w:shd w:val="clear" w:color="auto" w:fill="E0E7ED"/>
          </w:tcPr>
          <w:p>
            <w:pPr>
              <w:ind w:left="20"/>
              <w:spacing w:after="0"/>
              <w:rPr>
                <w:sz w:val="20"/>
                <w:szCs w:val="20"/>
                <w:color w:val="auto"/>
              </w:rPr>
            </w:pPr>
            <w:r>
              <w:rPr>
                <w:rFonts w:ascii="Arial" w:cs="Arial" w:eastAsia="Arial" w:hAnsi="Arial"/>
                <w:sz w:val="12"/>
                <w:szCs w:val="12"/>
                <w:color w:val="auto"/>
              </w:rPr>
              <w:t>[c]</w:t>
            </w:r>
          </w:p>
        </w:tc>
        <w:tc>
          <w:tcPr>
            <w:tcW w:w="260" w:type="dxa"/>
            <w:vAlign w:val="bottom"/>
            <w:shd w:val="clear" w:color="auto" w:fill="E0E7ED"/>
          </w:tcPr>
          <w:p>
            <w:pPr>
              <w:spacing w:after="0"/>
              <w:rPr>
                <w:sz w:val="14"/>
                <w:szCs w:val="14"/>
                <w:color w:val="auto"/>
              </w:rPr>
            </w:pPr>
          </w:p>
        </w:tc>
        <w:tc>
          <w:tcPr>
            <w:tcW w:w="10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155</w:t>
            </w:r>
          </w:p>
        </w:tc>
        <w:tc>
          <w:tcPr>
            <w:tcW w:w="8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80" w:type="dxa"/>
            <w:vAlign w:val="bottom"/>
            <w:gridSpan w:val="2"/>
            <w:shd w:val="clear" w:color="auto" w:fill="E0E7ED"/>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7ED"/>
          </w:tcPr>
          <w:p>
            <w:pPr>
              <w:spacing w:after="0"/>
              <w:rPr>
                <w:sz w:val="14"/>
                <w:szCs w:val="14"/>
                <w:color w:val="auto"/>
              </w:rPr>
            </w:pPr>
          </w:p>
        </w:tc>
        <w:tc>
          <w:tcPr>
            <w:tcW w:w="1140" w:type="dxa"/>
            <w:vAlign w:val="bottom"/>
            <w:gridSpan w:val="2"/>
            <w:shd w:val="clear" w:color="auto" w:fill="E0E7ED"/>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E0E7ED"/>
          </w:tcPr>
          <w:p>
            <w:pPr>
              <w:spacing w:after="0"/>
              <w:rPr>
                <w:sz w:val="14"/>
                <w:szCs w:val="14"/>
                <w:color w:val="auto"/>
              </w:rPr>
            </w:pP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155</w:t>
            </w:r>
          </w:p>
        </w:tc>
        <w:tc>
          <w:tcPr>
            <w:tcW w:w="80" w:type="dxa"/>
            <w:vAlign w:val="bottom"/>
            <w:shd w:val="clear" w:color="auto" w:fill="E0E7ED"/>
          </w:tcPr>
          <w:p>
            <w:pPr>
              <w:spacing w:after="0"/>
              <w:rPr>
                <w:sz w:val="14"/>
                <w:szCs w:val="14"/>
                <w:color w:val="auto"/>
              </w:rPr>
            </w:pPr>
          </w:p>
        </w:tc>
        <w:tc>
          <w:tcPr>
            <w:tcW w:w="440" w:type="dxa"/>
            <w:vAlign w:val="bottom"/>
            <w:shd w:val="clear" w:color="auto" w:fill="E0E7ED"/>
          </w:tcPr>
          <w:p>
            <w:pPr>
              <w:spacing w:after="0"/>
              <w:rPr>
                <w:sz w:val="14"/>
                <w:szCs w:val="14"/>
                <w:color w:val="auto"/>
              </w:rPr>
            </w:pP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3"/>
        </w:trPr>
        <w:tc>
          <w:tcPr>
            <w:tcW w:w="380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Adjusted net income available to common stockholders (Non-GAAP)</w:t>
            </w:r>
          </w:p>
        </w:tc>
        <w:tc>
          <w:tcPr>
            <w:tcW w:w="620" w:type="dxa"/>
            <w:vAlign w:val="bottom"/>
            <w:tcBorders>
              <w:bottom w:val="single" w:sz="8" w:color="E0E7ED"/>
            </w:tcBorders>
          </w:tcPr>
          <w:p>
            <w:pPr>
              <w:ind w:left="20"/>
              <w:spacing w:after="0"/>
              <w:rPr>
                <w:sz w:val="20"/>
                <w:szCs w:val="20"/>
                <w:color w:val="auto"/>
              </w:rPr>
            </w:pPr>
            <w:r>
              <w:rPr>
                <w:rFonts w:ascii="Arial" w:cs="Arial" w:eastAsia="Arial" w:hAnsi="Arial"/>
                <w:sz w:val="12"/>
                <w:szCs w:val="12"/>
                <w:color w:val="auto"/>
              </w:rPr>
              <w:t>[d]</w:t>
            </w:r>
          </w:p>
        </w:tc>
        <w:tc>
          <w:tcPr>
            <w:tcW w:w="2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57,239</w:t>
            </w:r>
          </w:p>
        </w:tc>
        <w:tc>
          <w:tcPr>
            <w:tcW w:w="80" w:type="dxa"/>
            <w:vAlign w:val="bottom"/>
            <w:tcBorders>
              <w:bottom w:val="single" w:sz="8" w:color="E0E7ED"/>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39,898</w:t>
            </w:r>
          </w:p>
        </w:tc>
        <w:tc>
          <w:tcPr>
            <w:tcW w:w="60" w:type="dxa"/>
            <w:vAlign w:val="bottom"/>
            <w:tcBorders>
              <w:bottom w:val="single" w:sz="8" w:color="E0E7ED"/>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30,519</w:t>
            </w:r>
          </w:p>
        </w:tc>
        <w:tc>
          <w:tcPr>
            <w:tcW w:w="80" w:type="dxa"/>
            <w:vAlign w:val="bottom"/>
            <w:tcBorders>
              <w:bottom w:val="single" w:sz="8" w:color="E0E7ED"/>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97,137</w:t>
            </w:r>
          </w:p>
        </w:tc>
        <w:tc>
          <w:tcPr>
            <w:tcW w:w="80" w:type="dxa"/>
            <w:vAlign w:val="bottom"/>
            <w:tcBorders>
              <w:bottom w:val="single" w:sz="8" w:color="E0E7ED"/>
            </w:tcBorders>
          </w:tcPr>
          <w:p>
            <w:pPr>
              <w:spacing w:after="0"/>
              <w:rPr>
                <w:sz w:val="16"/>
                <w:szCs w:val="16"/>
                <w:color w:val="auto"/>
              </w:rPr>
            </w:pPr>
          </w:p>
        </w:tc>
        <w:tc>
          <w:tcPr>
            <w:tcW w:w="44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2"/>
                <w:szCs w:val="12"/>
                <w:color w:val="auto"/>
              </w:rPr>
              <w:t>56,232</w:t>
            </w:r>
          </w:p>
        </w:tc>
        <w:tc>
          <w:tcPr>
            <w:tcW w:w="0" w:type="dxa"/>
            <w:vAlign w:val="bottom"/>
          </w:tcPr>
          <w:p>
            <w:pPr>
              <w:spacing w:after="0"/>
              <w:rPr>
                <w:sz w:val="1"/>
                <w:szCs w:val="1"/>
                <w:color w:val="auto"/>
              </w:rPr>
            </w:pPr>
          </w:p>
        </w:tc>
      </w:tr>
      <w:tr>
        <w:trPr>
          <w:trHeight w:val="126"/>
        </w:trPr>
        <w:tc>
          <w:tcPr>
            <w:tcW w:w="3800" w:type="dxa"/>
            <w:vAlign w:val="bottom"/>
            <w:shd w:val="clear" w:color="auto" w:fill="E0E7ED"/>
          </w:tcPr>
          <w:p>
            <w:pPr>
              <w:spacing w:after="0"/>
              <w:rPr>
                <w:sz w:val="10"/>
                <w:szCs w:val="10"/>
                <w:color w:val="auto"/>
              </w:rPr>
            </w:pPr>
          </w:p>
        </w:tc>
        <w:tc>
          <w:tcPr>
            <w:tcW w:w="620" w:type="dxa"/>
            <w:vAlign w:val="bottom"/>
            <w:shd w:val="clear" w:color="auto" w:fill="E0E7ED"/>
          </w:tcPr>
          <w:p>
            <w:pPr>
              <w:spacing w:after="0"/>
              <w:rPr>
                <w:sz w:val="10"/>
                <w:szCs w:val="10"/>
                <w:color w:val="auto"/>
              </w:rPr>
            </w:pPr>
          </w:p>
        </w:tc>
        <w:tc>
          <w:tcPr>
            <w:tcW w:w="260" w:type="dxa"/>
            <w:vAlign w:val="bottom"/>
            <w:shd w:val="clear" w:color="auto" w:fill="E0E7ED"/>
          </w:tcPr>
          <w:p>
            <w:pPr>
              <w:spacing w:after="0"/>
              <w:rPr>
                <w:sz w:val="10"/>
                <w:szCs w:val="10"/>
                <w:color w:val="auto"/>
              </w:rPr>
            </w:pPr>
          </w:p>
        </w:tc>
        <w:tc>
          <w:tcPr>
            <w:tcW w:w="104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100" w:type="dxa"/>
            <w:vAlign w:val="bottom"/>
            <w:shd w:val="clear" w:color="auto" w:fill="E0E7ED"/>
          </w:tcPr>
          <w:p>
            <w:pPr>
              <w:spacing w:after="0"/>
              <w:rPr>
                <w:sz w:val="10"/>
                <w:szCs w:val="10"/>
                <w:color w:val="auto"/>
              </w:rPr>
            </w:pPr>
          </w:p>
        </w:tc>
        <w:tc>
          <w:tcPr>
            <w:tcW w:w="1220" w:type="dxa"/>
            <w:vAlign w:val="bottom"/>
            <w:shd w:val="clear" w:color="auto" w:fill="E0E7ED"/>
          </w:tcPr>
          <w:p>
            <w:pPr>
              <w:spacing w:after="0"/>
              <w:rPr>
                <w:sz w:val="10"/>
                <w:szCs w:val="10"/>
                <w:color w:val="auto"/>
              </w:rPr>
            </w:pPr>
          </w:p>
        </w:tc>
        <w:tc>
          <w:tcPr>
            <w:tcW w:w="60" w:type="dxa"/>
            <w:vAlign w:val="bottom"/>
            <w:shd w:val="clear" w:color="auto" w:fill="E0E7ED"/>
          </w:tcPr>
          <w:p>
            <w:pPr>
              <w:spacing w:after="0"/>
              <w:rPr>
                <w:sz w:val="10"/>
                <w:szCs w:val="10"/>
                <w:color w:val="auto"/>
              </w:rPr>
            </w:pPr>
          </w:p>
        </w:tc>
        <w:tc>
          <w:tcPr>
            <w:tcW w:w="260" w:type="dxa"/>
            <w:vAlign w:val="bottom"/>
            <w:shd w:val="clear" w:color="auto" w:fill="E0E7ED"/>
          </w:tcPr>
          <w:p>
            <w:pPr>
              <w:spacing w:after="0"/>
              <w:rPr>
                <w:sz w:val="10"/>
                <w:szCs w:val="10"/>
                <w:color w:val="auto"/>
              </w:rPr>
            </w:pPr>
          </w:p>
        </w:tc>
        <w:tc>
          <w:tcPr>
            <w:tcW w:w="10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260" w:type="dxa"/>
            <w:vAlign w:val="bottom"/>
            <w:shd w:val="clear" w:color="auto" w:fill="E0E7ED"/>
          </w:tcPr>
          <w:p>
            <w:pPr>
              <w:spacing w:after="0"/>
              <w:rPr>
                <w:sz w:val="10"/>
                <w:szCs w:val="10"/>
                <w:color w:val="auto"/>
              </w:rPr>
            </w:pPr>
          </w:p>
        </w:tc>
        <w:tc>
          <w:tcPr>
            <w:tcW w:w="1060" w:type="dxa"/>
            <w:vAlign w:val="bottom"/>
            <w:shd w:val="clear" w:color="auto" w:fill="E0E7ED"/>
          </w:tcPr>
          <w:p>
            <w:pPr>
              <w:spacing w:after="0"/>
              <w:rPr>
                <w:sz w:val="10"/>
                <w:szCs w:val="10"/>
                <w:color w:val="auto"/>
              </w:rPr>
            </w:pPr>
          </w:p>
        </w:tc>
        <w:tc>
          <w:tcPr>
            <w:tcW w:w="80" w:type="dxa"/>
            <w:vAlign w:val="bottom"/>
            <w:shd w:val="clear" w:color="auto" w:fill="E0E7ED"/>
          </w:tcPr>
          <w:p>
            <w:pPr>
              <w:spacing w:after="0"/>
              <w:rPr>
                <w:sz w:val="10"/>
                <w:szCs w:val="10"/>
                <w:color w:val="auto"/>
              </w:rPr>
            </w:pPr>
          </w:p>
        </w:tc>
        <w:tc>
          <w:tcPr>
            <w:tcW w:w="440" w:type="dxa"/>
            <w:vAlign w:val="bottom"/>
            <w:shd w:val="clear" w:color="auto" w:fill="E0E7ED"/>
          </w:tcPr>
          <w:p>
            <w:pPr>
              <w:spacing w:after="0"/>
              <w:rPr>
                <w:sz w:val="10"/>
                <w:szCs w:val="10"/>
                <w:color w:val="auto"/>
              </w:rPr>
            </w:pPr>
          </w:p>
        </w:tc>
        <w:tc>
          <w:tcPr>
            <w:tcW w:w="880" w:type="dxa"/>
            <w:vAlign w:val="bottom"/>
            <w:shd w:val="clear" w:color="auto" w:fill="E0E7ED"/>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20"/>
                <w:szCs w:val="20"/>
                <w:color w:val="auto"/>
              </w:rPr>
            </w:pPr>
            <w:r>
              <w:rPr>
                <w:rFonts w:ascii="Arial" w:cs="Arial" w:eastAsia="Arial" w:hAnsi="Arial"/>
                <w:sz w:val="12"/>
                <w:szCs w:val="12"/>
                <w:b w:val="1"/>
                <w:bCs w:val="1"/>
                <w:color w:val="auto"/>
                <w:w w:val="99"/>
              </w:rPr>
              <w:t>Weighted average number of common shares outstanding, diluted</w:t>
            </w:r>
          </w:p>
        </w:tc>
        <w:tc>
          <w:tcPr>
            <w:tcW w:w="620" w:type="dxa"/>
            <w:vAlign w:val="bottom"/>
          </w:tcPr>
          <w:p>
            <w:pPr>
              <w:ind w:left="20"/>
              <w:spacing w:after="0"/>
              <w:rPr>
                <w:sz w:val="20"/>
                <w:szCs w:val="20"/>
                <w:color w:val="auto"/>
              </w:rPr>
            </w:pPr>
            <w:r>
              <w:rPr>
                <w:rFonts w:ascii="Arial" w:cs="Arial" w:eastAsia="Arial" w:hAnsi="Arial"/>
                <w:sz w:val="12"/>
                <w:szCs w:val="12"/>
                <w:color w:val="auto"/>
              </w:rPr>
              <w:t>[e]</w:t>
            </w:r>
          </w:p>
        </w:tc>
        <w:tc>
          <w:tcPr>
            <w:tcW w:w="260" w:type="dxa"/>
            <w:vAlign w:val="bottom"/>
          </w:tcPr>
          <w:p>
            <w:pPr>
              <w:spacing w:after="0"/>
              <w:rPr>
                <w:sz w:val="14"/>
                <w:szCs w:val="14"/>
                <w:color w:val="auto"/>
              </w:rPr>
            </w:pPr>
          </w:p>
        </w:tc>
        <w:tc>
          <w:tcPr>
            <w:tcW w:w="1040" w:type="dxa"/>
            <w:vAlign w:val="bottom"/>
            <w:vMerge w:val="restart"/>
          </w:tcPr>
          <w:p>
            <w:pPr>
              <w:jc w:val="right"/>
              <w:ind w:right="101"/>
              <w:spacing w:after="0"/>
              <w:rPr>
                <w:sz w:val="20"/>
                <w:szCs w:val="20"/>
                <w:color w:val="auto"/>
              </w:rPr>
            </w:pPr>
            <w:r>
              <w:rPr>
                <w:rFonts w:ascii="Arial" w:cs="Arial" w:eastAsia="Arial" w:hAnsi="Arial"/>
                <w:sz w:val="12"/>
                <w:szCs w:val="12"/>
                <w:color w:val="auto"/>
              </w:rPr>
              <w:t>90,883,711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right"/>
              <w:ind w:right="101"/>
              <w:spacing w:after="0"/>
              <w:rPr>
                <w:sz w:val="20"/>
                <w:szCs w:val="20"/>
                <w:color w:val="auto"/>
              </w:rPr>
            </w:pPr>
            <w:r>
              <w:rPr>
                <w:rFonts w:ascii="Arial" w:cs="Arial" w:eastAsia="Arial" w:hAnsi="Arial"/>
                <w:sz w:val="12"/>
                <w:szCs w:val="12"/>
                <w:color w:val="auto"/>
              </w:rPr>
              <w:t>68,517,647</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ind w:right="101"/>
              <w:spacing w:after="0"/>
              <w:rPr>
                <w:sz w:val="20"/>
                <w:szCs w:val="20"/>
                <w:color w:val="auto"/>
              </w:rPr>
            </w:pPr>
            <w:r>
              <w:rPr>
                <w:rFonts w:ascii="Arial" w:cs="Arial" w:eastAsia="Arial" w:hAnsi="Arial"/>
                <w:sz w:val="12"/>
                <w:szCs w:val="12"/>
                <w:color w:val="auto"/>
              </w:rPr>
              <w:t>57,853,231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right"/>
              <w:ind w:right="101"/>
              <w:spacing w:after="0"/>
              <w:rPr>
                <w:sz w:val="20"/>
                <w:szCs w:val="20"/>
                <w:color w:val="auto"/>
              </w:rPr>
            </w:pPr>
            <w:r>
              <w:rPr>
                <w:rFonts w:ascii="Arial" w:cs="Arial" w:eastAsia="Arial" w:hAnsi="Arial"/>
                <w:sz w:val="12"/>
                <w:szCs w:val="12"/>
                <w:color w:val="auto"/>
              </w:rPr>
              <w:t>80,251,577</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ind w:right="101"/>
              <w:spacing w:after="0"/>
              <w:rPr>
                <w:sz w:val="20"/>
                <w:szCs w:val="20"/>
                <w:color w:val="auto"/>
              </w:rPr>
            </w:pPr>
            <w:r>
              <w:rPr>
                <w:rFonts w:ascii="Arial" w:cs="Arial" w:eastAsia="Arial" w:hAnsi="Arial"/>
                <w:sz w:val="12"/>
                <w:szCs w:val="12"/>
                <w:color w:val="auto"/>
              </w:rPr>
              <w:t>57,129,865</w:t>
            </w:r>
          </w:p>
        </w:tc>
        <w:tc>
          <w:tcPr>
            <w:tcW w:w="0" w:type="dxa"/>
            <w:vAlign w:val="bottom"/>
          </w:tcPr>
          <w:p>
            <w:pPr>
              <w:spacing w:after="0"/>
              <w:rPr>
                <w:sz w:val="1"/>
                <w:szCs w:val="1"/>
                <w:color w:val="auto"/>
              </w:rPr>
            </w:pPr>
          </w:p>
        </w:tc>
      </w:tr>
      <w:tr>
        <w:trPr>
          <w:trHeight w:val="163"/>
        </w:trPr>
        <w:tc>
          <w:tcPr>
            <w:tcW w:w="3800" w:type="dxa"/>
            <w:vAlign w:val="bottom"/>
          </w:tcPr>
          <w:p>
            <w:pPr>
              <w:spacing w:after="0"/>
              <w:rPr>
                <w:sz w:val="20"/>
                <w:szCs w:val="20"/>
                <w:color w:val="auto"/>
              </w:rPr>
            </w:pPr>
            <w:r>
              <w:rPr>
                <w:rFonts w:ascii="Arial" w:cs="Arial" w:eastAsia="Arial" w:hAnsi="Arial"/>
                <w:sz w:val="12"/>
                <w:szCs w:val="12"/>
                <w:b w:val="1"/>
                <w:bCs w:val="1"/>
                <w:color w:val="auto"/>
              </w:rPr>
              <w:t>(GAAP)</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Diluted earnings (loss) per common share (GAAP)</w:t>
            </w:r>
          </w:p>
        </w:tc>
        <w:tc>
          <w:tcPr>
            <w:tcW w:w="620" w:type="dxa"/>
            <w:vAlign w:val="bottom"/>
            <w:shd w:val="clear" w:color="auto" w:fill="E0E7ED"/>
          </w:tcPr>
          <w:p>
            <w:pPr>
              <w:ind w:left="20"/>
              <w:spacing w:after="0"/>
              <w:rPr>
                <w:sz w:val="20"/>
                <w:szCs w:val="20"/>
                <w:color w:val="auto"/>
              </w:rPr>
            </w:pPr>
            <w:r>
              <w:rPr>
                <w:rFonts w:ascii="Arial" w:cs="Arial" w:eastAsia="Arial" w:hAnsi="Arial"/>
                <w:sz w:val="12"/>
                <w:szCs w:val="12"/>
                <w:color w:val="auto"/>
              </w:rPr>
              <w:t>[(a-c)÷e]</w:t>
            </w:r>
          </w:p>
        </w:tc>
        <w:tc>
          <w:tcPr>
            <w:tcW w:w="260" w:type="dxa"/>
            <w:vAlign w:val="bottom"/>
            <w:shd w:val="clear" w:color="auto" w:fill="E0E7ED"/>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0.52</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81"/>
              <w:spacing w:after="0"/>
              <w:rPr>
                <w:sz w:val="20"/>
                <w:szCs w:val="20"/>
                <w:color w:val="auto"/>
              </w:rPr>
            </w:pPr>
            <w:r>
              <w:rPr>
                <w:rFonts w:ascii="Arial" w:cs="Arial" w:eastAsia="Arial" w:hAnsi="Arial"/>
                <w:sz w:val="12"/>
                <w:szCs w:val="12"/>
                <w:color w:val="auto"/>
              </w:rPr>
              <w:t>(0.44)</w:t>
            </w:r>
          </w:p>
        </w:tc>
        <w:tc>
          <w:tcPr>
            <w:tcW w:w="60" w:type="dxa"/>
            <w:vAlign w:val="bottom"/>
            <w:shd w:val="clear" w:color="auto" w:fill="E0E7ED"/>
          </w:tcPr>
          <w:p>
            <w:pPr>
              <w:spacing w:after="0"/>
              <w:rPr>
                <w:sz w:val="15"/>
                <w:szCs w:val="15"/>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0.47</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0.22</w:t>
            </w: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0.94</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00" w:type="dxa"/>
            <w:vAlign w:val="bottom"/>
            <w:shd w:val="clear" w:color="auto" w:fill="E0E7ED"/>
          </w:tcPr>
          <w:p>
            <w:pPr>
              <w:spacing w:after="0"/>
              <w:rPr>
                <w:sz w:val="20"/>
                <w:szCs w:val="20"/>
                <w:color w:val="auto"/>
              </w:rPr>
            </w:pPr>
            <w:r>
              <w:rPr>
                <w:rFonts w:ascii="Arial" w:cs="Arial" w:eastAsia="Arial" w:hAnsi="Arial"/>
                <w:sz w:val="12"/>
                <w:szCs w:val="12"/>
                <w:color w:val="auto"/>
              </w:rPr>
              <w:t>Weighted average number of common shares outstanding, diluted</w:t>
            </w:r>
          </w:p>
        </w:tc>
        <w:tc>
          <w:tcPr>
            <w:tcW w:w="620" w:type="dxa"/>
            <w:vAlign w:val="bottom"/>
            <w:shd w:val="clear" w:color="auto" w:fill="E0E7ED"/>
          </w:tcPr>
          <w:p>
            <w:pPr>
              <w:spacing w:after="0"/>
              <w:rPr>
                <w:sz w:val="12"/>
                <w:szCs w:val="12"/>
                <w:color w:val="auto"/>
              </w:rPr>
            </w:pPr>
          </w:p>
        </w:tc>
        <w:tc>
          <w:tcPr>
            <w:tcW w:w="260" w:type="dxa"/>
            <w:vAlign w:val="bottom"/>
            <w:shd w:val="clear" w:color="auto" w:fill="E0E7ED"/>
          </w:tcPr>
          <w:p>
            <w:pPr>
              <w:spacing w:after="0"/>
              <w:rPr>
                <w:sz w:val="12"/>
                <w:szCs w:val="12"/>
                <w:color w:val="auto"/>
              </w:rPr>
            </w:pPr>
          </w:p>
        </w:tc>
        <w:tc>
          <w:tcPr>
            <w:tcW w:w="1040" w:type="dxa"/>
            <w:vAlign w:val="bottom"/>
            <w:vMerge w:val="restart"/>
            <w:shd w:val="clear" w:color="auto" w:fill="E0E7ED"/>
          </w:tcPr>
          <w:p>
            <w:pPr>
              <w:jc w:val="right"/>
              <w:ind w:right="101"/>
              <w:spacing w:after="0"/>
              <w:rPr>
                <w:sz w:val="20"/>
                <w:szCs w:val="20"/>
                <w:color w:val="auto"/>
              </w:rPr>
            </w:pPr>
            <w:r>
              <w:rPr>
                <w:rFonts w:ascii="Arial" w:cs="Arial" w:eastAsia="Arial" w:hAnsi="Arial"/>
                <w:sz w:val="12"/>
                <w:szCs w:val="12"/>
                <w:color w:val="auto"/>
              </w:rPr>
              <w:t>90,883,711</w:t>
            </w: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220" w:type="dxa"/>
            <w:vAlign w:val="bottom"/>
            <w:vMerge w:val="restart"/>
            <w:shd w:val="clear" w:color="auto" w:fill="E0E7ED"/>
          </w:tcPr>
          <w:p>
            <w:pPr>
              <w:jc w:val="right"/>
              <w:ind w:right="101"/>
              <w:spacing w:after="0"/>
              <w:rPr>
                <w:sz w:val="20"/>
                <w:szCs w:val="20"/>
                <w:color w:val="auto"/>
              </w:rPr>
            </w:pPr>
            <w:r>
              <w:rPr>
                <w:rFonts w:ascii="Arial" w:cs="Arial" w:eastAsia="Arial" w:hAnsi="Arial"/>
                <w:sz w:val="12"/>
                <w:szCs w:val="12"/>
                <w:color w:val="auto"/>
              </w:rPr>
              <w:t>69,502,717</w:t>
            </w:r>
          </w:p>
        </w:tc>
        <w:tc>
          <w:tcPr>
            <w:tcW w:w="60" w:type="dxa"/>
            <w:vAlign w:val="bottom"/>
            <w:shd w:val="clear" w:color="auto" w:fill="E0E7ED"/>
          </w:tcPr>
          <w:p>
            <w:pPr>
              <w:spacing w:after="0"/>
              <w:rPr>
                <w:sz w:val="12"/>
                <w:szCs w:val="12"/>
                <w:color w:val="auto"/>
              </w:rPr>
            </w:pPr>
          </w:p>
        </w:tc>
        <w:tc>
          <w:tcPr>
            <w:tcW w:w="260" w:type="dxa"/>
            <w:vAlign w:val="bottom"/>
            <w:shd w:val="clear" w:color="auto" w:fill="E0E7ED"/>
          </w:tcPr>
          <w:p>
            <w:pPr>
              <w:spacing w:after="0"/>
              <w:rPr>
                <w:sz w:val="12"/>
                <w:szCs w:val="12"/>
                <w:color w:val="auto"/>
              </w:rPr>
            </w:pPr>
          </w:p>
        </w:tc>
        <w:tc>
          <w:tcPr>
            <w:tcW w:w="1060" w:type="dxa"/>
            <w:vAlign w:val="bottom"/>
            <w:vMerge w:val="restart"/>
            <w:shd w:val="clear" w:color="auto" w:fill="E0E7ED"/>
          </w:tcPr>
          <w:p>
            <w:pPr>
              <w:jc w:val="right"/>
              <w:ind w:right="101"/>
              <w:spacing w:after="0"/>
              <w:rPr>
                <w:sz w:val="20"/>
                <w:szCs w:val="20"/>
                <w:color w:val="auto"/>
              </w:rPr>
            </w:pPr>
            <w:r>
              <w:rPr>
                <w:rFonts w:ascii="Arial" w:cs="Arial" w:eastAsia="Arial" w:hAnsi="Arial"/>
                <w:sz w:val="12"/>
                <w:szCs w:val="12"/>
                <w:color w:val="auto"/>
              </w:rPr>
              <w:t>57,853,231</w:t>
            </w:r>
          </w:p>
        </w:tc>
        <w:tc>
          <w:tcPr>
            <w:tcW w:w="80" w:type="dxa"/>
            <w:vAlign w:val="bottom"/>
            <w:shd w:val="clear" w:color="auto" w:fill="E0E7ED"/>
          </w:tcPr>
          <w:p>
            <w:pPr>
              <w:spacing w:after="0"/>
              <w:rPr>
                <w:sz w:val="12"/>
                <w:szCs w:val="12"/>
                <w:color w:val="auto"/>
              </w:rPr>
            </w:pPr>
          </w:p>
        </w:tc>
        <w:tc>
          <w:tcPr>
            <w:tcW w:w="260" w:type="dxa"/>
            <w:vAlign w:val="bottom"/>
            <w:shd w:val="clear" w:color="auto" w:fill="E0E7ED"/>
          </w:tcPr>
          <w:p>
            <w:pPr>
              <w:spacing w:after="0"/>
              <w:rPr>
                <w:sz w:val="12"/>
                <w:szCs w:val="12"/>
                <w:color w:val="auto"/>
              </w:rPr>
            </w:pPr>
          </w:p>
        </w:tc>
        <w:tc>
          <w:tcPr>
            <w:tcW w:w="1060" w:type="dxa"/>
            <w:vAlign w:val="bottom"/>
            <w:vMerge w:val="restart"/>
            <w:shd w:val="clear" w:color="auto" w:fill="E0E7ED"/>
          </w:tcPr>
          <w:p>
            <w:pPr>
              <w:jc w:val="right"/>
              <w:ind w:right="101"/>
              <w:spacing w:after="0"/>
              <w:rPr>
                <w:sz w:val="20"/>
                <w:szCs w:val="20"/>
                <w:color w:val="auto"/>
              </w:rPr>
            </w:pPr>
            <w:r>
              <w:rPr>
                <w:rFonts w:ascii="Arial" w:cs="Arial" w:eastAsia="Arial" w:hAnsi="Arial"/>
                <w:sz w:val="12"/>
                <w:szCs w:val="12"/>
                <w:color w:val="auto"/>
              </w:rPr>
              <w:t>80,251,577</w:t>
            </w:r>
          </w:p>
        </w:tc>
        <w:tc>
          <w:tcPr>
            <w:tcW w:w="80" w:type="dxa"/>
            <w:vAlign w:val="bottom"/>
            <w:shd w:val="clear" w:color="auto" w:fill="E0E7ED"/>
          </w:tcPr>
          <w:p>
            <w:pPr>
              <w:spacing w:after="0"/>
              <w:rPr>
                <w:sz w:val="12"/>
                <w:szCs w:val="12"/>
                <w:color w:val="auto"/>
              </w:rPr>
            </w:pPr>
          </w:p>
        </w:tc>
        <w:tc>
          <w:tcPr>
            <w:tcW w:w="440" w:type="dxa"/>
            <w:vAlign w:val="bottom"/>
            <w:shd w:val="clear" w:color="auto" w:fill="E0E7ED"/>
          </w:tcPr>
          <w:p>
            <w:pPr>
              <w:spacing w:after="0"/>
              <w:rPr>
                <w:sz w:val="12"/>
                <w:szCs w:val="12"/>
                <w:color w:val="auto"/>
              </w:rPr>
            </w:pPr>
          </w:p>
        </w:tc>
        <w:tc>
          <w:tcPr>
            <w:tcW w:w="880" w:type="dxa"/>
            <w:vAlign w:val="bottom"/>
            <w:vMerge w:val="restart"/>
            <w:shd w:val="clear" w:color="auto" w:fill="E0E7ED"/>
          </w:tcPr>
          <w:p>
            <w:pPr>
              <w:jc w:val="right"/>
              <w:ind w:right="101"/>
              <w:spacing w:after="0"/>
              <w:rPr>
                <w:sz w:val="20"/>
                <w:szCs w:val="20"/>
                <w:color w:val="auto"/>
              </w:rPr>
            </w:pPr>
            <w:r>
              <w:rPr>
                <w:rFonts w:ascii="Arial" w:cs="Arial" w:eastAsia="Arial" w:hAnsi="Arial"/>
                <w:sz w:val="12"/>
                <w:szCs w:val="12"/>
                <w:color w:val="auto"/>
              </w:rPr>
              <w:t>57,129,865</w:t>
            </w:r>
          </w:p>
        </w:tc>
        <w:tc>
          <w:tcPr>
            <w:tcW w:w="0" w:type="dxa"/>
            <w:vAlign w:val="bottom"/>
          </w:tcPr>
          <w:p>
            <w:pPr>
              <w:spacing w:after="0"/>
              <w:rPr>
                <w:sz w:val="1"/>
                <w:szCs w:val="1"/>
                <w:color w:val="auto"/>
              </w:rPr>
            </w:pPr>
          </w:p>
        </w:tc>
      </w:tr>
      <w:tr>
        <w:trPr>
          <w:trHeight w:val="87"/>
        </w:trPr>
        <w:tc>
          <w:tcPr>
            <w:tcW w:w="3800" w:type="dxa"/>
            <w:vAlign w:val="bottom"/>
            <w:vMerge w:val="restart"/>
            <w:shd w:val="clear" w:color="auto" w:fill="E0E7ED"/>
          </w:tcPr>
          <w:p>
            <w:pPr>
              <w:spacing w:after="0"/>
              <w:rPr>
                <w:sz w:val="20"/>
                <w:szCs w:val="20"/>
                <w:color w:val="auto"/>
              </w:rPr>
            </w:pPr>
            <w:r>
              <w:rPr>
                <w:rFonts w:ascii="Arial" w:cs="Arial" w:eastAsia="Arial" w:hAnsi="Arial"/>
                <w:sz w:val="12"/>
                <w:szCs w:val="12"/>
                <w:color w:val="auto"/>
              </w:rPr>
              <w:t>(Non-GAAP)</w:t>
            </w:r>
            <w:r>
              <w:rPr>
                <w:rFonts w:ascii="Arial" w:cs="Arial" w:eastAsia="Arial" w:hAnsi="Arial"/>
                <w:sz w:val="15"/>
                <w:szCs w:val="15"/>
                <w:color w:val="auto"/>
                <w:vertAlign w:val="superscript"/>
              </w:rPr>
              <w:t>5</w:t>
            </w:r>
          </w:p>
        </w:tc>
        <w:tc>
          <w:tcPr>
            <w:tcW w:w="620" w:type="dxa"/>
            <w:vAlign w:val="bottom"/>
            <w:vMerge w:val="restart"/>
            <w:shd w:val="clear" w:color="auto" w:fill="E0E7ED"/>
          </w:tcPr>
          <w:p>
            <w:pPr>
              <w:ind w:left="20"/>
              <w:spacing w:after="0"/>
              <w:rPr>
                <w:sz w:val="20"/>
                <w:szCs w:val="20"/>
                <w:color w:val="auto"/>
              </w:rPr>
            </w:pPr>
            <w:r>
              <w:rPr>
                <w:rFonts w:ascii="Arial" w:cs="Arial" w:eastAsia="Arial" w:hAnsi="Arial"/>
                <w:sz w:val="12"/>
                <w:szCs w:val="12"/>
                <w:color w:val="auto"/>
              </w:rPr>
              <w:t>[f]</w:t>
            </w:r>
          </w:p>
        </w:tc>
        <w:tc>
          <w:tcPr>
            <w:tcW w:w="260" w:type="dxa"/>
            <w:vAlign w:val="bottom"/>
            <w:shd w:val="clear" w:color="auto" w:fill="E0E7ED"/>
          </w:tcPr>
          <w:p>
            <w:pPr>
              <w:spacing w:after="0"/>
              <w:rPr>
                <w:sz w:val="7"/>
                <w:szCs w:val="7"/>
                <w:color w:val="auto"/>
              </w:rPr>
            </w:pPr>
          </w:p>
        </w:tc>
        <w:tc>
          <w:tcPr>
            <w:tcW w:w="1040" w:type="dxa"/>
            <w:vAlign w:val="bottom"/>
            <w:vMerge w:val="continue"/>
            <w:shd w:val="clear" w:color="auto" w:fill="E0E7ED"/>
          </w:tcPr>
          <w:p>
            <w:pPr>
              <w:spacing w:after="0"/>
              <w:rPr>
                <w:sz w:val="7"/>
                <w:szCs w:val="7"/>
                <w:color w:val="auto"/>
              </w:rPr>
            </w:pPr>
          </w:p>
        </w:tc>
        <w:tc>
          <w:tcPr>
            <w:tcW w:w="80" w:type="dxa"/>
            <w:vAlign w:val="bottom"/>
            <w:shd w:val="clear" w:color="auto" w:fill="E0E7ED"/>
          </w:tcPr>
          <w:p>
            <w:pPr>
              <w:spacing w:after="0"/>
              <w:rPr>
                <w:sz w:val="7"/>
                <w:szCs w:val="7"/>
                <w:color w:val="auto"/>
              </w:rPr>
            </w:pPr>
          </w:p>
        </w:tc>
        <w:tc>
          <w:tcPr>
            <w:tcW w:w="100" w:type="dxa"/>
            <w:vAlign w:val="bottom"/>
            <w:shd w:val="clear" w:color="auto" w:fill="E0E7ED"/>
          </w:tcPr>
          <w:p>
            <w:pPr>
              <w:spacing w:after="0"/>
              <w:rPr>
                <w:sz w:val="7"/>
                <w:szCs w:val="7"/>
                <w:color w:val="auto"/>
              </w:rPr>
            </w:pPr>
          </w:p>
        </w:tc>
        <w:tc>
          <w:tcPr>
            <w:tcW w:w="1220" w:type="dxa"/>
            <w:vAlign w:val="bottom"/>
            <w:vMerge w:val="continue"/>
            <w:shd w:val="clear" w:color="auto" w:fill="E0E7ED"/>
          </w:tcPr>
          <w:p>
            <w:pPr>
              <w:spacing w:after="0"/>
              <w:rPr>
                <w:sz w:val="7"/>
                <w:szCs w:val="7"/>
                <w:color w:val="auto"/>
              </w:rPr>
            </w:pPr>
          </w:p>
        </w:tc>
        <w:tc>
          <w:tcPr>
            <w:tcW w:w="60" w:type="dxa"/>
            <w:vAlign w:val="bottom"/>
            <w:shd w:val="clear" w:color="auto" w:fill="E0E7ED"/>
          </w:tcPr>
          <w:p>
            <w:pPr>
              <w:spacing w:after="0"/>
              <w:rPr>
                <w:sz w:val="7"/>
                <w:szCs w:val="7"/>
                <w:color w:val="auto"/>
              </w:rPr>
            </w:pPr>
          </w:p>
        </w:tc>
        <w:tc>
          <w:tcPr>
            <w:tcW w:w="260" w:type="dxa"/>
            <w:vAlign w:val="bottom"/>
            <w:shd w:val="clear" w:color="auto" w:fill="E0E7ED"/>
          </w:tcPr>
          <w:p>
            <w:pPr>
              <w:spacing w:after="0"/>
              <w:rPr>
                <w:sz w:val="7"/>
                <w:szCs w:val="7"/>
                <w:color w:val="auto"/>
              </w:rPr>
            </w:pPr>
          </w:p>
        </w:tc>
        <w:tc>
          <w:tcPr>
            <w:tcW w:w="1060" w:type="dxa"/>
            <w:vAlign w:val="bottom"/>
            <w:vMerge w:val="continue"/>
            <w:shd w:val="clear" w:color="auto" w:fill="E0E7ED"/>
          </w:tcPr>
          <w:p>
            <w:pPr>
              <w:spacing w:after="0"/>
              <w:rPr>
                <w:sz w:val="7"/>
                <w:szCs w:val="7"/>
                <w:color w:val="auto"/>
              </w:rPr>
            </w:pPr>
          </w:p>
        </w:tc>
        <w:tc>
          <w:tcPr>
            <w:tcW w:w="80" w:type="dxa"/>
            <w:vAlign w:val="bottom"/>
            <w:shd w:val="clear" w:color="auto" w:fill="E0E7ED"/>
          </w:tcPr>
          <w:p>
            <w:pPr>
              <w:spacing w:after="0"/>
              <w:rPr>
                <w:sz w:val="7"/>
                <w:szCs w:val="7"/>
                <w:color w:val="auto"/>
              </w:rPr>
            </w:pPr>
          </w:p>
        </w:tc>
        <w:tc>
          <w:tcPr>
            <w:tcW w:w="260" w:type="dxa"/>
            <w:vAlign w:val="bottom"/>
            <w:shd w:val="clear" w:color="auto" w:fill="E0E7ED"/>
          </w:tcPr>
          <w:p>
            <w:pPr>
              <w:spacing w:after="0"/>
              <w:rPr>
                <w:sz w:val="7"/>
                <w:szCs w:val="7"/>
                <w:color w:val="auto"/>
              </w:rPr>
            </w:pPr>
          </w:p>
        </w:tc>
        <w:tc>
          <w:tcPr>
            <w:tcW w:w="1060" w:type="dxa"/>
            <w:vAlign w:val="bottom"/>
            <w:vMerge w:val="continue"/>
            <w:shd w:val="clear" w:color="auto" w:fill="E0E7ED"/>
          </w:tcPr>
          <w:p>
            <w:pPr>
              <w:spacing w:after="0"/>
              <w:rPr>
                <w:sz w:val="7"/>
                <w:szCs w:val="7"/>
                <w:color w:val="auto"/>
              </w:rPr>
            </w:pPr>
          </w:p>
        </w:tc>
        <w:tc>
          <w:tcPr>
            <w:tcW w:w="80" w:type="dxa"/>
            <w:vAlign w:val="bottom"/>
            <w:shd w:val="clear" w:color="auto" w:fill="E0E7ED"/>
          </w:tcPr>
          <w:p>
            <w:pPr>
              <w:spacing w:after="0"/>
              <w:rPr>
                <w:sz w:val="7"/>
                <w:szCs w:val="7"/>
                <w:color w:val="auto"/>
              </w:rPr>
            </w:pPr>
          </w:p>
        </w:tc>
        <w:tc>
          <w:tcPr>
            <w:tcW w:w="440" w:type="dxa"/>
            <w:vAlign w:val="bottom"/>
            <w:shd w:val="clear" w:color="auto" w:fill="E0E7ED"/>
          </w:tcPr>
          <w:p>
            <w:pPr>
              <w:spacing w:after="0"/>
              <w:rPr>
                <w:sz w:val="7"/>
                <w:szCs w:val="7"/>
                <w:color w:val="auto"/>
              </w:rPr>
            </w:pPr>
          </w:p>
        </w:tc>
        <w:tc>
          <w:tcPr>
            <w:tcW w:w="880" w:type="dxa"/>
            <w:vAlign w:val="bottom"/>
            <w:vMerge w:val="continue"/>
            <w:shd w:val="clear" w:color="auto" w:fill="E0E7ED"/>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800" w:type="dxa"/>
            <w:vAlign w:val="bottom"/>
            <w:vMerge w:val="continue"/>
            <w:shd w:val="clear" w:color="auto" w:fill="E0E7ED"/>
          </w:tcPr>
          <w:p>
            <w:pPr>
              <w:spacing w:after="0"/>
              <w:rPr>
                <w:sz w:val="7"/>
                <w:szCs w:val="7"/>
                <w:color w:val="auto"/>
              </w:rPr>
            </w:pPr>
          </w:p>
        </w:tc>
        <w:tc>
          <w:tcPr>
            <w:tcW w:w="620" w:type="dxa"/>
            <w:vAlign w:val="bottom"/>
            <w:vMerge w:val="continue"/>
            <w:shd w:val="clear" w:color="auto" w:fill="E0E7ED"/>
          </w:tcPr>
          <w:p>
            <w:pPr>
              <w:spacing w:after="0"/>
              <w:rPr>
                <w:sz w:val="7"/>
                <w:szCs w:val="7"/>
                <w:color w:val="auto"/>
              </w:rPr>
            </w:pPr>
          </w:p>
        </w:tc>
        <w:tc>
          <w:tcPr>
            <w:tcW w:w="260" w:type="dxa"/>
            <w:vAlign w:val="bottom"/>
            <w:shd w:val="clear" w:color="auto" w:fill="E0E7ED"/>
          </w:tcPr>
          <w:p>
            <w:pPr>
              <w:spacing w:after="0"/>
              <w:rPr>
                <w:sz w:val="7"/>
                <w:szCs w:val="7"/>
                <w:color w:val="auto"/>
              </w:rPr>
            </w:pPr>
          </w:p>
        </w:tc>
        <w:tc>
          <w:tcPr>
            <w:tcW w:w="1040" w:type="dxa"/>
            <w:vAlign w:val="bottom"/>
            <w:shd w:val="clear" w:color="auto" w:fill="E0E7ED"/>
          </w:tcPr>
          <w:p>
            <w:pPr>
              <w:spacing w:after="0"/>
              <w:rPr>
                <w:sz w:val="7"/>
                <w:szCs w:val="7"/>
                <w:color w:val="auto"/>
              </w:rPr>
            </w:pPr>
          </w:p>
        </w:tc>
        <w:tc>
          <w:tcPr>
            <w:tcW w:w="80" w:type="dxa"/>
            <w:vAlign w:val="bottom"/>
            <w:shd w:val="clear" w:color="auto" w:fill="E0E7ED"/>
          </w:tcPr>
          <w:p>
            <w:pPr>
              <w:spacing w:after="0"/>
              <w:rPr>
                <w:sz w:val="7"/>
                <w:szCs w:val="7"/>
                <w:color w:val="auto"/>
              </w:rPr>
            </w:pPr>
          </w:p>
        </w:tc>
        <w:tc>
          <w:tcPr>
            <w:tcW w:w="100" w:type="dxa"/>
            <w:vAlign w:val="bottom"/>
            <w:shd w:val="clear" w:color="auto" w:fill="E0E7ED"/>
          </w:tcPr>
          <w:p>
            <w:pPr>
              <w:spacing w:after="0"/>
              <w:rPr>
                <w:sz w:val="7"/>
                <w:szCs w:val="7"/>
                <w:color w:val="auto"/>
              </w:rPr>
            </w:pPr>
          </w:p>
        </w:tc>
        <w:tc>
          <w:tcPr>
            <w:tcW w:w="1220" w:type="dxa"/>
            <w:vAlign w:val="bottom"/>
            <w:shd w:val="clear" w:color="auto" w:fill="E0E7ED"/>
          </w:tcPr>
          <w:p>
            <w:pPr>
              <w:spacing w:after="0"/>
              <w:rPr>
                <w:sz w:val="7"/>
                <w:szCs w:val="7"/>
                <w:color w:val="auto"/>
              </w:rPr>
            </w:pPr>
          </w:p>
        </w:tc>
        <w:tc>
          <w:tcPr>
            <w:tcW w:w="60" w:type="dxa"/>
            <w:vAlign w:val="bottom"/>
            <w:shd w:val="clear" w:color="auto" w:fill="E0E7ED"/>
          </w:tcPr>
          <w:p>
            <w:pPr>
              <w:spacing w:after="0"/>
              <w:rPr>
                <w:sz w:val="7"/>
                <w:szCs w:val="7"/>
                <w:color w:val="auto"/>
              </w:rPr>
            </w:pPr>
          </w:p>
        </w:tc>
        <w:tc>
          <w:tcPr>
            <w:tcW w:w="260" w:type="dxa"/>
            <w:vAlign w:val="bottom"/>
            <w:shd w:val="clear" w:color="auto" w:fill="E0E7ED"/>
          </w:tcPr>
          <w:p>
            <w:pPr>
              <w:spacing w:after="0"/>
              <w:rPr>
                <w:sz w:val="7"/>
                <w:szCs w:val="7"/>
                <w:color w:val="auto"/>
              </w:rPr>
            </w:pPr>
          </w:p>
        </w:tc>
        <w:tc>
          <w:tcPr>
            <w:tcW w:w="1060" w:type="dxa"/>
            <w:vAlign w:val="bottom"/>
            <w:shd w:val="clear" w:color="auto" w:fill="E0E7ED"/>
          </w:tcPr>
          <w:p>
            <w:pPr>
              <w:spacing w:after="0"/>
              <w:rPr>
                <w:sz w:val="7"/>
                <w:szCs w:val="7"/>
                <w:color w:val="auto"/>
              </w:rPr>
            </w:pPr>
          </w:p>
        </w:tc>
        <w:tc>
          <w:tcPr>
            <w:tcW w:w="80" w:type="dxa"/>
            <w:vAlign w:val="bottom"/>
            <w:shd w:val="clear" w:color="auto" w:fill="E0E7ED"/>
          </w:tcPr>
          <w:p>
            <w:pPr>
              <w:spacing w:after="0"/>
              <w:rPr>
                <w:sz w:val="7"/>
                <w:szCs w:val="7"/>
                <w:color w:val="auto"/>
              </w:rPr>
            </w:pPr>
          </w:p>
        </w:tc>
        <w:tc>
          <w:tcPr>
            <w:tcW w:w="260" w:type="dxa"/>
            <w:vAlign w:val="bottom"/>
            <w:shd w:val="clear" w:color="auto" w:fill="E0E7ED"/>
          </w:tcPr>
          <w:p>
            <w:pPr>
              <w:spacing w:after="0"/>
              <w:rPr>
                <w:sz w:val="7"/>
                <w:szCs w:val="7"/>
                <w:color w:val="auto"/>
              </w:rPr>
            </w:pPr>
          </w:p>
        </w:tc>
        <w:tc>
          <w:tcPr>
            <w:tcW w:w="1060" w:type="dxa"/>
            <w:vAlign w:val="bottom"/>
            <w:shd w:val="clear" w:color="auto" w:fill="E0E7ED"/>
          </w:tcPr>
          <w:p>
            <w:pPr>
              <w:spacing w:after="0"/>
              <w:rPr>
                <w:sz w:val="7"/>
                <w:szCs w:val="7"/>
                <w:color w:val="auto"/>
              </w:rPr>
            </w:pPr>
          </w:p>
        </w:tc>
        <w:tc>
          <w:tcPr>
            <w:tcW w:w="80" w:type="dxa"/>
            <w:vAlign w:val="bottom"/>
            <w:shd w:val="clear" w:color="auto" w:fill="E0E7ED"/>
          </w:tcPr>
          <w:p>
            <w:pPr>
              <w:spacing w:after="0"/>
              <w:rPr>
                <w:sz w:val="7"/>
                <w:szCs w:val="7"/>
                <w:color w:val="auto"/>
              </w:rPr>
            </w:pPr>
          </w:p>
        </w:tc>
        <w:tc>
          <w:tcPr>
            <w:tcW w:w="440" w:type="dxa"/>
            <w:vAlign w:val="bottom"/>
            <w:shd w:val="clear" w:color="auto" w:fill="E0E7ED"/>
          </w:tcPr>
          <w:p>
            <w:pPr>
              <w:spacing w:after="0"/>
              <w:rPr>
                <w:sz w:val="7"/>
                <w:szCs w:val="7"/>
                <w:color w:val="auto"/>
              </w:rPr>
            </w:pPr>
          </w:p>
        </w:tc>
        <w:tc>
          <w:tcPr>
            <w:tcW w:w="880" w:type="dxa"/>
            <w:vAlign w:val="bottom"/>
            <w:shd w:val="clear" w:color="auto" w:fill="E0E7ED"/>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3800" w:type="dxa"/>
            <w:vAlign w:val="bottom"/>
          </w:tcPr>
          <w:p>
            <w:pPr>
              <w:spacing w:after="0"/>
              <w:rPr>
                <w:sz w:val="20"/>
                <w:szCs w:val="20"/>
                <w:color w:val="auto"/>
              </w:rPr>
            </w:pPr>
            <w:r>
              <w:rPr>
                <w:rFonts w:ascii="Arial" w:cs="Arial" w:eastAsia="Arial" w:hAnsi="Arial"/>
                <w:sz w:val="12"/>
                <w:szCs w:val="12"/>
                <w:color w:val="auto"/>
              </w:rPr>
              <w:t>Adjusted diluted earnings per common share (Non-GAAP)</w:t>
            </w:r>
            <w:r>
              <w:rPr>
                <w:rFonts w:ascii="Arial" w:cs="Arial" w:eastAsia="Arial" w:hAnsi="Arial"/>
                <w:sz w:val="15"/>
                <w:szCs w:val="15"/>
                <w:color w:val="auto"/>
                <w:vertAlign w:val="superscript"/>
              </w:rPr>
              <w:t>5,6</w:t>
            </w:r>
          </w:p>
        </w:tc>
        <w:tc>
          <w:tcPr>
            <w:tcW w:w="620" w:type="dxa"/>
            <w:vAlign w:val="bottom"/>
          </w:tcPr>
          <w:p>
            <w:pPr>
              <w:ind w:left="20"/>
              <w:spacing w:after="0"/>
              <w:rPr>
                <w:sz w:val="20"/>
                <w:szCs w:val="20"/>
                <w:color w:val="auto"/>
              </w:rPr>
            </w:pPr>
            <w:r>
              <w:rPr>
                <w:rFonts w:ascii="Arial" w:cs="Arial" w:eastAsia="Arial" w:hAnsi="Arial"/>
                <w:sz w:val="12"/>
                <w:szCs w:val="12"/>
                <w:color w:val="auto"/>
              </w:rPr>
              <w:t>[d÷f]</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01"/>
              <w:spacing w:after="0"/>
              <w:rPr>
                <w:sz w:val="20"/>
                <w:szCs w:val="20"/>
                <w:color w:val="auto"/>
              </w:rPr>
            </w:pPr>
            <w:r>
              <w:rPr>
                <w:rFonts w:ascii="Arial" w:cs="Arial" w:eastAsia="Arial" w:hAnsi="Arial"/>
                <w:sz w:val="12"/>
                <w:szCs w:val="12"/>
                <w:color w:val="auto"/>
              </w:rPr>
              <w:t>0.63</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0.57</w:t>
            </w:r>
          </w:p>
        </w:tc>
        <w:tc>
          <w:tcPr>
            <w:tcW w:w="6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0.53</w:t>
            </w:r>
          </w:p>
        </w:tc>
        <w:tc>
          <w:tcPr>
            <w:tcW w:w="8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1.21</w:t>
            </w:r>
          </w:p>
        </w:tc>
        <w:tc>
          <w:tcPr>
            <w:tcW w:w="80" w:type="dxa"/>
            <w:vAlign w:val="bottom"/>
          </w:tcPr>
          <w:p>
            <w:pPr>
              <w:spacing w:after="0"/>
              <w:rPr>
                <w:sz w:val="15"/>
                <w:szCs w:val="15"/>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0.98</w:t>
            </w:r>
          </w:p>
        </w:tc>
        <w:tc>
          <w:tcPr>
            <w:tcW w:w="0" w:type="dxa"/>
            <w:vAlign w:val="bottom"/>
          </w:tcPr>
          <w:p>
            <w:pPr>
              <w:spacing w:after="0"/>
              <w:rPr>
                <w:sz w:val="1"/>
                <w:szCs w:val="1"/>
                <w:color w:val="auto"/>
              </w:rPr>
            </w:pPr>
          </w:p>
        </w:tc>
      </w:tr>
      <w:tr>
        <w:trPr>
          <w:trHeight w:val="180"/>
        </w:trPr>
        <w:tc>
          <w:tcPr>
            <w:tcW w:w="3800" w:type="dxa"/>
            <w:vAlign w:val="bottom"/>
            <w:shd w:val="clear" w:color="auto" w:fill="E0E7ED"/>
          </w:tcPr>
          <w:p>
            <w:pPr>
              <w:spacing w:after="0"/>
              <w:rPr>
                <w:sz w:val="15"/>
                <w:szCs w:val="15"/>
                <w:color w:val="auto"/>
              </w:rPr>
            </w:pPr>
          </w:p>
        </w:tc>
        <w:tc>
          <w:tcPr>
            <w:tcW w:w="62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spacing w:after="0"/>
              <w:rPr>
                <w:sz w:val="15"/>
                <w:szCs w:val="15"/>
                <w:color w:val="auto"/>
              </w:rPr>
            </w:pPr>
          </w:p>
        </w:tc>
        <w:tc>
          <w:tcPr>
            <w:tcW w:w="88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800" w:type="dxa"/>
            <w:vAlign w:val="bottom"/>
          </w:tcPr>
          <w:p>
            <w:pPr>
              <w:spacing w:after="0"/>
              <w:rPr>
                <w:sz w:val="20"/>
                <w:szCs w:val="20"/>
                <w:color w:val="auto"/>
              </w:rPr>
            </w:pPr>
            <w:r>
              <w:rPr>
                <w:rFonts w:ascii="Arial" w:cs="Arial" w:eastAsia="Arial" w:hAnsi="Arial"/>
                <w:sz w:val="12"/>
                <w:szCs w:val="12"/>
                <w:color w:val="auto"/>
              </w:rPr>
              <w:t>Average total assets</w:t>
            </w:r>
          </w:p>
        </w:tc>
        <w:tc>
          <w:tcPr>
            <w:tcW w:w="620" w:type="dxa"/>
            <w:vAlign w:val="bottom"/>
          </w:tcPr>
          <w:p>
            <w:pPr>
              <w:ind w:left="20"/>
              <w:spacing w:after="0"/>
              <w:rPr>
                <w:sz w:val="20"/>
                <w:szCs w:val="20"/>
                <w:color w:val="auto"/>
              </w:rPr>
            </w:pPr>
            <w:r>
              <w:rPr>
                <w:rFonts w:ascii="Arial" w:cs="Arial" w:eastAsia="Arial" w:hAnsi="Arial"/>
                <w:sz w:val="12"/>
                <w:szCs w:val="12"/>
                <w:color w:val="auto"/>
              </w:rPr>
              <w:t>[g]</w:t>
            </w: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01"/>
              <w:spacing w:after="0"/>
              <w:rPr>
                <w:sz w:val="20"/>
                <w:szCs w:val="20"/>
                <w:color w:val="auto"/>
              </w:rPr>
            </w:pPr>
            <w:r>
              <w:rPr>
                <w:rFonts w:ascii="Arial" w:cs="Arial" w:eastAsia="Arial" w:hAnsi="Arial"/>
                <w:sz w:val="12"/>
                <w:szCs w:val="12"/>
                <w:color w:val="auto"/>
              </w:rPr>
              <w:t>19,068,086</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14,831,298</w:t>
            </w:r>
          </w:p>
        </w:tc>
        <w:tc>
          <w:tcPr>
            <w:tcW w:w="6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12,089,692</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16,961,396</w:t>
            </w:r>
          </w:p>
        </w:tc>
        <w:tc>
          <w:tcPr>
            <w:tcW w:w="8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12,056,950</w:t>
            </w:r>
          </w:p>
        </w:tc>
        <w:tc>
          <w:tcPr>
            <w:tcW w:w="0" w:type="dxa"/>
            <w:vAlign w:val="bottom"/>
          </w:tcPr>
          <w:p>
            <w:pPr>
              <w:spacing w:after="0"/>
              <w:rPr>
                <w:sz w:val="1"/>
                <w:szCs w:val="1"/>
                <w:color w:val="auto"/>
              </w:rPr>
            </w:pPr>
          </w:p>
        </w:tc>
      </w:tr>
      <w:tr>
        <w:trPr>
          <w:trHeight w:val="188"/>
        </w:trPr>
        <w:tc>
          <w:tcPr>
            <w:tcW w:w="3800" w:type="dxa"/>
            <w:vAlign w:val="bottom"/>
            <w:shd w:val="clear" w:color="auto" w:fill="E0E7ED"/>
          </w:tcPr>
          <w:p>
            <w:pPr>
              <w:spacing w:after="0"/>
              <w:rPr>
                <w:sz w:val="20"/>
                <w:szCs w:val="20"/>
                <w:color w:val="auto"/>
              </w:rPr>
            </w:pPr>
            <w:r>
              <w:rPr>
                <w:rFonts w:ascii="Arial" w:cs="Arial" w:eastAsia="Arial" w:hAnsi="Arial"/>
                <w:sz w:val="12"/>
                <w:szCs w:val="12"/>
                <w:color w:val="auto"/>
              </w:rPr>
              <w:t>Return on average assets (Non-GAAP)</w:t>
            </w:r>
            <w:r>
              <w:rPr>
                <w:rFonts w:ascii="Arial" w:cs="Arial" w:eastAsia="Arial" w:hAnsi="Arial"/>
                <w:sz w:val="15"/>
                <w:szCs w:val="15"/>
                <w:color w:val="auto"/>
                <w:vertAlign w:val="superscript"/>
              </w:rPr>
              <w:t>6</w:t>
            </w:r>
          </w:p>
        </w:tc>
        <w:tc>
          <w:tcPr>
            <w:tcW w:w="620" w:type="dxa"/>
            <w:vAlign w:val="bottom"/>
            <w:shd w:val="clear" w:color="auto" w:fill="E0E7ED"/>
          </w:tcPr>
          <w:p>
            <w:pPr>
              <w:ind w:left="20"/>
              <w:spacing w:after="0"/>
              <w:rPr>
                <w:sz w:val="20"/>
                <w:szCs w:val="20"/>
                <w:color w:val="auto"/>
              </w:rPr>
            </w:pPr>
            <w:r>
              <w:rPr>
                <w:rFonts w:ascii="Arial" w:cs="Arial" w:eastAsia="Arial" w:hAnsi="Arial"/>
                <w:sz w:val="12"/>
                <w:szCs w:val="12"/>
                <w:color w:val="auto"/>
              </w:rPr>
              <w:t>[a÷g]</w:t>
            </w:r>
          </w:p>
        </w:tc>
        <w:tc>
          <w:tcPr>
            <w:tcW w:w="26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1.00 %</w:t>
            </w:r>
          </w:p>
        </w:tc>
        <w:tc>
          <w:tcPr>
            <w:tcW w:w="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(0.82)%</w:t>
            </w:r>
          </w:p>
        </w:tc>
        <w:tc>
          <w:tcPr>
            <w:tcW w:w="6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0.91 %</w:t>
            </w: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0.21 %</w:t>
            </w:r>
          </w:p>
        </w:tc>
        <w:tc>
          <w:tcPr>
            <w:tcW w:w="80" w:type="dxa"/>
            <w:vAlign w:val="bottom"/>
            <w:shd w:val="clear" w:color="auto" w:fill="E0E7ED"/>
          </w:tcPr>
          <w:p>
            <w:pPr>
              <w:spacing w:after="0"/>
              <w:rPr>
                <w:sz w:val="16"/>
                <w:szCs w:val="16"/>
                <w:color w:val="auto"/>
              </w:rPr>
            </w:pPr>
          </w:p>
        </w:tc>
        <w:tc>
          <w:tcPr>
            <w:tcW w:w="440" w:type="dxa"/>
            <w:vAlign w:val="bottom"/>
            <w:shd w:val="clear" w:color="auto" w:fill="E0E7ED"/>
          </w:tcPr>
          <w:p>
            <w:pPr>
              <w:spacing w:after="0"/>
              <w:rPr>
                <w:sz w:val="16"/>
                <w:szCs w:val="16"/>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0.89 %</w:t>
            </w:r>
          </w:p>
        </w:tc>
        <w:tc>
          <w:tcPr>
            <w:tcW w:w="0" w:type="dxa"/>
            <w:vAlign w:val="bottom"/>
          </w:tcPr>
          <w:p>
            <w:pPr>
              <w:spacing w:after="0"/>
              <w:rPr>
                <w:sz w:val="1"/>
                <w:szCs w:val="1"/>
                <w:color w:val="auto"/>
              </w:rPr>
            </w:pPr>
          </w:p>
        </w:tc>
      </w:tr>
      <w:tr>
        <w:trPr>
          <w:trHeight w:val="180"/>
        </w:trPr>
        <w:tc>
          <w:tcPr>
            <w:tcW w:w="3800" w:type="dxa"/>
            <w:vAlign w:val="bottom"/>
          </w:tcPr>
          <w:p>
            <w:pPr>
              <w:spacing w:after="0"/>
              <w:rPr>
                <w:sz w:val="20"/>
                <w:szCs w:val="20"/>
                <w:color w:val="auto"/>
              </w:rPr>
            </w:pPr>
            <w:r>
              <w:rPr>
                <w:rFonts w:ascii="Arial" w:cs="Arial" w:eastAsia="Arial" w:hAnsi="Arial"/>
                <w:sz w:val="12"/>
                <w:szCs w:val="12"/>
                <w:color w:val="auto"/>
              </w:rPr>
              <w:t>Adjusted return on average assets (Non-GAAP)</w:t>
            </w:r>
            <w:r>
              <w:rPr>
                <w:rFonts w:ascii="Arial" w:cs="Arial" w:eastAsia="Arial" w:hAnsi="Arial"/>
                <w:sz w:val="15"/>
                <w:szCs w:val="15"/>
                <w:color w:val="auto"/>
                <w:vertAlign w:val="superscript"/>
              </w:rPr>
              <w:t>4,6</w:t>
            </w:r>
          </w:p>
        </w:tc>
        <w:tc>
          <w:tcPr>
            <w:tcW w:w="620" w:type="dxa"/>
            <w:vAlign w:val="bottom"/>
          </w:tcPr>
          <w:p>
            <w:pPr>
              <w:ind w:left="20"/>
              <w:spacing w:after="0"/>
              <w:rPr>
                <w:sz w:val="20"/>
                <w:szCs w:val="20"/>
                <w:color w:val="auto"/>
              </w:rPr>
            </w:pPr>
            <w:r>
              <w:rPr>
                <w:rFonts w:ascii="Arial" w:cs="Arial" w:eastAsia="Arial" w:hAnsi="Arial"/>
                <w:sz w:val="12"/>
                <w:szCs w:val="12"/>
                <w:color w:val="auto"/>
              </w:rPr>
              <w:t>[b÷g]</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1.21 %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1.09 %</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1.02 %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1.16 %</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0.94 %</w:t>
            </w:r>
          </w:p>
        </w:tc>
        <w:tc>
          <w:tcPr>
            <w:tcW w:w="0" w:type="dxa"/>
            <w:vAlign w:val="bottom"/>
          </w:tcPr>
          <w:p>
            <w:pPr>
              <w:spacing w:after="0"/>
              <w:rPr>
                <w:sz w:val="1"/>
                <w:szCs w:val="1"/>
                <w:color w:val="auto"/>
              </w:rPr>
            </w:pPr>
          </w:p>
        </w:tc>
      </w:tr>
      <w:tr>
        <w:trPr>
          <w:trHeight w:val="180"/>
        </w:trPr>
        <w:tc>
          <w:tcPr>
            <w:tcW w:w="3800" w:type="dxa"/>
            <w:vAlign w:val="bottom"/>
            <w:shd w:val="clear" w:color="auto" w:fill="E0E7ED"/>
          </w:tcPr>
          <w:p>
            <w:pPr>
              <w:spacing w:after="0"/>
              <w:rPr>
                <w:sz w:val="15"/>
                <w:szCs w:val="15"/>
                <w:color w:val="auto"/>
              </w:rPr>
            </w:pPr>
          </w:p>
        </w:tc>
        <w:tc>
          <w:tcPr>
            <w:tcW w:w="62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6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spacing w:after="0"/>
              <w:rPr>
                <w:sz w:val="15"/>
                <w:szCs w:val="15"/>
                <w:color w:val="auto"/>
              </w:rPr>
            </w:pPr>
          </w:p>
        </w:tc>
        <w:tc>
          <w:tcPr>
            <w:tcW w:w="88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800" w:type="dxa"/>
            <w:vAlign w:val="bottom"/>
          </w:tcPr>
          <w:p>
            <w:pPr>
              <w:spacing w:after="0"/>
              <w:rPr>
                <w:sz w:val="20"/>
                <w:szCs w:val="20"/>
                <w:color w:val="auto"/>
              </w:rPr>
            </w:pPr>
            <w:r>
              <w:rPr>
                <w:rFonts w:ascii="Arial" w:cs="Arial" w:eastAsia="Arial" w:hAnsi="Arial"/>
                <w:sz w:val="12"/>
                <w:szCs w:val="12"/>
                <w:color w:val="auto"/>
              </w:rPr>
              <w:t>Average common equity</w:t>
            </w:r>
          </w:p>
        </w:tc>
        <w:tc>
          <w:tcPr>
            <w:tcW w:w="620" w:type="dxa"/>
            <w:vAlign w:val="bottom"/>
          </w:tcPr>
          <w:p>
            <w:pPr>
              <w:spacing w:after="0"/>
              <w:rPr>
                <w:sz w:val="14"/>
                <w:szCs w:val="14"/>
                <w:color w:val="auto"/>
              </w:rPr>
            </w:pPr>
          </w:p>
        </w:tc>
        <w:tc>
          <w:tcPr>
            <w:tcW w:w="260" w:type="dxa"/>
            <w:vAlign w:val="bottom"/>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01"/>
              <w:spacing w:after="0"/>
              <w:rPr>
                <w:sz w:val="20"/>
                <w:szCs w:val="20"/>
                <w:color w:val="auto"/>
              </w:rPr>
            </w:pPr>
            <w:r>
              <w:rPr>
                <w:rFonts w:ascii="Arial" w:cs="Arial" w:eastAsia="Arial" w:hAnsi="Arial"/>
                <w:sz w:val="12"/>
                <w:szCs w:val="12"/>
                <w:color w:val="auto"/>
              </w:rPr>
              <w:t>2,180,963</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101"/>
              <w:spacing w:after="0"/>
              <w:rPr>
                <w:sz w:val="20"/>
                <w:szCs w:val="20"/>
                <w:color w:val="auto"/>
              </w:rPr>
            </w:pPr>
            <w:r>
              <w:rPr>
                <w:rFonts w:ascii="Arial" w:cs="Arial" w:eastAsia="Arial" w:hAnsi="Arial"/>
                <w:sz w:val="12"/>
                <w:szCs w:val="12"/>
                <w:color w:val="auto"/>
              </w:rPr>
              <w:t>1,932,407</w:t>
            </w:r>
          </w:p>
        </w:tc>
        <w:tc>
          <w:tcPr>
            <w:tcW w:w="6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1,331,815</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2,057,372</w:t>
            </w:r>
          </w:p>
        </w:tc>
        <w:tc>
          <w:tcPr>
            <w:tcW w:w="80" w:type="dxa"/>
            <w:vAlign w:val="bottom"/>
          </w:tcPr>
          <w:p>
            <w:pPr>
              <w:spacing w:after="0"/>
              <w:rPr>
                <w:sz w:val="14"/>
                <w:szCs w:val="14"/>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1,303,770</w:t>
            </w:r>
          </w:p>
        </w:tc>
        <w:tc>
          <w:tcPr>
            <w:tcW w:w="0" w:type="dxa"/>
            <w:vAlign w:val="bottom"/>
          </w:tcPr>
          <w:p>
            <w:pPr>
              <w:spacing w:after="0"/>
              <w:rPr>
                <w:sz w:val="1"/>
                <w:szCs w:val="1"/>
                <w:color w:val="auto"/>
              </w:rPr>
            </w:pPr>
          </w:p>
        </w:tc>
      </w:tr>
      <w:tr>
        <w:trPr>
          <w:trHeight w:val="188"/>
        </w:trPr>
        <w:tc>
          <w:tcPr>
            <w:tcW w:w="38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Average goodwill and other intangible assets, net</w:t>
            </w:r>
          </w:p>
        </w:tc>
        <w:tc>
          <w:tcPr>
            <w:tcW w:w="620" w:type="dxa"/>
            <w:vAlign w:val="bottom"/>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spacing w:after="0"/>
              <w:rPr>
                <w:sz w:val="16"/>
                <w:szCs w:val="16"/>
                <w:color w:val="auto"/>
              </w:rPr>
            </w:pPr>
          </w:p>
        </w:tc>
        <w:tc>
          <w:tcPr>
            <w:tcW w:w="1040" w:type="dxa"/>
            <w:vAlign w:val="bottom"/>
            <w:tcBorders>
              <w:bottom w:val="single" w:sz="8" w:color="auto"/>
            </w:tcBorders>
            <w:shd w:val="clear" w:color="auto" w:fill="E0E7ED"/>
          </w:tcPr>
          <w:p>
            <w:pPr>
              <w:jc w:val="right"/>
              <w:ind w:right="61"/>
              <w:spacing w:after="0"/>
              <w:rPr>
                <w:sz w:val="20"/>
                <w:szCs w:val="20"/>
                <w:color w:val="auto"/>
              </w:rPr>
            </w:pPr>
            <w:r>
              <w:rPr>
                <w:rFonts w:ascii="Arial" w:cs="Arial" w:eastAsia="Arial" w:hAnsi="Arial"/>
                <w:sz w:val="12"/>
                <w:szCs w:val="12"/>
                <w:color w:val="auto"/>
              </w:rPr>
              <w:t>(494,473)</w:t>
            </w:r>
          </w:p>
        </w:tc>
        <w:tc>
          <w:tcPr>
            <w:tcW w:w="80" w:type="dxa"/>
            <w:vAlign w:val="bottom"/>
            <w:shd w:val="clear" w:color="auto" w:fill="E0E7ED"/>
          </w:tcPr>
          <w:p>
            <w:pPr>
              <w:spacing w:after="0"/>
              <w:rPr>
                <w:sz w:val="16"/>
                <w:szCs w:val="16"/>
                <w:color w:val="auto"/>
              </w:rPr>
            </w:pPr>
          </w:p>
        </w:tc>
        <w:tc>
          <w:tcPr>
            <w:tcW w:w="100" w:type="dxa"/>
            <w:vAlign w:val="bottom"/>
            <w:tcBorders>
              <w:bottom w:val="single" w:sz="8" w:color="auto"/>
            </w:tcBorders>
            <w:shd w:val="clear" w:color="auto" w:fill="E0E7ED"/>
          </w:tcPr>
          <w:p>
            <w:pPr>
              <w:spacing w:after="0"/>
              <w:rPr>
                <w:sz w:val="16"/>
                <w:szCs w:val="16"/>
                <w:color w:val="auto"/>
              </w:rPr>
            </w:pPr>
          </w:p>
        </w:tc>
        <w:tc>
          <w:tcPr>
            <w:tcW w:w="1220" w:type="dxa"/>
            <w:vAlign w:val="bottom"/>
            <w:tcBorders>
              <w:bottom w:val="single" w:sz="8" w:color="auto"/>
            </w:tcBorders>
            <w:shd w:val="clear" w:color="auto" w:fill="E0E7ED"/>
          </w:tcPr>
          <w:p>
            <w:pPr>
              <w:jc w:val="right"/>
              <w:ind w:right="81"/>
              <w:spacing w:after="0"/>
              <w:rPr>
                <w:sz w:val="20"/>
                <w:szCs w:val="20"/>
                <w:color w:val="auto"/>
              </w:rPr>
            </w:pPr>
            <w:r>
              <w:rPr>
                <w:rFonts w:ascii="Arial" w:cs="Arial" w:eastAsia="Arial" w:hAnsi="Arial"/>
                <w:sz w:val="12"/>
                <w:szCs w:val="12"/>
                <w:color w:val="auto"/>
              </w:rPr>
              <w:t>(411,020)</w:t>
            </w:r>
          </w:p>
        </w:tc>
        <w:tc>
          <w:tcPr>
            <w:tcW w:w="60" w:type="dxa"/>
            <w:vAlign w:val="bottom"/>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61"/>
              <w:spacing w:after="0"/>
              <w:rPr>
                <w:sz w:val="20"/>
                <w:szCs w:val="20"/>
                <w:color w:val="auto"/>
              </w:rPr>
            </w:pPr>
            <w:r>
              <w:rPr>
                <w:rFonts w:ascii="Arial" w:cs="Arial" w:eastAsia="Arial" w:hAnsi="Arial"/>
                <w:sz w:val="12"/>
                <w:szCs w:val="12"/>
                <w:color w:val="auto"/>
              </w:rPr>
              <w:t>(376,224)</w:t>
            </w:r>
          </w:p>
        </w:tc>
        <w:tc>
          <w:tcPr>
            <w:tcW w:w="80" w:type="dxa"/>
            <w:vAlign w:val="bottom"/>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ind w:right="61"/>
              <w:spacing w:after="0"/>
              <w:rPr>
                <w:sz w:val="20"/>
                <w:szCs w:val="20"/>
                <w:color w:val="auto"/>
              </w:rPr>
            </w:pPr>
            <w:r>
              <w:rPr>
                <w:rFonts w:ascii="Arial" w:cs="Arial" w:eastAsia="Arial" w:hAnsi="Arial"/>
                <w:sz w:val="12"/>
                <w:szCs w:val="12"/>
                <w:color w:val="auto"/>
              </w:rPr>
              <w:t>(452,978)</w:t>
            </w:r>
          </w:p>
        </w:tc>
        <w:tc>
          <w:tcPr>
            <w:tcW w:w="80" w:type="dxa"/>
            <w:vAlign w:val="bottom"/>
            <w:shd w:val="clear" w:color="auto" w:fill="E0E7ED"/>
          </w:tcPr>
          <w:p>
            <w:pPr>
              <w:spacing w:after="0"/>
              <w:rPr>
                <w:sz w:val="16"/>
                <w:szCs w:val="16"/>
                <w:color w:val="auto"/>
              </w:rPr>
            </w:pPr>
          </w:p>
        </w:tc>
        <w:tc>
          <w:tcPr>
            <w:tcW w:w="440" w:type="dxa"/>
            <w:vAlign w:val="bottom"/>
            <w:tcBorders>
              <w:bottom w:val="single" w:sz="8" w:color="auto"/>
            </w:tcBorders>
            <w:shd w:val="clear" w:color="auto" w:fill="E0E7ED"/>
          </w:tcPr>
          <w:p>
            <w:pPr>
              <w:spacing w:after="0"/>
              <w:rPr>
                <w:sz w:val="16"/>
                <w:szCs w:val="16"/>
                <w:color w:val="auto"/>
              </w:rPr>
            </w:pPr>
          </w:p>
        </w:tc>
        <w:tc>
          <w:tcPr>
            <w:tcW w:w="880" w:type="dxa"/>
            <w:vAlign w:val="bottom"/>
            <w:tcBorders>
              <w:bottom w:val="single" w:sz="8" w:color="auto"/>
            </w:tcBorders>
            <w:shd w:val="clear" w:color="auto" w:fill="E0E7ED"/>
          </w:tcPr>
          <w:p>
            <w:pPr>
              <w:jc w:val="right"/>
              <w:ind w:right="61"/>
              <w:spacing w:after="0"/>
              <w:rPr>
                <w:sz w:val="20"/>
                <w:szCs w:val="20"/>
                <w:color w:val="auto"/>
              </w:rPr>
            </w:pPr>
            <w:r>
              <w:rPr>
                <w:rFonts w:ascii="Arial" w:cs="Arial" w:eastAsia="Arial" w:hAnsi="Arial"/>
                <w:sz w:val="12"/>
                <w:szCs w:val="12"/>
                <w:color w:val="auto"/>
              </w:rPr>
              <w:t>(364,620)</w:t>
            </w:r>
          </w:p>
        </w:tc>
        <w:tc>
          <w:tcPr>
            <w:tcW w:w="0" w:type="dxa"/>
            <w:vAlign w:val="bottom"/>
          </w:tcPr>
          <w:p>
            <w:pPr>
              <w:spacing w:after="0"/>
              <w:rPr>
                <w:sz w:val="1"/>
                <w:szCs w:val="1"/>
                <w:color w:val="auto"/>
              </w:rPr>
            </w:pPr>
          </w:p>
        </w:tc>
      </w:tr>
      <w:tr>
        <w:trPr>
          <w:trHeight w:val="187"/>
        </w:trPr>
        <w:tc>
          <w:tcPr>
            <w:tcW w:w="3800" w:type="dxa"/>
            <w:vAlign w:val="bottom"/>
            <w:tcBorders>
              <w:bottom w:val="single" w:sz="8" w:color="E0E7ED"/>
            </w:tcBorders>
          </w:tcPr>
          <w:p>
            <w:pPr>
              <w:spacing w:after="0"/>
              <w:rPr>
                <w:sz w:val="20"/>
                <w:szCs w:val="20"/>
                <w:color w:val="auto"/>
              </w:rPr>
            </w:pPr>
            <w:r>
              <w:rPr>
                <w:rFonts w:ascii="Arial" w:cs="Arial" w:eastAsia="Arial" w:hAnsi="Arial"/>
                <w:sz w:val="12"/>
                <w:szCs w:val="12"/>
                <w:color w:val="auto"/>
              </w:rPr>
              <w:t>Average tangible common equity (Non-GAAP)</w:t>
            </w:r>
          </w:p>
        </w:tc>
        <w:tc>
          <w:tcPr>
            <w:tcW w:w="620" w:type="dxa"/>
            <w:vAlign w:val="bottom"/>
            <w:tcBorders>
              <w:bottom w:val="single" w:sz="8" w:color="E0E7ED"/>
            </w:tcBorders>
          </w:tcPr>
          <w:p>
            <w:pPr>
              <w:ind w:left="20"/>
              <w:spacing w:after="0"/>
              <w:rPr>
                <w:sz w:val="20"/>
                <w:szCs w:val="20"/>
                <w:color w:val="auto"/>
              </w:rPr>
            </w:pPr>
            <w:r>
              <w:rPr>
                <w:rFonts w:ascii="Arial" w:cs="Arial" w:eastAsia="Arial" w:hAnsi="Arial"/>
                <w:sz w:val="12"/>
                <w:szCs w:val="12"/>
                <w:color w:val="auto"/>
              </w:rPr>
              <w:t>[h]</w:t>
            </w: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1,686,490</w:t>
            </w:r>
          </w:p>
        </w:tc>
        <w:tc>
          <w:tcPr>
            <w:tcW w:w="80" w:type="dxa"/>
            <w:vAlign w:val="bottom"/>
            <w:tcBorders>
              <w:bottom w:val="single" w:sz="8" w:color="E0E7ED"/>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1,521,387</w:t>
            </w:r>
          </w:p>
        </w:tc>
        <w:tc>
          <w:tcPr>
            <w:tcW w:w="60" w:type="dxa"/>
            <w:vAlign w:val="bottom"/>
            <w:tcBorders>
              <w:bottom w:val="single" w:sz="8" w:color="E0E7ED"/>
            </w:tcBorders>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955,591</w:t>
            </w:r>
          </w:p>
        </w:tc>
        <w:tc>
          <w:tcPr>
            <w:tcW w:w="80" w:type="dxa"/>
            <w:vAlign w:val="bottom"/>
            <w:tcBorders>
              <w:bottom w:val="single" w:sz="8" w:color="E0E7ED"/>
            </w:tcBorders>
          </w:tcPr>
          <w:p>
            <w:pPr>
              <w:spacing w:after="0"/>
              <w:rPr>
                <w:sz w:val="16"/>
                <w:szCs w:val="16"/>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1,604,394</w:t>
            </w:r>
          </w:p>
        </w:tc>
        <w:tc>
          <w:tcPr>
            <w:tcW w:w="80" w:type="dxa"/>
            <w:vAlign w:val="bottom"/>
            <w:tcBorders>
              <w:bottom w:val="single" w:sz="8" w:color="E0E7ED"/>
            </w:tcBorders>
          </w:tcPr>
          <w:p>
            <w:pPr>
              <w:spacing w:after="0"/>
              <w:rPr>
                <w:sz w:val="16"/>
                <w:szCs w:val="16"/>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939,150</w:t>
            </w:r>
          </w:p>
        </w:tc>
        <w:tc>
          <w:tcPr>
            <w:tcW w:w="0" w:type="dxa"/>
            <w:vAlign w:val="bottom"/>
          </w:tcPr>
          <w:p>
            <w:pPr>
              <w:spacing w:after="0"/>
              <w:rPr>
                <w:sz w:val="1"/>
                <w:szCs w:val="1"/>
                <w:color w:val="auto"/>
              </w:rPr>
            </w:pPr>
          </w:p>
        </w:tc>
      </w:tr>
      <w:tr>
        <w:trPr>
          <w:trHeight w:val="160"/>
        </w:trPr>
        <w:tc>
          <w:tcPr>
            <w:tcW w:w="3800" w:type="dxa"/>
            <w:vAlign w:val="bottom"/>
            <w:shd w:val="clear" w:color="auto" w:fill="E0E7ED"/>
          </w:tcPr>
          <w:p>
            <w:pPr>
              <w:spacing w:after="0"/>
              <w:rPr>
                <w:sz w:val="13"/>
                <w:szCs w:val="13"/>
                <w:color w:val="auto"/>
              </w:rPr>
            </w:pPr>
          </w:p>
        </w:tc>
        <w:tc>
          <w:tcPr>
            <w:tcW w:w="620" w:type="dxa"/>
            <w:vAlign w:val="bottom"/>
            <w:shd w:val="clear" w:color="auto" w:fill="E0E7ED"/>
          </w:tcPr>
          <w:p>
            <w:pPr>
              <w:spacing w:after="0"/>
              <w:rPr>
                <w:sz w:val="13"/>
                <w:szCs w:val="13"/>
                <w:color w:val="auto"/>
              </w:rPr>
            </w:pPr>
          </w:p>
        </w:tc>
        <w:tc>
          <w:tcPr>
            <w:tcW w:w="260" w:type="dxa"/>
            <w:vAlign w:val="bottom"/>
            <w:shd w:val="clear" w:color="auto" w:fill="E0E7ED"/>
          </w:tcPr>
          <w:p>
            <w:pPr>
              <w:spacing w:after="0"/>
              <w:rPr>
                <w:sz w:val="13"/>
                <w:szCs w:val="13"/>
                <w:color w:val="auto"/>
              </w:rPr>
            </w:pPr>
          </w:p>
        </w:tc>
        <w:tc>
          <w:tcPr>
            <w:tcW w:w="104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100" w:type="dxa"/>
            <w:vAlign w:val="bottom"/>
            <w:shd w:val="clear" w:color="auto" w:fill="E0E7ED"/>
          </w:tcPr>
          <w:p>
            <w:pPr>
              <w:spacing w:after="0"/>
              <w:rPr>
                <w:sz w:val="13"/>
                <w:szCs w:val="13"/>
                <w:color w:val="auto"/>
              </w:rPr>
            </w:pPr>
          </w:p>
        </w:tc>
        <w:tc>
          <w:tcPr>
            <w:tcW w:w="1220" w:type="dxa"/>
            <w:vAlign w:val="bottom"/>
            <w:shd w:val="clear" w:color="auto" w:fill="E0E7ED"/>
          </w:tcPr>
          <w:p>
            <w:pPr>
              <w:spacing w:after="0"/>
              <w:rPr>
                <w:sz w:val="13"/>
                <w:szCs w:val="13"/>
                <w:color w:val="auto"/>
              </w:rPr>
            </w:pPr>
          </w:p>
        </w:tc>
        <w:tc>
          <w:tcPr>
            <w:tcW w:w="60" w:type="dxa"/>
            <w:vAlign w:val="bottom"/>
            <w:shd w:val="clear" w:color="auto" w:fill="E0E7ED"/>
          </w:tcPr>
          <w:p>
            <w:pPr>
              <w:spacing w:after="0"/>
              <w:rPr>
                <w:sz w:val="13"/>
                <w:szCs w:val="13"/>
                <w:color w:val="auto"/>
              </w:rPr>
            </w:pPr>
          </w:p>
        </w:tc>
        <w:tc>
          <w:tcPr>
            <w:tcW w:w="26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260" w:type="dxa"/>
            <w:vAlign w:val="bottom"/>
            <w:shd w:val="clear" w:color="auto" w:fill="E0E7ED"/>
          </w:tcPr>
          <w:p>
            <w:pPr>
              <w:spacing w:after="0"/>
              <w:rPr>
                <w:sz w:val="13"/>
                <w:szCs w:val="13"/>
                <w:color w:val="auto"/>
              </w:rPr>
            </w:pPr>
          </w:p>
        </w:tc>
        <w:tc>
          <w:tcPr>
            <w:tcW w:w="1060" w:type="dxa"/>
            <w:vAlign w:val="bottom"/>
            <w:shd w:val="clear" w:color="auto" w:fill="E0E7ED"/>
          </w:tcPr>
          <w:p>
            <w:pPr>
              <w:spacing w:after="0"/>
              <w:rPr>
                <w:sz w:val="13"/>
                <w:szCs w:val="13"/>
                <w:color w:val="auto"/>
              </w:rPr>
            </w:pPr>
          </w:p>
        </w:tc>
        <w:tc>
          <w:tcPr>
            <w:tcW w:w="80" w:type="dxa"/>
            <w:vAlign w:val="bottom"/>
            <w:shd w:val="clear" w:color="auto" w:fill="E0E7ED"/>
          </w:tcPr>
          <w:p>
            <w:pPr>
              <w:spacing w:after="0"/>
              <w:rPr>
                <w:sz w:val="13"/>
                <w:szCs w:val="13"/>
                <w:color w:val="auto"/>
              </w:rPr>
            </w:pPr>
          </w:p>
        </w:tc>
        <w:tc>
          <w:tcPr>
            <w:tcW w:w="440" w:type="dxa"/>
            <w:vAlign w:val="bottom"/>
            <w:shd w:val="clear" w:color="auto" w:fill="E0E7ED"/>
          </w:tcPr>
          <w:p>
            <w:pPr>
              <w:spacing w:after="0"/>
              <w:rPr>
                <w:sz w:val="13"/>
                <w:szCs w:val="13"/>
                <w:color w:val="auto"/>
              </w:rPr>
            </w:pPr>
          </w:p>
        </w:tc>
        <w:tc>
          <w:tcPr>
            <w:tcW w:w="880" w:type="dxa"/>
            <w:vAlign w:val="bottom"/>
            <w:shd w:val="clear" w:color="auto" w:fill="E0E7ED"/>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00" w:type="dxa"/>
            <w:vAlign w:val="bottom"/>
          </w:tcPr>
          <w:p>
            <w:pPr>
              <w:spacing w:after="0"/>
              <w:rPr>
                <w:sz w:val="20"/>
                <w:szCs w:val="20"/>
                <w:color w:val="auto"/>
              </w:rPr>
            </w:pPr>
            <w:r>
              <w:rPr>
                <w:rFonts w:ascii="Arial" w:cs="Arial" w:eastAsia="Arial" w:hAnsi="Arial"/>
                <w:sz w:val="12"/>
                <w:szCs w:val="12"/>
                <w:color w:val="auto"/>
              </w:rPr>
              <w:t>Return on average tangible common equity (Non-GAAP)</w:t>
            </w:r>
            <w:r>
              <w:rPr>
                <w:rFonts w:ascii="Arial" w:cs="Arial" w:eastAsia="Arial" w:hAnsi="Arial"/>
                <w:sz w:val="15"/>
                <w:szCs w:val="15"/>
                <w:color w:val="auto"/>
                <w:vertAlign w:val="superscript"/>
              </w:rPr>
              <w:t>6</w:t>
            </w:r>
          </w:p>
        </w:tc>
        <w:tc>
          <w:tcPr>
            <w:tcW w:w="620" w:type="dxa"/>
            <w:vAlign w:val="bottom"/>
          </w:tcPr>
          <w:p>
            <w:pPr>
              <w:ind w:left="20"/>
              <w:spacing w:after="0"/>
              <w:rPr>
                <w:sz w:val="20"/>
                <w:szCs w:val="20"/>
                <w:color w:val="auto"/>
              </w:rPr>
            </w:pPr>
            <w:r>
              <w:rPr>
                <w:rFonts w:ascii="Arial" w:cs="Arial" w:eastAsia="Arial" w:hAnsi="Arial"/>
                <w:sz w:val="12"/>
                <w:szCs w:val="12"/>
                <w:color w:val="auto"/>
              </w:rPr>
              <w:t>[(a-c)÷h]</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11.24 %</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(7.99)%</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11.51 %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2.17 %</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11.47 %</w:t>
            </w:r>
          </w:p>
        </w:tc>
        <w:tc>
          <w:tcPr>
            <w:tcW w:w="0" w:type="dxa"/>
            <w:vAlign w:val="bottom"/>
          </w:tcPr>
          <w:p>
            <w:pPr>
              <w:spacing w:after="0"/>
              <w:rPr>
                <w:sz w:val="1"/>
                <w:szCs w:val="1"/>
                <w:color w:val="auto"/>
              </w:rPr>
            </w:pPr>
          </w:p>
        </w:tc>
      </w:tr>
      <w:tr>
        <w:trPr>
          <w:trHeight w:val="180"/>
        </w:trPr>
        <w:tc>
          <w:tcPr>
            <w:tcW w:w="3800" w:type="dxa"/>
            <w:vAlign w:val="bottom"/>
            <w:shd w:val="clear" w:color="auto" w:fill="E0E7ED"/>
          </w:tcPr>
          <w:p>
            <w:pPr>
              <w:spacing w:after="0"/>
              <w:rPr>
                <w:sz w:val="20"/>
                <w:szCs w:val="20"/>
                <w:color w:val="auto"/>
              </w:rPr>
            </w:pPr>
            <w:r>
              <w:rPr>
                <w:rFonts w:ascii="Arial" w:cs="Arial" w:eastAsia="Arial" w:hAnsi="Arial"/>
                <w:sz w:val="12"/>
                <w:szCs w:val="12"/>
                <w:color w:val="auto"/>
              </w:rPr>
              <w:t>Adjusted return on average tangible common equity (Non-GAAP)</w:t>
            </w:r>
            <w:r>
              <w:rPr>
                <w:rFonts w:ascii="Arial" w:cs="Arial" w:eastAsia="Arial" w:hAnsi="Arial"/>
                <w:sz w:val="15"/>
                <w:szCs w:val="15"/>
                <w:color w:val="auto"/>
                <w:vertAlign w:val="superscript"/>
              </w:rPr>
              <w:t>4,6</w:t>
            </w:r>
          </w:p>
        </w:tc>
        <w:tc>
          <w:tcPr>
            <w:tcW w:w="620" w:type="dxa"/>
            <w:vAlign w:val="bottom"/>
            <w:shd w:val="clear" w:color="auto" w:fill="E0E7ED"/>
          </w:tcPr>
          <w:p>
            <w:pPr>
              <w:ind w:left="20"/>
              <w:spacing w:after="0"/>
              <w:rPr>
                <w:sz w:val="20"/>
                <w:szCs w:val="20"/>
                <w:color w:val="auto"/>
              </w:rPr>
            </w:pPr>
            <w:r>
              <w:rPr>
                <w:rFonts w:ascii="Arial" w:cs="Arial" w:eastAsia="Arial" w:hAnsi="Arial"/>
                <w:sz w:val="12"/>
                <w:szCs w:val="12"/>
                <w:color w:val="auto"/>
              </w:rPr>
              <w:t>[d÷h]</w:t>
            </w:r>
          </w:p>
        </w:tc>
        <w:tc>
          <w:tcPr>
            <w:tcW w:w="260" w:type="dxa"/>
            <w:vAlign w:val="bottom"/>
            <w:shd w:val="clear" w:color="auto" w:fill="E0E7ED"/>
          </w:tcPr>
          <w:p>
            <w:pPr>
              <w:spacing w:after="0"/>
              <w:rPr>
                <w:sz w:val="15"/>
                <w:szCs w:val="15"/>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13.61 %</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10.64 %</w:t>
            </w:r>
          </w:p>
        </w:tc>
        <w:tc>
          <w:tcPr>
            <w:tcW w:w="6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12.85 %</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12.21 %</w:t>
            </w: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12.04 %</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20" w:hanging="220"/>
        <w:spacing w:after="0" w:line="234" w:lineRule="auto"/>
        <w:tabs>
          <w:tab w:leader="none" w:pos="337" w:val="left"/>
        </w:tabs>
        <w:numPr>
          <w:ilvl w:val="0"/>
          <w:numId w:val="12"/>
        </w:numPr>
        <w:rPr>
          <w:rFonts w:ascii="Arial" w:cs="Arial" w:eastAsia="Arial" w:hAnsi="Arial"/>
          <w:sz w:val="10"/>
          <w:szCs w:val="10"/>
          <w:color w:val="auto"/>
        </w:rPr>
      </w:pPr>
      <w:r>
        <w:rPr>
          <w:rFonts w:ascii="Arial" w:cs="Arial" w:eastAsia="Arial" w:hAnsi="Arial"/>
          <w:sz w:val="10"/>
          <w:szCs w:val="10"/>
          <w:color w:val="auto"/>
        </w:rPr>
        <w:t>The Day 2 provision represents the initial provision for credit losses recorded in connection with the CrossFirst acquisition to establish an allowance on non-PCD loans and unfunded commitments and is reflected within the provision for credit losses line on the Statement of Income.</w:t>
      </w:r>
    </w:p>
    <w:p>
      <w:pPr>
        <w:ind w:left="320" w:hanging="220"/>
        <w:spacing w:after="0" w:line="244" w:lineRule="auto"/>
        <w:tabs>
          <w:tab w:leader="none" w:pos="319" w:val="left"/>
        </w:tabs>
        <w:numPr>
          <w:ilvl w:val="0"/>
          <w:numId w:val="12"/>
        </w:numPr>
        <w:rPr>
          <w:rFonts w:ascii="Arial" w:cs="Arial" w:eastAsia="Arial" w:hAnsi="Arial"/>
          <w:sz w:val="10"/>
          <w:szCs w:val="10"/>
          <w:color w:val="auto"/>
        </w:rPr>
      </w:pPr>
      <w:r>
        <w:rPr>
          <w:rFonts w:ascii="Arial" w:cs="Arial" w:eastAsia="Arial" w:hAnsi="Arial"/>
          <w:sz w:val="10"/>
          <w:szCs w:val="10"/>
          <w:color w:val="auto"/>
        </w:rPr>
        <w:t>Tax benefits were calculated for the year-to-date periods using tax rates of 26.51% and 25.03% for the six months ended June 30, 2025 and 2024, respectively. Tax benefits for the quarterly periods were calculated as the year-to-date tax amounts less the tax reported for previous quarters during the year.</w:t>
      </w:r>
    </w:p>
    <w:p>
      <w:pPr>
        <w:ind w:left="320" w:hanging="220"/>
        <w:spacing w:after="0" w:line="305" w:lineRule="auto"/>
        <w:tabs>
          <w:tab w:leader="none" w:pos="319" w:val="left"/>
        </w:tabs>
        <w:numPr>
          <w:ilvl w:val="0"/>
          <w:numId w:val="12"/>
        </w:numPr>
        <w:rPr>
          <w:rFonts w:ascii="Arial" w:cs="Arial" w:eastAsia="Arial" w:hAnsi="Arial"/>
          <w:sz w:val="8"/>
          <w:szCs w:val="8"/>
          <w:color w:val="auto"/>
        </w:rPr>
      </w:pPr>
      <w:r>
        <w:rPr>
          <w:rFonts w:ascii="Arial" w:cs="Arial" w:eastAsia="Arial" w:hAnsi="Arial"/>
          <w:sz w:val="8"/>
          <w:szCs w:val="8"/>
          <w:color w:val="auto"/>
        </w:rPr>
        <w:t>A deferred valuation tax adjustment in 2025 was recorded in connection with the CrossFirst acquisition and the expansion of Busey’s footprint into new states. Additionally, 2025 includes a write-off of deferred tax assets related to non-deductible acquisition-related expenses. A deferred tax valuation adjustment in 2024 resulted from a change to Busey’s Illinois apportionment rate due to recently enacted regulations. Deferred tax adjustments are reflected within the income taxes line on the Statement of Income.</w:t>
      </w:r>
    </w:p>
    <w:p>
      <w:pPr>
        <w:ind w:left="320" w:hanging="220"/>
        <w:spacing w:after="0" w:line="234" w:lineRule="auto"/>
        <w:tabs>
          <w:tab w:leader="none" w:pos="319" w:val="left"/>
        </w:tabs>
        <w:numPr>
          <w:ilvl w:val="0"/>
          <w:numId w:val="12"/>
        </w:numPr>
        <w:rPr>
          <w:rFonts w:ascii="Arial" w:cs="Arial" w:eastAsia="Arial" w:hAnsi="Arial"/>
          <w:sz w:val="10"/>
          <w:szCs w:val="10"/>
          <w:color w:val="auto"/>
        </w:rPr>
      </w:pPr>
      <w:r>
        <w:rPr>
          <w:rFonts w:ascii="Arial" w:cs="Arial" w:eastAsia="Arial" w:hAnsi="Arial"/>
          <w:sz w:val="10"/>
          <w:szCs w:val="10"/>
          <w:color w:val="auto"/>
        </w:rPr>
        <w:t>Beginning in 2025, Busey revised its calculation of adjusted net income for all periods presented to include, as applicable, adjustments for net securities gains and losses, realized net gains and losses on the sale of mortgage servicing rights, and one-time deferred tax valuation adjustments. In 2024, these adjusting items were presented as further adjustments to adjusted net income.</w:t>
      </w:r>
    </w:p>
    <w:p>
      <w:pPr>
        <w:ind w:left="320" w:hanging="220"/>
        <w:spacing w:after="0"/>
        <w:tabs>
          <w:tab w:leader="none" w:pos="3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Dilution includes shares that would have been dilutive if there had been net income during the period.</w:t>
      </w:r>
    </w:p>
    <w:p>
      <w:pPr>
        <w:spacing w:after="0" w:line="2" w:lineRule="exact"/>
        <w:rPr>
          <w:rFonts w:ascii="Arial" w:cs="Arial" w:eastAsia="Arial" w:hAnsi="Arial"/>
          <w:sz w:val="10"/>
          <w:szCs w:val="10"/>
          <w:color w:val="auto"/>
        </w:rPr>
      </w:pPr>
    </w:p>
    <w:p>
      <w:pPr>
        <w:ind w:left="320" w:hanging="220"/>
        <w:spacing w:after="0"/>
        <w:tabs>
          <w:tab w:leader="none" w:pos="320" w:val="left"/>
        </w:tabs>
        <w:numPr>
          <w:ilvl w:val="0"/>
          <w:numId w:val="12"/>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15</w:t>
      </w:r>
    </w:p>
    <w:p>
      <w:pPr>
        <w:sectPr>
          <w:pgSz w:w="11900" w:h="16838" w:orient="portrait"/>
          <w:cols w:equalWidth="0" w:num="1">
            <w:col w:w="11300"/>
          </w:cols>
          <w:pgMar w:left="300" w:top="910" w:right="299" w:bottom="1440" w:gutter="0" w:footer="0" w:header="0"/>
        </w:sectPr>
      </w:pPr>
    </w:p>
    <w:bookmarkStart w:id="19" w:name="page20"/>
    <w:bookmarkEnd w:id="19"/>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Tax-Equivalent Net Interest Income, Adjusted Net Interest Income, Net Interest Margin, and Adjusted Net Interest Margin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9"/>
              </w:rPr>
              <w:t>Three Months Ended</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880" w:type="dxa"/>
            <w:vAlign w:val="bottom"/>
            <w:tcBorders>
              <w:bottom w:val="single" w:sz="8" w:color="auto"/>
            </w:tcBorders>
          </w:tcPr>
          <w:p>
            <w:pPr>
              <w:spacing w:after="0"/>
              <w:rPr>
                <w:sz w:val="12"/>
                <w:szCs w:val="12"/>
                <w:color w:val="auto"/>
              </w:rPr>
            </w:pPr>
          </w:p>
        </w:tc>
      </w:tr>
      <w:tr>
        <w:trPr>
          <w:trHeight w:val="88"/>
        </w:trPr>
        <w:tc>
          <w:tcPr>
            <w:tcW w:w="3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2"/>
          </w:tcPr>
          <w:p>
            <w:pPr>
              <w:ind w:left="180"/>
              <w:spacing w:after="0" w:line="88" w:lineRule="exact"/>
              <w:rPr>
                <w:sz w:val="20"/>
                <w:szCs w:val="20"/>
                <w:color w:val="auto"/>
              </w:rPr>
            </w:pPr>
            <w:r>
              <w:rPr>
                <w:rFonts w:ascii="Arial" w:cs="Arial" w:eastAsia="Arial" w:hAnsi="Arial"/>
                <w:sz w:val="10"/>
                <w:szCs w:val="10"/>
                <w:b w:val="1"/>
                <w:bCs w:val="1"/>
                <w:color w:val="auto"/>
              </w:rPr>
              <w:t>June 30,</w:t>
            </w:r>
          </w:p>
        </w:tc>
        <w:tc>
          <w:tcPr>
            <w:tcW w:w="100" w:type="dxa"/>
            <w:vAlign w:val="bottom"/>
          </w:tcPr>
          <w:p>
            <w:pPr>
              <w:spacing w:after="0"/>
              <w:rPr>
                <w:sz w:val="7"/>
                <w:szCs w:val="7"/>
                <w:color w:val="auto"/>
              </w:rPr>
            </w:pPr>
          </w:p>
        </w:tc>
        <w:tc>
          <w:tcPr>
            <w:tcW w:w="128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rPr>
              <w:t>March 31,</w:t>
            </w:r>
          </w:p>
        </w:tc>
        <w:tc>
          <w:tcPr>
            <w:tcW w:w="260" w:type="dxa"/>
            <w:vAlign w:val="bottom"/>
          </w:tcPr>
          <w:p>
            <w:pPr>
              <w:spacing w:after="0"/>
              <w:rPr>
                <w:sz w:val="7"/>
                <w:szCs w:val="7"/>
                <w:color w:val="auto"/>
              </w:rPr>
            </w:pPr>
          </w:p>
        </w:tc>
        <w:tc>
          <w:tcPr>
            <w:tcW w:w="1060" w:type="dxa"/>
            <w:vAlign w:val="bottom"/>
          </w:tcPr>
          <w:p>
            <w:pPr>
              <w:jc w:val="right"/>
              <w:ind w:right="382"/>
              <w:spacing w:after="0" w:line="88"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gridSpan w:val="2"/>
          </w:tcPr>
          <w:p>
            <w:pPr>
              <w:ind w:left="180"/>
              <w:spacing w:after="0" w:line="88" w:lineRule="exact"/>
              <w:rPr>
                <w:sz w:val="20"/>
                <w:szCs w:val="20"/>
                <w:color w:val="auto"/>
              </w:rPr>
            </w:pPr>
            <w:r>
              <w:rPr>
                <w:rFonts w:ascii="Arial" w:cs="Arial" w:eastAsia="Arial" w:hAnsi="Arial"/>
                <w:sz w:val="10"/>
                <w:szCs w:val="10"/>
                <w:b w:val="1"/>
                <w:bCs w:val="1"/>
                <w:color w:val="auto"/>
              </w:rPr>
              <w:t>June 30,</w:t>
            </w:r>
          </w:p>
        </w:tc>
        <w:tc>
          <w:tcPr>
            <w:tcW w:w="440" w:type="dxa"/>
            <w:vAlign w:val="bottom"/>
          </w:tcPr>
          <w:p>
            <w:pPr>
              <w:spacing w:after="0"/>
              <w:rPr>
                <w:sz w:val="7"/>
                <w:szCs w:val="7"/>
                <w:color w:val="auto"/>
              </w:rPr>
            </w:pPr>
          </w:p>
        </w:tc>
        <w:tc>
          <w:tcPr>
            <w:tcW w:w="880" w:type="dxa"/>
            <w:vAlign w:val="bottom"/>
          </w:tcPr>
          <w:p>
            <w:pPr>
              <w:jc w:val="right"/>
              <w:ind w:right="382"/>
              <w:spacing w:after="0" w:line="88" w:lineRule="exact"/>
              <w:rPr>
                <w:sz w:val="20"/>
                <w:szCs w:val="20"/>
                <w:color w:val="auto"/>
              </w:rPr>
            </w:pPr>
            <w:r>
              <w:rPr>
                <w:rFonts w:ascii="Arial" w:cs="Arial" w:eastAsia="Arial" w:hAnsi="Arial"/>
                <w:sz w:val="10"/>
                <w:szCs w:val="10"/>
                <w:b w:val="1"/>
                <w:bCs w:val="1"/>
                <w:color w:val="auto"/>
              </w:rPr>
              <w:t>June 30,</w:t>
            </w:r>
          </w:p>
        </w:tc>
      </w:tr>
      <w:tr>
        <w:trPr>
          <w:trHeight w:val="144"/>
        </w:trPr>
        <w:tc>
          <w:tcPr>
            <w:tcW w:w="3680" w:type="dxa"/>
            <w:vAlign w:val="bottom"/>
            <w:tcBorders>
              <w:bottom w:val="single" w:sz="8" w:color="E0E7ED"/>
            </w:tcBorders>
          </w:tcPr>
          <w:p>
            <w:pPr>
              <w:spacing w:after="0"/>
              <w:rPr>
                <w:sz w:val="20"/>
                <w:szCs w:val="20"/>
                <w:color w:val="auto"/>
              </w:rPr>
            </w:pPr>
            <w:r>
              <w:rPr>
                <w:rFonts w:ascii="Arial" w:cs="Arial" w:eastAsia="Arial" w:hAnsi="Arial"/>
                <w:sz w:val="10"/>
                <w:szCs w:val="10"/>
                <w:i w:val="1"/>
                <w:iCs w:val="1"/>
                <w:color w:val="auto"/>
              </w:rPr>
              <w:t>(dollars in thousands)</w:t>
            </w:r>
          </w:p>
        </w:tc>
        <w:tc>
          <w:tcPr>
            <w:tcW w:w="74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1"/>
                <w:szCs w:val="11"/>
                <w:b w:val="1"/>
                <w:bCs w:val="1"/>
                <w:color w:val="auto"/>
                <w:w w:val="97"/>
              </w:rPr>
              <w:t>2025</w:t>
            </w:r>
          </w:p>
        </w:tc>
        <w:tc>
          <w:tcPr>
            <w:tcW w:w="6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b w:val="1"/>
                <w:bCs w:val="1"/>
                <w:color w:val="auto"/>
              </w:rPr>
              <w:t>2024</w:t>
            </w:r>
          </w:p>
        </w:tc>
      </w:tr>
      <w:tr>
        <w:trPr>
          <w:trHeight w:val="169"/>
        </w:trPr>
        <w:tc>
          <w:tcPr>
            <w:tcW w:w="368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interest income (GAAP)</w:t>
            </w:r>
          </w:p>
        </w:tc>
        <w:tc>
          <w:tcPr>
            <w:tcW w:w="74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153,183</w:t>
            </w:r>
          </w:p>
        </w:tc>
        <w:tc>
          <w:tcPr>
            <w:tcW w:w="80" w:type="dxa"/>
            <w:vAlign w:val="bottom"/>
            <w:shd w:val="clear" w:color="auto" w:fill="E0E7ED"/>
          </w:tcPr>
          <w:p>
            <w:pPr>
              <w:spacing w:after="0"/>
              <w:rPr>
                <w:sz w:val="14"/>
                <w:szCs w:val="14"/>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103,731</w:t>
            </w:r>
          </w:p>
        </w:tc>
        <w:tc>
          <w:tcPr>
            <w:tcW w:w="6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82,532</w:t>
            </w: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256,914</w:t>
            </w:r>
          </w:p>
        </w:tc>
        <w:tc>
          <w:tcPr>
            <w:tcW w:w="80" w:type="dxa"/>
            <w:vAlign w:val="bottom"/>
            <w:shd w:val="clear" w:color="auto" w:fill="E0E7ED"/>
          </w:tcPr>
          <w:p>
            <w:pPr>
              <w:spacing w:after="0"/>
              <w:rPr>
                <w:sz w:val="14"/>
                <w:szCs w:val="14"/>
                <w:color w:val="auto"/>
              </w:rPr>
            </w:pPr>
          </w:p>
        </w:tc>
        <w:tc>
          <w:tcPr>
            <w:tcW w:w="440" w:type="dxa"/>
            <w:vAlign w:val="bottom"/>
            <w:shd w:val="clear" w:color="auto" w:fill="E0E7ED"/>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158,386</w:t>
            </w:r>
          </w:p>
        </w:tc>
      </w:tr>
      <w:tr>
        <w:trPr>
          <w:trHeight w:val="180"/>
        </w:trPr>
        <w:tc>
          <w:tcPr>
            <w:tcW w:w="368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Tax-equivalent adjustment</w:t>
            </w:r>
            <w:r>
              <w:rPr>
                <w:rFonts w:ascii="Arial" w:cs="Arial" w:eastAsia="Arial" w:hAnsi="Arial"/>
                <w:sz w:val="15"/>
                <w:szCs w:val="15"/>
                <w:color w:val="auto"/>
                <w:vertAlign w:val="superscript"/>
              </w:rPr>
              <w:t>1</w:t>
            </w:r>
          </w:p>
        </w:tc>
        <w:tc>
          <w:tcPr>
            <w:tcW w:w="74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791</w:t>
            </w:r>
          </w:p>
        </w:tc>
        <w:tc>
          <w:tcPr>
            <w:tcW w:w="80" w:type="dxa"/>
            <w:vAlign w:val="bottom"/>
            <w:tcBorders>
              <w:bottom w:val="single" w:sz="8" w:color="E0E7E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537</w:t>
            </w:r>
          </w:p>
        </w:tc>
        <w:tc>
          <w:tcPr>
            <w:tcW w:w="6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402</w:t>
            </w:r>
          </w:p>
        </w:tc>
        <w:tc>
          <w:tcPr>
            <w:tcW w:w="8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1,328</w:t>
            </w:r>
          </w:p>
        </w:tc>
        <w:tc>
          <w:tcPr>
            <w:tcW w:w="80" w:type="dxa"/>
            <w:vAlign w:val="bottom"/>
            <w:tcBorders>
              <w:bottom w:val="single" w:sz="8" w:color="E0E7ED"/>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851</w:t>
            </w:r>
          </w:p>
        </w:tc>
      </w:tr>
      <w:tr>
        <w:trPr>
          <w:trHeight w:val="169"/>
        </w:trPr>
        <w:tc>
          <w:tcPr>
            <w:tcW w:w="3680" w:type="dxa"/>
            <w:vAlign w:val="bottom"/>
            <w:shd w:val="clear" w:color="auto" w:fill="E0E7ED"/>
          </w:tcPr>
          <w:p>
            <w:pPr>
              <w:ind w:left="120"/>
              <w:spacing w:after="0"/>
              <w:rPr>
                <w:sz w:val="20"/>
                <w:szCs w:val="20"/>
                <w:color w:val="auto"/>
              </w:rPr>
            </w:pPr>
            <w:r>
              <w:rPr>
                <w:rFonts w:ascii="Arial" w:cs="Arial" w:eastAsia="Arial" w:hAnsi="Arial"/>
                <w:sz w:val="12"/>
                <w:szCs w:val="12"/>
                <w:color w:val="auto"/>
              </w:rPr>
              <w:t>Tax-equivalent net interest income (Non-GAAP)</w:t>
            </w:r>
          </w:p>
        </w:tc>
        <w:tc>
          <w:tcPr>
            <w:tcW w:w="740" w:type="dxa"/>
            <w:vAlign w:val="bottom"/>
            <w:shd w:val="clear" w:color="auto" w:fill="E0E7ED"/>
          </w:tcPr>
          <w:p>
            <w:pPr>
              <w:ind w:left="140"/>
              <w:spacing w:after="0"/>
              <w:rPr>
                <w:sz w:val="20"/>
                <w:szCs w:val="20"/>
                <w:color w:val="auto"/>
              </w:rPr>
            </w:pPr>
            <w:r>
              <w:rPr>
                <w:rFonts w:ascii="Arial" w:cs="Arial" w:eastAsia="Arial" w:hAnsi="Arial"/>
                <w:sz w:val="12"/>
                <w:szCs w:val="12"/>
                <w:color w:val="auto"/>
              </w:rPr>
              <w:t>[a]</w:t>
            </w:r>
          </w:p>
        </w:tc>
        <w:tc>
          <w:tcPr>
            <w:tcW w:w="260" w:type="dxa"/>
            <w:vAlign w:val="bottom"/>
            <w:shd w:val="clear" w:color="auto" w:fill="E0E7ED"/>
          </w:tcPr>
          <w:p>
            <w:pPr>
              <w:spacing w:after="0"/>
              <w:rPr>
                <w:sz w:val="14"/>
                <w:szCs w:val="14"/>
                <w:color w:val="auto"/>
              </w:rPr>
            </w:pPr>
          </w:p>
        </w:tc>
        <w:tc>
          <w:tcPr>
            <w:tcW w:w="10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153,974</w:t>
            </w:r>
          </w:p>
        </w:tc>
        <w:tc>
          <w:tcPr>
            <w:tcW w:w="8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2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104,268</w:t>
            </w:r>
          </w:p>
        </w:tc>
        <w:tc>
          <w:tcPr>
            <w:tcW w:w="6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82,934</w:t>
            </w: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258,242</w:t>
            </w:r>
          </w:p>
        </w:tc>
        <w:tc>
          <w:tcPr>
            <w:tcW w:w="80" w:type="dxa"/>
            <w:vAlign w:val="bottom"/>
            <w:shd w:val="clear" w:color="auto" w:fill="E0E7ED"/>
          </w:tcPr>
          <w:p>
            <w:pPr>
              <w:spacing w:after="0"/>
              <w:rPr>
                <w:sz w:val="14"/>
                <w:szCs w:val="14"/>
                <w:color w:val="auto"/>
              </w:rPr>
            </w:pPr>
          </w:p>
        </w:tc>
        <w:tc>
          <w:tcPr>
            <w:tcW w:w="440" w:type="dxa"/>
            <w:vAlign w:val="bottom"/>
            <w:shd w:val="clear" w:color="auto" w:fill="E0E7ED"/>
          </w:tcPr>
          <w:p>
            <w:pPr>
              <w:spacing w:after="0"/>
              <w:rPr>
                <w:sz w:val="14"/>
                <w:szCs w:val="14"/>
                <w:color w:val="auto"/>
              </w:rPr>
            </w:pPr>
          </w:p>
        </w:tc>
        <w:tc>
          <w:tcPr>
            <w:tcW w:w="8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159,237</w:t>
            </w:r>
          </w:p>
        </w:tc>
      </w:tr>
      <w:tr>
        <w:trPr>
          <w:trHeight w:val="172"/>
        </w:trPr>
        <w:tc>
          <w:tcPr>
            <w:tcW w:w="368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Purchase accounting accretion related to business combinations</w:t>
            </w:r>
          </w:p>
        </w:tc>
        <w:tc>
          <w:tcPr>
            <w:tcW w:w="74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(7,119)</w:t>
            </w:r>
          </w:p>
        </w:tc>
        <w:tc>
          <w:tcPr>
            <w:tcW w:w="80" w:type="dxa"/>
            <w:vAlign w:val="bottom"/>
            <w:tcBorders>
              <w:bottom w:val="single" w:sz="8" w:color="E0E7ED"/>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(2,728)</w:t>
            </w:r>
          </w:p>
        </w:tc>
        <w:tc>
          <w:tcPr>
            <w:tcW w:w="6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(812)</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(9,847)</w:t>
            </w:r>
          </w:p>
        </w:tc>
        <w:tc>
          <w:tcPr>
            <w:tcW w:w="80" w:type="dxa"/>
            <w:vAlign w:val="bottom"/>
            <w:tcBorders>
              <w:bottom w:val="single" w:sz="8" w:color="E0E7ED"/>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(1,016)</w:t>
            </w:r>
          </w:p>
        </w:tc>
      </w:tr>
      <w:tr>
        <w:trPr>
          <w:trHeight w:val="193"/>
        </w:trPr>
        <w:tc>
          <w:tcPr>
            <w:tcW w:w="3680" w:type="dxa"/>
            <w:vAlign w:val="bottom"/>
            <w:tcBorders>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Adjusted net interest income (Non-GAAP)</w:t>
            </w:r>
          </w:p>
        </w:tc>
        <w:tc>
          <w:tcPr>
            <w:tcW w:w="740" w:type="dxa"/>
            <w:vAlign w:val="bottom"/>
            <w:tcBorders>
              <w:bottom w:val="single" w:sz="8" w:color="E0E7ED"/>
            </w:tcBorders>
            <w:shd w:val="clear" w:color="auto" w:fill="E0E7ED"/>
          </w:tcPr>
          <w:p>
            <w:pPr>
              <w:ind w:left="140"/>
              <w:spacing w:after="0"/>
              <w:rPr>
                <w:sz w:val="20"/>
                <w:szCs w:val="20"/>
                <w:color w:val="auto"/>
              </w:rPr>
            </w:pPr>
            <w:r>
              <w:rPr>
                <w:rFonts w:ascii="Arial" w:cs="Arial" w:eastAsia="Arial" w:hAnsi="Arial"/>
                <w:sz w:val="12"/>
                <w:szCs w:val="12"/>
                <w:color w:val="auto"/>
              </w:rPr>
              <w:t>[b]</w:t>
            </w:r>
          </w:p>
        </w:tc>
        <w:tc>
          <w:tcPr>
            <w:tcW w:w="260" w:type="dxa"/>
            <w:vAlign w:val="bottom"/>
            <w:tcBorders>
              <w:bottom w:val="single" w:sz="8" w:color="auto"/>
            </w:tcBorders>
            <w:shd w:val="clear" w:color="auto" w:fill="E0E7ED"/>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146,855</w:t>
            </w:r>
          </w:p>
        </w:tc>
        <w:tc>
          <w:tcPr>
            <w:tcW w:w="80" w:type="dxa"/>
            <w:vAlign w:val="bottom"/>
            <w:tcBorders>
              <w:bottom w:val="single" w:sz="8" w:color="E0E7ED"/>
            </w:tcBorders>
            <w:shd w:val="clear" w:color="auto" w:fill="E0E7ED"/>
          </w:tcPr>
          <w:p>
            <w:pPr>
              <w:spacing w:after="0"/>
              <w:rPr>
                <w:sz w:val="16"/>
                <w:szCs w:val="16"/>
                <w:color w:val="auto"/>
              </w:rPr>
            </w:pPr>
          </w:p>
        </w:tc>
        <w:tc>
          <w:tcPr>
            <w:tcW w:w="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101,540</w:t>
            </w:r>
          </w:p>
        </w:tc>
        <w:tc>
          <w:tcPr>
            <w:tcW w:w="60" w:type="dxa"/>
            <w:vAlign w:val="bottom"/>
            <w:tcBorders>
              <w:bottom w:val="single" w:sz="8" w:color="E0E7ED"/>
            </w:tcBorders>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82,122</w:t>
            </w:r>
          </w:p>
        </w:tc>
        <w:tc>
          <w:tcPr>
            <w:tcW w:w="80" w:type="dxa"/>
            <w:vAlign w:val="bottom"/>
            <w:tcBorders>
              <w:bottom w:val="single" w:sz="8" w:color="E0E7ED"/>
            </w:tcBorders>
            <w:shd w:val="clear" w:color="auto" w:fill="E0E7ED"/>
          </w:tcPr>
          <w:p>
            <w:pPr>
              <w:spacing w:after="0"/>
              <w:rPr>
                <w:sz w:val="16"/>
                <w:szCs w:val="16"/>
                <w:color w:val="auto"/>
              </w:rPr>
            </w:pPr>
          </w:p>
        </w:tc>
        <w:tc>
          <w:tcPr>
            <w:tcW w:w="260" w:type="dxa"/>
            <w:vAlign w:val="bottom"/>
            <w:tcBorders>
              <w:bottom w:val="single" w:sz="8" w:color="auto"/>
            </w:tcBorders>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248,395</w:t>
            </w:r>
          </w:p>
        </w:tc>
        <w:tc>
          <w:tcPr>
            <w:tcW w:w="80" w:type="dxa"/>
            <w:vAlign w:val="bottom"/>
            <w:tcBorders>
              <w:bottom w:val="single" w:sz="8" w:color="E0E7ED"/>
            </w:tcBorders>
            <w:shd w:val="clear" w:color="auto" w:fill="E0E7ED"/>
          </w:tcPr>
          <w:p>
            <w:pPr>
              <w:spacing w:after="0"/>
              <w:rPr>
                <w:sz w:val="16"/>
                <w:szCs w:val="16"/>
                <w:color w:val="auto"/>
              </w:rPr>
            </w:pPr>
          </w:p>
        </w:tc>
        <w:tc>
          <w:tcPr>
            <w:tcW w:w="440" w:type="dxa"/>
            <w:vAlign w:val="bottom"/>
            <w:tcBorders>
              <w:bottom w:val="single" w:sz="8" w:color="auto"/>
            </w:tcBorders>
            <w:shd w:val="clear" w:color="auto" w:fill="E0E7ED"/>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158,221</w:t>
            </w:r>
          </w:p>
        </w:tc>
      </w:tr>
      <w:tr>
        <w:trPr>
          <w:trHeight w:val="162"/>
        </w:trPr>
        <w:tc>
          <w:tcPr>
            <w:tcW w:w="3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3680" w:type="dxa"/>
            <w:vAlign w:val="bottom"/>
            <w:shd w:val="clear" w:color="auto" w:fill="E0E7ED"/>
          </w:tcPr>
          <w:p>
            <w:pPr>
              <w:spacing w:after="0"/>
              <w:rPr>
                <w:sz w:val="20"/>
                <w:szCs w:val="20"/>
                <w:color w:val="auto"/>
              </w:rPr>
            </w:pPr>
            <w:r>
              <w:rPr>
                <w:rFonts w:ascii="Arial" w:cs="Arial" w:eastAsia="Arial" w:hAnsi="Arial"/>
                <w:sz w:val="12"/>
                <w:szCs w:val="12"/>
                <w:color w:val="auto"/>
              </w:rPr>
              <w:t>Average interest-earning assets (Non-GAAP)</w:t>
            </w:r>
          </w:p>
        </w:tc>
        <w:tc>
          <w:tcPr>
            <w:tcW w:w="740" w:type="dxa"/>
            <w:vAlign w:val="bottom"/>
            <w:shd w:val="clear" w:color="auto" w:fill="E0E7ED"/>
          </w:tcPr>
          <w:p>
            <w:pPr>
              <w:ind w:left="140"/>
              <w:spacing w:after="0"/>
              <w:rPr>
                <w:sz w:val="20"/>
                <w:szCs w:val="20"/>
                <w:color w:val="auto"/>
              </w:rPr>
            </w:pPr>
            <w:r>
              <w:rPr>
                <w:rFonts w:ascii="Arial" w:cs="Arial" w:eastAsia="Arial" w:hAnsi="Arial"/>
                <w:sz w:val="12"/>
                <w:szCs w:val="12"/>
                <w:color w:val="auto"/>
              </w:rPr>
              <w:t>[c]</w:t>
            </w:r>
          </w:p>
        </w:tc>
        <w:tc>
          <w:tcPr>
            <w:tcW w:w="260" w:type="dxa"/>
            <w:vAlign w:val="bottom"/>
            <w:shd w:val="clear" w:color="auto" w:fill="E0E7ED"/>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17,700,356</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13,363,594</w:t>
            </w:r>
          </w:p>
        </w:tc>
        <w:tc>
          <w:tcPr>
            <w:tcW w:w="60" w:type="dxa"/>
            <w:vAlign w:val="bottom"/>
            <w:shd w:val="clear" w:color="auto" w:fill="E0E7ED"/>
          </w:tcPr>
          <w:p>
            <w:pPr>
              <w:spacing w:after="0"/>
              <w:rPr>
                <w:sz w:val="15"/>
                <w:szCs w:val="15"/>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11,000,785</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15,543,955</w:t>
            </w: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11,003,344</w:t>
            </w:r>
          </w:p>
        </w:tc>
      </w:tr>
      <w:tr>
        <w:trPr>
          <w:trHeight w:val="180"/>
        </w:trPr>
        <w:tc>
          <w:tcPr>
            <w:tcW w:w="3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3680" w:type="dxa"/>
            <w:vAlign w:val="bottom"/>
            <w:shd w:val="clear" w:color="auto" w:fill="E0E7ED"/>
          </w:tcPr>
          <w:p>
            <w:pPr>
              <w:spacing w:after="0"/>
              <w:rPr>
                <w:sz w:val="20"/>
                <w:szCs w:val="20"/>
                <w:color w:val="auto"/>
              </w:rPr>
            </w:pPr>
            <w:r>
              <w:rPr>
                <w:rFonts w:ascii="Arial" w:cs="Arial" w:eastAsia="Arial" w:hAnsi="Arial"/>
                <w:sz w:val="12"/>
                <w:szCs w:val="12"/>
                <w:color w:val="auto"/>
              </w:rPr>
              <w:t>Net interest margin (Non-GAAP)</w:t>
            </w:r>
            <w:r>
              <w:rPr>
                <w:rFonts w:ascii="Arial" w:cs="Arial" w:eastAsia="Arial" w:hAnsi="Arial"/>
                <w:sz w:val="15"/>
                <w:szCs w:val="15"/>
                <w:color w:val="auto"/>
                <w:vertAlign w:val="superscript"/>
              </w:rPr>
              <w:t>2</w:t>
            </w:r>
          </w:p>
        </w:tc>
        <w:tc>
          <w:tcPr>
            <w:tcW w:w="740" w:type="dxa"/>
            <w:vAlign w:val="bottom"/>
            <w:shd w:val="clear" w:color="auto" w:fill="E0E7ED"/>
          </w:tcPr>
          <w:p>
            <w:pPr>
              <w:ind w:left="140"/>
              <w:spacing w:after="0"/>
              <w:rPr>
                <w:sz w:val="20"/>
                <w:szCs w:val="20"/>
                <w:color w:val="auto"/>
              </w:rPr>
            </w:pPr>
            <w:r>
              <w:rPr>
                <w:rFonts w:ascii="Arial" w:cs="Arial" w:eastAsia="Arial" w:hAnsi="Arial"/>
                <w:sz w:val="12"/>
                <w:szCs w:val="12"/>
                <w:color w:val="auto"/>
              </w:rPr>
              <w:t>[a÷c]</w:t>
            </w:r>
          </w:p>
        </w:tc>
        <w:tc>
          <w:tcPr>
            <w:tcW w:w="260" w:type="dxa"/>
            <w:vAlign w:val="bottom"/>
            <w:shd w:val="clear" w:color="auto" w:fill="E0E7ED"/>
          </w:tcPr>
          <w:p>
            <w:pPr>
              <w:spacing w:after="0"/>
              <w:rPr>
                <w:sz w:val="15"/>
                <w:szCs w:val="15"/>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3.49 %</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3.16 %</w:t>
            </w:r>
          </w:p>
        </w:tc>
        <w:tc>
          <w:tcPr>
            <w:tcW w:w="6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3.03 %</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3.35 %</w:t>
            </w: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2.91 %</w:t>
            </w:r>
          </w:p>
        </w:tc>
      </w:tr>
      <w:tr>
        <w:trPr>
          <w:trHeight w:val="211"/>
        </w:trPr>
        <w:tc>
          <w:tcPr>
            <w:tcW w:w="3680" w:type="dxa"/>
            <w:vAlign w:val="bottom"/>
          </w:tcPr>
          <w:p>
            <w:pPr>
              <w:spacing w:after="0"/>
              <w:rPr>
                <w:sz w:val="20"/>
                <w:szCs w:val="20"/>
                <w:color w:val="auto"/>
              </w:rPr>
            </w:pPr>
            <w:r>
              <w:rPr>
                <w:rFonts w:ascii="Arial" w:cs="Arial" w:eastAsia="Arial" w:hAnsi="Arial"/>
                <w:sz w:val="12"/>
                <w:szCs w:val="12"/>
                <w:color w:val="auto"/>
              </w:rPr>
              <w:t>Adjusted net interest margin (Non-GAAP)</w:t>
            </w:r>
            <w:r>
              <w:rPr>
                <w:rFonts w:ascii="Arial" w:cs="Arial" w:eastAsia="Arial" w:hAnsi="Arial"/>
                <w:sz w:val="15"/>
                <w:szCs w:val="15"/>
                <w:color w:val="auto"/>
                <w:vertAlign w:val="superscript"/>
              </w:rPr>
              <w:t>2</w:t>
            </w:r>
          </w:p>
        </w:tc>
        <w:tc>
          <w:tcPr>
            <w:tcW w:w="740" w:type="dxa"/>
            <w:vAlign w:val="bottom"/>
          </w:tcPr>
          <w:p>
            <w:pPr>
              <w:ind w:left="140"/>
              <w:spacing w:after="0"/>
              <w:rPr>
                <w:sz w:val="20"/>
                <w:szCs w:val="20"/>
                <w:color w:val="auto"/>
              </w:rPr>
            </w:pPr>
            <w:r>
              <w:rPr>
                <w:rFonts w:ascii="Arial" w:cs="Arial" w:eastAsia="Arial" w:hAnsi="Arial"/>
                <w:sz w:val="12"/>
                <w:szCs w:val="12"/>
                <w:color w:val="auto"/>
              </w:rPr>
              <w:t>[b÷c]</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3.33 %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3.08 %</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3.00 %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3.22 %</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2.89 %</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40" w:hanging="240"/>
        <w:spacing w:after="0"/>
        <w:tabs>
          <w:tab w:leader="none" w:pos="340" w:val="left"/>
        </w:tabs>
        <w:numPr>
          <w:ilvl w:val="0"/>
          <w:numId w:val="13"/>
        </w:numPr>
        <w:rPr>
          <w:rFonts w:ascii="Arial" w:cs="Arial" w:eastAsia="Arial" w:hAnsi="Arial"/>
          <w:sz w:val="10"/>
          <w:szCs w:val="10"/>
          <w:color w:val="auto"/>
        </w:rPr>
      </w:pPr>
      <w:r>
        <w:rPr>
          <w:rFonts w:ascii="Arial" w:cs="Arial" w:eastAsia="Arial" w:hAnsi="Arial"/>
          <w:sz w:val="10"/>
          <w:szCs w:val="10"/>
          <w:color w:val="auto"/>
        </w:rPr>
        <w:t>Tax-equivalent adjustments were calculated using an estimated federal income tax rate of 21%, applied to non-taxable interest income on investments and loans.</w:t>
      </w:r>
    </w:p>
    <w:p>
      <w:pPr>
        <w:spacing w:after="0" w:line="2" w:lineRule="exact"/>
        <w:rPr>
          <w:rFonts w:ascii="Arial" w:cs="Arial" w:eastAsia="Arial" w:hAnsi="Arial"/>
          <w:sz w:val="10"/>
          <w:szCs w:val="10"/>
          <w:color w:val="auto"/>
        </w:rPr>
      </w:pPr>
    </w:p>
    <w:p>
      <w:pPr>
        <w:ind w:left="320" w:hanging="220"/>
        <w:spacing w:after="0"/>
        <w:tabs>
          <w:tab w:leader="none" w:pos="320" w:val="left"/>
        </w:tabs>
        <w:numPr>
          <w:ilvl w:val="0"/>
          <w:numId w:val="13"/>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16</w:t>
      </w:r>
    </w:p>
    <w:p>
      <w:pPr>
        <w:sectPr>
          <w:pgSz w:w="11900" w:h="16838" w:orient="portrait"/>
          <w:cols w:equalWidth="0" w:num="1">
            <w:col w:w="11300"/>
          </w:cols>
          <w:pgMar w:left="300" w:top="910" w:right="29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Adjusted Noninterest Income, Revenue Measures, Adjusted Noninterest Expense, Efficiency Ratios, and Adjusted Noninterest Expense to Average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b w:val="1"/>
                <w:bCs w:val="1"/>
                <w:color w:val="auto"/>
                <w:w w:val="99"/>
              </w:rPr>
              <w:t>Three Months Ended</w:t>
            </w: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Six Months Ended</w:t>
            </w:r>
          </w:p>
        </w:tc>
        <w:tc>
          <w:tcPr>
            <w:tcW w:w="880" w:type="dxa"/>
            <w:vAlign w:val="bottom"/>
            <w:tcBorders>
              <w:bottom w:val="single" w:sz="8" w:color="auto"/>
            </w:tcBorders>
          </w:tcPr>
          <w:p>
            <w:pPr>
              <w:spacing w:after="0"/>
              <w:rPr>
                <w:sz w:val="12"/>
                <w:szCs w:val="12"/>
                <w:color w:val="auto"/>
              </w:rPr>
            </w:pPr>
          </w:p>
        </w:tc>
      </w:tr>
      <w:tr>
        <w:trPr>
          <w:trHeight w:val="88"/>
        </w:trPr>
        <w:tc>
          <w:tcPr>
            <w:tcW w:w="3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gridSpan w:val="2"/>
          </w:tcPr>
          <w:p>
            <w:pPr>
              <w:ind w:left="180"/>
              <w:spacing w:after="0" w:line="88" w:lineRule="exact"/>
              <w:rPr>
                <w:sz w:val="20"/>
                <w:szCs w:val="20"/>
                <w:color w:val="auto"/>
              </w:rPr>
            </w:pPr>
            <w:r>
              <w:rPr>
                <w:rFonts w:ascii="Arial" w:cs="Arial" w:eastAsia="Arial" w:hAnsi="Arial"/>
                <w:sz w:val="10"/>
                <w:szCs w:val="10"/>
                <w:b w:val="1"/>
                <w:bCs w:val="1"/>
                <w:color w:val="auto"/>
              </w:rPr>
              <w:t>June 30,</w:t>
            </w:r>
          </w:p>
        </w:tc>
        <w:tc>
          <w:tcPr>
            <w:tcW w:w="100" w:type="dxa"/>
            <w:vAlign w:val="bottom"/>
          </w:tcPr>
          <w:p>
            <w:pPr>
              <w:spacing w:after="0"/>
              <w:rPr>
                <w:sz w:val="7"/>
                <w:szCs w:val="7"/>
                <w:color w:val="auto"/>
              </w:rPr>
            </w:pPr>
          </w:p>
        </w:tc>
        <w:tc>
          <w:tcPr>
            <w:tcW w:w="128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rPr>
              <w:t>March 31,</w:t>
            </w:r>
          </w:p>
        </w:tc>
        <w:tc>
          <w:tcPr>
            <w:tcW w:w="260" w:type="dxa"/>
            <w:vAlign w:val="bottom"/>
          </w:tcPr>
          <w:p>
            <w:pPr>
              <w:spacing w:after="0"/>
              <w:rPr>
                <w:sz w:val="7"/>
                <w:szCs w:val="7"/>
                <w:color w:val="auto"/>
              </w:rPr>
            </w:pPr>
          </w:p>
        </w:tc>
        <w:tc>
          <w:tcPr>
            <w:tcW w:w="1060" w:type="dxa"/>
            <w:vAlign w:val="bottom"/>
          </w:tcPr>
          <w:p>
            <w:pPr>
              <w:jc w:val="right"/>
              <w:ind w:right="381"/>
              <w:spacing w:after="0" w:line="88" w:lineRule="exact"/>
              <w:rPr>
                <w:sz w:val="20"/>
                <w:szCs w:val="20"/>
                <w:color w:val="auto"/>
              </w:rPr>
            </w:pPr>
            <w:r>
              <w:rPr>
                <w:rFonts w:ascii="Arial" w:cs="Arial" w:eastAsia="Arial" w:hAnsi="Arial"/>
                <w:sz w:val="10"/>
                <w:szCs w:val="10"/>
                <w:b w:val="1"/>
                <w:bCs w:val="1"/>
                <w:color w:val="auto"/>
              </w:rPr>
              <w:t>June 30,</w:t>
            </w: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gridSpan w:val="2"/>
          </w:tcPr>
          <w:p>
            <w:pPr>
              <w:ind w:left="180"/>
              <w:spacing w:after="0" w:line="88" w:lineRule="exact"/>
              <w:rPr>
                <w:sz w:val="20"/>
                <w:szCs w:val="20"/>
                <w:color w:val="auto"/>
              </w:rPr>
            </w:pPr>
            <w:r>
              <w:rPr>
                <w:rFonts w:ascii="Arial" w:cs="Arial" w:eastAsia="Arial" w:hAnsi="Arial"/>
                <w:sz w:val="10"/>
                <w:szCs w:val="10"/>
                <w:b w:val="1"/>
                <w:bCs w:val="1"/>
                <w:color w:val="auto"/>
              </w:rPr>
              <w:t>June 30,</w:t>
            </w:r>
          </w:p>
        </w:tc>
        <w:tc>
          <w:tcPr>
            <w:tcW w:w="440" w:type="dxa"/>
            <w:vAlign w:val="bottom"/>
          </w:tcPr>
          <w:p>
            <w:pPr>
              <w:spacing w:after="0"/>
              <w:rPr>
                <w:sz w:val="7"/>
                <w:szCs w:val="7"/>
                <w:color w:val="auto"/>
              </w:rPr>
            </w:pPr>
          </w:p>
        </w:tc>
        <w:tc>
          <w:tcPr>
            <w:tcW w:w="880" w:type="dxa"/>
            <w:vAlign w:val="bottom"/>
          </w:tcPr>
          <w:p>
            <w:pPr>
              <w:jc w:val="right"/>
              <w:ind w:right="381"/>
              <w:spacing w:after="0" w:line="88" w:lineRule="exact"/>
              <w:rPr>
                <w:sz w:val="20"/>
                <w:szCs w:val="20"/>
                <w:color w:val="auto"/>
              </w:rPr>
            </w:pPr>
            <w:r>
              <w:rPr>
                <w:rFonts w:ascii="Arial" w:cs="Arial" w:eastAsia="Arial" w:hAnsi="Arial"/>
                <w:sz w:val="10"/>
                <w:szCs w:val="10"/>
                <w:b w:val="1"/>
                <w:bCs w:val="1"/>
                <w:color w:val="auto"/>
              </w:rPr>
              <w:t>June 30,</w:t>
            </w:r>
          </w:p>
        </w:tc>
      </w:tr>
      <w:tr>
        <w:trPr>
          <w:trHeight w:val="144"/>
        </w:trPr>
        <w:tc>
          <w:tcPr>
            <w:tcW w:w="3700" w:type="dxa"/>
            <w:vAlign w:val="bottom"/>
            <w:tcBorders>
              <w:bottom w:val="single" w:sz="8" w:color="E0E7ED"/>
            </w:tcBorders>
          </w:tcPr>
          <w:p>
            <w:pPr>
              <w:spacing w:after="0"/>
              <w:rPr>
                <w:sz w:val="20"/>
                <w:szCs w:val="20"/>
                <w:color w:val="auto"/>
              </w:rPr>
            </w:pPr>
            <w:r>
              <w:rPr>
                <w:rFonts w:ascii="Arial" w:cs="Arial" w:eastAsia="Arial" w:hAnsi="Arial"/>
                <w:sz w:val="10"/>
                <w:szCs w:val="10"/>
                <w:i w:val="1"/>
                <w:iCs w:val="1"/>
                <w:color w:val="auto"/>
              </w:rPr>
              <w:t>(dollars in thousands)</w:t>
            </w:r>
          </w:p>
        </w:tc>
        <w:tc>
          <w:tcPr>
            <w:tcW w:w="72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center"/>
              <w:ind w:right="42"/>
              <w:spacing w:after="0"/>
              <w:rPr>
                <w:sz w:val="20"/>
                <w:szCs w:val="20"/>
                <w:color w:val="auto"/>
              </w:rPr>
            </w:pPr>
            <w:r>
              <w:rPr>
                <w:rFonts w:ascii="Arial" w:cs="Arial" w:eastAsia="Arial" w:hAnsi="Arial"/>
                <w:sz w:val="11"/>
                <w:szCs w:val="11"/>
                <w:b w:val="1"/>
                <w:bCs w:val="1"/>
                <w:color w:val="auto"/>
                <w:w w:val="97"/>
              </w:rPr>
              <w:t>2025</w:t>
            </w:r>
          </w:p>
        </w:tc>
        <w:tc>
          <w:tcPr>
            <w:tcW w:w="6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E0E7ED"/>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E0E7ED"/>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2024</w:t>
            </w:r>
          </w:p>
        </w:tc>
      </w:tr>
      <w:tr>
        <w:trPr>
          <w:trHeight w:val="169"/>
        </w:trPr>
        <w:tc>
          <w:tcPr>
            <w:tcW w:w="37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Net interest income (GAAP)</w:t>
            </w:r>
          </w:p>
        </w:tc>
        <w:tc>
          <w:tcPr>
            <w:tcW w:w="720" w:type="dxa"/>
            <w:vAlign w:val="bottom"/>
            <w:shd w:val="clear" w:color="auto" w:fill="E0E7ED"/>
          </w:tcPr>
          <w:p>
            <w:pPr>
              <w:ind w:left="20"/>
              <w:spacing w:after="0"/>
              <w:rPr>
                <w:sz w:val="20"/>
                <w:szCs w:val="20"/>
                <w:color w:val="auto"/>
              </w:rPr>
            </w:pPr>
            <w:r>
              <w:rPr>
                <w:rFonts w:ascii="Arial" w:cs="Arial" w:eastAsia="Arial" w:hAnsi="Arial"/>
                <w:sz w:val="12"/>
                <w:szCs w:val="12"/>
                <w:color w:val="auto"/>
              </w:rPr>
              <w:t>[a]</w:t>
            </w:r>
          </w:p>
        </w:tc>
        <w:tc>
          <w:tcPr>
            <w:tcW w:w="260" w:type="dxa"/>
            <w:vAlign w:val="bottom"/>
            <w:shd w:val="clear" w:color="auto" w:fill="E0E7ED"/>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153,183</w:t>
            </w:r>
          </w:p>
        </w:tc>
        <w:tc>
          <w:tcPr>
            <w:tcW w:w="80" w:type="dxa"/>
            <w:vAlign w:val="bottom"/>
            <w:shd w:val="clear" w:color="auto" w:fill="E0E7ED"/>
          </w:tcPr>
          <w:p>
            <w:pPr>
              <w:spacing w:after="0"/>
              <w:rPr>
                <w:sz w:val="14"/>
                <w:szCs w:val="14"/>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103,731</w:t>
            </w:r>
          </w:p>
        </w:tc>
        <w:tc>
          <w:tcPr>
            <w:tcW w:w="6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82,532</w:t>
            </w:r>
          </w:p>
        </w:tc>
        <w:tc>
          <w:tcPr>
            <w:tcW w:w="80" w:type="dxa"/>
            <w:vAlign w:val="bottom"/>
            <w:shd w:val="clear" w:color="auto" w:fill="E0E7ED"/>
          </w:tcPr>
          <w:p>
            <w:pPr>
              <w:spacing w:after="0"/>
              <w:rPr>
                <w:sz w:val="14"/>
                <w:szCs w:val="14"/>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256,914</w:t>
            </w:r>
          </w:p>
        </w:tc>
        <w:tc>
          <w:tcPr>
            <w:tcW w:w="80" w:type="dxa"/>
            <w:vAlign w:val="bottom"/>
            <w:shd w:val="clear" w:color="auto" w:fill="E0E7ED"/>
          </w:tcPr>
          <w:p>
            <w:pPr>
              <w:spacing w:after="0"/>
              <w:rPr>
                <w:sz w:val="14"/>
                <w:szCs w:val="14"/>
                <w:color w:val="auto"/>
              </w:rPr>
            </w:pPr>
          </w:p>
        </w:tc>
        <w:tc>
          <w:tcPr>
            <w:tcW w:w="440" w:type="dxa"/>
            <w:vAlign w:val="bottom"/>
            <w:shd w:val="clear" w:color="auto" w:fill="E0E7ED"/>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158,386</w:t>
            </w:r>
          </w:p>
        </w:tc>
      </w:tr>
      <w:tr>
        <w:trPr>
          <w:trHeight w:val="180"/>
        </w:trPr>
        <w:tc>
          <w:tcPr>
            <w:tcW w:w="37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Tax-equivalent adjustment</w:t>
            </w:r>
            <w:r>
              <w:rPr>
                <w:rFonts w:ascii="Arial" w:cs="Arial" w:eastAsia="Arial" w:hAnsi="Arial"/>
                <w:sz w:val="15"/>
                <w:szCs w:val="15"/>
                <w:color w:val="auto"/>
                <w:vertAlign w:val="superscript"/>
              </w:rPr>
              <w:t>1</w:t>
            </w:r>
          </w:p>
        </w:tc>
        <w:tc>
          <w:tcPr>
            <w:tcW w:w="72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791</w:t>
            </w:r>
          </w:p>
        </w:tc>
        <w:tc>
          <w:tcPr>
            <w:tcW w:w="80" w:type="dxa"/>
            <w:vAlign w:val="bottom"/>
            <w:tcBorders>
              <w:bottom w:val="single" w:sz="8" w:color="E0E7E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537</w:t>
            </w:r>
          </w:p>
        </w:tc>
        <w:tc>
          <w:tcPr>
            <w:tcW w:w="6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402</w:t>
            </w:r>
          </w:p>
        </w:tc>
        <w:tc>
          <w:tcPr>
            <w:tcW w:w="8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1,328</w:t>
            </w:r>
          </w:p>
        </w:tc>
        <w:tc>
          <w:tcPr>
            <w:tcW w:w="80" w:type="dxa"/>
            <w:vAlign w:val="bottom"/>
            <w:tcBorders>
              <w:bottom w:val="single" w:sz="8" w:color="E0E7ED"/>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851</w:t>
            </w:r>
          </w:p>
        </w:tc>
      </w:tr>
      <w:tr>
        <w:trPr>
          <w:trHeight w:val="161"/>
        </w:trPr>
        <w:tc>
          <w:tcPr>
            <w:tcW w:w="3700" w:type="dxa"/>
            <w:vAlign w:val="bottom"/>
            <w:shd w:val="clear" w:color="auto" w:fill="E0E7ED"/>
          </w:tcPr>
          <w:p>
            <w:pPr>
              <w:spacing w:after="0"/>
              <w:rPr>
                <w:sz w:val="20"/>
                <w:szCs w:val="20"/>
                <w:color w:val="auto"/>
              </w:rPr>
            </w:pPr>
            <w:r>
              <w:rPr>
                <w:rFonts w:ascii="Arial" w:cs="Arial" w:eastAsia="Arial" w:hAnsi="Arial"/>
                <w:sz w:val="12"/>
                <w:szCs w:val="12"/>
                <w:color w:val="auto"/>
              </w:rPr>
              <w:t>Tax-equivalent net interest income (Non-GAAP)</w:t>
            </w:r>
          </w:p>
        </w:tc>
        <w:tc>
          <w:tcPr>
            <w:tcW w:w="720" w:type="dxa"/>
            <w:vAlign w:val="bottom"/>
            <w:shd w:val="clear" w:color="auto" w:fill="E0E7ED"/>
          </w:tcPr>
          <w:p>
            <w:pPr>
              <w:ind w:left="20"/>
              <w:spacing w:after="0"/>
              <w:rPr>
                <w:sz w:val="20"/>
                <w:szCs w:val="20"/>
                <w:color w:val="auto"/>
              </w:rPr>
            </w:pPr>
            <w:r>
              <w:rPr>
                <w:rFonts w:ascii="Arial" w:cs="Arial" w:eastAsia="Arial" w:hAnsi="Arial"/>
                <w:sz w:val="12"/>
                <w:szCs w:val="12"/>
                <w:color w:val="auto"/>
              </w:rPr>
              <w:t>[b]</w:t>
            </w:r>
          </w:p>
        </w:tc>
        <w:tc>
          <w:tcPr>
            <w:tcW w:w="260" w:type="dxa"/>
            <w:vAlign w:val="bottom"/>
            <w:tcBorders>
              <w:bottom w:val="single" w:sz="8" w:color="auto"/>
            </w:tcBorders>
            <w:shd w:val="clear" w:color="auto" w:fill="E0E7ED"/>
          </w:tcPr>
          <w:p>
            <w:pPr>
              <w:spacing w:after="0"/>
              <w:rPr>
                <w:sz w:val="14"/>
                <w:szCs w:val="14"/>
                <w:color w:val="auto"/>
              </w:rPr>
            </w:pPr>
          </w:p>
        </w:tc>
        <w:tc>
          <w:tcPr>
            <w:tcW w:w="104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153,974</w:t>
            </w:r>
          </w:p>
        </w:tc>
        <w:tc>
          <w:tcPr>
            <w:tcW w:w="80" w:type="dxa"/>
            <w:vAlign w:val="bottom"/>
            <w:shd w:val="clear" w:color="auto" w:fill="E0E7ED"/>
          </w:tcPr>
          <w:p>
            <w:pPr>
              <w:spacing w:after="0"/>
              <w:rPr>
                <w:sz w:val="14"/>
                <w:szCs w:val="14"/>
                <w:color w:val="auto"/>
              </w:rPr>
            </w:pPr>
          </w:p>
        </w:tc>
        <w:tc>
          <w:tcPr>
            <w:tcW w:w="100" w:type="dxa"/>
            <w:vAlign w:val="bottom"/>
            <w:tcBorders>
              <w:bottom w:val="single" w:sz="8" w:color="auto"/>
            </w:tcBorders>
            <w:shd w:val="clear" w:color="auto" w:fill="E0E7ED"/>
          </w:tcPr>
          <w:p>
            <w:pPr>
              <w:spacing w:after="0"/>
              <w:rPr>
                <w:sz w:val="14"/>
                <w:szCs w:val="14"/>
                <w:color w:val="auto"/>
              </w:rPr>
            </w:pPr>
          </w:p>
        </w:tc>
        <w:tc>
          <w:tcPr>
            <w:tcW w:w="122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104,268</w:t>
            </w:r>
          </w:p>
        </w:tc>
        <w:tc>
          <w:tcPr>
            <w:tcW w:w="60" w:type="dxa"/>
            <w:vAlign w:val="bottom"/>
            <w:shd w:val="clear" w:color="auto" w:fill="E0E7ED"/>
          </w:tcPr>
          <w:p>
            <w:pPr>
              <w:spacing w:after="0"/>
              <w:rPr>
                <w:sz w:val="14"/>
                <w:szCs w:val="14"/>
                <w:color w:val="auto"/>
              </w:rPr>
            </w:pPr>
          </w:p>
        </w:tc>
        <w:tc>
          <w:tcPr>
            <w:tcW w:w="260" w:type="dxa"/>
            <w:vAlign w:val="bottom"/>
            <w:tcBorders>
              <w:bottom w:val="single" w:sz="8" w:color="auto"/>
            </w:tcBorders>
            <w:shd w:val="clear" w:color="auto" w:fill="E0E7ED"/>
          </w:tcPr>
          <w:p>
            <w:pPr>
              <w:spacing w:after="0"/>
              <w:rPr>
                <w:sz w:val="14"/>
                <w:szCs w:val="14"/>
                <w:color w:val="auto"/>
              </w:rPr>
            </w:pPr>
          </w:p>
        </w:tc>
        <w:tc>
          <w:tcPr>
            <w:tcW w:w="106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82,934</w:t>
            </w:r>
          </w:p>
        </w:tc>
        <w:tc>
          <w:tcPr>
            <w:tcW w:w="80" w:type="dxa"/>
            <w:vAlign w:val="bottom"/>
            <w:shd w:val="clear" w:color="auto" w:fill="E0E7ED"/>
          </w:tcPr>
          <w:p>
            <w:pPr>
              <w:spacing w:after="0"/>
              <w:rPr>
                <w:sz w:val="14"/>
                <w:szCs w:val="14"/>
                <w:color w:val="auto"/>
              </w:rPr>
            </w:pPr>
          </w:p>
        </w:tc>
        <w:tc>
          <w:tcPr>
            <w:tcW w:w="260" w:type="dxa"/>
            <w:vAlign w:val="bottom"/>
            <w:tcBorders>
              <w:bottom w:val="single" w:sz="8" w:color="auto"/>
            </w:tcBorders>
            <w:shd w:val="clear" w:color="auto" w:fill="E0E7ED"/>
          </w:tcPr>
          <w:p>
            <w:pPr>
              <w:spacing w:after="0"/>
              <w:rPr>
                <w:sz w:val="14"/>
                <w:szCs w:val="14"/>
                <w:color w:val="auto"/>
              </w:rPr>
            </w:pPr>
          </w:p>
        </w:tc>
        <w:tc>
          <w:tcPr>
            <w:tcW w:w="1060" w:type="dxa"/>
            <w:vAlign w:val="bottom"/>
            <w:tcBorders>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258,242</w:t>
            </w:r>
          </w:p>
        </w:tc>
        <w:tc>
          <w:tcPr>
            <w:tcW w:w="80" w:type="dxa"/>
            <w:vAlign w:val="bottom"/>
            <w:shd w:val="clear" w:color="auto" w:fill="E0E7ED"/>
          </w:tcPr>
          <w:p>
            <w:pPr>
              <w:spacing w:after="0"/>
              <w:rPr>
                <w:sz w:val="14"/>
                <w:szCs w:val="14"/>
                <w:color w:val="auto"/>
              </w:rPr>
            </w:pPr>
          </w:p>
        </w:tc>
        <w:tc>
          <w:tcPr>
            <w:tcW w:w="440" w:type="dxa"/>
            <w:vAlign w:val="bottom"/>
            <w:tcBorders>
              <w:bottom w:val="single" w:sz="8" w:color="auto"/>
            </w:tcBorders>
            <w:shd w:val="clear" w:color="auto" w:fill="E0E7ED"/>
          </w:tcPr>
          <w:p>
            <w:pPr>
              <w:spacing w:after="0"/>
              <w:rPr>
                <w:sz w:val="14"/>
                <w:szCs w:val="14"/>
                <w:color w:val="auto"/>
              </w:rPr>
            </w:pPr>
          </w:p>
        </w:tc>
        <w:tc>
          <w:tcPr>
            <w:tcW w:w="880" w:type="dxa"/>
            <w:vAlign w:val="bottom"/>
            <w:tcBorders>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159,237</w:t>
            </w:r>
          </w:p>
        </w:tc>
      </w:tr>
      <w:tr>
        <w:trPr>
          <w:trHeight w:val="168"/>
        </w:trPr>
        <w:tc>
          <w:tcPr>
            <w:tcW w:w="3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3700" w:type="dxa"/>
            <w:vAlign w:val="bottom"/>
            <w:shd w:val="clear" w:color="auto" w:fill="E0E7ED"/>
          </w:tcPr>
          <w:p>
            <w:pPr>
              <w:spacing w:after="0"/>
              <w:rPr>
                <w:sz w:val="20"/>
                <w:szCs w:val="20"/>
                <w:color w:val="auto"/>
              </w:rPr>
            </w:pPr>
            <w:r>
              <w:rPr>
                <w:rFonts w:ascii="Arial" w:cs="Arial" w:eastAsia="Arial" w:hAnsi="Arial"/>
                <w:sz w:val="12"/>
                <w:szCs w:val="12"/>
                <w:b w:val="1"/>
                <w:bCs w:val="1"/>
                <w:color w:val="auto"/>
              </w:rPr>
              <w:t>Total noninterest income (GAAP)</w:t>
            </w:r>
          </w:p>
        </w:tc>
        <w:tc>
          <w:tcPr>
            <w:tcW w:w="72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44,863</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21,223</w:t>
            </w:r>
          </w:p>
        </w:tc>
        <w:tc>
          <w:tcPr>
            <w:tcW w:w="6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33,703</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66,086</w:t>
            </w: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68,616</w:t>
            </w:r>
          </w:p>
        </w:tc>
      </w:tr>
      <w:tr>
        <w:trPr>
          <w:trHeight w:val="172"/>
        </w:trPr>
        <w:tc>
          <w:tcPr>
            <w:tcW w:w="3700" w:type="dxa"/>
            <w:vAlign w:val="bottom"/>
            <w:tcBorders>
              <w:bottom w:val="single" w:sz="8" w:color="E0E7ED"/>
            </w:tcBorders>
          </w:tcPr>
          <w:p>
            <w:pPr>
              <w:ind w:left="120"/>
              <w:spacing w:after="0"/>
              <w:rPr>
                <w:sz w:val="20"/>
                <w:szCs w:val="20"/>
                <w:color w:val="auto"/>
              </w:rPr>
            </w:pPr>
            <w:r>
              <w:rPr>
                <w:rFonts w:ascii="Arial" w:cs="Arial" w:eastAsia="Arial" w:hAnsi="Arial"/>
                <w:sz w:val="12"/>
                <w:szCs w:val="12"/>
                <w:color w:val="auto"/>
              </w:rPr>
              <w:t>Net security (gains) losses</w:t>
            </w:r>
          </w:p>
        </w:tc>
        <w:tc>
          <w:tcPr>
            <w:tcW w:w="72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(5,997)</w:t>
            </w:r>
          </w:p>
        </w:tc>
        <w:tc>
          <w:tcPr>
            <w:tcW w:w="80" w:type="dxa"/>
            <w:vAlign w:val="bottom"/>
            <w:tcBorders>
              <w:bottom w:val="single" w:sz="8" w:color="E0E7ED"/>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15,768</w:t>
            </w:r>
          </w:p>
        </w:tc>
        <w:tc>
          <w:tcPr>
            <w:tcW w:w="6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353</w:t>
            </w:r>
          </w:p>
        </w:tc>
        <w:tc>
          <w:tcPr>
            <w:tcW w:w="80" w:type="dxa"/>
            <w:vAlign w:val="bottom"/>
            <w:tcBorders>
              <w:bottom w:val="single" w:sz="8" w:color="E0E7ED"/>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9,771</w:t>
            </w:r>
          </w:p>
        </w:tc>
        <w:tc>
          <w:tcPr>
            <w:tcW w:w="80" w:type="dxa"/>
            <w:vAlign w:val="bottom"/>
            <w:tcBorders>
              <w:bottom w:val="single" w:sz="8" w:color="E0E7ED"/>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6,728</w:t>
            </w:r>
          </w:p>
        </w:tc>
      </w:tr>
      <w:tr>
        <w:trPr>
          <w:trHeight w:val="137"/>
        </w:trPr>
        <w:tc>
          <w:tcPr>
            <w:tcW w:w="3700" w:type="dxa"/>
            <w:vAlign w:val="bottom"/>
            <w:shd w:val="clear" w:color="auto" w:fill="E0E7ED"/>
          </w:tcPr>
          <w:p>
            <w:pPr>
              <w:ind w:left="120"/>
              <w:spacing w:after="0"/>
              <w:rPr>
                <w:sz w:val="20"/>
                <w:szCs w:val="20"/>
                <w:color w:val="auto"/>
              </w:rPr>
            </w:pPr>
            <w:r>
              <w:rPr>
                <w:rFonts w:ascii="Arial" w:cs="Arial" w:eastAsia="Arial" w:hAnsi="Arial"/>
                <w:sz w:val="12"/>
                <w:szCs w:val="12"/>
                <w:color w:val="auto"/>
                <w:w w:val="99"/>
              </w:rPr>
              <w:t>Noninterest income excluding net securities gains and losses (Non-</w:t>
            </w:r>
          </w:p>
        </w:tc>
        <w:tc>
          <w:tcPr>
            <w:tcW w:w="720" w:type="dxa"/>
            <w:vAlign w:val="bottom"/>
            <w:shd w:val="clear" w:color="auto" w:fill="E0E7ED"/>
          </w:tcPr>
          <w:p>
            <w:pPr>
              <w:spacing w:after="0"/>
              <w:rPr>
                <w:sz w:val="11"/>
                <w:szCs w:val="11"/>
                <w:color w:val="auto"/>
              </w:rPr>
            </w:pPr>
          </w:p>
        </w:tc>
        <w:tc>
          <w:tcPr>
            <w:tcW w:w="260" w:type="dxa"/>
            <w:vAlign w:val="bottom"/>
            <w:shd w:val="clear" w:color="auto" w:fill="E0E7ED"/>
          </w:tcPr>
          <w:p>
            <w:pPr>
              <w:spacing w:after="0"/>
              <w:rPr>
                <w:sz w:val="11"/>
                <w:szCs w:val="11"/>
                <w:color w:val="auto"/>
              </w:rPr>
            </w:pPr>
          </w:p>
        </w:tc>
        <w:tc>
          <w:tcPr>
            <w:tcW w:w="104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1220" w:type="dxa"/>
            <w:vAlign w:val="bottom"/>
            <w:shd w:val="clear" w:color="auto" w:fill="E0E7ED"/>
          </w:tcPr>
          <w:p>
            <w:pPr>
              <w:spacing w:after="0"/>
              <w:rPr>
                <w:sz w:val="11"/>
                <w:szCs w:val="11"/>
                <w:color w:val="auto"/>
              </w:rPr>
            </w:pPr>
          </w:p>
        </w:tc>
        <w:tc>
          <w:tcPr>
            <w:tcW w:w="60" w:type="dxa"/>
            <w:vAlign w:val="bottom"/>
            <w:shd w:val="clear" w:color="auto" w:fill="E0E7ED"/>
          </w:tcPr>
          <w:p>
            <w:pPr>
              <w:spacing w:after="0"/>
              <w:rPr>
                <w:sz w:val="11"/>
                <w:szCs w:val="11"/>
                <w:color w:val="auto"/>
              </w:rPr>
            </w:pPr>
          </w:p>
        </w:tc>
        <w:tc>
          <w:tcPr>
            <w:tcW w:w="260" w:type="dxa"/>
            <w:vAlign w:val="bottom"/>
            <w:shd w:val="clear" w:color="auto" w:fill="E0E7ED"/>
          </w:tcPr>
          <w:p>
            <w:pPr>
              <w:spacing w:after="0"/>
              <w:rPr>
                <w:sz w:val="11"/>
                <w:szCs w:val="11"/>
                <w:color w:val="auto"/>
              </w:rPr>
            </w:pPr>
          </w:p>
        </w:tc>
        <w:tc>
          <w:tcPr>
            <w:tcW w:w="106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260" w:type="dxa"/>
            <w:vAlign w:val="bottom"/>
            <w:shd w:val="clear" w:color="auto" w:fill="E0E7ED"/>
          </w:tcPr>
          <w:p>
            <w:pPr>
              <w:spacing w:after="0"/>
              <w:rPr>
                <w:sz w:val="11"/>
                <w:szCs w:val="11"/>
                <w:color w:val="auto"/>
              </w:rPr>
            </w:pPr>
          </w:p>
        </w:tc>
        <w:tc>
          <w:tcPr>
            <w:tcW w:w="1060" w:type="dxa"/>
            <w:vAlign w:val="bottom"/>
            <w:shd w:val="clear" w:color="auto" w:fill="E0E7ED"/>
          </w:tcPr>
          <w:p>
            <w:pPr>
              <w:spacing w:after="0"/>
              <w:rPr>
                <w:sz w:val="11"/>
                <w:szCs w:val="11"/>
                <w:color w:val="auto"/>
              </w:rPr>
            </w:pPr>
          </w:p>
        </w:tc>
        <w:tc>
          <w:tcPr>
            <w:tcW w:w="80" w:type="dxa"/>
            <w:vAlign w:val="bottom"/>
            <w:shd w:val="clear" w:color="auto" w:fill="E0E7ED"/>
          </w:tcPr>
          <w:p>
            <w:pPr>
              <w:spacing w:after="0"/>
              <w:rPr>
                <w:sz w:val="11"/>
                <w:szCs w:val="11"/>
                <w:color w:val="auto"/>
              </w:rPr>
            </w:pPr>
          </w:p>
        </w:tc>
        <w:tc>
          <w:tcPr>
            <w:tcW w:w="440" w:type="dxa"/>
            <w:vAlign w:val="bottom"/>
            <w:shd w:val="clear" w:color="auto" w:fill="E0E7ED"/>
          </w:tcPr>
          <w:p>
            <w:pPr>
              <w:spacing w:after="0"/>
              <w:rPr>
                <w:sz w:val="11"/>
                <w:szCs w:val="11"/>
                <w:color w:val="auto"/>
              </w:rPr>
            </w:pPr>
          </w:p>
        </w:tc>
        <w:tc>
          <w:tcPr>
            <w:tcW w:w="880" w:type="dxa"/>
            <w:vAlign w:val="bottom"/>
            <w:shd w:val="clear" w:color="auto" w:fill="E0E7ED"/>
          </w:tcPr>
          <w:p>
            <w:pPr>
              <w:spacing w:after="0"/>
              <w:rPr>
                <w:sz w:val="11"/>
                <w:szCs w:val="11"/>
                <w:color w:val="auto"/>
              </w:rPr>
            </w:pPr>
          </w:p>
        </w:tc>
      </w:tr>
      <w:tr>
        <w:trPr>
          <w:trHeight w:val="175"/>
        </w:trPr>
        <w:tc>
          <w:tcPr>
            <w:tcW w:w="3700" w:type="dxa"/>
            <w:vAlign w:val="bottom"/>
            <w:shd w:val="clear" w:color="auto" w:fill="E0E7ED"/>
          </w:tcPr>
          <w:p>
            <w:pPr>
              <w:ind w:left="120"/>
              <w:spacing w:after="0"/>
              <w:rPr>
                <w:sz w:val="20"/>
                <w:szCs w:val="20"/>
                <w:color w:val="auto"/>
              </w:rPr>
            </w:pPr>
            <w:r>
              <w:rPr>
                <w:rFonts w:ascii="Arial" w:cs="Arial" w:eastAsia="Arial" w:hAnsi="Arial"/>
                <w:sz w:val="12"/>
                <w:szCs w:val="12"/>
                <w:color w:val="auto"/>
              </w:rPr>
              <w:t>GAAP)</w:t>
            </w:r>
          </w:p>
        </w:tc>
        <w:tc>
          <w:tcPr>
            <w:tcW w:w="720" w:type="dxa"/>
            <w:vAlign w:val="bottom"/>
            <w:shd w:val="clear" w:color="auto" w:fill="E0E7ED"/>
          </w:tcPr>
          <w:p>
            <w:pPr>
              <w:ind w:left="20"/>
              <w:spacing w:after="0"/>
              <w:rPr>
                <w:sz w:val="20"/>
                <w:szCs w:val="20"/>
                <w:color w:val="auto"/>
              </w:rPr>
            </w:pPr>
            <w:r>
              <w:rPr>
                <w:rFonts w:ascii="Arial" w:cs="Arial" w:eastAsia="Arial" w:hAnsi="Arial"/>
                <w:sz w:val="12"/>
                <w:szCs w:val="12"/>
                <w:color w:val="auto"/>
              </w:rPr>
              <w:t>[c]</w:t>
            </w:r>
          </w:p>
        </w:tc>
        <w:tc>
          <w:tcPr>
            <w:tcW w:w="260" w:type="dxa"/>
            <w:vAlign w:val="bottom"/>
            <w:shd w:val="clear" w:color="auto" w:fill="E0E7ED"/>
          </w:tcPr>
          <w:p>
            <w:pPr>
              <w:spacing w:after="0"/>
              <w:rPr>
                <w:sz w:val="15"/>
                <w:szCs w:val="15"/>
                <w:color w:val="auto"/>
              </w:rPr>
            </w:pPr>
          </w:p>
        </w:tc>
        <w:tc>
          <w:tcPr>
            <w:tcW w:w="10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38,866</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36,991</w:t>
            </w:r>
          </w:p>
        </w:tc>
        <w:tc>
          <w:tcPr>
            <w:tcW w:w="6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34,056</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75,857</w:t>
            </w: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spacing w:after="0"/>
              <w:rPr>
                <w:sz w:val="15"/>
                <w:szCs w:val="15"/>
                <w:color w:val="auto"/>
              </w:rPr>
            </w:pP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75,344</w:t>
            </w:r>
          </w:p>
        </w:tc>
      </w:tr>
      <w:tr>
        <w:trPr>
          <w:trHeight w:val="172"/>
        </w:trPr>
        <w:tc>
          <w:tcPr>
            <w:tcW w:w="3700" w:type="dxa"/>
            <w:vAlign w:val="bottom"/>
          </w:tcPr>
          <w:p>
            <w:pPr>
              <w:ind w:left="120"/>
              <w:spacing w:after="0"/>
              <w:rPr>
                <w:sz w:val="20"/>
                <w:szCs w:val="20"/>
                <w:color w:val="auto"/>
              </w:rPr>
            </w:pPr>
            <w:r>
              <w:rPr>
                <w:rFonts w:ascii="Arial" w:cs="Arial" w:eastAsia="Arial" w:hAnsi="Arial"/>
                <w:sz w:val="12"/>
                <w:szCs w:val="12"/>
                <w:color w:val="auto"/>
              </w:rPr>
              <w:t>Realized net (gains) losses on the sale of mortgage service rights</w:t>
            </w: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4"/>
                <w:szCs w:val="14"/>
                <w:color w:val="auto"/>
              </w:rPr>
            </w:pPr>
          </w:p>
        </w:tc>
        <w:tc>
          <w:tcPr>
            <w:tcW w:w="1060" w:type="dxa"/>
            <w:vAlign w:val="bottom"/>
          </w:tcPr>
          <w:p>
            <w:pPr>
              <w:jc w:val="right"/>
              <w:ind w:right="61"/>
              <w:spacing w:after="0"/>
              <w:rPr>
                <w:sz w:val="20"/>
                <w:szCs w:val="20"/>
                <w:color w:val="auto"/>
              </w:rPr>
            </w:pPr>
            <w:r>
              <w:rPr>
                <w:rFonts w:ascii="Arial" w:cs="Arial" w:eastAsia="Arial" w:hAnsi="Arial"/>
                <w:sz w:val="12"/>
                <w:szCs w:val="12"/>
                <w:color w:val="auto"/>
              </w:rPr>
              <w:t>(277)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Arial" w:cs="Arial" w:eastAsia="Arial" w:hAnsi="Arial"/>
                <w:sz w:val="12"/>
                <w:szCs w:val="12"/>
                <w:color w:val="auto"/>
              </w:rPr>
              <w:t>(7,742)</w:t>
            </w:r>
          </w:p>
        </w:tc>
      </w:tr>
      <w:tr>
        <w:trPr>
          <w:trHeight w:val="193"/>
        </w:trPr>
        <w:tc>
          <w:tcPr>
            <w:tcW w:w="3700" w:type="dxa"/>
            <w:vAlign w:val="bottom"/>
            <w:tcBorders>
              <w:top w:val="single" w:sz="8" w:color="E0E7ED"/>
              <w:bottom w:val="single" w:sz="8" w:color="E0E7ED"/>
            </w:tcBorders>
            <w:shd w:val="clear" w:color="auto" w:fill="E0E7ED"/>
          </w:tcPr>
          <w:p>
            <w:pPr>
              <w:spacing w:after="0"/>
              <w:rPr>
                <w:sz w:val="20"/>
                <w:szCs w:val="20"/>
                <w:color w:val="auto"/>
              </w:rPr>
            </w:pPr>
            <w:r>
              <w:rPr>
                <w:rFonts w:ascii="Arial" w:cs="Arial" w:eastAsia="Arial" w:hAnsi="Arial"/>
                <w:sz w:val="12"/>
                <w:szCs w:val="12"/>
                <w:color w:val="auto"/>
              </w:rPr>
              <w:t>Adjusted noninterest income (Non-GAAP)</w:t>
            </w:r>
          </w:p>
        </w:tc>
        <w:tc>
          <w:tcPr>
            <w:tcW w:w="72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2"/>
                <w:szCs w:val="12"/>
                <w:color w:val="auto"/>
              </w:rPr>
              <w:t>[d]</w:t>
            </w:r>
          </w:p>
        </w:tc>
        <w:tc>
          <w:tcPr>
            <w:tcW w:w="260" w:type="dxa"/>
            <w:vAlign w:val="bottom"/>
            <w:tcBorders>
              <w:top w:val="single" w:sz="8" w:color="auto"/>
              <w:bottom w:val="single" w:sz="8" w:color="auto"/>
            </w:tcBorders>
            <w:shd w:val="clear" w:color="auto" w:fill="E0E7ED"/>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38,866</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1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top w:val="single" w:sz="8" w:color="auto"/>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36,991</w:t>
            </w:r>
          </w:p>
        </w:tc>
        <w:tc>
          <w:tcPr>
            <w:tcW w:w="60" w:type="dxa"/>
            <w:vAlign w:val="bottom"/>
            <w:tcBorders>
              <w:top w:val="single" w:sz="8" w:color="E0E7ED"/>
              <w:bottom w:val="single" w:sz="8" w:color="E0E7ED"/>
            </w:tcBorders>
            <w:shd w:val="clear" w:color="auto" w:fill="E0E7ED"/>
          </w:tcPr>
          <w:p>
            <w:pPr>
              <w:spacing w:after="0"/>
              <w:rPr>
                <w:sz w:val="16"/>
                <w:szCs w:val="16"/>
                <w:color w:val="auto"/>
              </w:rPr>
            </w:pPr>
          </w:p>
        </w:tc>
        <w:tc>
          <w:tcPr>
            <w:tcW w:w="260" w:type="dxa"/>
            <w:vAlign w:val="bottom"/>
            <w:tcBorders>
              <w:top w:val="single" w:sz="8" w:color="auto"/>
              <w:bottom w:val="single" w:sz="8" w:color="auto"/>
            </w:tcBorders>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33,779</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260" w:type="dxa"/>
            <w:vAlign w:val="bottom"/>
            <w:tcBorders>
              <w:top w:val="single" w:sz="8" w:color="auto"/>
              <w:bottom w:val="single" w:sz="8" w:color="auto"/>
            </w:tcBorders>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E0E7ED"/>
          </w:tcPr>
          <w:p>
            <w:pPr>
              <w:jc w:val="right"/>
              <w:ind w:right="102"/>
              <w:spacing w:after="0"/>
              <w:rPr>
                <w:sz w:val="20"/>
                <w:szCs w:val="20"/>
                <w:color w:val="auto"/>
              </w:rPr>
            </w:pPr>
            <w:r>
              <w:rPr>
                <w:rFonts w:ascii="Arial" w:cs="Arial" w:eastAsia="Arial" w:hAnsi="Arial"/>
                <w:sz w:val="12"/>
                <w:szCs w:val="12"/>
                <w:color w:val="auto"/>
              </w:rPr>
              <w:t>75,857</w:t>
            </w:r>
          </w:p>
        </w:tc>
        <w:tc>
          <w:tcPr>
            <w:tcW w:w="80" w:type="dxa"/>
            <w:vAlign w:val="bottom"/>
            <w:tcBorders>
              <w:top w:val="single" w:sz="8" w:color="E0E7ED"/>
              <w:bottom w:val="single" w:sz="8" w:color="E0E7ED"/>
            </w:tcBorders>
            <w:shd w:val="clear" w:color="auto" w:fill="E0E7ED"/>
          </w:tcPr>
          <w:p>
            <w:pPr>
              <w:spacing w:after="0"/>
              <w:rPr>
                <w:sz w:val="16"/>
                <w:szCs w:val="16"/>
                <w:color w:val="auto"/>
              </w:rPr>
            </w:pPr>
          </w:p>
        </w:tc>
        <w:tc>
          <w:tcPr>
            <w:tcW w:w="440" w:type="dxa"/>
            <w:vAlign w:val="bottom"/>
            <w:tcBorders>
              <w:top w:val="single" w:sz="8" w:color="auto"/>
              <w:bottom w:val="single" w:sz="8" w:color="auto"/>
            </w:tcBorders>
            <w:shd w:val="clear" w:color="auto" w:fill="E0E7ED"/>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bottom w:val="single" w:sz="8" w:color="auto"/>
            </w:tcBorders>
            <w:shd w:val="clear" w:color="auto" w:fill="E0E7ED"/>
          </w:tcPr>
          <w:p>
            <w:pPr>
              <w:jc w:val="right"/>
              <w:ind w:right="101"/>
              <w:spacing w:after="0"/>
              <w:rPr>
                <w:sz w:val="20"/>
                <w:szCs w:val="20"/>
                <w:color w:val="auto"/>
              </w:rPr>
            </w:pPr>
            <w:r>
              <w:rPr>
                <w:rFonts w:ascii="Arial" w:cs="Arial" w:eastAsia="Arial" w:hAnsi="Arial"/>
                <w:sz w:val="12"/>
                <w:szCs w:val="12"/>
                <w:color w:val="auto"/>
              </w:rPr>
              <w:t>67,602</w:t>
            </w:r>
          </w:p>
        </w:tc>
      </w:tr>
      <w:tr>
        <w:trPr>
          <w:trHeight w:val="162"/>
        </w:trPr>
        <w:tc>
          <w:tcPr>
            <w:tcW w:w="3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0"/>
        </w:trPr>
        <w:tc>
          <w:tcPr>
            <w:tcW w:w="3700" w:type="dxa"/>
            <w:vAlign w:val="bottom"/>
            <w:shd w:val="clear" w:color="auto" w:fill="E0E7ED"/>
          </w:tcPr>
          <w:p>
            <w:pPr>
              <w:spacing w:after="0"/>
              <w:rPr>
                <w:sz w:val="20"/>
                <w:szCs w:val="20"/>
                <w:color w:val="auto"/>
              </w:rPr>
            </w:pPr>
            <w:r>
              <w:rPr>
                <w:rFonts w:ascii="Arial" w:cs="Arial" w:eastAsia="Arial" w:hAnsi="Arial"/>
                <w:sz w:val="12"/>
                <w:szCs w:val="12"/>
                <w:color w:val="auto"/>
              </w:rPr>
              <w:t>Tax-equivalent revenue (Non-GAAP)</w:t>
            </w:r>
          </w:p>
        </w:tc>
        <w:tc>
          <w:tcPr>
            <w:tcW w:w="720" w:type="dxa"/>
            <w:vAlign w:val="bottom"/>
            <w:shd w:val="clear" w:color="auto" w:fill="E0E7ED"/>
          </w:tcPr>
          <w:p>
            <w:pPr>
              <w:ind w:left="20"/>
              <w:spacing w:after="0"/>
              <w:rPr>
                <w:sz w:val="20"/>
                <w:szCs w:val="20"/>
                <w:color w:val="auto"/>
              </w:rPr>
            </w:pPr>
            <w:r>
              <w:rPr>
                <w:rFonts w:ascii="Arial" w:cs="Arial" w:eastAsia="Arial" w:hAnsi="Arial"/>
                <w:sz w:val="12"/>
                <w:szCs w:val="12"/>
                <w:color w:val="auto"/>
              </w:rPr>
              <w:t>[e = b+c]</w:t>
            </w:r>
          </w:p>
        </w:tc>
        <w:tc>
          <w:tcPr>
            <w:tcW w:w="260" w:type="dxa"/>
            <w:vAlign w:val="bottom"/>
            <w:shd w:val="clear" w:color="auto" w:fill="E0E7ED"/>
          </w:tcPr>
          <w:p>
            <w:pPr>
              <w:jc w:val="right"/>
              <w:ind w:right="15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192,840</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141,259</w:t>
            </w:r>
          </w:p>
        </w:tc>
        <w:tc>
          <w:tcPr>
            <w:tcW w:w="60" w:type="dxa"/>
            <w:vAlign w:val="bottom"/>
            <w:shd w:val="clear" w:color="auto" w:fill="E0E7ED"/>
          </w:tcPr>
          <w:p>
            <w:pPr>
              <w:spacing w:after="0"/>
              <w:rPr>
                <w:sz w:val="15"/>
                <w:szCs w:val="15"/>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116,990</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jc w:val="right"/>
              <w:ind w:right="12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334,099</w:t>
            </w: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234,581</w:t>
            </w:r>
          </w:p>
        </w:tc>
      </w:tr>
      <w:tr>
        <w:trPr>
          <w:trHeight w:val="172"/>
        </w:trPr>
        <w:tc>
          <w:tcPr>
            <w:tcW w:w="3700" w:type="dxa"/>
            <w:vAlign w:val="bottom"/>
          </w:tcPr>
          <w:p>
            <w:pPr>
              <w:spacing w:after="0"/>
              <w:rPr>
                <w:sz w:val="20"/>
                <w:szCs w:val="20"/>
                <w:color w:val="auto"/>
              </w:rPr>
            </w:pPr>
            <w:r>
              <w:rPr>
                <w:rFonts w:ascii="Arial" w:cs="Arial" w:eastAsia="Arial" w:hAnsi="Arial"/>
                <w:sz w:val="12"/>
                <w:szCs w:val="12"/>
                <w:color w:val="auto"/>
              </w:rPr>
              <w:t>Adjusted tax-equivalent revenue (Non-GAAP)</w:t>
            </w:r>
          </w:p>
        </w:tc>
        <w:tc>
          <w:tcPr>
            <w:tcW w:w="720" w:type="dxa"/>
            <w:vAlign w:val="bottom"/>
          </w:tcPr>
          <w:p>
            <w:pPr>
              <w:ind w:left="20"/>
              <w:spacing w:after="0"/>
              <w:rPr>
                <w:sz w:val="20"/>
                <w:szCs w:val="20"/>
                <w:color w:val="auto"/>
              </w:rPr>
            </w:pPr>
            <w:r>
              <w:rPr>
                <w:rFonts w:ascii="Arial" w:cs="Arial" w:eastAsia="Arial" w:hAnsi="Arial"/>
                <w:sz w:val="12"/>
                <w:szCs w:val="12"/>
                <w:color w:val="auto"/>
              </w:rPr>
              <w:t>[f = b+d]</w:t>
            </w:r>
          </w:p>
        </w:tc>
        <w:tc>
          <w:tcPr>
            <w:tcW w:w="260" w:type="dxa"/>
            <w:vAlign w:val="bottom"/>
          </w:tcPr>
          <w:p>
            <w:pPr>
              <w:spacing w:after="0"/>
              <w:rPr>
                <w:sz w:val="14"/>
                <w:szCs w:val="14"/>
                <w:color w:val="auto"/>
              </w:rPr>
            </w:pPr>
          </w:p>
        </w:tc>
        <w:tc>
          <w:tcPr>
            <w:tcW w:w="1040" w:type="dxa"/>
            <w:vAlign w:val="bottom"/>
          </w:tcPr>
          <w:p>
            <w:pPr>
              <w:jc w:val="right"/>
              <w:ind w:right="101"/>
              <w:spacing w:after="0"/>
              <w:rPr>
                <w:sz w:val="20"/>
                <w:szCs w:val="20"/>
                <w:color w:val="auto"/>
              </w:rPr>
            </w:pPr>
            <w:r>
              <w:rPr>
                <w:rFonts w:ascii="Arial" w:cs="Arial" w:eastAsia="Arial" w:hAnsi="Arial"/>
                <w:sz w:val="12"/>
                <w:szCs w:val="12"/>
                <w:color w:val="auto"/>
              </w:rPr>
              <w:t>192,840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102"/>
              <w:spacing w:after="0"/>
              <w:rPr>
                <w:sz w:val="20"/>
                <w:szCs w:val="20"/>
                <w:color w:val="auto"/>
              </w:rPr>
            </w:pPr>
            <w:r>
              <w:rPr>
                <w:rFonts w:ascii="Arial" w:cs="Arial" w:eastAsia="Arial" w:hAnsi="Arial"/>
                <w:sz w:val="12"/>
                <w:szCs w:val="12"/>
                <w:color w:val="auto"/>
              </w:rPr>
              <w:t>141,259</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1"/>
              <w:spacing w:after="0"/>
              <w:rPr>
                <w:sz w:val="20"/>
                <w:szCs w:val="20"/>
                <w:color w:val="auto"/>
              </w:rPr>
            </w:pPr>
            <w:r>
              <w:rPr>
                <w:rFonts w:ascii="Arial" w:cs="Arial" w:eastAsia="Arial" w:hAnsi="Arial"/>
                <w:sz w:val="12"/>
                <w:szCs w:val="12"/>
                <w:color w:val="auto"/>
              </w:rPr>
              <w:t>116,713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2"/>
              <w:spacing w:after="0"/>
              <w:rPr>
                <w:sz w:val="20"/>
                <w:szCs w:val="20"/>
                <w:color w:val="auto"/>
              </w:rPr>
            </w:pPr>
            <w:r>
              <w:rPr>
                <w:rFonts w:ascii="Arial" w:cs="Arial" w:eastAsia="Arial" w:hAnsi="Arial"/>
                <w:sz w:val="12"/>
                <w:szCs w:val="12"/>
                <w:color w:val="auto"/>
              </w:rPr>
              <w:t>334,099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jc w:val="right"/>
              <w:ind w:right="101"/>
              <w:spacing w:after="0"/>
              <w:rPr>
                <w:sz w:val="20"/>
                <w:szCs w:val="20"/>
                <w:color w:val="auto"/>
              </w:rPr>
            </w:pPr>
            <w:r>
              <w:rPr>
                <w:rFonts w:ascii="Arial" w:cs="Arial" w:eastAsia="Arial" w:hAnsi="Arial"/>
                <w:sz w:val="12"/>
                <w:szCs w:val="12"/>
                <w:color w:val="auto"/>
              </w:rPr>
              <w:t>226,839</w:t>
            </w:r>
          </w:p>
        </w:tc>
      </w:tr>
      <w:tr>
        <w:trPr>
          <w:trHeight w:val="188"/>
        </w:trPr>
        <w:tc>
          <w:tcPr>
            <w:tcW w:w="3700" w:type="dxa"/>
            <w:vAlign w:val="bottom"/>
            <w:shd w:val="clear" w:color="auto" w:fill="E0E7ED"/>
          </w:tcPr>
          <w:p>
            <w:pPr>
              <w:spacing w:after="0"/>
              <w:rPr>
                <w:sz w:val="20"/>
                <w:szCs w:val="20"/>
                <w:color w:val="auto"/>
              </w:rPr>
            </w:pPr>
            <w:r>
              <w:rPr>
                <w:rFonts w:ascii="Arial" w:cs="Arial" w:eastAsia="Arial" w:hAnsi="Arial"/>
                <w:sz w:val="12"/>
                <w:szCs w:val="12"/>
                <w:color w:val="auto"/>
              </w:rPr>
              <w:t>Operating revenue (Non-GAAP)</w:t>
            </w:r>
          </w:p>
        </w:tc>
        <w:tc>
          <w:tcPr>
            <w:tcW w:w="720" w:type="dxa"/>
            <w:vAlign w:val="bottom"/>
            <w:shd w:val="clear" w:color="auto" w:fill="E0E7ED"/>
          </w:tcPr>
          <w:p>
            <w:pPr>
              <w:ind w:left="20"/>
              <w:spacing w:after="0"/>
              <w:rPr>
                <w:sz w:val="20"/>
                <w:szCs w:val="20"/>
                <w:color w:val="auto"/>
              </w:rPr>
            </w:pPr>
            <w:r>
              <w:rPr>
                <w:rFonts w:ascii="Arial" w:cs="Arial" w:eastAsia="Arial" w:hAnsi="Arial"/>
                <w:sz w:val="12"/>
                <w:szCs w:val="12"/>
                <w:color w:val="auto"/>
              </w:rPr>
              <w:t>[g = a+d]</w:t>
            </w:r>
          </w:p>
        </w:tc>
        <w:tc>
          <w:tcPr>
            <w:tcW w:w="260" w:type="dxa"/>
            <w:vAlign w:val="bottom"/>
            <w:shd w:val="clear" w:color="auto" w:fill="E0E7ED"/>
          </w:tcPr>
          <w:p>
            <w:pPr>
              <w:spacing w:after="0"/>
              <w:rPr>
                <w:sz w:val="16"/>
                <w:szCs w:val="16"/>
                <w:color w:val="auto"/>
              </w:rPr>
            </w:pPr>
          </w:p>
        </w:tc>
        <w:tc>
          <w:tcPr>
            <w:tcW w:w="104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192,049</w:t>
            </w:r>
          </w:p>
        </w:tc>
        <w:tc>
          <w:tcPr>
            <w:tcW w:w="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2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140,722</w:t>
            </w:r>
          </w:p>
        </w:tc>
        <w:tc>
          <w:tcPr>
            <w:tcW w:w="6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116,311</w:t>
            </w:r>
          </w:p>
        </w:tc>
        <w:tc>
          <w:tcPr>
            <w:tcW w:w="80" w:type="dxa"/>
            <w:vAlign w:val="bottom"/>
            <w:shd w:val="clear" w:color="auto" w:fill="E0E7ED"/>
          </w:tcPr>
          <w:p>
            <w:pPr>
              <w:spacing w:after="0"/>
              <w:rPr>
                <w:sz w:val="16"/>
                <w:szCs w:val="16"/>
                <w:color w:val="auto"/>
              </w:rPr>
            </w:pPr>
          </w:p>
        </w:tc>
        <w:tc>
          <w:tcPr>
            <w:tcW w:w="260" w:type="dxa"/>
            <w:vAlign w:val="bottom"/>
            <w:shd w:val="clear" w:color="auto" w:fill="E0E7ED"/>
          </w:tcPr>
          <w:p>
            <w:pPr>
              <w:spacing w:after="0"/>
              <w:rPr>
                <w:sz w:val="16"/>
                <w:szCs w:val="16"/>
                <w:color w:val="auto"/>
              </w:rPr>
            </w:pPr>
          </w:p>
        </w:tc>
        <w:tc>
          <w:tcPr>
            <w:tcW w:w="1060" w:type="dxa"/>
            <w:vAlign w:val="bottom"/>
            <w:shd w:val="clear" w:color="auto" w:fill="E0E7ED"/>
          </w:tcPr>
          <w:p>
            <w:pPr>
              <w:jc w:val="right"/>
              <w:ind w:right="102"/>
              <w:spacing w:after="0"/>
              <w:rPr>
                <w:sz w:val="20"/>
                <w:szCs w:val="20"/>
                <w:color w:val="auto"/>
              </w:rPr>
            </w:pPr>
            <w:r>
              <w:rPr>
                <w:rFonts w:ascii="Arial" w:cs="Arial" w:eastAsia="Arial" w:hAnsi="Arial"/>
                <w:sz w:val="12"/>
                <w:szCs w:val="12"/>
                <w:color w:val="auto"/>
              </w:rPr>
              <w:t>332,771</w:t>
            </w:r>
          </w:p>
        </w:tc>
        <w:tc>
          <w:tcPr>
            <w:tcW w:w="80" w:type="dxa"/>
            <w:vAlign w:val="bottom"/>
            <w:shd w:val="clear" w:color="auto" w:fill="E0E7ED"/>
          </w:tcPr>
          <w:p>
            <w:pPr>
              <w:spacing w:after="0"/>
              <w:rPr>
                <w:sz w:val="16"/>
                <w:szCs w:val="16"/>
                <w:color w:val="auto"/>
              </w:rPr>
            </w:pPr>
          </w:p>
        </w:tc>
        <w:tc>
          <w:tcPr>
            <w:tcW w:w="440" w:type="dxa"/>
            <w:vAlign w:val="bottom"/>
            <w:shd w:val="clear" w:color="auto" w:fill="E0E7ED"/>
          </w:tcPr>
          <w:p>
            <w:pPr>
              <w:spacing w:after="0"/>
              <w:rPr>
                <w:sz w:val="16"/>
                <w:szCs w:val="16"/>
                <w:color w:val="auto"/>
              </w:rPr>
            </w:pPr>
          </w:p>
        </w:tc>
        <w:tc>
          <w:tcPr>
            <w:tcW w:w="880" w:type="dxa"/>
            <w:vAlign w:val="bottom"/>
            <w:shd w:val="clear" w:color="auto" w:fill="E0E7ED"/>
          </w:tcPr>
          <w:p>
            <w:pPr>
              <w:jc w:val="right"/>
              <w:ind w:right="101"/>
              <w:spacing w:after="0"/>
              <w:rPr>
                <w:sz w:val="20"/>
                <w:szCs w:val="20"/>
                <w:color w:val="auto"/>
              </w:rPr>
            </w:pPr>
            <w:r>
              <w:rPr>
                <w:rFonts w:ascii="Arial" w:cs="Arial" w:eastAsia="Arial" w:hAnsi="Arial"/>
                <w:sz w:val="12"/>
                <w:szCs w:val="12"/>
                <w:color w:val="auto"/>
              </w:rPr>
              <w:t>225,988</w:t>
            </w:r>
          </w:p>
        </w:tc>
      </w:tr>
      <w:tr>
        <w:trPr>
          <w:trHeight w:val="180"/>
        </w:trPr>
        <w:tc>
          <w:tcPr>
            <w:tcW w:w="3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3700" w:type="dxa"/>
            <w:vAlign w:val="bottom"/>
            <w:shd w:val="clear" w:color="auto" w:fill="E0E7ED"/>
          </w:tcPr>
          <w:p>
            <w:pPr>
              <w:spacing w:after="0"/>
              <w:rPr>
                <w:sz w:val="20"/>
                <w:szCs w:val="20"/>
                <w:color w:val="auto"/>
              </w:rPr>
            </w:pPr>
            <w:r>
              <w:rPr>
                <w:rFonts w:ascii="Arial" w:cs="Arial" w:eastAsia="Arial" w:hAnsi="Arial"/>
                <w:sz w:val="12"/>
                <w:szCs w:val="12"/>
                <w:color w:val="auto"/>
              </w:rPr>
              <w:t>Adjusted noninterest income to operating revenue (Non-GAAP)</w:t>
            </w:r>
          </w:p>
        </w:tc>
        <w:tc>
          <w:tcPr>
            <w:tcW w:w="720" w:type="dxa"/>
            <w:vAlign w:val="bottom"/>
            <w:shd w:val="clear" w:color="auto" w:fill="E0E7ED"/>
          </w:tcPr>
          <w:p>
            <w:pPr>
              <w:ind w:left="20"/>
              <w:spacing w:after="0"/>
              <w:rPr>
                <w:sz w:val="20"/>
                <w:szCs w:val="20"/>
                <w:color w:val="auto"/>
              </w:rPr>
            </w:pPr>
            <w:r>
              <w:rPr>
                <w:rFonts w:ascii="Arial" w:cs="Arial" w:eastAsia="Arial" w:hAnsi="Arial"/>
                <w:sz w:val="12"/>
                <w:szCs w:val="12"/>
                <w:color w:val="auto"/>
              </w:rPr>
              <w:t>[d÷g]</w:t>
            </w:r>
          </w:p>
        </w:tc>
        <w:tc>
          <w:tcPr>
            <w:tcW w:w="260" w:type="dxa"/>
            <w:vAlign w:val="bottom"/>
            <w:shd w:val="clear" w:color="auto" w:fill="E0E7ED"/>
          </w:tcPr>
          <w:p>
            <w:pPr>
              <w:spacing w:after="0"/>
              <w:rPr>
                <w:sz w:val="15"/>
                <w:szCs w:val="15"/>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20.24 %</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26.29 %</w:t>
            </w:r>
          </w:p>
        </w:tc>
        <w:tc>
          <w:tcPr>
            <w:tcW w:w="6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29.04 %</w:t>
            </w:r>
          </w:p>
        </w:tc>
        <w:tc>
          <w:tcPr>
            <w:tcW w:w="80" w:type="dxa"/>
            <w:vAlign w:val="bottom"/>
            <w:shd w:val="clear" w:color="auto" w:fill="E0E7ED"/>
          </w:tcPr>
          <w:p>
            <w:pPr>
              <w:spacing w:after="0"/>
              <w:rPr>
                <w:sz w:val="15"/>
                <w:szCs w:val="15"/>
                <w:color w:val="auto"/>
              </w:rPr>
            </w:pPr>
          </w:p>
        </w:tc>
        <w:tc>
          <w:tcPr>
            <w:tcW w:w="260" w:type="dxa"/>
            <w:vAlign w:val="bottom"/>
            <w:shd w:val="clear" w:color="auto" w:fill="E0E7ED"/>
          </w:tcPr>
          <w:p>
            <w:pPr>
              <w:spacing w:after="0"/>
              <w:rPr>
                <w:sz w:val="15"/>
                <w:szCs w:val="15"/>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22.80 %</w:t>
            </w:r>
          </w:p>
        </w:tc>
        <w:tc>
          <w:tcPr>
            <w:tcW w:w="80" w:type="dxa"/>
            <w:vAlign w:val="bottom"/>
            <w:shd w:val="clear" w:color="auto" w:fill="E0E7ED"/>
          </w:tcPr>
          <w:p>
            <w:pPr>
              <w:spacing w:after="0"/>
              <w:rPr>
                <w:sz w:val="15"/>
                <w:szCs w:val="15"/>
                <w:color w:val="auto"/>
              </w:rPr>
            </w:pPr>
          </w:p>
        </w:tc>
        <w:tc>
          <w:tcPr>
            <w:tcW w:w="44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29.91 %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7178040"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0"/>
                    </a:xfrm>
                    <a:prstGeom prst="rect">
                      <a:avLst/>
                    </a:prstGeom>
                    <a:noFill/>
                  </pic:spPr>
                </pic:pic>
              </a:graphicData>
            </a:graphic>
          </wp:anchor>
        </w:drawing>
      </w:r>
    </w:p>
    <w:p>
      <w:pPr>
        <w:sectPr>
          <w:pgSz w:w="11900" w:h="16838" w:orient="portrait"/>
          <w:cols w:equalWidth="0" w:num="1">
            <w:col w:w="11300"/>
          </w:cols>
          <w:pgMar w:left="300" w:top="910" w:right="299" w:bottom="1440" w:gutter="0" w:footer="0" w:header="0"/>
        </w:sectPr>
      </w:pP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noninterest expense (GAAP)</w:t>
      </w:r>
      <w:r>
        <w:rPr>
          <w:rFonts w:ascii="Arial" w:cs="Arial" w:eastAsia="Arial" w:hAnsi="Arial"/>
          <w:sz w:val="15"/>
          <w:szCs w:val="15"/>
          <w:b w:val="1"/>
          <w:bCs w:val="1"/>
          <w:color w:val="auto"/>
          <w:vertAlign w:val="superscript"/>
        </w:rPr>
        <w:t>2</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Amortization of intangible assets</w:t>
      </w:r>
    </w:p>
    <w:p>
      <w:pPr>
        <w:spacing w:after="0" w:line="30" w:lineRule="exact"/>
        <w:rPr>
          <w:sz w:val="20"/>
          <w:szCs w:val="20"/>
          <w:color w:val="auto"/>
        </w:rPr>
      </w:pPr>
    </w:p>
    <w:p>
      <w:pPr>
        <w:ind w:left="120" w:right="60"/>
        <w:spacing w:after="0" w:line="259" w:lineRule="auto"/>
        <w:rPr>
          <w:sz w:val="20"/>
          <w:szCs w:val="20"/>
          <w:color w:val="auto"/>
        </w:rPr>
      </w:pPr>
      <w:r>
        <w:rPr>
          <w:rFonts w:ascii="Arial" w:cs="Arial" w:eastAsia="Arial" w:hAnsi="Arial"/>
          <w:sz w:val="12"/>
          <w:szCs w:val="12"/>
          <w:color w:val="auto"/>
        </w:rPr>
        <w:t>Noninterest expense excluding amortization of intangible assets (Non-GAAP)</w:t>
      </w:r>
      <w:r>
        <w:rPr>
          <w:rFonts w:ascii="Arial" w:cs="Arial" w:eastAsia="Arial" w:hAnsi="Arial"/>
          <w:sz w:val="15"/>
          <w:szCs w:val="15"/>
          <w:color w:val="auto"/>
          <w:vertAlign w:val="superscript"/>
        </w:rPr>
        <w:t>2</w:t>
      </w:r>
    </w:p>
    <w:p>
      <w:pPr>
        <w:spacing w:after="0" w:line="1" w:lineRule="exact"/>
        <w:rPr>
          <w:sz w:val="20"/>
          <w:szCs w:val="20"/>
          <w:color w:val="auto"/>
        </w:rPr>
      </w:pPr>
    </w:p>
    <w:p>
      <w:pPr>
        <w:ind w:left="120"/>
        <w:spacing w:after="0" w:line="265" w:lineRule="auto"/>
        <w:rPr>
          <w:sz w:val="20"/>
          <w:szCs w:val="20"/>
          <w:color w:val="auto"/>
        </w:rPr>
      </w:pPr>
      <w:r>
        <w:rPr>
          <w:rFonts w:ascii="Arial" w:cs="Arial" w:eastAsia="Arial" w:hAnsi="Arial"/>
          <w:sz w:val="12"/>
          <w:szCs w:val="12"/>
          <w:color w:val="auto"/>
        </w:rPr>
        <w:t>Acquisition and restructuring expenses, excluding initial provision expenses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Adjusted noninterest expense (Non-GAAP)</w:t>
      </w:r>
      <w:r>
        <w:rPr>
          <w:rFonts w:ascii="Arial" w:cs="Arial" w:eastAsia="Arial" w:hAnsi="Arial"/>
          <w:sz w:val="15"/>
          <w:szCs w:val="15"/>
          <w:color w:val="auto"/>
          <w:vertAlign w:val="superscript"/>
        </w:rPr>
        <w:t>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700" w:type="dxa"/>
            <w:vAlign w:val="bottom"/>
          </w:tcPr>
          <w:p>
            <w:pPr>
              <w:spacing w:after="0"/>
              <w:rPr>
                <w:sz w:val="13"/>
                <w:szCs w:val="13"/>
                <w:color w:val="auto"/>
              </w:rPr>
            </w:pP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100"/>
              <w:spacing w:after="0"/>
              <w:rPr>
                <w:sz w:val="20"/>
                <w:szCs w:val="20"/>
                <w:color w:val="auto"/>
              </w:rPr>
            </w:pPr>
            <w:r>
              <w:rPr>
                <w:rFonts w:ascii="Arial" w:cs="Arial" w:eastAsia="Arial" w:hAnsi="Arial"/>
                <w:sz w:val="12"/>
                <w:szCs w:val="12"/>
                <w:color w:val="auto"/>
              </w:rPr>
              <w:t>127,833</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112,030</w:t>
            </w:r>
          </w:p>
        </w:tc>
        <w:tc>
          <w:tcPr>
            <w:tcW w:w="60" w:type="dxa"/>
            <w:vAlign w:val="bottom"/>
          </w:tcPr>
          <w:p>
            <w:pPr>
              <w:spacing w:after="0"/>
              <w:rPr>
                <w:sz w:val="13"/>
                <w:szCs w:val="13"/>
                <w:color w:val="auto"/>
              </w:rPr>
            </w:pPr>
          </w:p>
        </w:tc>
        <w:tc>
          <w:tcPr>
            <w:tcW w:w="440" w:type="dxa"/>
            <w:vAlign w:val="bottom"/>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100"/>
              <w:spacing w:after="0"/>
              <w:rPr>
                <w:sz w:val="20"/>
                <w:szCs w:val="20"/>
                <w:color w:val="auto"/>
              </w:rPr>
            </w:pPr>
            <w:r>
              <w:rPr>
                <w:rFonts w:ascii="Arial" w:cs="Arial" w:eastAsia="Arial" w:hAnsi="Arial"/>
                <w:sz w:val="12"/>
                <w:szCs w:val="12"/>
                <w:color w:val="auto"/>
              </w:rPr>
              <w:t>75,906</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239,863</w:t>
            </w:r>
          </w:p>
        </w:tc>
        <w:tc>
          <w:tcPr>
            <w:tcW w:w="80" w:type="dxa"/>
            <w:vAlign w:val="bottom"/>
          </w:tcPr>
          <w:p>
            <w:pPr>
              <w:spacing w:after="0"/>
              <w:rPr>
                <w:sz w:val="13"/>
                <w:szCs w:val="13"/>
                <w:color w:val="auto"/>
              </w:rPr>
            </w:pPr>
          </w:p>
        </w:tc>
        <w:tc>
          <w:tcPr>
            <w:tcW w:w="400" w:type="dxa"/>
            <w:vAlign w:val="bottom"/>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00"/>
              <w:spacing w:after="0"/>
              <w:rPr>
                <w:sz w:val="20"/>
                <w:szCs w:val="20"/>
                <w:color w:val="auto"/>
              </w:rPr>
            </w:pPr>
            <w:r>
              <w:rPr>
                <w:rFonts w:ascii="Arial" w:cs="Arial" w:eastAsia="Arial" w:hAnsi="Arial"/>
                <w:sz w:val="12"/>
                <w:szCs w:val="12"/>
                <w:color w:val="auto"/>
              </w:rPr>
              <w:t>147,353</w:t>
            </w:r>
          </w:p>
        </w:tc>
        <w:tc>
          <w:tcPr>
            <w:tcW w:w="0" w:type="dxa"/>
            <w:vAlign w:val="bottom"/>
          </w:tcPr>
          <w:p>
            <w:pPr>
              <w:spacing w:after="0"/>
              <w:rPr>
                <w:sz w:val="1"/>
                <w:szCs w:val="1"/>
                <w:color w:val="auto"/>
              </w:rPr>
            </w:pPr>
          </w:p>
        </w:tc>
      </w:tr>
      <w:tr>
        <w:trPr>
          <w:trHeight w:val="185"/>
        </w:trPr>
        <w:tc>
          <w:tcPr>
            <w:tcW w:w="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(4,592)</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(3,083)</w:t>
            </w:r>
          </w:p>
        </w:tc>
        <w:tc>
          <w:tcPr>
            <w:tcW w:w="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(2,629)</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(7,675)</w:t>
            </w: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(5,038)</w:t>
            </w:r>
          </w:p>
        </w:tc>
        <w:tc>
          <w:tcPr>
            <w:tcW w:w="0" w:type="dxa"/>
            <w:vAlign w:val="bottom"/>
          </w:tcPr>
          <w:p>
            <w:pPr>
              <w:spacing w:after="0"/>
              <w:rPr>
                <w:sz w:val="1"/>
                <w:szCs w:val="1"/>
                <w:color w:val="auto"/>
              </w:rPr>
            </w:pPr>
          </w:p>
        </w:tc>
      </w:tr>
      <w:tr>
        <w:trPr>
          <w:trHeight w:val="227"/>
        </w:trPr>
        <w:tc>
          <w:tcPr>
            <w:tcW w:w="700" w:type="dxa"/>
            <w:vAlign w:val="bottom"/>
          </w:tcPr>
          <w:p>
            <w:pPr>
              <w:spacing w:after="0"/>
              <w:rPr>
                <w:sz w:val="20"/>
                <w:szCs w:val="20"/>
                <w:color w:val="auto"/>
              </w:rPr>
            </w:pPr>
            <w:r>
              <w:rPr>
                <w:rFonts w:ascii="Arial" w:cs="Arial" w:eastAsia="Arial" w:hAnsi="Arial"/>
                <w:sz w:val="12"/>
                <w:szCs w:val="12"/>
                <w:color w:val="auto"/>
              </w:rPr>
              <w:t>[h]</w:t>
            </w:r>
          </w:p>
        </w:tc>
        <w:tc>
          <w:tcPr>
            <w:tcW w:w="400" w:type="dxa"/>
            <w:vAlign w:val="bottom"/>
          </w:tcPr>
          <w:p>
            <w:pPr>
              <w:spacing w:after="0"/>
              <w:rPr>
                <w:sz w:val="19"/>
                <w:szCs w:val="19"/>
                <w:color w:val="auto"/>
              </w:rPr>
            </w:pPr>
          </w:p>
        </w:tc>
        <w:tc>
          <w:tcPr>
            <w:tcW w:w="900" w:type="dxa"/>
            <w:vAlign w:val="bottom"/>
            <w:vMerge w:val="restart"/>
          </w:tcPr>
          <w:p>
            <w:pPr>
              <w:jc w:val="right"/>
              <w:ind w:right="100"/>
              <w:spacing w:after="0"/>
              <w:rPr>
                <w:sz w:val="20"/>
                <w:szCs w:val="20"/>
                <w:color w:val="auto"/>
              </w:rPr>
            </w:pPr>
            <w:r>
              <w:rPr>
                <w:rFonts w:ascii="Arial" w:cs="Arial" w:eastAsia="Arial" w:hAnsi="Arial"/>
                <w:sz w:val="12"/>
                <w:szCs w:val="12"/>
                <w:color w:val="auto"/>
              </w:rPr>
              <w:t>123,241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restart"/>
          </w:tcPr>
          <w:p>
            <w:pPr>
              <w:jc w:val="right"/>
              <w:ind w:right="100"/>
              <w:spacing w:after="0"/>
              <w:rPr>
                <w:sz w:val="20"/>
                <w:szCs w:val="20"/>
                <w:color w:val="auto"/>
              </w:rPr>
            </w:pPr>
            <w:r>
              <w:rPr>
                <w:rFonts w:ascii="Arial" w:cs="Arial" w:eastAsia="Arial" w:hAnsi="Arial"/>
                <w:sz w:val="12"/>
                <w:szCs w:val="12"/>
                <w:color w:val="auto"/>
              </w:rPr>
              <w:t>108,947</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vMerge w:val="restart"/>
          </w:tcPr>
          <w:p>
            <w:pPr>
              <w:jc w:val="right"/>
              <w:ind w:right="100"/>
              <w:spacing w:after="0"/>
              <w:rPr>
                <w:sz w:val="20"/>
                <w:szCs w:val="20"/>
                <w:color w:val="auto"/>
              </w:rPr>
            </w:pPr>
            <w:r>
              <w:rPr>
                <w:rFonts w:ascii="Arial" w:cs="Arial" w:eastAsia="Arial" w:hAnsi="Arial"/>
                <w:sz w:val="12"/>
                <w:szCs w:val="12"/>
                <w:color w:val="auto"/>
              </w:rPr>
              <w:t>73,277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restart"/>
          </w:tcPr>
          <w:p>
            <w:pPr>
              <w:jc w:val="right"/>
              <w:ind w:right="100"/>
              <w:spacing w:after="0"/>
              <w:rPr>
                <w:sz w:val="20"/>
                <w:szCs w:val="20"/>
                <w:color w:val="auto"/>
              </w:rPr>
            </w:pPr>
            <w:r>
              <w:rPr>
                <w:rFonts w:ascii="Arial" w:cs="Arial" w:eastAsia="Arial" w:hAnsi="Arial"/>
                <w:sz w:val="12"/>
                <w:szCs w:val="12"/>
                <w:color w:val="auto"/>
              </w:rPr>
              <w:t>232,188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restart"/>
          </w:tcPr>
          <w:p>
            <w:pPr>
              <w:jc w:val="right"/>
              <w:ind w:right="100"/>
              <w:spacing w:after="0"/>
              <w:rPr>
                <w:sz w:val="20"/>
                <w:szCs w:val="20"/>
                <w:color w:val="auto"/>
              </w:rPr>
            </w:pPr>
            <w:r>
              <w:rPr>
                <w:rFonts w:ascii="Arial" w:cs="Arial" w:eastAsia="Arial" w:hAnsi="Arial"/>
                <w:sz w:val="12"/>
                <w:szCs w:val="12"/>
                <w:color w:val="auto"/>
              </w:rPr>
              <w:t>142,315</w:t>
            </w:r>
          </w:p>
        </w:tc>
        <w:tc>
          <w:tcPr>
            <w:tcW w:w="0" w:type="dxa"/>
            <w:vAlign w:val="bottom"/>
          </w:tcPr>
          <w:p>
            <w:pPr>
              <w:spacing w:after="0"/>
              <w:rPr>
                <w:sz w:val="1"/>
                <w:szCs w:val="1"/>
                <w:color w:val="auto"/>
              </w:rPr>
            </w:pPr>
          </w:p>
        </w:tc>
      </w:tr>
      <w:tr>
        <w:trPr>
          <w:trHeight w:val="72"/>
        </w:trPr>
        <w:tc>
          <w:tcPr>
            <w:tcW w:w="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9"/>
        </w:trPr>
        <w:tc>
          <w:tcPr>
            <w:tcW w:w="7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(16,600)</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(26,026)</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(2,212)</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(42,626)</w:t>
            </w: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(2,620)</w:t>
            </w:r>
          </w:p>
        </w:tc>
        <w:tc>
          <w:tcPr>
            <w:tcW w:w="0" w:type="dxa"/>
            <w:vAlign w:val="bottom"/>
          </w:tcPr>
          <w:p>
            <w:pPr>
              <w:spacing w:after="0"/>
              <w:rPr>
                <w:sz w:val="1"/>
                <w:szCs w:val="1"/>
                <w:color w:val="auto"/>
              </w:rPr>
            </w:pPr>
          </w:p>
        </w:tc>
      </w:tr>
      <w:tr>
        <w:trPr>
          <w:trHeight w:val="172"/>
        </w:trPr>
        <w:tc>
          <w:tcPr>
            <w:tcW w:w="700" w:type="dxa"/>
            <w:vAlign w:val="bottom"/>
          </w:tcPr>
          <w:p>
            <w:pPr>
              <w:spacing w:after="0"/>
              <w:rPr>
                <w:sz w:val="20"/>
                <w:szCs w:val="20"/>
                <w:color w:val="auto"/>
              </w:rPr>
            </w:pPr>
            <w:r>
              <w:rPr>
                <w:rFonts w:ascii="Arial" w:cs="Arial" w:eastAsia="Arial" w:hAnsi="Arial"/>
                <w:sz w:val="12"/>
                <w:szCs w:val="12"/>
                <w:color w:val="auto"/>
              </w:rPr>
              <w:t>[i]</w:t>
            </w:r>
          </w:p>
        </w:tc>
        <w:tc>
          <w:tcPr>
            <w:tcW w:w="400" w:type="dxa"/>
            <w:vAlign w:val="bottom"/>
            <w:tcBorders>
              <w:bottom w:val="single" w:sz="8" w:color="auto"/>
            </w:tcBorders>
          </w:tcPr>
          <w:p>
            <w:pPr>
              <w:jc w:val="right"/>
              <w:ind w:right="292"/>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106,641</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82,921</w:t>
            </w:r>
          </w:p>
        </w:tc>
        <w:tc>
          <w:tcPr>
            <w:tcW w:w="60" w:type="dxa"/>
            <w:vAlign w:val="bottom"/>
          </w:tcPr>
          <w:p>
            <w:pPr>
              <w:spacing w:after="0"/>
              <w:rPr>
                <w:sz w:val="14"/>
                <w:szCs w:val="14"/>
                <w:color w:val="auto"/>
              </w:rPr>
            </w:pPr>
          </w:p>
        </w:tc>
        <w:tc>
          <w:tcPr>
            <w:tcW w:w="4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71,065</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189,562</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139,695</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-2366645</wp:posOffset>
            </wp:positionH>
            <wp:positionV relativeFrom="paragraph">
              <wp:posOffset>-553720</wp:posOffset>
            </wp:positionV>
            <wp:extent cx="7178040"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8040" cy="205740"/>
                    </a:xfrm>
                    <a:prstGeom prst="rect">
                      <a:avLst/>
                    </a:prstGeom>
                    <a:noFill/>
                  </pic:spPr>
                </pic:pic>
              </a:graphicData>
            </a:graphic>
          </wp:anchor>
        </w:drawing>
        <w:drawing>
          <wp:anchor simplePos="0" relativeHeight="251657728" behindDoc="1" locked="0" layoutInCell="0" allowOverlap="1">
            <wp:simplePos x="0" y="0"/>
            <wp:positionH relativeFrom="column">
              <wp:posOffset>-2366645</wp:posOffset>
            </wp:positionH>
            <wp:positionV relativeFrom="paragraph">
              <wp:posOffset>-142240</wp:posOffset>
            </wp:positionV>
            <wp:extent cx="7178040" cy="131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8040" cy="13144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3560" w:space="160"/>
            <w:col w:w="7580"/>
          </w:cols>
          <w:pgMar w:left="300" w:top="910" w:right="299" w:bottom="1440" w:gutter="0" w:footer="0" w:header="0"/>
          <w:type w:val="continuous"/>
        </w:sectPr>
      </w:pPr>
    </w:p>
    <w:tbl>
      <w:tblPr>
        <w:tblLayout w:type="fixed"/>
        <w:tblInd w:w="0" w:type="dxa"/>
        <w:tblCellMar>
          <w:top w:w="0" w:type="dxa"/>
          <w:left w:w="0" w:type="dxa"/>
          <w:bottom w:w="0" w:type="dxa"/>
          <w:right w:w="0" w:type="dxa"/>
        </w:tblCellMar>
      </w:tblPr>
      <w:tr>
        <w:trPr>
          <w:trHeight w:val="180"/>
        </w:trPr>
        <w:tc>
          <w:tcPr>
            <w:tcW w:w="3540" w:type="dxa"/>
            <w:vAlign w:val="bottom"/>
            <w:shd w:val="clear" w:color="auto" w:fill="E0E7ED"/>
          </w:tcPr>
          <w:p>
            <w:pPr>
              <w:spacing w:after="0"/>
              <w:rPr>
                <w:sz w:val="20"/>
                <w:szCs w:val="20"/>
                <w:color w:val="auto"/>
              </w:rPr>
            </w:pPr>
            <w:r>
              <w:rPr>
                <w:rFonts w:ascii="Arial" w:cs="Arial" w:eastAsia="Arial" w:hAnsi="Arial"/>
                <w:sz w:val="12"/>
                <w:szCs w:val="12"/>
                <w:color w:val="auto"/>
              </w:rPr>
              <w:t>Efficiency ratio (Non-GAAP)</w:t>
            </w:r>
            <w:r>
              <w:rPr>
                <w:rFonts w:ascii="Arial" w:cs="Arial" w:eastAsia="Arial" w:hAnsi="Arial"/>
                <w:sz w:val="15"/>
                <w:szCs w:val="15"/>
                <w:color w:val="auto"/>
                <w:vertAlign w:val="superscript"/>
              </w:rPr>
              <w:t>2</w:t>
            </w:r>
          </w:p>
        </w:tc>
        <w:tc>
          <w:tcPr>
            <w:tcW w:w="660" w:type="dxa"/>
            <w:vAlign w:val="bottom"/>
            <w:shd w:val="clear" w:color="auto" w:fill="E0E7ED"/>
          </w:tcPr>
          <w:p>
            <w:pPr>
              <w:ind w:left="180"/>
              <w:spacing w:after="0"/>
              <w:rPr>
                <w:sz w:val="20"/>
                <w:szCs w:val="20"/>
                <w:color w:val="auto"/>
              </w:rPr>
            </w:pPr>
            <w:r>
              <w:rPr>
                <w:rFonts w:ascii="Arial" w:cs="Arial" w:eastAsia="Arial" w:hAnsi="Arial"/>
                <w:sz w:val="12"/>
                <w:szCs w:val="12"/>
                <w:color w:val="auto"/>
              </w:rPr>
              <w:t>[h÷e]</w:t>
            </w:r>
          </w:p>
        </w:tc>
        <w:tc>
          <w:tcPr>
            <w:tcW w:w="520" w:type="dxa"/>
            <w:vAlign w:val="bottom"/>
            <w:shd w:val="clear" w:color="auto" w:fill="E0E7ED"/>
          </w:tcPr>
          <w:p>
            <w:pPr>
              <w:spacing w:after="0"/>
              <w:rPr>
                <w:sz w:val="15"/>
                <w:szCs w:val="15"/>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63.91 %</w:t>
            </w:r>
          </w:p>
        </w:tc>
        <w:tc>
          <w:tcPr>
            <w:tcW w:w="360" w:type="dxa"/>
            <w:vAlign w:val="bottom"/>
            <w:shd w:val="clear" w:color="auto" w:fill="E0E7ED"/>
          </w:tcPr>
          <w:p>
            <w:pPr>
              <w:spacing w:after="0"/>
              <w:rPr>
                <w:sz w:val="15"/>
                <w:szCs w:val="15"/>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77.13 %</w:t>
            </w:r>
          </w:p>
        </w:tc>
        <w:tc>
          <w:tcPr>
            <w:tcW w:w="360" w:type="dxa"/>
            <w:vAlign w:val="bottom"/>
            <w:shd w:val="clear" w:color="auto" w:fill="E0E7ED"/>
          </w:tcPr>
          <w:p>
            <w:pPr>
              <w:spacing w:after="0"/>
              <w:rPr>
                <w:sz w:val="15"/>
                <w:szCs w:val="15"/>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62.64 %</w:t>
            </w:r>
          </w:p>
        </w:tc>
        <w:tc>
          <w:tcPr>
            <w:tcW w:w="360" w:type="dxa"/>
            <w:vAlign w:val="bottom"/>
            <w:shd w:val="clear" w:color="auto" w:fill="E0E7ED"/>
          </w:tcPr>
          <w:p>
            <w:pPr>
              <w:spacing w:after="0"/>
              <w:rPr>
                <w:sz w:val="15"/>
                <w:szCs w:val="15"/>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69.50 %</w:t>
            </w:r>
          </w:p>
        </w:tc>
        <w:tc>
          <w:tcPr>
            <w:tcW w:w="360" w:type="dxa"/>
            <w:vAlign w:val="bottom"/>
            <w:shd w:val="clear" w:color="auto" w:fill="E0E7ED"/>
          </w:tcPr>
          <w:p>
            <w:pPr>
              <w:spacing w:after="0"/>
              <w:rPr>
                <w:sz w:val="15"/>
                <w:szCs w:val="15"/>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60.67 %</w:t>
            </w:r>
          </w:p>
        </w:tc>
      </w:tr>
      <w:tr>
        <w:trPr>
          <w:trHeight w:val="180"/>
        </w:trPr>
        <w:tc>
          <w:tcPr>
            <w:tcW w:w="3540" w:type="dxa"/>
            <w:vAlign w:val="bottom"/>
          </w:tcPr>
          <w:p>
            <w:pPr>
              <w:spacing w:after="0"/>
              <w:rPr>
                <w:sz w:val="20"/>
                <w:szCs w:val="20"/>
                <w:color w:val="auto"/>
              </w:rPr>
            </w:pPr>
            <w:r>
              <w:rPr>
                <w:rFonts w:ascii="Arial" w:cs="Arial" w:eastAsia="Arial" w:hAnsi="Arial"/>
                <w:sz w:val="12"/>
                <w:szCs w:val="12"/>
                <w:color w:val="auto"/>
              </w:rPr>
              <w:t>Adjusted efficiency ratio (Non-GAAP)</w:t>
            </w:r>
            <w:r>
              <w:rPr>
                <w:rFonts w:ascii="Arial" w:cs="Arial" w:eastAsia="Arial" w:hAnsi="Arial"/>
                <w:sz w:val="15"/>
                <w:szCs w:val="15"/>
                <w:color w:val="auto"/>
                <w:vertAlign w:val="superscript"/>
              </w:rPr>
              <w:t>2</w:t>
            </w:r>
          </w:p>
        </w:tc>
        <w:tc>
          <w:tcPr>
            <w:tcW w:w="660" w:type="dxa"/>
            <w:vAlign w:val="bottom"/>
          </w:tcPr>
          <w:p>
            <w:pPr>
              <w:ind w:left="180"/>
              <w:spacing w:after="0"/>
              <w:rPr>
                <w:sz w:val="20"/>
                <w:szCs w:val="20"/>
                <w:color w:val="auto"/>
              </w:rPr>
            </w:pPr>
            <w:r>
              <w:rPr>
                <w:rFonts w:ascii="Arial" w:cs="Arial" w:eastAsia="Arial" w:hAnsi="Arial"/>
                <w:sz w:val="12"/>
                <w:szCs w:val="12"/>
                <w:color w:val="auto"/>
              </w:rPr>
              <w:t>[i÷f]</w:t>
            </w:r>
          </w:p>
        </w:tc>
        <w:tc>
          <w:tcPr>
            <w:tcW w:w="5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55.30 %</w:t>
            </w:r>
          </w:p>
        </w:tc>
        <w:tc>
          <w:tcPr>
            <w:tcW w:w="3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58.70 %</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60.89 %</w:t>
            </w:r>
          </w:p>
        </w:tc>
        <w:tc>
          <w:tcPr>
            <w:tcW w:w="3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56.74 %</w:t>
            </w:r>
          </w:p>
        </w:tc>
        <w:tc>
          <w:tcPr>
            <w:tcW w:w="3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61.58 %</w:t>
            </w:r>
          </w:p>
        </w:tc>
      </w:tr>
      <w:tr>
        <w:trPr>
          <w:trHeight w:val="180"/>
        </w:trPr>
        <w:tc>
          <w:tcPr>
            <w:tcW w:w="3540" w:type="dxa"/>
            <w:vAlign w:val="bottom"/>
            <w:shd w:val="clear" w:color="auto" w:fill="E0E7ED"/>
          </w:tcPr>
          <w:p>
            <w:pPr>
              <w:spacing w:after="0"/>
              <w:rPr>
                <w:sz w:val="15"/>
                <w:szCs w:val="15"/>
                <w:color w:val="auto"/>
              </w:rPr>
            </w:pPr>
          </w:p>
        </w:tc>
        <w:tc>
          <w:tcPr>
            <w:tcW w:w="660" w:type="dxa"/>
            <w:vAlign w:val="bottom"/>
            <w:shd w:val="clear" w:color="auto" w:fill="E0E7ED"/>
          </w:tcPr>
          <w:p>
            <w:pPr>
              <w:spacing w:after="0"/>
              <w:rPr>
                <w:sz w:val="15"/>
                <w:szCs w:val="15"/>
                <w:color w:val="auto"/>
              </w:rPr>
            </w:pPr>
          </w:p>
        </w:tc>
        <w:tc>
          <w:tcPr>
            <w:tcW w:w="52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102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104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1000" w:type="dxa"/>
            <w:vAlign w:val="bottom"/>
            <w:shd w:val="clear" w:color="auto" w:fill="E0E7ED"/>
          </w:tcPr>
          <w:p>
            <w:pPr>
              <w:spacing w:after="0"/>
              <w:rPr>
                <w:sz w:val="15"/>
                <w:szCs w:val="15"/>
                <w:color w:val="auto"/>
              </w:rPr>
            </w:pPr>
          </w:p>
        </w:tc>
      </w:tr>
      <w:tr>
        <w:trPr>
          <w:trHeight w:val="172"/>
        </w:trPr>
        <w:tc>
          <w:tcPr>
            <w:tcW w:w="3540" w:type="dxa"/>
            <w:vAlign w:val="bottom"/>
          </w:tcPr>
          <w:p>
            <w:pPr>
              <w:spacing w:after="0"/>
              <w:rPr>
                <w:sz w:val="20"/>
                <w:szCs w:val="20"/>
                <w:color w:val="auto"/>
              </w:rPr>
            </w:pPr>
            <w:r>
              <w:rPr>
                <w:rFonts w:ascii="Arial" w:cs="Arial" w:eastAsia="Arial" w:hAnsi="Arial"/>
                <w:sz w:val="12"/>
                <w:szCs w:val="12"/>
                <w:color w:val="auto"/>
              </w:rPr>
              <w:t>Average total assets</w:t>
            </w:r>
          </w:p>
        </w:tc>
        <w:tc>
          <w:tcPr>
            <w:tcW w:w="660" w:type="dxa"/>
            <w:vAlign w:val="bottom"/>
          </w:tcPr>
          <w:p>
            <w:pPr>
              <w:ind w:left="180"/>
              <w:spacing w:after="0"/>
              <w:rPr>
                <w:sz w:val="20"/>
                <w:szCs w:val="20"/>
                <w:color w:val="auto"/>
              </w:rPr>
            </w:pPr>
            <w:r>
              <w:rPr>
                <w:rFonts w:ascii="Arial" w:cs="Arial" w:eastAsia="Arial" w:hAnsi="Arial"/>
                <w:sz w:val="12"/>
                <w:szCs w:val="12"/>
                <w:color w:val="auto"/>
              </w:rPr>
              <w:t>[j]</w:t>
            </w:r>
          </w:p>
        </w:tc>
        <w:tc>
          <w:tcPr>
            <w:tcW w:w="52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40"/>
              <w:spacing w:after="0"/>
              <w:rPr>
                <w:sz w:val="20"/>
                <w:szCs w:val="20"/>
                <w:color w:val="auto"/>
              </w:rPr>
            </w:pPr>
            <w:r>
              <w:rPr>
                <w:rFonts w:ascii="Arial" w:cs="Arial" w:eastAsia="Arial" w:hAnsi="Arial"/>
                <w:sz w:val="12"/>
                <w:szCs w:val="12"/>
                <w:color w:val="auto"/>
              </w:rPr>
              <w:t>19,068,086</w:t>
            </w:r>
          </w:p>
        </w:tc>
        <w:tc>
          <w:tcPr>
            <w:tcW w:w="3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120"/>
              <w:spacing w:after="0"/>
              <w:rPr>
                <w:sz w:val="20"/>
                <w:szCs w:val="20"/>
                <w:color w:val="auto"/>
              </w:rPr>
            </w:pPr>
            <w:r>
              <w:rPr>
                <w:rFonts w:ascii="Arial" w:cs="Arial" w:eastAsia="Arial" w:hAnsi="Arial"/>
                <w:sz w:val="12"/>
                <w:szCs w:val="12"/>
                <w:color w:val="auto"/>
              </w:rPr>
              <w:t>14,831,298</w:t>
            </w:r>
          </w:p>
        </w:tc>
        <w:tc>
          <w:tcPr>
            <w:tcW w:w="3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40"/>
              <w:spacing w:after="0"/>
              <w:rPr>
                <w:sz w:val="20"/>
                <w:szCs w:val="20"/>
                <w:color w:val="auto"/>
              </w:rPr>
            </w:pPr>
            <w:r>
              <w:rPr>
                <w:rFonts w:ascii="Arial" w:cs="Arial" w:eastAsia="Arial" w:hAnsi="Arial"/>
                <w:sz w:val="12"/>
                <w:szCs w:val="12"/>
                <w:color w:val="auto"/>
              </w:rPr>
              <w:t>12,089,692</w:t>
            </w:r>
          </w:p>
        </w:tc>
        <w:tc>
          <w:tcPr>
            <w:tcW w:w="3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40" w:type="dxa"/>
            <w:vAlign w:val="bottom"/>
          </w:tcPr>
          <w:p>
            <w:pPr>
              <w:jc w:val="right"/>
              <w:ind w:right="140"/>
              <w:spacing w:after="0"/>
              <w:rPr>
                <w:sz w:val="20"/>
                <w:szCs w:val="20"/>
                <w:color w:val="auto"/>
              </w:rPr>
            </w:pPr>
            <w:r>
              <w:rPr>
                <w:rFonts w:ascii="Arial" w:cs="Arial" w:eastAsia="Arial" w:hAnsi="Arial"/>
                <w:sz w:val="12"/>
                <w:szCs w:val="12"/>
                <w:color w:val="auto"/>
              </w:rPr>
              <w:t>16,961,396</w:t>
            </w:r>
          </w:p>
        </w:tc>
        <w:tc>
          <w:tcPr>
            <w:tcW w:w="36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tcPr>
          <w:p>
            <w:pPr>
              <w:jc w:val="right"/>
              <w:ind w:right="100"/>
              <w:spacing w:after="0"/>
              <w:rPr>
                <w:sz w:val="20"/>
                <w:szCs w:val="20"/>
                <w:color w:val="auto"/>
              </w:rPr>
            </w:pPr>
            <w:r>
              <w:rPr>
                <w:rFonts w:ascii="Arial" w:cs="Arial" w:eastAsia="Arial" w:hAnsi="Arial"/>
                <w:sz w:val="12"/>
                <w:szCs w:val="12"/>
                <w:color w:val="auto"/>
              </w:rPr>
              <w:t>12,056,950</w:t>
            </w:r>
          </w:p>
        </w:tc>
      </w:tr>
      <w:tr>
        <w:trPr>
          <w:trHeight w:val="188"/>
        </w:trPr>
        <w:tc>
          <w:tcPr>
            <w:tcW w:w="3540" w:type="dxa"/>
            <w:vAlign w:val="bottom"/>
            <w:shd w:val="clear" w:color="auto" w:fill="E0E7ED"/>
          </w:tcPr>
          <w:p>
            <w:pPr>
              <w:spacing w:after="0"/>
              <w:rPr>
                <w:sz w:val="20"/>
                <w:szCs w:val="20"/>
                <w:color w:val="auto"/>
              </w:rPr>
            </w:pPr>
            <w:r>
              <w:rPr>
                <w:rFonts w:ascii="Arial" w:cs="Arial" w:eastAsia="Arial" w:hAnsi="Arial"/>
                <w:sz w:val="12"/>
                <w:szCs w:val="12"/>
                <w:color w:val="auto"/>
              </w:rPr>
              <w:t>Adjusted noninterest expense to average assets (Non-GAAP)</w:t>
            </w:r>
            <w:r>
              <w:rPr>
                <w:rFonts w:ascii="Arial" w:cs="Arial" w:eastAsia="Arial" w:hAnsi="Arial"/>
                <w:sz w:val="15"/>
                <w:szCs w:val="15"/>
                <w:color w:val="auto"/>
                <w:vertAlign w:val="superscript"/>
              </w:rPr>
              <w:t>2,3</w:t>
            </w:r>
          </w:p>
        </w:tc>
        <w:tc>
          <w:tcPr>
            <w:tcW w:w="660" w:type="dxa"/>
            <w:vAlign w:val="bottom"/>
            <w:shd w:val="clear" w:color="auto" w:fill="E0E7ED"/>
          </w:tcPr>
          <w:p>
            <w:pPr>
              <w:ind w:left="180"/>
              <w:spacing w:after="0"/>
              <w:rPr>
                <w:sz w:val="20"/>
                <w:szCs w:val="20"/>
                <w:color w:val="auto"/>
              </w:rPr>
            </w:pPr>
            <w:r>
              <w:rPr>
                <w:rFonts w:ascii="Arial" w:cs="Arial" w:eastAsia="Arial" w:hAnsi="Arial"/>
                <w:sz w:val="12"/>
                <w:szCs w:val="12"/>
                <w:color w:val="auto"/>
              </w:rPr>
              <w:t>[i÷j]</w:t>
            </w:r>
          </w:p>
        </w:tc>
        <w:tc>
          <w:tcPr>
            <w:tcW w:w="5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2.24 %</w:t>
            </w:r>
          </w:p>
        </w:tc>
        <w:tc>
          <w:tcPr>
            <w:tcW w:w="360" w:type="dxa"/>
            <w:vAlign w:val="bottom"/>
            <w:shd w:val="clear" w:color="auto" w:fill="E0E7ED"/>
          </w:tcPr>
          <w:p>
            <w:pPr>
              <w:spacing w:after="0"/>
              <w:rPr>
                <w:sz w:val="16"/>
                <w:szCs w:val="16"/>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2.27 %</w:t>
            </w:r>
          </w:p>
        </w:tc>
        <w:tc>
          <w:tcPr>
            <w:tcW w:w="36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2.36 %</w:t>
            </w:r>
          </w:p>
        </w:tc>
        <w:tc>
          <w:tcPr>
            <w:tcW w:w="36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2.25 %</w:t>
            </w:r>
          </w:p>
        </w:tc>
        <w:tc>
          <w:tcPr>
            <w:tcW w:w="360" w:type="dxa"/>
            <w:vAlign w:val="bottom"/>
            <w:shd w:val="clear" w:color="auto" w:fill="E0E7ED"/>
          </w:tcPr>
          <w:p>
            <w:pPr>
              <w:spacing w:after="0"/>
              <w:rPr>
                <w:sz w:val="16"/>
                <w:szCs w:val="16"/>
                <w:color w:val="auto"/>
              </w:rPr>
            </w:pPr>
          </w:p>
        </w:tc>
        <w:tc>
          <w:tcPr>
            <w:tcW w:w="1000" w:type="dxa"/>
            <w:vAlign w:val="bottom"/>
            <w:shd w:val="clear" w:color="auto" w:fill="E0E7ED"/>
          </w:tcPr>
          <w:p>
            <w:pPr>
              <w:jc w:val="right"/>
              <w:spacing w:after="0"/>
              <w:rPr>
                <w:sz w:val="20"/>
                <w:szCs w:val="20"/>
                <w:color w:val="auto"/>
              </w:rPr>
            </w:pPr>
            <w:r>
              <w:rPr>
                <w:rFonts w:ascii="Arial" w:cs="Arial" w:eastAsia="Arial" w:hAnsi="Arial"/>
                <w:sz w:val="12"/>
                <w:szCs w:val="12"/>
                <w:color w:val="auto"/>
              </w:rPr>
              <w:t>2.33 %</w:t>
            </w:r>
          </w:p>
        </w:tc>
      </w:tr>
    </w:tbl>
    <w:p>
      <w:pPr>
        <w:spacing w:after="0" w:line="4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40" w:hanging="240"/>
        <w:spacing w:after="0"/>
        <w:tabs>
          <w:tab w:leader="none" w:pos="340" w:val="left"/>
        </w:tabs>
        <w:numPr>
          <w:ilvl w:val="0"/>
          <w:numId w:val="14"/>
        </w:numPr>
        <w:rPr>
          <w:rFonts w:ascii="Arial" w:cs="Arial" w:eastAsia="Arial" w:hAnsi="Arial"/>
          <w:sz w:val="10"/>
          <w:szCs w:val="10"/>
          <w:color w:val="auto"/>
        </w:rPr>
      </w:pPr>
      <w:r>
        <w:rPr>
          <w:rFonts w:ascii="Arial" w:cs="Arial" w:eastAsia="Arial" w:hAnsi="Arial"/>
          <w:sz w:val="10"/>
          <w:szCs w:val="10"/>
          <w:color w:val="auto"/>
        </w:rPr>
        <w:t>Tax-equivalent adjustments were calculated using an estimated federal income tax rate of 21%, applied to non-taxable interest income on investments and loans.</w:t>
      </w:r>
    </w:p>
    <w:p>
      <w:pPr>
        <w:spacing w:after="0" w:line="2" w:lineRule="exact"/>
        <w:rPr>
          <w:rFonts w:ascii="Arial" w:cs="Arial" w:eastAsia="Arial" w:hAnsi="Arial"/>
          <w:sz w:val="10"/>
          <w:szCs w:val="10"/>
          <w:color w:val="auto"/>
        </w:rPr>
      </w:pPr>
    </w:p>
    <w:p>
      <w:pPr>
        <w:ind w:left="320" w:hanging="220"/>
        <w:spacing w:after="0" w:line="244" w:lineRule="auto"/>
        <w:tabs>
          <w:tab w:leader="none" w:pos="319" w:val="left"/>
        </w:tabs>
        <w:numPr>
          <w:ilvl w:val="0"/>
          <w:numId w:val="14"/>
        </w:numPr>
        <w:rPr>
          <w:rFonts w:ascii="Arial" w:cs="Arial" w:eastAsia="Arial" w:hAnsi="Arial"/>
          <w:sz w:val="10"/>
          <w:szCs w:val="10"/>
          <w:color w:val="auto"/>
        </w:rPr>
      </w:pPr>
      <w:r>
        <w:rPr>
          <w:rFonts w:ascii="Arial" w:cs="Arial" w:eastAsia="Arial" w:hAnsi="Arial"/>
          <w:sz w:val="10"/>
          <w:szCs w:val="10"/>
          <w:color w:val="auto"/>
        </w:rPr>
        <w:t>Beginning in the second quarter of 2025, Busey revised its presentation, for all periods presented, to reclassify the provision for unfunded commitments so that it is now included within the provision for credit losses; therefore, it is no longer included within total noninterest expense. This change affects all measures and ratios derived from total noninterest expense.</w:t>
      </w:r>
    </w:p>
    <w:p>
      <w:pPr>
        <w:ind w:left="320" w:hanging="220"/>
        <w:spacing w:after="0"/>
        <w:tabs>
          <w:tab w:leader="none" w:pos="320" w:val="left"/>
        </w:tabs>
        <w:numPr>
          <w:ilvl w:val="0"/>
          <w:numId w:val="14"/>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17</w:t>
      </w:r>
    </w:p>
    <w:p>
      <w:pPr>
        <w:sectPr>
          <w:pgSz w:w="11900" w:h="16838" w:orient="portrait"/>
          <w:cols w:equalWidth="0" w:num="1">
            <w:col w:w="11300"/>
          </w:cols>
          <w:pgMar w:left="300" w:top="910" w:right="29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 xml:space="preserve">RECONCILIATION OF NON-GAAP FINANCIAL MEASURES </w:t>
      </w:r>
      <w:r>
        <w:rPr>
          <w:rFonts w:ascii="Arial" w:cs="Arial" w:eastAsia="Arial" w:hAnsi="Arial"/>
          <w:sz w:val="12"/>
          <w:szCs w:val="12"/>
          <w:b w:val="1"/>
          <w:bCs w:val="1"/>
          <w:i w:val="1"/>
          <w:iCs w:val="1"/>
          <w:color w:val="auto"/>
        </w:rPr>
        <w:t>(Unaudited)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Tangible Assets, Tangible Common Equity, and Related Measures and Ratio</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0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4"/>
              </w:rPr>
              <w:t>As of</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27"/>
        </w:trPr>
        <w:tc>
          <w:tcPr>
            <w:tcW w:w="50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June 30,</w:t>
            </w:r>
          </w:p>
        </w:tc>
        <w:tc>
          <w:tcPr>
            <w:tcW w:w="260" w:type="dxa"/>
            <w:vAlign w:val="bottom"/>
          </w:tcPr>
          <w:p>
            <w:pPr>
              <w:spacing w:after="0"/>
              <w:rPr>
                <w:sz w:val="11"/>
                <w:szCs w:val="11"/>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March 31,</w:t>
            </w:r>
          </w:p>
        </w:tc>
        <w:tc>
          <w:tcPr>
            <w:tcW w:w="260" w:type="dxa"/>
            <w:vAlign w:val="bottom"/>
          </w:tcPr>
          <w:p>
            <w:pPr>
              <w:spacing w:after="0"/>
              <w:rPr>
                <w:sz w:val="11"/>
                <w:szCs w:val="11"/>
                <w:color w:val="auto"/>
              </w:rPr>
            </w:pPr>
          </w:p>
        </w:tc>
        <w:tc>
          <w:tcPr>
            <w:tcW w:w="1080" w:type="dxa"/>
            <w:vAlign w:val="bottom"/>
          </w:tcPr>
          <w:p>
            <w:pPr>
              <w:jc w:val="right"/>
              <w:ind w:right="401"/>
              <w:spacing w:after="0"/>
              <w:rPr>
                <w:sz w:val="20"/>
                <w:szCs w:val="20"/>
                <w:color w:val="auto"/>
              </w:rPr>
            </w:pPr>
            <w:r>
              <w:rPr>
                <w:rFonts w:ascii="Arial" w:cs="Arial" w:eastAsia="Arial" w:hAnsi="Arial"/>
                <w:sz w:val="11"/>
                <w:szCs w:val="11"/>
                <w:b w:val="1"/>
                <w:bCs w:val="1"/>
                <w:color w:val="auto"/>
              </w:rPr>
              <w:t>June 30,</w:t>
            </w:r>
          </w:p>
        </w:tc>
      </w:tr>
      <w:tr>
        <w:trPr>
          <w:trHeight w:val="161"/>
        </w:trPr>
        <w:tc>
          <w:tcPr>
            <w:tcW w:w="5000" w:type="dxa"/>
            <w:vAlign w:val="bottom"/>
            <w:tcBorders>
              <w:bottom w:val="single" w:sz="8" w:color="DBE2E9"/>
            </w:tcBorders>
          </w:tcPr>
          <w:p>
            <w:pPr>
              <w:spacing w:after="0"/>
              <w:rPr>
                <w:sz w:val="20"/>
                <w:szCs w:val="20"/>
                <w:color w:val="auto"/>
              </w:rPr>
            </w:pPr>
            <w:r>
              <w:rPr>
                <w:rFonts w:ascii="Arial" w:cs="Arial" w:eastAsia="Arial" w:hAnsi="Arial"/>
                <w:sz w:val="11"/>
                <w:szCs w:val="11"/>
                <w:i w:val="1"/>
                <w:iCs w:val="1"/>
                <w:color w:val="auto"/>
              </w:rPr>
              <w:t>(dollars in thousands, except per share amounts)</w:t>
            </w:r>
          </w:p>
        </w:tc>
        <w:tc>
          <w:tcPr>
            <w:tcW w:w="2120" w:type="dxa"/>
            <w:vAlign w:val="bottom"/>
            <w:tcBorders>
              <w:bottom w:val="single" w:sz="8" w:color="DBE2E9"/>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DBE2E9"/>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181"/>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Borders>
              <w:bottom w:val="single" w:sz="8" w:color="DBE2E9"/>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1"/>
                <w:szCs w:val="11"/>
                <w:b w:val="1"/>
                <w:bCs w:val="1"/>
                <w:color w:val="auto"/>
              </w:rPr>
              <w:t>2024</w:t>
            </w:r>
          </w:p>
        </w:tc>
      </w:tr>
      <w:tr>
        <w:trPr>
          <w:trHeight w:val="170"/>
        </w:trPr>
        <w:tc>
          <w:tcPr>
            <w:tcW w:w="5000" w:type="dxa"/>
            <w:vAlign w:val="bottom"/>
            <w:shd w:val="clear" w:color="auto" w:fill="DBE2E9"/>
          </w:tcPr>
          <w:p>
            <w:pPr>
              <w:spacing w:after="0"/>
              <w:rPr>
                <w:sz w:val="20"/>
                <w:szCs w:val="20"/>
                <w:color w:val="auto"/>
              </w:rPr>
            </w:pPr>
            <w:r>
              <w:rPr>
                <w:rFonts w:ascii="Arial" w:cs="Arial" w:eastAsia="Arial" w:hAnsi="Arial"/>
                <w:sz w:val="12"/>
                <w:szCs w:val="12"/>
                <w:b w:val="1"/>
                <w:bCs w:val="1"/>
                <w:color w:val="auto"/>
              </w:rPr>
              <w:t>Total assets (GAAP)</w:t>
            </w:r>
          </w:p>
        </w:tc>
        <w:tc>
          <w:tcPr>
            <w:tcW w:w="2120" w:type="dxa"/>
            <w:vAlign w:val="bottom"/>
            <w:shd w:val="clear" w:color="auto" w:fill="DBE2E9"/>
          </w:tcPr>
          <w:p>
            <w:pPr>
              <w:spacing w:after="0"/>
              <w:rPr>
                <w:sz w:val="14"/>
                <w:szCs w:val="14"/>
                <w:color w:val="auto"/>
              </w:rPr>
            </w:pPr>
          </w:p>
        </w:tc>
        <w:tc>
          <w:tcPr>
            <w:tcW w:w="280" w:type="dxa"/>
            <w:vAlign w:val="bottom"/>
            <w:shd w:val="clear" w:color="auto" w:fill="DBE2E9"/>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DBE2E9"/>
          </w:tcPr>
          <w:p>
            <w:pPr>
              <w:jc w:val="right"/>
              <w:ind w:right="81"/>
              <w:spacing w:after="0"/>
              <w:rPr>
                <w:sz w:val="20"/>
                <w:szCs w:val="20"/>
                <w:color w:val="auto"/>
              </w:rPr>
            </w:pPr>
            <w:r>
              <w:rPr>
                <w:rFonts w:ascii="Arial" w:cs="Arial" w:eastAsia="Arial" w:hAnsi="Arial"/>
                <w:sz w:val="12"/>
                <w:szCs w:val="12"/>
                <w:color w:val="auto"/>
              </w:rPr>
              <w:t>18,918,740</w:t>
            </w:r>
          </w:p>
        </w:tc>
        <w:tc>
          <w:tcPr>
            <w:tcW w:w="80" w:type="dxa"/>
            <w:vAlign w:val="bottom"/>
            <w:shd w:val="clear" w:color="auto" w:fill="DBE2E9"/>
          </w:tcPr>
          <w:p>
            <w:pPr>
              <w:spacing w:after="0"/>
              <w:rPr>
                <w:sz w:val="14"/>
                <w:szCs w:val="14"/>
                <w:color w:val="auto"/>
              </w:rPr>
            </w:pPr>
          </w:p>
        </w:tc>
        <w:tc>
          <w:tcPr>
            <w:tcW w:w="260" w:type="dxa"/>
            <w:vAlign w:val="bottom"/>
            <w:shd w:val="clear" w:color="auto" w:fill="DBE2E9"/>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DBE2E9"/>
          </w:tcPr>
          <w:p>
            <w:pPr>
              <w:jc w:val="right"/>
              <w:ind w:right="101"/>
              <w:spacing w:after="0"/>
              <w:rPr>
                <w:sz w:val="20"/>
                <w:szCs w:val="20"/>
                <w:color w:val="auto"/>
              </w:rPr>
            </w:pPr>
            <w:r>
              <w:rPr>
                <w:rFonts w:ascii="Arial" w:cs="Arial" w:eastAsia="Arial" w:hAnsi="Arial"/>
                <w:sz w:val="12"/>
                <w:szCs w:val="12"/>
                <w:color w:val="auto"/>
              </w:rPr>
              <w:t>19,464,252</w:t>
            </w:r>
          </w:p>
        </w:tc>
        <w:tc>
          <w:tcPr>
            <w:tcW w:w="80" w:type="dxa"/>
            <w:vAlign w:val="bottom"/>
            <w:shd w:val="clear" w:color="auto" w:fill="DBE2E9"/>
          </w:tcPr>
          <w:p>
            <w:pPr>
              <w:spacing w:after="0"/>
              <w:rPr>
                <w:sz w:val="14"/>
                <w:szCs w:val="14"/>
                <w:color w:val="auto"/>
              </w:rPr>
            </w:pPr>
          </w:p>
        </w:tc>
        <w:tc>
          <w:tcPr>
            <w:tcW w:w="260" w:type="dxa"/>
            <w:vAlign w:val="bottom"/>
            <w:shd w:val="clear" w:color="auto" w:fill="DBE2E9"/>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DBE2E9"/>
          </w:tcPr>
          <w:p>
            <w:pPr>
              <w:jc w:val="right"/>
              <w:ind w:right="101"/>
              <w:spacing w:after="0"/>
              <w:rPr>
                <w:sz w:val="20"/>
                <w:szCs w:val="20"/>
                <w:color w:val="auto"/>
              </w:rPr>
            </w:pPr>
            <w:r>
              <w:rPr>
                <w:rFonts w:ascii="Arial" w:cs="Arial" w:eastAsia="Arial" w:hAnsi="Arial"/>
                <w:sz w:val="12"/>
                <w:szCs w:val="12"/>
                <w:color w:val="auto"/>
              </w:rPr>
              <w:t>11,971,416</w:t>
            </w:r>
          </w:p>
        </w:tc>
      </w:tr>
      <w:tr>
        <w:trPr>
          <w:trHeight w:val="172"/>
        </w:trPr>
        <w:tc>
          <w:tcPr>
            <w:tcW w:w="5000" w:type="dxa"/>
            <w:vAlign w:val="bottom"/>
            <w:tcBorders>
              <w:bottom w:val="single" w:sz="8" w:color="DBE2E9"/>
            </w:tcBorders>
          </w:tcPr>
          <w:p>
            <w:pPr>
              <w:ind w:left="120"/>
              <w:spacing w:after="0"/>
              <w:rPr>
                <w:sz w:val="20"/>
                <w:szCs w:val="20"/>
                <w:color w:val="auto"/>
              </w:rPr>
            </w:pPr>
            <w:r>
              <w:rPr>
                <w:rFonts w:ascii="Arial" w:cs="Arial" w:eastAsia="Arial" w:hAnsi="Arial"/>
                <w:sz w:val="12"/>
                <w:szCs w:val="12"/>
                <w:color w:val="auto"/>
              </w:rPr>
              <w:t>Goodwill and other intangible assets, net</w:t>
            </w:r>
          </w:p>
        </w:tc>
        <w:tc>
          <w:tcPr>
            <w:tcW w:w="2120" w:type="dxa"/>
            <w:vAlign w:val="bottom"/>
            <w:tcBorders>
              <w:bottom w:val="single" w:sz="8" w:color="DBE2E9"/>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(488,181)</w:t>
            </w:r>
          </w:p>
        </w:tc>
        <w:tc>
          <w:tcPr>
            <w:tcW w:w="80" w:type="dxa"/>
            <w:vAlign w:val="bottom"/>
            <w:tcBorders>
              <w:bottom w:val="single" w:sz="8" w:color="DBE2E9"/>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(496,118)</w:t>
            </w:r>
          </w:p>
        </w:tc>
        <w:tc>
          <w:tcPr>
            <w:tcW w:w="80" w:type="dxa"/>
            <w:vAlign w:val="bottom"/>
            <w:tcBorders>
              <w:bottom w:val="single" w:sz="8" w:color="DBE2E9"/>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(370,580)</w:t>
            </w:r>
          </w:p>
        </w:tc>
      </w:tr>
      <w:tr>
        <w:trPr>
          <w:trHeight w:val="193"/>
        </w:trPr>
        <w:tc>
          <w:tcPr>
            <w:tcW w:w="5000" w:type="dxa"/>
            <w:vAlign w:val="bottom"/>
            <w:tcBorders>
              <w:bottom w:val="single" w:sz="8" w:color="DBE2E9"/>
            </w:tcBorders>
            <w:shd w:val="clear" w:color="auto" w:fill="DBE2E9"/>
          </w:tcPr>
          <w:p>
            <w:pPr>
              <w:spacing w:after="0"/>
              <w:rPr>
                <w:sz w:val="20"/>
                <w:szCs w:val="20"/>
                <w:color w:val="auto"/>
              </w:rPr>
            </w:pPr>
            <w:r>
              <w:rPr>
                <w:rFonts w:ascii="Arial" w:cs="Arial" w:eastAsia="Arial" w:hAnsi="Arial"/>
                <w:sz w:val="12"/>
                <w:szCs w:val="12"/>
                <w:color w:val="auto"/>
              </w:rPr>
              <w:t>Tangible assets (Non-GAAP)</w:t>
            </w:r>
            <w:r>
              <w:rPr>
                <w:rFonts w:ascii="Arial" w:cs="Arial" w:eastAsia="Arial" w:hAnsi="Arial"/>
                <w:sz w:val="15"/>
                <w:szCs w:val="15"/>
                <w:color w:val="auto"/>
                <w:vertAlign w:val="superscript"/>
              </w:rPr>
              <w:t>1</w:t>
            </w:r>
          </w:p>
        </w:tc>
        <w:tc>
          <w:tcPr>
            <w:tcW w:w="2120" w:type="dxa"/>
            <w:vAlign w:val="bottom"/>
            <w:tcBorders>
              <w:bottom w:val="single" w:sz="8" w:color="DBE2E9"/>
            </w:tcBorders>
            <w:shd w:val="clear" w:color="auto" w:fill="DBE2E9"/>
          </w:tcPr>
          <w:p>
            <w:pPr>
              <w:ind w:left="1520"/>
              <w:spacing w:after="0"/>
              <w:rPr>
                <w:sz w:val="20"/>
                <w:szCs w:val="20"/>
                <w:color w:val="auto"/>
              </w:rPr>
            </w:pPr>
            <w:r>
              <w:rPr>
                <w:rFonts w:ascii="Arial" w:cs="Arial" w:eastAsia="Arial" w:hAnsi="Arial"/>
                <w:sz w:val="12"/>
                <w:szCs w:val="12"/>
                <w:color w:val="auto"/>
              </w:rPr>
              <w:t>[a]</w:t>
            </w:r>
          </w:p>
        </w:tc>
        <w:tc>
          <w:tcPr>
            <w:tcW w:w="280" w:type="dxa"/>
            <w:vAlign w:val="bottom"/>
            <w:tcBorders>
              <w:bottom w:val="single" w:sz="8" w:color="auto"/>
            </w:tcBorders>
            <w:shd w:val="clear" w:color="auto" w:fill="DBE2E9"/>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DBE2E9"/>
          </w:tcPr>
          <w:p>
            <w:pPr>
              <w:jc w:val="right"/>
              <w:ind w:right="81"/>
              <w:spacing w:after="0"/>
              <w:rPr>
                <w:sz w:val="20"/>
                <w:szCs w:val="20"/>
                <w:color w:val="auto"/>
              </w:rPr>
            </w:pPr>
            <w:r>
              <w:rPr>
                <w:rFonts w:ascii="Arial" w:cs="Arial" w:eastAsia="Arial" w:hAnsi="Arial"/>
                <w:sz w:val="12"/>
                <w:szCs w:val="12"/>
                <w:color w:val="auto"/>
              </w:rPr>
              <w:t>18,430,559</w:t>
            </w:r>
          </w:p>
        </w:tc>
        <w:tc>
          <w:tcPr>
            <w:tcW w:w="80" w:type="dxa"/>
            <w:vAlign w:val="bottom"/>
            <w:tcBorders>
              <w:bottom w:val="single" w:sz="8" w:color="DBE2E9"/>
            </w:tcBorders>
            <w:shd w:val="clear" w:color="auto" w:fill="DBE2E9"/>
          </w:tcPr>
          <w:p>
            <w:pPr>
              <w:spacing w:after="0"/>
              <w:rPr>
                <w:sz w:val="16"/>
                <w:szCs w:val="16"/>
                <w:color w:val="auto"/>
              </w:rPr>
            </w:pPr>
          </w:p>
        </w:tc>
        <w:tc>
          <w:tcPr>
            <w:tcW w:w="260" w:type="dxa"/>
            <w:vAlign w:val="bottom"/>
            <w:tcBorders>
              <w:bottom w:val="single" w:sz="8" w:color="auto"/>
            </w:tcBorders>
            <w:shd w:val="clear" w:color="auto" w:fill="DBE2E9"/>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DBE2E9"/>
          </w:tcPr>
          <w:p>
            <w:pPr>
              <w:jc w:val="right"/>
              <w:ind w:right="101"/>
              <w:spacing w:after="0"/>
              <w:rPr>
                <w:sz w:val="20"/>
                <w:szCs w:val="20"/>
                <w:color w:val="auto"/>
              </w:rPr>
            </w:pPr>
            <w:r>
              <w:rPr>
                <w:rFonts w:ascii="Arial" w:cs="Arial" w:eastAsia="Arial" w:hAnsi="Arial"/>
                <w:sz w:val="12"/>
                <w:szCs w:val="12"/>
                <w:color w:val="auto"/>
              </w:rPr>
              <w:t>18,968,134</w:t>
            </w:r>
          </w:p>
        </w:tc>
        <w:tc>
          <w:tcPr>
            <w:tcW w:w="80" w:type="dxa"/>
            <w:vAlign w:val="bottom"/>
            <w:tcBorders>
              <w:bottom w:val="single" w:sz="8" w:color="DBE2E9"/>
            </w:tcBorders>
            <w:shd w:val="clear" w:color="auto" w:fill="DBE2E9"/>
          </w:tcPr>
          <w:p>
            <w:pPr>
              <w:spacing w:after="0"/>
              <w:rPr>
                <w:sz w:val="16"/>
                <w:szCs w:val="16"/>
                <w:color w:val="auto"/>
              </w:rPr>
            </w:pPr>
          </w:p>
        </w:tc>
        <w:tc>
          <w:tcPr>
            <w:tcW w:w="260" w:type="dxa"/>
            <w:vAlign w:val="bottom"/>
            <w:tcBorders>
              <w:bottom w:val="single" w:sz="8" w:color="auto"/>
            </w:tcBorders>
            <w:shd w:val="clear" w:color="auto" w:fill="DBE2E9"/>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DBE2E9"/>
          </w:tcPr>
          <w:p>
            <w:pPr>
              <w:jc w:val="right"/>
              <w:ind w:right="101"/>
              <w:spacing w:after="0"/>
              <w:rPr>
                <w:sz w:val="20"/>
                <w:szCs w:val="20"/>
                <w:color w:val="auto"/>
              </w:rPr>
            </w:pPr>
            <w:r>
              <w:rPr>
                <w:rFonts w:ascii="Arial" w:cs="Arial" w:eastAsia="Arial" w:hAnsi="Arial"/>
                <w:sz w:val="12"/>
                <w:szCs w:val="12"/>
                <w:color w:val="auto"/>
              </w:rPr>
              <w:t>11,600,836</w:t>
            </w:r>
          </w:p>
        </w:tc>
      </w:tr>
      <w:tr>
        <w:trPr>
          <w:trHeight w:val="153"/>
        </w:trPr>
        <w:tc>
          <w:tcPr>
            <w:tcW w:w="50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5000" w:type="dxa"/>
            <w:vAlign w:val="bottom"/>
            <w:shd w:val="clear" w:color="auto" w:fill="DBE2E9"/>
          </w:tcPr>
          <w:p>
            <w:pPr>
              <w:spacing w:after="0"/>
              <w:rPr>
                <w:sz w:val="20"/>
                <w:szCs w:val="20"/>
                <w:color w:val="auto"/>
              </w:rPr>
            </w:pPr>
            <w:r>
              <w:rPr>
                <w:rFonts w:ascii="Arial" w:cs="Arial" w:eastAsia="Arial" w:hAnsi="Arial"/>
                <w:sz w:val="12"/>
                <w:szCs w:val="12"/>
                <w:b w:val="1"/>
                <w:bCs w:val="1"/>
                <w:color w:val="auto"/>
              </w:rPr>
              <w:t>Total stockholders' equity (GAAP)</w:t>
            </w:r>
          </w:p>
        </w:tc>
        <w:tc>
          <w:tcPr>
            <w:tcW w:w="2120" w:type="dxa"/>
            <w:vAlign w:val="bottom"/>
            <w:shd w:val="clear" w:color="auto" w:fill="DBE2E9"/>
          </w:tcPr>
          <w:p>
            <w:pPr>
              <w:spacing w:after="0"/>
              <w:rPr>
                <w:sz w:val="15"/>
                <w:szCs w:val="15"/>
                <w:color w:val="auto"/>
              </w:rPr>
            </w:pPr>
          </w:p>
        </w:tc>
        <w:tc>
          <w:tcPr>
            <w:tcW w:w="280" w:type="dxa"/>
            <w:vAlign w:val="bottom"/>
            <w:shd w:val="clear" w:color="auto" w:fill="DBE2E9"/>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DBE2E9"/>
          </w:tcPr>
          <w:p>
            <w:pPr>
              <w:jc w:val="right"/>
              <w:ind w:right="81"/>
              <w:spacing w:after="0"/>
              <w:rPr>
                <w:sz w:val="20"/>
                <w:szCs w:val="20"/>
                <w:color w:val="auto"/>
              </w:rPr>
            </w:pPr>
            <w:r>
              <w:rPr>
                <w:rFonts w:ascii="Arial" w:cs="Arial" w:eastAsia="Arial" w:hAnsi="Arial"/>
                <w:sz w:val="12"/>
                <w:szCs w:val="12"/>
                <w:color w:val="auto"/>
              </w:rPr>
              <w:t>2,412,546</w:t>
            </w:r>
          </w:p>
        </w:tc>
        <w:tc>
          <w:tcPr>
            <w:tcW w:w="80" w:type="dxa"/>
            <w:vAlign w:val="bottom"/>
            <w:shd w:val="clear" w:color="auto" w:fill="DBE2E9"/>
          </w:tcPr>
          <w:p>
            <w:pPr>
              <w:spacing w:after="0"/>
              <w:rPr>
                <w:sz w:val="15"/>
                <w:szCs w:val="15"/>
                <w:color w:val="auto"/>
              </w:rPr>
            </w:pPr>
          </w:p>
        </w:tc>
        <w:tc>
          <w:tcPr>
            <w:tcW w:w="260" w:type="dxa"/>
            <w:vAlign w:val="bottom"/>
            <w:shd w:val="clear" w:color="auto" w:fill="DBE2E9"/>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DBE2E9"/>
          </w:tcPr>
          <w:p>
            <w:pPr>
              <w:jc w:val="right"/>
              <w:ind w:right="101"/>
              <w:spacing w:after="0"/>
              <w:rPr>
                <w:sz w:val="20"/>
                <w:szCs w:val="20"/>
                <w:color w:val="auto"/>
              </w:rPr>
            </w:pPr>
            <w:r>
              <w:rPr>
                <w:rFonts w:ascii="Arial" w:cs="Arial" w:eastAsia="Arial" w:hAnsi="Arial"/>
                <w:sz w:val="12"/>
                <w:szCs w:val="12"/>
                <w:color w:val="auto"/>
              </w:rPr>
              <w:t>2,179,606</w:t>
            </w:r>
          </w:p>
        </w:tc>
        <w:tc>
          <w:tcPr>
            <w:tcW w:w="80" w:type="dxa"/>
            <w:vAlign w:val="bottom"/>
            <w:shd w:val="clear" w:color="auto" w:fill="DBE2E9"/>
          </w:tcPr>
          <w:p>
            <w:pPr>
              <w:spacing w:after="0"/>
              <w:rPr>
                <w:sz w:val="15"/>
                <w:szCs w:val="15"/>
                <w:color w:val="auto"/>
              </w:rPr>
            </w:pPr>
          </w:p>
        </w:tc>
        <w:tc>
          <w:tcPr>
            <w:tcW w:w="260" w:type="dxa"/>
            <w:vAlign w:val="bottom"/>
            <w:shd w:val="clear" w:color="auto" w:fill="DBE2E9"/>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DBE2E9"/>
          </w:tcPr>
          <w:p>
            <w:pPr>
              <w:jc w:val="right"/>
              <w:ind w:right="101"/>
              <w:spacing w:after="0"/>
              <w:rPr>
                <w:sz w:val="20"/>
                <w:szCs w:val="20"/>
                <w:color w:val="auto"/>
              </w:rPr>
            </w:pPr>
            <w:r>
              <w:rPr>
                <w:rFonts w:ascii="Arial" w:cs="Arial" w:eastAsia="Arial" w:hAnsi="Arial"/>
                <w:sz w:val="12"/>
                <w:szCs w:val="12"/>
                <w:color w:val="auto"/>
              </w:rPr>
              <w:t>1,333,810</w:t>
            </w:r>
          </w:p>
        </w:tc>
      </w:tr>
      <w:tr>
        <w:trPr>
          <w:trHeight w:val="172"/>
        </w:trPr>
        <w:tc>
          <w:tcPr>
            <w:tcW w:w="5000" w:type="dxa"/>
            <w:vAlign w:val="bottom"/>
            <w:tcBorders>
              <w:bottom w:val="single" w:sz="8" w:color="DBE2E9"/>
            </w:tcBorders>
          </w:tcPr>
          <w:p>
            <w:pPr>
              <w:ind w:left="120"/>
              <w:spacing w:after="0"/>
              <w:rPr>
                <w:sz w:val="20"/>
                <w:szCs w:val="20"/>
                <w:color w:val="auto"/>
              </w:rPr>
            </w:pPr>
            <w:r>
              <w:rPr>
                <w:rFonts w:ascii="Arial" w:cs="Arial" w:eastAsia="Arial" w:hAnsi="Arial"/>
                <w:sz w:val="12"/>
                <w:szCs w:val="12"/>
                <w:color w:val="auto"/>
              </w:rPr>
              <w:t>Preferred stock and additional paid in capital on preferred stock</w:t>
            </w:r>
          </w:p>
        </w:tc>
        <w:tc>
          <w:tcPr>
            <w:tcW w:w="2120" w:type="dxa"/>
            <w:vAlign w:val="bottom"/>
            <w:tcBorders>
              <w:bottom w:val="single" w:sz="8" w:color="DBE2E9"/>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(215,197)</w:t>
            </w:r>
          </w:p>
        </w:tc>
        <w:tc>
          <w:tcPr>
            <w:tcW w:w="80" w:type="dxa"/>
            <w:vAlign w:val="bottom"/>
            <w:tcBorders>
              <w:bottom w:val="single" w:sz="8" w:color="DBE2E9"/>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(7,750)</w:t>
            </w:r>
          </w:p>
        </w:tc>
        <w:tc>
          <w:tcPr>
            <w:tcW w:w="80" w:type="dxa"/>
            <w:vAlign w:val="bottom"/>
            <w:tcBorders>
              <w:bottom w:val="single" w:sz="8" w:color="DBE2E9"/>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r>
      <w:tr>
        <w:trPr>
          <w:trHeight w:val="177"/>
        </w:trPr>
        <w:tc>
          <w:tcPr>
            <w:tcW w:w="5000" w:type="dxa"/>
            <w:vAlign w:val="bottom"/>
            <w:shd w:val="clear" w:color="auto" w:fill="DBE2E9"/>
          </w:tcPr>
          <w:p>
            <w:pPr>
              <w:spacing w:after="0"/>
              <w:rPr>
                <w:sz w:val="20"/>
                <w:szCs w:val="20"/>
                <w:color w:val="auto"/>
              </w:rPr>
            </w:pPr>
            <w:r>
              <w:rPr>
                <w:rFonts w:ascii="Arial" w:cs="Arial" w:eastAsia="Arial" w:hAnsi="Arial"/>
                <w:sz w:val="12"/>
                <w:szCs w:val="12"/>
                <w:color w:val="auto"/>
              </w:rPr>
              <w:t>Common equity</w:t>
            </w:r>
          </w:p>
        </w:tc>
        <w:tc>
          <w:tcPr>
            <w:tcW w:w="2120" w:type="dxa"/>
            <w:vAlign w:val="bottom"/>
            <w:shd w:val="clear" w:color="auto" w:fill="DBE2E9"/>
          </w:tcPr>
          <w:p>
            <w:pPr>
              <w:ind w:left="1520"/>
              <w:spacing w:after="0"/>
              <w:rPr>
                <w:sz w:val="20"/>
                <w:szCs w:val="20"/>
                <w:color w:val="auto"/>
              </w:rPr>
            </w:pPr>
            <w:r>
              <w:rPr>
                <w:rFonts w:ascii="Arial" w:cs="Arial" w:eastAsia="Arial" w:hAnsi="Arial"/>
                <w:sz w:val="12"/>
                <w:szCs w:val="12"/>
                <w:color w:val="auto"/>
              </w:rPr>
              <w:t>[b]</w:t>
            </w:r>
          </w:p>
        </w:tc>
        <w:tc>
          <w:tcPr>
            <w:tcW w:w="280" w:type="dxa"/>
            <w:vAlign w:val="bottom"/>
            <w:shd w:val="clear" w:color="auto" w:fill="DBE2E9"/>
          </w:tcPr>
          <w:p>
            <w:pPr>
              <w:spacing w:after="0"/>
              <w:rPr>
                <w:sz w:val="15"/>
                <w:szCs w:val="15"/>
                <w:color w:val="auto"/>
              </w:rPr>
            </w:pPr>
          </w:p>
        </w:tc>
        <w:tc>
          <w:tcPr>
            <w:tcW w:w="1060" w:type="dxa"/>
            <w:vAlign w:val="bottom"/>
            <w:shd w:val="clear" w:color="auto" w:fill="DBE2E9"/>
          </w:tcPr>
          <w:p>
            <w:pPr>
              <w:jc w:val="right"/>
              <w:ind w:right="81"/>
              <w:spacing w:after="0"/>
              <w:rPr>
                <w:sz w:val="20"/>
                <w:szCs w:val="20"/>
                <w:color w:val="auto"/>
              </w:rPr>
            </w:pPr>
            <w:r>
              <w:rPr>
                <w:rFonts w:ascii="Arial" w:cs="Arial" w:eastAsia="Arial" w:hAnsi="Arial"/>
                <w:sz w:val="12"/>
                <w:szCs w:val="12"/>
                <w:color w:val="auto"/>
              </w:rPr>
              <w:t>2,197,349</w:t>
            </w:r>
          </w:p>
        </w:tc>
        <w:tc>
          <w:tcPr>
            <w:tcW w:w="80" w:type="dxa"/>
            <w:vAlign w:val="bottom"/>
            <w:shd w:val="clear" w:color="auto" w:fill="DBE2E9"/>
          </w:tcPr>
          <w:p>
            <w:pPr>
              <w:spacing w:after="0"/>
              <w:rPr>
                <w:sz w:val="15"/>
                <w:szCs w:val="15"/>
                <w:color w:val="auto"/>
              </w:rPr>
            </w:pPr>
          </w:p>
        </w:tc>
        <w:tc>
          <w:tcPr>
            <w:tcW w:w="260" w:type="dxa"/>
            <w:vAlign w:val="bottom"/>
            <w:shd w:val="clear" w:color="auto" w:fill="DBE2E9"/>
          </w:tcPr>
          <w:p>
            <w:pPr>
              <w:spacing w:after="0"/>
              <w:rPr>
                <w:sz w:val="15"/>
                <w:szCs w:val="15"/>
                <w:color w:val="auto"/>
              </w:rPr>
            </w:pPr>
          </w:p>
        </w:tc>
        <w:tc>
          <w:tcPr>
            <w:tcW w:w="1080" w:type="dxa"/>
            <w:vAlign w:val="bottom"/>
            <w:shd w:val="clear" w:color="auto" w:fill="DBE2E9"/>
          </w:tcPr>
          <w:p>
            <w:pPr>
              <w:jc w:val="right"/>
              <w:ind w:right="101"/>
              <w:spacing w:after="0"/>
              <w:rPr>
                <w:sz w:val="20"/>
                <w:szCs w:val="20"/>
                <w:color w:val="auto"/>
              </w:rPr>
            </w:pPr>
            <w:r>
              <w:rPr>
                <w:rFonts w:ascii="Arial" w:cs="Arial" w:eastAsia="Arial" w:hAnsi="Arial"/>
                <w:sz w:val="12"/>
                <w:szCs w:val="12"/>
                <w:color w:val="auto"/>
              </w:rPr>
              <w:t>2,171,856</w:t>
            </w:r>
          </w:p>
        </w:tc>
        <w:tc>
          <w:tcPr>
            <w:tcW w:w="80" w:type="dxa"/>
            <w:vAlign w:val="bottom"/>
            <w:shd w:val="clear" w:color="auto" w:fill="DBE2E9"/>
          </w:tcPr>
          <w:p>
            <w:pPr>
              <w:spacing w:after="0"/>
              <w:rPr>
                <w:sz w:val="15"/>
                <w:szCs w:val="15"/>
                <w:color w:val="auto"/>
              </w:rPr>
            </w:pPr>
          </w:p>
        </w:tc>
        <w:tc>
          <w:tcPr>
            <w:tcW w:w="260" w:type="dxa"/>
            <w:vAlign w:val="bottom"/>
            <w:shd w:val="clear" w:color="auto" w:fill="DBE2E9"/>
          </w:tcPr>
          <w:p>
            <w:pPr>
              <w:spacing w:after="0"/>
              <w:rPr>
                <w:sz w:val="15"/>
                <w:szCs w:val="15"/>
                <w:color w:val="auto"/>
              </w:rPr>
            </w:pPr>
          </w:p>
        </w:tc>
        <w:tc>
          <w:tcPr>
            <w:tcW w:w="1080" w:type="dxa"/>
            <w:vAlign w:val="bottom"/>
            <w:shd w:val="clear" w:color="auto" w:fill="DBE2E9"/>
          </w:tcPr>
          <w:p>
            <w:pPr>
              <w:jc w:val="right"/>
              <w:ind w:right="101"/>
              <w:spacing w:after="0"/>
              <w:rPr>
                <w:sz w:val="20"/>
                <w:szCs w:val="20"/>
                <w:color w:val="auto"/>
              </w:rPr>
            </w:pPr>
            <w:r>
              <w:rPr>
                <w:rFonts w:ascii="Arial" w:cs="Arial" w:eastAsia="Arial" w:hAnsi="Arial"/>
                <w:sz w:val="12"/>
                <w:szCs w:val="12"/>
                <w:color w:val="auto"/>
              </w:rPr>
              <w:t>1,333,810</w:t>
            </w:r>
          </w:p>
        </w:tc>
      </w:tr>
      <w:tr>
        <w:trPr>
          <w:trHeight w:val="172"/>
        </w:trPr>
        <w:tc>
          <w:tcPr>
            <w:tcW w:w="5000" w:type="dxa"/>
            <w:vAlign w:val="bottom"/>
            <w:tcBorders>
              <w:bottom w:val="single" w:sz="8" w:color="DBE2E9"/>
            </w:tcBorders>
          </w:tcPr>
          <w:p>
            <w:pPr>
              <w:ind w:left="120"/>
              <w:spacing w:after="0"/>
              <w:rPr>
                <w:sz w:val="20"/>
                <w:szCs w:val="20"/>
                <w:color w:val="auto"/>
              </w:rPr>
            </w:pPr>
            <w:r>
              <w:rPr>
                <w:rFonts w:ascii="Arial" w:cs="Arial" w:eastAsia="Arial" w:hAnsi="Arial"/>
                <w:sz w:val="12"/>
                <w:szCs w:val="12"/>
                <w:color w:val="auto"/>
              </w:rPr>
              <w:t>Goodwill and other intangible assets, net</w:t>
            </w:r>
          </w:p>
        </w:tc>
        <w:tc>
          <w:tcPr>
            <w:tcW w:w="2120" w:type="dxa"/>
            <w:vAlign w:val="bottom"/>
            <w:tcBorders>
              <w:bottom w:val="single" w:sz="8" w:color="DBE2E9"/>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(488,181)</w:t>
            </w:r>
          </w:p>
        </w:tc>
        <w:tc>
          <w:tcPr>
            <w:tcW w:w="80" w:type="dxa"/>
            <w:vAlign w:val="bottom"/>
            <w:tcBorders>
              <w:bottom w:val="single" w:sz="8" w:color="DBE2E9"/>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(496,118)</w:t>
            </w:r>
          </w:p>
        </w:tc>
        <w:tc>
          <w:tcPr>
            <w:tcW w:w="80" w:type="dxa"/>
            <w:vAlign w:val="bottom"/>
            <w:tcBorders>
              <w:bottom w:val="single" w:sz="8" w:color="DBE2E9"/>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(370,580)</w:t>
            </w:r>
          </w:p>
        </w:tc>
      </w:tr>
      <w:tr>
        <w:trPr>
          <w:trHeight w:val="193"/>
        </w:trPr>
        <w:tc>
          <w:tcPr>
            <w:tcW w:w="5000" w:type="dxa"/>
            <w:vAlign w:val="bottom"/>
            <w:tcBorders>
              <w:bottom w:val="single" w:sz="8" w:color="DBE2E9"/>
            </w:tcBorders>
            <w:shd w:val="clear" w:color="auto" w:fill="DBE2E9"/>
          </w:tcPr>
          <w:p>
            <w:pPr>
              <w:spacing w:after="0"/>
              <w:rPr>
                <w:sz w:val="20"/>
                <w:szCs w:val="20"/>
                <w:color w:val="auto"/>
              </w:rPr>
            </w:pPr>
            <w:r>
              <w:rPr>
                <w:rFonts w:ascii="Arial" w:cs="Arial" w:eastAsia="Arial" w:hAnsi="Arial"/>
                <w:sz w:val="12"/>
                <w:szCs w:val="12"/>
                <w:color w:val="auto"/>
              </w:rPr>
              <w:t>Tangible common equity (Non-GAAP)</w:t>
            </w:r>
            <w:r>
              <w:rPr>
                <w:rFonts w:ascii="Arial" w:cs="Arial" w:eastAsia="Arial" w:hAnsi="Arial"/>
                <w:sz w:val="15"/>
                <w:szCs w:val="15"/>
                <w:color w:val="auto"/>
                <w:vertAlign w:val="superscript"/>
              </w:rPr>
              <w:t>1</w:t>
            </w:r>
          </w:p>
        </w:tc>
        <w:tc>
          <w:tcPr>
            <w:tcW w:w="2120" w:type="dxa"/>
            <w:vAlign w:val="bottom"/>
            <w:tcBorders>
              <w:bottom w:val="single" w:sz="8" w:color="DBE2E9"/>
            </w:tcBorders>
            <w:shd w:val="clear" w:color="auto" w:fill="DBE2E9"/>
          </w:tcPr>
          <w:p>
            <w:pPr>
              <w:ind w:left="1520"/>
              <w:spacing w:after="0"/>
              <w:rPr>
                <w:sz w:val="20"/>
                <w:szCs w:val="20"/>
                <w:color w:val="auto"/>
              </w:rPr>
            </w:pPr>
            <w:r>
              <w:rPr>
                <w:rFonts w:ascii="Arial" w:cs="Arial" w:eastAsia="Arial" w:hAnsi="Arial"/>
                <w:sz w:val="12"/>
                <w:szCs w:val="12"/>
                <w:color w:val="auto"/>
              </w:rPr>
              <w:t>[c]</w:t>
            </w:r>
          </w:p>
        </w:tc>
        <w:tc>
          <w:tcPr>
            <w:tcW w:w="280" w:type="dxa"/>
            <w:vAlign w:val="bottom"/>
            <w:tcBorders>
              <w:bottom w:val="single" w:sz="8" w:color="auto"/>
            </w:tcBorders>
            <w:shd w:val="clear" w:color="auto" w:fill="DBE2E9"/>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DBE2E9"/>
          </w:tcPr>
          <w:p>
            <w:pPr>
              <w:jc w:val="right"/>
              <w:ind w:right="81"/>
              <w:spacing w:after="0"/>
              <w:rPr>
                <w:sz w:val="20"/>
                <w:szCs w:val="20"/>
                <w:color w:val="auto"/>
              </w:rPr>
            </w:pPr>
            <w:r>
              <w:rPr>
                <w:rFonts w:ascii="Arial" w:cs="Arial" w:eastAsia="Arial" w:hAnsi="Arial"/>
                <w:sz w:val="12"/>
                <w:szCs w:val="12"/>
                <w:color w:val="auto"/>
              </w:rPr>
              <w:t>1,709,168</w:t>
            </w:r>
          </w:p>
        </w:tc>
        <w:tc>
          <w:tcPr>
            <w:tcW w:w="80" w:type="dxa"/>
            <w:vAlign w:val="bottom"/>
            <w:tcBorders>
              <w:bottom w:val="single" w:sz="8" w:color="DBE2E9"/>
            </w:tcBorders>
            <w:shd w:val="clear" w:color="auto" w:fill="DBE2E9"/>
          </w:tcPr>
          <w:p>
            <w:pPr>
              <w:spacing w:after="0"/>
              <w:rPr>
                <w:sz w:val="16"/>
                <w:szCs w:val="16"/>
                <w:color w:val="auto"/>
              </w:rPr>
            </w:pPr>
          </w:p>
        </w:tc>
        <w:tc>
          <w:tcPr>
            <w:tcW w:w="260" w:type="dxa"/>
            <w:vAlign w:val="bottom"/>
            <w:tcBorders>
              <w:bottom w:val="single" w:sz="8" w:color="auto"/>
            </w:tcBorders>
            <w:shd w:val="clear" w:color="auto" w:fill="DBE2E9"/>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DBE2E9"/>
          </w:tcPr>
          <w:p>
            <w:pPr>
              <w:jc w:val="right"/>
              <w:ind w:right="101"/>
              <w:spacing w:after="0"/>
              <w:rPr>
                <w:sz w:val="20"/>
                <w:szCs w:val="20"/>
                <w:color w:val="auto"/>
              </w:rPr>
            </w:pPr>
            <w:r>
              <w:rPr>
                <w:rFonts w:ascii="Arial" w:cs="Arial" w:eastAsia="Arial" w:hAnsi="Arial"/>
                <w:sz w:val="12"/>
                <w:szCs w:val="12"/>
                <w:color w:val="auto"/>
              </w:rPr>
              <w:t>1,675,738</w:t>
            </w:r>
          </w:p>
        </w:tc>
        <w:tc>
          <w:tcPr>
            <w:tcW w:w="80" w:type="dxa"/>
            <w:vAlign w:val="bottom"/>
            <w:tcBorders>
              <w:bottom w:val="single" w:sz="8" w:color="DBE2E9"/>
            </w:tcBorders>
            <w:shd w:val="clear" w:color="auto" w:fill="DBE2E9"/>
          </w:tcPr>
          <w:p>
            <w:pPr>
              <w:spacing w:after="0"/>
              <w:rPr>
                <w:sz w:val="16"/>
                <w:szCs w:val="16"/>
                <w:color w:val="auto"/>
              </w:rPr>
            </w:pPr>
          </w:p>
        </w:tc>
        <w:tc>
          <w:tcPr>
            <w:tcW w:w="260" w:type="dxa"/>
            <w:vAlign w:val="bottom"/>
            <w:tcBorders>
              <w:bottom w:val="single" w:sz="8" w:color="auto"/>
            </w:tcBorders>
            <w:shd w:val="clear" w:color="auto" w:fill="DBE2E9"/>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DBE2E9"/>
          </w:tcPr>
          <w:p>
            <w:pPr>
              <w:jc w:val="right"/>
              <w:ind w:right="101"/>
              <w:spacing w:after="0"/>
              <w:rPr>
                <w:sz w:val="20"/>
                <w:szCs w:val="20"/>
                <w:color w:val="auto"/>
              </w:rPr>
            </w:pPr>
            <w:r>
              <w:rPr>
                <w:rFonts w:ascii="Arial" w:cs="Arial" w:eastAsia="Arial" w:hAnsi="Arial"/>
                <w:sz w:val="12"/>
                <w:szCs w:val="12"/>
                <w:color w:val="auto"/>
              </w:rPr>
              <w:t>963,230</w:t>
            </w:r>
          </w:p>
        </w:tc>
      </w:tr>
      <w:tr>
        <w:trPr>
          <w:trHeight w:val="153"/>
        </w:trPr>
        <w:tc>
          <w:tcPr>
            <w:tcW w:w="50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5000" w:type="dxa"/>
            <w:vAlign w:val="bottom"/>
            <w:shd w:val="clear" w:color="auto" w:fill="DBE2E9"/>
          </w:tcPr>
          <w:p>
            <w:pPr>
              <w:spacing w:after="0"/>
              <w:rPr>
                <w:sz w:val="20"/>
                <w:szCs w:val="20"/>
                <w:color w:val="auto"/>
              </w:rPr>
            </w:pPr>
            <w:r>
              <w:rPr>
                <w:rFonts w:ascii="Arial" w:cs="Arial" w:eastAsia="Arial" w:hAnsi="Arial"/>
                <w:sz w:val="12"/>
                <w:szCs w:val="12"/>
                <w:color w:val="auto"/>
              </w:rPr>
              <w:t>Tangible common equity to tangible assets (Non-GAAP)</w:t>
            </w:r>
            <w:r>
              <w:rPr>
                <w:rFonts w:ascii="Arial" w:cs="Arial" w:eastAsia="Arial" w:hAnsi="Arial"/>
                <w:sz w:val="15"/>
                <w:szCs w:val="15"/>
                <w:color w:val="auto"/>
                <w:vertAlign w:val="superscript"/>
              </w:rPr>
              <w:t>1</w:t>
            </w:r>
          </w:p>
        </w:tc>
        <w:tc>
          <w:tcPr>
            <w:tcW w:w="2120" w:type="dxa"/>
            <w:vAlign w:val="bottom"/>
            <w:shd w:val="clear" w:color="auto" w:fill="DBE2E9"/>
          </w:tcPr>
          <w:p>
            <w:pPr>
              <w:ind w:left="1520"/>
              <w:spacing w:after="0"/>
              <w:rPr>
                <w:sz w:val="20"/>
                <w:szCs w:val="20"/>
                <w:color w:val="auto"/>
              </w:rPr>
            </w:pPr>
            <w:r>
              <w:rPr>
                <w:rFonts w:ascii="Arial" w:cs="Arial" w:eastAsia="Arial" w:hAnsi="Arial"/>
                <w:sz w:val="12"/>
                <w:szCs w:val="12"/>
                <w:color w:val="auto"/>
              </w:rPr>
              <w:t>[c÷a]</w:t>
            </w:r>
          </w:p>
        </w:tc>
        <w:tc>
          <w:tcPr>
            <w:tcW w:w="280" w:type="dxa"/>
            <w:vAlign w:val="bottom"/>
            <w:shd w:val="clear" w:color="auto" w:fill="DBE2E9"/>
          </w:tcPr>
          <w:p>
            <w:pPr>
              <w:spacing w:after="0"/>
              <w:rPr>
                <w:sz w:val="15"/>
                <w:szCs w:val="15"/>
                <w:color w:val="auto"/>
              </w:rPr>
            </w:pPr>
          </w:p>
        </w:tc>
        <w:tc>
          <w:tcPr>
            <w:tcW w:w="1060" w:type="dxa"/>
            <w:vAlign w:val="bottom"/>
            <w:shd w:val="clear" w:color="auto" w:fill="DBE2E9"/>
          </w:tcPr>
          <w:p>
            <w:pPr>
              <w:jc w:val="right"/>
              <w:spacing w:after="0"/>
              <w:rPr>
                <w:sz w:val="20"/>
                <w:szCs w:val="20"/>
                <w:color w:val="auto"/>
              </w:rPr>
            </w:pPr>
            <w:r>
              <w:rPr>
                <w:rFonts w:ascii="Arial" w:cs="Arial" w:eastAsia="Arial" w:hAnsi="Arial"/>
                <w:sz w:val="12"/>
                <w:szCs w:val="12"/>
                <w:color w:val="auto"/>
              </w:rPr>
              <w:t>9.27 %</w:t>
            </w:r>
          </w:p>
        </w:tc>
        <w:tc>
          <w:tcPr>
            <w:tcW w:w="80" w:type="dxa"/>
            <w:vAlign w:val="bottom"/>
            <w:shd w:val="clear" w:color="auto" w:fill="DBE2E9"/>
          </w:tcPr>
          <w:p>
            <w:pPr>
              <w:spacing w:after="0"/>
              <w:rPr>
                <w:sz w:val="15"/>
                <w:szCs w:val="15"/>
                <w:color w:val="auto"/>
              </w:rPr>
            </w:pPr>
          </w:p>
        </w:tc>
        <w:tc>
          <w:tcPr>
            <w:tcW w:w="260" w:type="dxa"/>
            <w:vAlign w:val="bottom"/>
            <w:shd w:val="clear" w:color="auto" w:fill="DBE2E9"/>
          </w:tcPr>
          <w:p>
            <w:pPr>
              <w:spacing w:after="0"/>
              <w:rPr>
                <w:sz w:val="15"/>
                <w:szCs w:val="15"/>
                <w:color w:val="auto"/>
              </w:rPr>
            </w:pPr>
          </w:p>
        </w:tc>
        <w:tc>
          <w:tcPr>
            <w:tcW w:w="1080" w:type="dxa"/>
            <w:vAlign w:val="bottom"/>
            <w:shd w:val="clear" w:color="auto" w:fill="DBE2E9"/>
          </w:tcPr>
          <w:p>
            <w:pPr>
              <w:jc w:val="right"/>
              <w:spacing w:after="0"/>
              <w:rPr>
                <w:sz w:val="20"/>
                <w:szCs w:val="20"/>
                <w:color w:val="auto"/>
              </w:rPr>
            </w:pPr>
            <w:r>
              <w:rPr>
                <w:rFonts w:ascii="Arial" w:cs="Arial" w:eastAsia="Arial" w:hAnsi="Arial"/>
                <w:sz w:val="12"/>
                <w:szCs w:val="12"/>
                <w:color w:val="auto"/>
              </w:rPr>
              <w:t>8.83 %</w:t>
            </w:r>
          </w:p>
        </w:tc>
        <w:tc>
          <w:tcPr>
            <w:tcW w:w="80" w:type="dxa"/>
            <w:vAlign w:val="bottom"/>
            <w:shd w:val="clear" w:color="auto" w:fill="DBE2E9"/>
          </w:tcPr>
          <w:p>
            <w:pPr>
              <w:spacing w:after="0"/>
              <w:rPr>
                <w:sz w:val="15"/>
                <w:szCs w:val="15"/>
                <w:color w:val="auto"/>
              </w:rPr>
            </w:pPr>
          </w:p>
        </w:tc>
        <w:tc>
          <w:tcPr>
            <w:tcW w:w="260" w:type="dxa"/>
            <w:vAlign w:val="bottom"/>
            <w:shd w:val="clear" w:color="auto" w:fill="DBE2E9"/>
          </w:tcPr>
          <w:p>
            <w:pPr>
              <w:spacing w:after="0"/>
              <w:rPr>
                <w:sz w:val="15"/>
                <w:szCs w:val="15"/>
                <w:color w:val="auto"/>
              </w:rPr>
            </w:pPr>
          </w:p>
        </w:tc>
        <w:tc>
          <w:tcPr>
            <w:tcW w:w="1080" w:type="dxa"/>
            <w:vAlign w:val="bottom"/>
            <w:shd w:val="clear" w:color="auto" w:fill="DBE2E9"/>
          </w:tcPr>
          <w:p>
            <w:pPr>
              <w:jc w:val="right"/>
              <w:spacing w:after="0"/>
              <w:rPr>
                <w:sz w:val="20"/>
                <w:szCs w:val="20"/>
                <w:color w:val="auto"/>
              </w:rPr>
            </w:pPr>
            <w:r>
              <w:rPr>
                <w:rFonts w:ascii="Arial" w:cs="Arial" w:eastAsia="Arial" w:hAnsi="Arial"/>
                <w:sz w:val="12"/>
                <w:szCs w:val="12"/>
                <w:color w:val="auto"/>
              </w:rPr>
              <w:t>8.30 %</w:t>
            </w:r>
          </w:p>
        </w:tc>
      </w:tr>
      <w:tr>
        <w:trPr>
          <w:trHeight w:val="171"/>
        </w:trPr>
        <w:tc>
          <w:tcPr>
            <w:tcW w:w="5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0"/>
        </w:trPr>
        <w:tc>
          <w:tcPr>
            <w:tcW w:w="5000" w:type="dxa"/>
            <w:vAlign w:val="bottom"/>
            <w:shd w:val="clear" w:color="auto" w:fill="DBE2E9"/>
          </w:tcPr>
          <w:p>
            <w:pPr>
              <w:spacing w:after="0"/>
              <w:rPr>
                <w:sz w:val="20"/>
                <w:szCs w:val="20"/>
                <w:color w:val="auto"/>
              </w:rPr>
            </w:pPr>
            <w:r>
              <w:rPr>
                <w:rFonts w:ascii="Arial" w:cs="Arial" w:eastAsia="Arial" w:hAnsi="Arial"/>
                <w:sz w:val="12"/>
                <w:szCs w:val="12"/>
                <w:color w:val="auto"/>
              </w:rPr>
              <w:t>Ending number of common shares outstanding (GAAP)</w:t>
            </w:r>
          </w:p>
        </w:tc>
        <w:tc>
          <w:tcPr>
            <w:tcW w:w="2120" w:type="dxa"/>
            <w:vAlign w:val="bottom"/>
            <w:shd w:val="clear" w:color="auto" w:fill="DBE2E9"/>
          </w:tcPr>
          <w:p>
            <w:pPr>
              <w:ind w:left="1520"/>
              <w:spacing w:after="0"/>
              <w:rPr>
                <w:sz w:val="20"/>
                <w:szCs w:val="20"/>
                <w:color w:val="auto"/>
              </w:rPr>
            </w:pPr>
            <w:r>
              <w:rPr>
                <w:rFonts w:ascii="Arial" w:cs="Arial" w:eastAsia="Arial" w:hAnsi="Arial"/>
                <w:sz w:val="12"/>
                <w:szCs w:val="12"/>
                <w:color w:val="auto"/>
              </w:rPr>
              <w:t>[d]</w:t>
            </w:r>
          </w:p>
        </w:tc>
        <w:tc>
          <w:tcPr>
            <w:tcW w:w="280" w:type="dxa"/>
            <w:vAlign w:val="bottom"/>
            <w:shd w:val="clear" w:color="auto" w:fill="DBE2E9"/>
          </w:tcPr>
          <w:p>
            <w:pPr>
              <w:spacing w:after="0"/>
              <w:rPr>
                <w:sz w:val="15"/>
                <w:szCs w:val="15"/>
                <w:color w:val="auto"/>
              </w:rPr>
            </w:pPr>
          </w:p>
        </w:tc>
        <w:tc>
          <w:tcPr>
            <w:tcW w:w="1060" w:type="dxa"/>
            <w:vAlign w:val="bottom"/>
            <w:shd w:val="clear" w:color="auto" w:fill="DBE2E9"/>
          </w:tcPr>
          <w:p>
            <w:pPr>
              <w:jc w:val="right"/>
              <w:spacing w:after="0"/>
              <w:rPr>
                <w:sz w:val="20"/>
                <w:szCs w:val="20"/>
                <w:color w:val="auto"/>
              </w:rPr>
            </w:pPr>
            <w:r>
              <w:rPr>
                <w:rFonts w:ascii="Arial" w:cs="Arial" w:eastAsia="Arial" w:hAnsi="Arial"/>
                <w:sz w:val="12"/>
                <w:szCs w:val="12"/>
                <w:color w:val="auto"/>
              </w:rPr>
              <w:t>89,104,678</w:t>
            </w:r>
          </w:p>
        </w:tc>
        <w:tc>
          <w:tcPr>
            <w:tcW w:w="80" w:type="dxa"/>
            <w:vAlign w:val="bottom"/>
            <w:shd w:val="clear" w:color="auto" w:fill="DBE2E9"/>
          </w:tcPr>
          <w:p>
            <w:pPr>
              <w:spacing w:after="0"/>
              <w:rPr>
                <w:sz w:val="15"/>
                <w:szCs w:val="15"/>
                <w:color w:val="auto"/>
              </w:rPr>
            </w:pPr>
          </w:p>
        </w:tc>
        <w:tc>
          <w:tcPr>
            <w:tcW w:w="260" w:type="dxa"/>
            <w:vAlign w:val="bottom"/>
            <w:shd w:val="clear" w:color="auto" w:fill="DBE2E9"/>
          </w:tcPr>
          <w:p>
            <w:pPr>
              <w:spacing w:after="0"/>
              <w:rPr>
                <w:sz w:val="15"/>
                <w:szCs w:val="15"/>
                <w:color w:val="auto"/>
              </w:rPr>
            </w:pPr>
          </w:p>
        </w:tc>
        <w:tc>
          <w:tcPr>
            <w:tcW w:w="1080" w:type="dxa"/>
            <w:vAlign w:val="bottom"/>
            <w:shd w:val="clear" w:color="auto" w:fill="DBE2E9"/>
          </w:tcPr>
          <w:p>
            <w:pPr>
              <w:jc w:val="right"/>
              <w:spacing w:after="0"/>
              <w:rPr>
                <w:sz w:val="20"/>
                <w:szCs w:val="20"/>
                <w:color w:val="auto"/>
              </w:rPr>
            </w:pPr>
            <w:r>
              <w:rPr>
                <w:rFonts w:ascii="Arial" w:cs="Arial" w:eastAsia="Arial" w:hAnsi="Arial"/>
                <w:sz w:val="12"/>
                <w:szCs w:val="12"/>
                <w:color w:val="auto"/>
              </w:rPr>
              <w:t>90,008,178</w:t>
            </w:r>
          </w:p>
        </w:tc>
        <w:tc>
          <w:tcPr>
            <w:tcW w:w="80" w:type="dxa"/>
            <w:vAlign w:val="bottom"/>
            <w:shd w:val="clear" w:color="auto" w:fill="DBE2E9"/>
          </w:tcPr>
          <w:p>
            <w:pPr>
              <w:spacing w:after="0"/>
              <w:rPr>
                <w:sz w:val="15"/>
                <w:szCs w:val="15"/>
                <w:color w:val="auto"/>
              </w:rPr>
            </w:pPr>
          </w:p>
        </w:tc>
        <w:tc>
          <w:tcPr>
            <w:tcW w:w="260" w:type="dxa"/>
            <w:vAlign w:val="bottom"/>
            <w:shd w:val="clear" w:color="auto" w:fill="DBE2E9"/>
          </w:tcPr>
          <w:p>
            <w:pPr>
              <w:spacing w:after="0"/>
              <w:rPr>
                <w:sz w:val="15"/>
                <w:szCs w:val="15"/>
                <w:color w:val="auto"/>
              </w:rPr>
            </w:pPr>
          </w:p>
        </w:tc>
        <w:tc>
          <w:tcPr>
            <w:tcW w:w="1080" w:type="dxa"/>
            <w:vAlign w:val="bottom"/>
            <w:shd w:val="clear" w:color="auto" w:fill="DBE2E9"/>
          </w:tcPr>
          <w:p>
            <w:pPr>
              <w:jc w:val="right"/>
              <w:spacing w:after="0"/>
              <w:rPr>
                <w:sz w:val="20"/>
                <w:szCs w:val="20"/>
                <w:color w:val="auto"/>
              </w:rPr>
            </w:pPr>
            <w:r>
              <w:rPr>
                <w:rFonts w:ascii="Arial" w:cs="Arial" w:eastAsia="Arial" w:hAnsi="Arial"/>
                <w:sz w:val="12"/>
                <w:szCs w:val="12"/>
                <w:color w:val="auto"/>
              </w:rPr>
              <w:t>56,746,937</w:t>
            </w:r>
          </w:p>
        </w:tc>
      </w:tr>
      <w:tr>
        <w:trPr>
          <w:trHeight w:val="164"/>
        </w:trPr>
        <w:tc>
          <w:tcPr>
            <w:tcW w:w="5000" w:type="dxa"/>
            <w:vAlign w:val="bottom"/>
          </w:tcPr>
          <w:p>
            <w:pPr>
              <w:spacing w:after="0"/>
              <w:rPr>
                <w:sz w:val="20"/>
                <w:szCs w:val="20"/>
                <w:color w:val="auto"/>
              </w:rPr>
            </w:pPr>
            <w:r>
              <w:rPr>
                <w:rFonts w:ascii="Arial" w:cs="Arial" w:eastAsia="Arial" w:hAnsi="Arial"/>
                <w:sz w:val="12"/>
                <w:szCs w:val="12"/>
                <w:color w:val="auto"/>
              </w:rPr>
              <w:t>Book value per common share (Non-GAAP)</w:t>
            </w:r>
          </w:p>
        </w:tc>
        <w:tc>
          <w:tcPr>
            <w:tcW w:w="2120" w:type="dxa"/>
            <w:vAlign w:val="bottom"/>
          </w:tcPr>
          <w:p>
            <w:pPr>
              <w:ind w:left="1520"/>
              <w:spacing w:after="0"/>
              <w:rPr>
                <w:sz w:val="20"/>
                <w:szCs w:val="20"/>
                <w:color w:val="auto"/>
              </w:rPr>
            </w:pPr>
            <w:r>
              <w:rPr>
                <w:rFonts w:ascii="Arial" w:cs="Arial" w:eastAsia="Arial" w:hAnsi="Arial"/>
                <w:sz w:val="12"/>
                <w:szCs w:val="12"/>
                <w:color w:val="auto"/>
              </w:rPr>
              <w:t>[b÷d]</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1"/>
              <w:spacing w:after="0"/>
              <w:rPr>
                <w:sz w:val="20"/>
                <w:szCs w:val="20"/>
                <w:color w:val="auto"/>
              </w:rPr>
            </w:pPr>
            <w:r>
              <w:rPr>
                <w:rFonts w:ascii="Arial" w:cs="Arial" w:eastAsia="Arial" w:hAnsi="Arial"/>
                <w:sz w:val="12"/>
                <w:szCs w:val="12"/>
                <w:color w:val="auto"/>
              </w:rPr>
              <w:t>24.66</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101"/>
              <w:spacing w:after="0"/>
              <w:rPr>
                <w:sz w:val="20"/>
                <w:szCs w:val="20"/>
                <w:color w:val="auto"/>
              </w:rPr>
            </w:pPr>
            <w:r>
              <w:rPr>
                <w:rFonts w:ascii="Arial" w:cs="Arial" w:eastAsia="Arial" w:hAnsi="Arial"/>
                <w:sz w:val="12"/>
                <w:szCs w:val="12"/>
                <w:color w:val="auto"/>
              </w:rPr>
              <w:t>24.13</w:t>
            </w:r>
          </w:p>
        </w:tc>
        <w:tc>
          <w:tcPr>
            <w:tcW w:w="8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101"/>
              <w:spacing w:after="0"/>
              <w:rPr>
                <w:sz w:val="20"/>
                <w:szCs w:val="20"/>
                <w:color w:val="auto"/>
              </w:rPr>
            </w:pPr>
            <w:r>
              <w:rPr>
                <w:rFonts w:ascii="Arial" w:cs="Arial" w:eastAsia="Arial" w:hAnsi="Arial"/>
                <w:sz w:val="12"/>
                <w:szCs w:val="12"/>
                <w:color w:val="auto"/>
              </w:rPr>
              <w:t>23.50</w:t>
            </w:r>
          </w:p>
        </w:tc>
      </w:tr>
      <w:tr>
        <w:trPr>
          <w:trHeight w:val="180"/>
        </w:trPr>
        <w:tc>
          <w:tcPr>
            <w:tcW w:w="5000" w:type="dxa"/>
            <w:vAlign w:val="bottom"/>
          </w:tcPr>
          <w:p>
            <w:pPr>
              <w:spacing w:after="0"/>
              <w:rPr>
                <w:sz w:val="20"/>
                <w:szCs w:val="20"/>
                <w:color w:val="auto"/>
              </w:rPr>
            </w:pPr>
            <w:r>
              <w:rPr>
                <w:rFonts w:ascii="Arial" w:cs="Arial" w:eastAsia="Arial" w:hAnsi="Arial"/>
                <w:sz w:val="12"/>
                <w:szCs w:val="12"/>
                <w:color w:val="auto"/>
              </w:rPr>
              <w:t>Tangible book value per common share (Non-GAAP)</w:t>
            </w:r>
          </w:p>
        </w:tc>
        <w:tc>
          <w:tcPr>
            <w:tcW w:w="2120" w:type="dxa"/>
            <w:vAlign w:val="bottom"/>
          </w:tcPr>
          <w:p>
            <w:pPr>
              <w:ind w:left="1520"/>
              <w:spacing w:after="0"/>
              <w:rPr>
                <w:sz w:val="20"/>
                <w:szCs w:val="20"/>
                <w:color w:val="auto"/>
              </w:rPr>
            </w:pPr>
            <w:r>
              <w:rPr>
                <w:rFonts w:ascii="Arial" w:cs="Arial" w:eastAsia="Arial" w:hAnsi="Arial"/>
                <w:sz w:val="12"/>
                <w:szCs w:val="12"/>
                <w:color w:val="auto"/>
              </w:rPr>
              <w:t>[c÷d]</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1"/>
              <w:spacing w:after="0"/>
              <w:rPr>
                <w:sz w:val="20"/>
                <w:szCs w:val="20"/>
                <w:color w:val="auto"/>
              </w:rPr>
            </w:pPr>
            <w:r>
              <w:rPr>
                <w:rFonts w:ascii="Arial" w:cs="Arial" w:eastAsia="Arial" w:hAnsi="Arial"/>
                <w:sz w:val="12"/>
                <w:szCs w:val="12"/>
                <w:color w:val="auto"/>
              </w:rPr>
              <w:t>19.18</w:t>
            </w:r>
          </w:p>
        </w:tc>
        <w:tc>
          <w:tcPr>
            <w:tcW w:w="8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101"/>
              <w:spacing w:after="0"/>
              <w:rPr>
                <w:sz w:val="20"/>
                <w:szCs w:val="20"/>
                <w:color w:val="auto"/>
              </w:rPr>
            </w:pPr>
            <w:r>
              <w:rPr>
                <w:rFonts w:ascii="Arial" w:cs="Arial" w:eastAsia="Arial" w:hAnsi="Arial"/>
                <w:sz w:val="12"/>
                <w:szCs w:val="12"/>
                <w:color w:val="auto"/>
              </w:rPr>
              <w:t>18.62</w:t>
            </w:r>
          </w:p>
        </w:tc>
        <w:tc>
          <w:tcPr>
            <w:tcW w:w="8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101"/>
              <w:spacing w:after="0"/>
              <w:rPr>
                <w:sz w:val="20"/>
                <w:szCs w:val="20"/>
                <w:color w:val="auto"/>
              </w:rPr>
            </w:pPr>
            <w:r>
              <w:rPr>
                <w:rFonts w:ascii="Arial" w:cs="Arial" w:eastAsia="Arial" w:hAnsi="Arial"/>
                <w:sz w:val="12"/>
                <w:szCs w:val="12"/>
                <w:color w:val="auto"/>
              </w:rPr>
              <w:t>16.97</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___________________________________________</w:t>
      </w:r>
    </w:p>
    <w:p>
      <w:pPr>
        <w:spacing w:after="0" w:line="10" w:lineRule="exact"/>
        <w:rPr>
          <w:sz w:val="20"/>
          <w:szCs w:val="20"/>
          <w:color w:val="auto"/>
        </w:rPr>
      </w:pPr>
    </w:p>
    <w:p>
      <w:pPr>
        <w:ind w:left="340" w:hanging="240"/>
        <w:spacing w:after="0"/>
        <w:tabs>
          <w:tab w:leader="none" w:pos="340" w:val="left"/>
        </w:tabs>
        <w:numPr>
          <w:ilvl w:val="0"/>
          <w:numId w:val="15"/>
        </w:numPr>
        <w:rPr>
          <w:rFonts w:ascii="Arial" w:cs="Arial" w:eastAsia="Arial" w:hAnsi="Arial"/>
          <w:sz w:val="10"/>
          <w:szCs w:val="10"/>
          <w:color w:val="auto"/>
        </w:rPr>
      </w:pPr>
      <w:r>
        <w:rPr>
          <w:rFonts w:ascii="Arial" w:cs="Arial" w:eastAsia="Arial" w:hAnsi="Arial"/>
          <w:sz w:val="10"/>
          <w:szCs w:val="10"/>
          <w:color w:val="auto"/>
        </w:rPr>
        <w:t>Beginning in 2025, Busey revised its calculation of tangible assets and tangible common equity for all periods presented to exclude any tax adjustment.</w:t>
      </w:r>
    </w:p>
    <w:p>
      <w:pPr>
        <w:sectPr>
          <w:pgSz w:w="11900" w:h="16838" w:orient="portrait"/>
          <w:cols w:equalWidth="0" w:num="1">
            <w:col w:w="11300"/>
          </w:cols>
          <w:pgMar w:left="300" w:top="91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(dollars in thousands)</w:t>
      </w:r>
    </w:p>
    <w:p>
      <w:pPr>
        <w:spacing w:after="0" w:line="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deposits (GAAP)</w:t>
      </w:r>
    </w:p>
    <w:p>
      <w:pPr>
        <w:spacing w:after="0" w:line="42" w:lineRule="exact"/>
        <w:rPr>
          <w:sz w:val="20"/>
          <w:szCs w:val="20"/>
          <w:color w:val="auto"/>
        </w:rPr>
      </w:pPr>
    </w:p>
    <w:p>
      <w:pPr>
        <w:ind w:left="120"/>
        <w:spacing w:after="0" w:line="336" w:lineRule="auto"/>
        <w:rPr>
          <w:sz w:val="20"/>
          <w:szCs w:val="20"/>
          <w:color w:val="auto"/>
        </w:rPr>
      </w:pPr>
      <w:r>
        <w:rPr>
          <w:rFonts w:ascii="Arial" w:cs="Arial" w:eastAsia="Arial" w:hAnsi="Arial"/>
          <w:sz w:val="12"/>
          <w:szCs w:val="12"/>
          <w:color w:val="auto"/>
        </w:rPr>
        <w:t>Brokered deposits, excluding brokered time deposits of $250,000 or more Time deposits of $250,000 or more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Core deposits (Non-GAAP)</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Core Deposits and Related Ratio</w:t>
      </w:r>
    </w:p>
    <w:p>
      <w:pPr>
        <w:spacing w:after="0" w:line="226" w:lineRule="exact"/>
        <w:rPr>
          <w:sz w:val="20"/>
          <w:szCs w:val="20"/>
          <w:color w:val="auto"/>
        </w:rPr>
      </w:pPr>
    </w:p>
    <w:tbl>
      <w:tblPr>
        <w:tblLayout w:type="fixed"/>
        <w:tblInd w:w="1800" w:type="dxa"/>
        <w:tblCellMar>
          <w:top w:w="0" w:type="dxa"/>
          <w:left w:w="0" w:type="dxa"/>
          <w:bottom w:w="0" w:type="dxa"/>
          <w:right w:w="0" w:type="dxa"/>
        </w:tblCellMar>
      </w:tblPr>
      <w:tr>
        <w:trPr>
          <w:trHeight w:val="150"/>
        </w:trPr>
        <w:tc>
          <w:tcPr>
            <w:tcW w:w="6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1"/>
                <w:szCs w:val="11"/>
                <w:b w:val="1"/>
                <w:bCs w:val="1"/>
                <w:color w:val="auto"/>
                <w:w w:val="94"/>
              </w:rPr>
              <w:t>As of</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36"/>
        </w:trPr>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June 30,</w:t>
            </w:r>
          </w:p>
        </w:tc>
        <w:tc>
          <w:tcPr>
            <w:tcW w:w="260" w:type="dxa"/>
            <w:vAlign w:val="bottom"/>
          </w:tcPr>
          <w:p>
            <w:pPr>
              <w:spacing w:after="0"/>
              <w:rPr>
                <w:sz w:val="11"/>
                <w:szCs w:val="11"/>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March 31,</w:t>
            </w:r>
          </w:p>
        </w:tc>
        <w:tc>
          <w:tcPr>
            <w:tcW w:w="260" w:type="dxa"/>
            <w:vAlign w:val="bottom"/>
          </w:tcPr>
          <w:p>
            <w:pPr>
              <w:spacing w:after="0"/>
              <w:rPr>
                <w:sz w:val="11"/>
                <w:szCs w:val="11"/>
                <w:color w:val="auto"/>
              </w:rPr>
            </w:pPr>
          </w:p>
        </w:tc>
        <w:tc>
          <w:tcPr>
            <w:tcW w:w="1080" w:type="dxa"/>
            <w:vAlign w:val="bottom"/>
          </w:tcPr>
          <w:p>
            <w:pPr>
              <w:jc w:val="right"/>
              <w:ind w:right="402"/>
              <w:spacing w:after="0"/>
              <w:rPr>
                <w:sz w:val="20"/>
                <w:szCs w:val="20"/>
                <w:color w:val="auto"/>
              </w:rPr>
            </w:pPr>
            <w:r>
              <w:rPr>
                <w:rFonts w:ascii="Arial" w:cs="Arial" w:eastAsia="Arial" w:hAnsi="Arial"/>
                <w:sz w:val="11"/>
                <w:szCs w:val="11"/>
                <w:b w:val="1"/>
                <w:bCs w:val="1"/>
                <w:color w:val="auto"/>
              </w:rPr>
              <w:t>June 30,</w:t>
            </w:r>
          </w:p>
        </w:tc>
      </w:tr>
      <w:tr>
        <w:trPr>
          <w:trHeight w:val="148"/>
        </w:trPr>
        <w:tc>
          <w:tcPr>
            <w:tcW w:w="6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83"/>
              <w:spacing w:after="0"/>
              <w:rPr>
                <w:sz w:val="20"/>
                <w:szCs w:val="20"/>
                <w:color w:val="auto"/>
              </w:rPr>
            </w:pPr>
            <w:r>
              <w:rPr>
                <w:rFonts w:ascii="Arial" w:cs="Arial" w:eastAsia="Arial" w:hAnsi="Arial"/>
                <w:sz w:val="11"/>
                <w:szCs w:val="11"/>
                <w:b w:val="1"/>
                <w:bCs w:val="1"/>
                <w:color w:val="auto"/>
                <w:w w:val="97"/>
              </w:rPr>
              <w:t>2025</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02"/>
              <w:spacing w:after="0"/>
              <w:rPr>
                <w:sz w:val="20"/>
                <w:szCs w:val="20"/>
                <w:color w:val="auto"/>
              </w:rPr>
            </w:pPr>
            <w:r>
              <w:rPr>
                <w:rFonts w:ascii="Arial" w:cs="Arial" w:eastAsia="Arial" w:hAnsi="Arial"/>
                <w:sz w:val="11"/>
                <w:szCs w:val="11"/>
                <w:b w:val="1"/>
                <w:bCs w:val="1"/>
                <w:color w:val="auto"/>
              </w:rPr>
              <w:t>2024</w:t>
            </w:r>
          </w:p>
        </w:tc>
      </w:tr>
      <w:tr>
        <w:trPr>
          <w:trHeight w:val="158"/>
        </w:trPr>
        <w:tc>
          <w:tcPr>
            <w:tcW w:w="600" w:type="dxa"/>
            <w:vAlign w:val="bottom"/>
          </w:tcPr>
          <w:p>
            <w:pPr>
              <w:spacing w:after="0"/>
              <w:rPr>
                <w:sz w:val="20"/>
                <w:szCs w:val="20"/>
                <w:color w:val="auto"/>
              </w:rPr>
            </w:pPr>
            <w:r>
              <w:rPr>
                <w:rFonts w:ascii="Arial" w:cs="Arial" w:eastAsia="Arial" w:hAnsi="Arial"/>
                <w:sz w:val="12"/>
                <w:szCs w:val="12"/>
                <w:color w:val="auto"/>
              </w:rPr>
              <w:t>[a]</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82"/>
              <w:spacing w:after="0"/>
              <w:rPr>
                <w:sz w:val="20"/>
                <w:szCs w:val="20"/>
                <w:color w:val="auto"/>
              </w:rPr>
            </w:pPr>
            <w:r>
              <w:rPr>
                <w:rFonts w:ascii="Arial" w:cs="Arial" w:eastAsia="Arial" w:hAnsi="Arial"/>
                <w:sz w:val="12"/>
                <w:szCs w:val="12"/>
                <w:color w:val="auto"/>
              </w:rPr>
              <w:t>15,801,772</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103"/>
              <w:spacing w:after="0"/>
              <w:rPr>
                <w:sz w:val="20"/>
                <w:szCs w:val="20"/>
                <w:color w:val="auto"/>
              </w:rPr>
            </w:pPr>
            <w:r>
              <w:rPr>
                <w:rFonts w:ascii="Arial" w:cs="Arial" w:eastAsia="Arial" w:hAnsi="Arial"/>
                <w:sz w:val="12"/>
                <w:szCs w:val="12"/>
                <w:color w:val="auto"/>
              </w:rPr>
              <w:t>16,459,470</w:t>
            </w:r>
          </w:p>
        </w:tc>
        <w:tc>
          <w:tcPr>
            <w:tcW w:w="80" w:type="dxa"/>
            <w:vAlign w:val="bottom"/>
          </w:tcPr>
          <w:p>
            <w:pPr>
              <w:spacing w:after="0"/>
              <w:rPr>
                <w:sz w:val="13"/>
                <w:szCs w:val="13"/>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102"/>
              <w:spacing w:after="0"/>
              <w:rPr>
                <w:sz w:val="20"/>
                <w:szCs w:val="20"/>
                <w:color w:val="auto"/>
              </w:rPr>
            </w:pPr>
            <w:r>
              <w:rPr>
                <w:rFonts w:ascii="Arial" w:cs="Arial" w:eastAsia="Arial" w:hAnsi="Arial"/>
                <w:sz w:val="12"/>
                <w:szCs w:val="12"/>
                <w:color w:val="auto"/>
              </w:rPr>
              <w:t>9,976,135</w:t>
            </w:r>
          </w:p>
        </w:tc>
      </w:tr>
      <w:tr>
        <w:trPr>
          <w:trHeight w:val="180"/>
        </w:trPr>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ind w:right="62"/>
              <w:spacing w:after="0"/>
              <w:rPr>
                <w:sz w:val="20"/>
                <w:szCs w:val="20"/>
                <w:color w:val="auto"/>
              </w:rPr>
            </w:pPr>
            <w:r>
              <w:rPr>
                <w:rFonts w:ascii="Arial" w:cs="Arial" w:eastAsia="Arial" w:hAnsi="Arial"/>
                <w:sz w:val="12"/>
                <w:szCs w:val="12"/>
                <w:color w:val="auto"/>
              </w:rPr>
              <w:t>(353,614)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63"/>
              <w:spacing w:after="0"/>
              <w:rPr>
                <w:sz w:val="20"/>
                <w:szCs w:val="20"/>
                <w:color w:val="auto"/>
              </w:rPr>
            </w:pPr>
            <w:r>
              <w:rPr>
                <w:rFonts w:ascii="Arial" w:cs="Arial" w:eastAsia="Arial" w:hAnsi="Arial"/>
                <w:sz w:val="12"/>
                <w:szCs w:val="12"/>
                <w:color w:val="auto"/>
              </w:rPr>
              <w:t>(722,224)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62"/>
              <w:spacing w:after="0"/>
              <w:rPr>
                <w:sz w:val="20"/>
                <w:szCs w:val="20"/>
                <w:color w:val="auto"/>
              </w:rPr>
            </w:pPr>
            <w:r>
              <w:rPr>
                <w:rFonts w:ascii="Arial" w:cs="Arial" w:eastAsia="Arial" w:hAnsi="Arial"/>
                <w:sz w:val="12"/>
                <w:szCs w:val="12"/>
                <w:color w:val="auto"/>
              </w:rPr>
              <w:t>(43,089)</w:t>
            </w:r>
          </w:p>
        </w:tc>
      </w:tr>
      <w:tr>
        <w:trPr>
          <w:trHeight w:val="185"/>
        </w:trPr>
        <w:tc>
          <w:tcPr>
            <w:tcW w:w="6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(827,762)</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2"/>
                <w:szCs w:val="12"/>
                <w:color w:val="auto"/>
              </w:rPr>
              <w:t>(867,035)</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(314,461)</w:t>
            </w:r>
          </w:p>
        </w:tc>
      </w:tr>
      <w:tr>
        <w:trPr>
          <w:trHeight w:val="172"/>
        </w:trPr>
        <w:tc>
          <w:tcPr>
            <w:tcW w:w="600" w:type="dxa"/>
            <w:vAlign w:val="bottom"/>
          </w:tcPr>
          <w:p>
            <w:pPr>
              <w:spacing w:after="0"/>
              <w:rPr>
                <w:sz w:val="20"/>
                <w:szCs w:val="20"/>
                <w:color w:val="auto"/>
              </w:rPr>
            </w:pPr>
            <w:r>
              <w:rPr>
                <w:rFonts w:ascii="Arial" w:cs="Arial" w:eastAsia="Arial" w:hAnsi="Arial"/>
                <w:sz w:val="12"/>
                <w:szCs w:val="12"/>
                <w:color w:val="auto"/>
              </w:rPr>
              <w:t>[b]</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14,620,396</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103"/>
              <w:spacing w:after="0"/>
              <w:rPr>
                <w:sz w:val="20"/>
                <w:szCs w:val="20"/>
                <w:color w:val="auto"/>
              </w:rPr>
            </w:pPr>
            <w:r>
              <w:rPr>
                <w:rFonts w:ascii="Arial" w:cs="Arial" w:eastAsia="Arial" w:hAnsi="Arial"/>
                <w:sz w:val="12"/>
                <w:szCs w:val="12"/>
                <w:color w:val="auto"/>
              </w:rPr>
              <w:t>14,870,211</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rPr>
              <w:t>9,618,585</w:t>
            </w:r>
          </w:p>
        </w:tc>
      </w:tr>
      <w:tr>
        <w:trPr>
          <w:trHeight w:val="20"/>
        </w:trPr>
        <w:tc>
          <w:tcPr>
            <w:tcW w:w="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-490855</wp:posOffset>
            </wp:positionV>
            <wp:extent cx="7178040" cy="120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8040" cy="12001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-256540</wp:posOffset>
            </wp:positionV>
            <wp:extent cx="7178040" cy="114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0"/>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-10795</wp:posOffset>
            </wp:positionV>
            <wp:extent cx="7178040" cy="108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158" w:lineRule="exact"/>
        <w:rPr>
          <w:sz w:val="20"/>
          <w:szCs w:val="20"/>
          <w:color w:val="auto"/>
        </w:rPr>
      </w:pPr>
    </w:p>
    <w:p>
      <w:pPr>
        <w:sectPr>
          <w:pgSz w:w="11900" w:h="16838" w:orient="portrait"/>
          <w:cols w:equalWidth="0" w:num="2">
            <w:col w:w="4020" w:space="700"/>
            <w:col w:w="6580"/>
          </w:cols>
          <w:pgMar w:left="300" w:top="910" w:right="299" w:bottom="1440" w:gutter="0" w:footer="0" w:header="0"/>
          <w:type w:val="continuous"/>
        </w:sectPr>
      </w:pPr>
    </w:p>
    <w:p>
      <w:pPr>
        <w:spacing w:after="0"/>
        <w:tabs>
          <w:tab w:leader="none" w:pos="6500" w:val="left"/>
          <w:tab w:leader="none" w:pos="8000" w:val="left"/>
          <w:tab w:leader="none" w:pos="9400" w:val="left"/>
          <w:tab w:leader="none" w:pos="10820" w:val="left"/>
        </w:tabs>
        <w:rPr>
          <w:sz w:val="20"/>
          <w:szCs w:val="20"/>
          <w:color w:val="auto"/>
        </w:rPr>
      </w:pPr>
      <w:r>
        <w:rPr>
          <w:rFonts w:ascii="Arial" w:cs="Arial" w:eastAsia="Arial" w:hAnsi="Arial"/>
          <w:sz w:val="12"/>
          <w:szCs w:val="12"/>
          <w:color w:val="auto"/>
        </w:rPr>
        <w:t>Core deposits to total deposits (Non-GAAP)</w:t>
      </w:r>
      <w:r>
        <w:rPr>
          <w:sz w:val="20"/>
          <w:szCs w:val="20"/>
          <w:color w:val="auto"/>
        </w:rPr>
        <w:tab/>
      </w:r>
      <w:r>
        <w:rPr>
          <w:rFonts w:ascii="Arial" w:cs="Arial" w:eastAsia="Arial" w:hAnsi="Arial"/>
          <w:sz w:val="12"/>
          <w:szCs w:val="12"/>
          <w:color w:val="auto"/>
        </w:rPr>
        <w:t>[b÷a]</w:t>
      </w:r>
      <w:r>
        <w:rPr>
          <w:sz w:val="20"/>
          <w:szCs w:val="20"/>
          <w:color w:val="auto"/>
        </w:rPr>
        <w:tab/>
      </w:r>
      <w:r>
        <w:rPr>
          <w:rFonts w:ascii="Arial" w:cs="Arial" w:eastAsia="Arial" w:hAnsi="Arial"/>
          <w:sz w:val="12"/>
          <w:szCs w:val="12"/>
          <w:color w:val="auto"/>
        </w:rPr>
        <w:t>92.52 %</w:t>
      </w:r>
      <w:r>
        <w:rPr>
          <w:sz w:val="20"/>
          <w:szCs w:val="20"/>
          <w:color w:val="auto"/>
        </w:rPr>
        <w:tab/>
      </w:r>
      <w:r>
        <w:rPr>
          <w:rFonts w:ascii="Arial" w:cs="Arial" w:eastAsia="Arial" w:hAnsi="Arial"/>
          <w:sz w:val="12"/>
          <w:szCs w:val="12"/>
          <w:color w:val="auto"/>
        </w:rPr>
        <w:t>90.34 %</w:t>
      </w:r>
      <w:r>
        <w:rPr>
          <w:sz w:val="20"/>
          <w:szCs w:val="20"/>
          <w:color w:val="auto"/>
        </w:rPr>
        <w:tab/>
      </w:r>
      <w:r>
        <w:rPr>
          <w:rFonts w:ascii="Arial" w:cs="Arial" w:eastAsia="Arial" w:hAnsi="Arial"/>
          <w:sz w:val="11"/>
          <w:szCs w:val="11"/>
          <w:color w:val="auto"/>
        </w:rPr>
        <w:t>96.42 %</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18</w:t>
      </w:r>
    </w:p>
    <w:p>
      <w:pPr>
        <w:sectPr>
          <w:pgSz w:w="11900" w:h="16838" w:orient="portrait"/>
          <w:cols w:equalWidth="0" w:num="1">
            <w:col w:w="11300"/>
          </w:cols>
          <w:pgMar w:left="300" w:top="910" w:right="299" w:bottom="1440" w:gutter="0" w:footer="0" w:header="0"/>
          <w:type w:val="continuous"/>
        </w:sectPr>
      </w:pPr>
    </w:p>
    <w:bookmarkStart w:id="22" w:name="page23"/>
    <w:bookmarkEnd w:id="22"/>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FORWARD-LOOKING STATEMENTS</w:t>
      </w:r>
    </w:p>
    <w:p>
      <w:pPr>
        <w:spacing w:after="0" w:line="132"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This press release may contain “forward-looking statements” within the meaning of the Private Securities Litigation Reform Act of 1995 with respect to Busey’s financial condition, results of operations, plans, objectives, future performance, and business. Forward-looking statements, which may be based upon beliefs, expectations and assumptions of Busey’s management and on information currently available to management, are generally identifiable by the use of words such as “believe,” “expect,” “anticipate,” “plan,” “intend,” “estimate,” “may,” “will,” “would,” “could,” “should,” “position,” or other similar expressions. Additionally, all statements in this document, including forward-looking statements, speak only as of the date they are made, and Busey undertakes no obligation to update any statement in light of new information or future events.</w:t>
      </w:r>
    </w:p>
    <w:p>
      <w:pPr>
        <w:spacing w:after="0" w:line="92" w:lineRule="exact"/>
        <w:rPr>
          <w:sz w:val="20"/>
          <w:szCs w:val="20"/>
          <w:color w:val="auto"/>
        </w:rPr>
      </w:pPr>
    </w:p>
    <w:p>
      <w:pPr>
        <w:jc w:val="both"/>
        <w:ind w:left="8"/>
        <w:spacing w:after="0" w:line="252" w:lineRule="auto"/>
        <w:rPr>
          <w:sz w:val="20"/>
          <w:szCs w:val="20"/>
          <w:color w:val="auto"/>
        </w:rPr>
      </w:pPr>
      <w:r>
        <w:rPr>
          <w:rFonts w:ascii="Arial" w:cs="Arial" w:eastAsia="Arial" w:hAnsi="Arial"/>
          <w:sz w:val="12"/>
          <w:szCs w:val="12"/>
          <w:color w:val="auto"/>
        </w:rPr>
        <w:t>A number of factors, many of which are beyond Busey’s ability to control or predict, could cause actual results to differ materially from those in any forward-looking statements. These factors include, among others, the following: (1) the strength of the local, state, national, and international economies and financial markets (including effects of inflationary pressures, the threat or implementation of tariffs, trade wars, and changes to immigration policy); (2) changes in, and the interpretation and prioritization of, local, state, and federal laws, regulations, and governmental policies (including those concerning Busey's general business); (3) the economic impact of any future terrorist threats or attacks, widespread disease or pandemics, or other adverse external events that could cause economic deterioration or instability in credit markets (including Russia’s invasion of Ukraine and the conflict in the Middle East); (4) unexpected results of acquisitions, including the acquisition of CrossFirst, which may include the failure to realize the anticipated benefits of the acquisitions and the possibility that the transaction and integration costs may be greater than anticipated; (5) the imposition of tariffs or other governmental policies impacting the value of products produced by Busey's commercial borrowers; (6) new or revised accounting policies and practices as may be adopted by state and federal regulatory banking agencies, the Financial Accounting Standards Board, the Securities and Exchange Commission, or the Public Company Accounting Oversight Board; (7) changes in interest rates and prepayment rates of Busey’s assets (including the impact of sustained elevated interest rates); (8) increased competition in the financial services sector (including from non-bank competitors such as credit unions and fintech companies) and the inability to attract new customers;</w:t>
      </w:r>
    </w:p>
    <w:p>
      <w:pPr>
        <w:spacing w:after="0" w:line="4" w:lineRule="exact"/>
        <w:rPr>
          <w:sz w:val="20"/>
          <w:szCs w:val="20"/>
          <w:color w:val="auto"/>
        </w:rPr>
      </w:pPr>
    </w:p>
    <w:p>
      <w:pPr>
        <w:jc w:val="both"/>
        <w:ind w:left="8" w:hanging="8"/>
        <w:spacing w:after="0" w:line="251" w:lineRule="auto"/>
        <w:tabs>
          <w:tab w:leader="none" w:pos="219" w:val="left"/>
        </w:tabs>
        <w:numPr>
          <w:ilvl w:val="0"/>
          <w:numId w:val="16"/>
        </w:numPr>
        <w:rPr>
          <w:rFonts w:ascii="Arial" w:cs="Arial" w:eastAsia="Arial" w:hAnsi="Arial"/>
          <w:sz w:val="12"/>
          <w:szCs w:val="12"/>
          <w:color w:val="auto"/>
        </w:rPr>
      </w:pPr>
      <w:r>
        <w:rPr>
          <w:rFonts w:ascii="Arial" w:cs="Arial" w:eastAsia="Arial" w:hAnsi="Arial"/>
          <w:sz w:val="12"/>
          <w:szCs w:val="12"/>
          <w:color w:val="auto"/>
        </w:rPr>
        <w:t>technological changes implemented by us and other parties, including our third-party vendors, which may have unforeseen consequences to us and our customers, including the development and implementation of tools incorporating artificial intelligence; (10) the loss of key executives or associates, talent shortages, and employee turnover; (11) unexpected outcomes and costs of existing or new litigation, investigations, or other legal proceedings, inquiries, and regulatory actions involving Busey (including with respect to Busey’s Illinois franchise taxes); (12) fluctuations in the value of securities held in Busey’s securities portfolio, including as a result of changes in interest rates; (13) credit risk and risk from concentrations (by type of borrower, geographic area, collateral, and industry), within Busey's loan portfolio and large loans to certain borrowers (including commercial real estate loans); (14) the concentration of large deposits from certain clients who have balances above current Federal Deposit Insurance Corporation insurance limits and may withdraw deposits to diversify their exposure; (15) the level of non-performing assets on Busey’s balance sheets; (16) interruptions involving information technology and communications systems or third-party servicers; (17) breaches or failures of information security controls or cybersecurity-related incidents; (18) the economic impact on Busey and its customers of climate change, natural disasters, and exceptional weather occurrences such as tornadoes, hurricanes, floods, blizzards, and droughts; (19) the ability to successfully manage liquidity risk, which may increase dependence on non-core funding sources such as brokered deposits, and may negatively impact Busey's cost of funds; (20) the ability to maintain an adequate level of allowance for credit losses on loans; (21) the effectiveness of Busey’s risk management framework; and (22) the ability of Busey to manage the risks associated with the foregoing. These risks and uncertainties should be considered in evaluating forward-looking statements and undue reliance should not be placed on such statements.</w:t>
      </w:r>
    </w:p>
    <w:p>
      <w:pPr>
        <w:spacing w:after="0" w:line="102" w:lineRule="exact"/>
        <w:rPr>
          <w:sz w:val="20"/>
          <w:szCs w:val="20"/>
          <w:color w:val="auto"/>
        </w:rPr>
      </w:pPr>
    </w:p>
    <w:p>
      <w:pPr>
        <w:ind w:left="8"/>
        <w:spacing w:after="0" w:line="286" w:lineRule="auto"/>
        <w:rPr>
          <w:sz w:val="20"/>
          <w:szCs w:val="20"/>
          <w:color w:val="auto"/>
        </w:rPr>
      </w:pPr>
      <w:r>
        <w:rPr>
          <w:rFonts w:ascii="Arial" w:cs="Arial" w:eastAsia="Arial" w:hAnsi="Arial"/>
          <w:sz w:val="12"/>
          <w:szCs w:val="12"/>
          <w:color w:val="auto"/>
        </w:rPr>
        <w:t>Additional information concerning Busey and its business, including additional factors that could materially affect Busey’s financial results, is included in Busey’s filings with the Securities and Exchange Commission.</w:t>
      </w:r>
    </w:p>
    <w:p>
      <w:pPr>
        <w:spacing w:after="0" w:line="355"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19</w:t>
      </w:r>
    </w:p>
    <w:p>
      <w:pPr>
        <w:sectPr>
          <w:pgSz w:w="11900" w:h="16838" w:orient="portrait"/>
          <w:cols w:equalWidth="0" w:num="1">
            <w:col w:w="11308"/>
          </w:cols>
          <w:pgMar w:left="292" w:top="910" w:right="2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174625</wp:posOffset>
            </wp:positionV>
            <wp:extent cx="7178040" cy="297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8040" cy="297180"/>
                    </a:xfrm>
                    <a:prstGeom prst="rect">
                      <a:avLst/>
                    </a:prstGeom>
                    <a:noFill/>
                  </pic:spPr>
                </pic:pic>
              </a:graphicData>
            </a:graphic>
          </wp:anchor>
        </w:drawing>
        <w:t>END NOTES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2"/>
          <w:szCs w:val="12"/>
          <w:color w:val="auto"/>
        </w:rPr>
        <w:t>1 Annualized measure.</w:t>
      </w:r>
    </w:p>
    <w:p>
      <w:pPr>
        <w:spacing w:after="0" w:line="42" w:lineRule="exact"/>
        <w:rPr>
          <w:sz w:val="20"/>
          <w:szCs w:val="20"/>
          <w:color w:val="auto"/>
        </w:rPr>
      </w:pPr>
    </w:p>
    <w:p>
      <w:pPr>
        <w:ind w:left="420" w:right="160" w:hanging="90"/>
        <w:spacing w:after="0" w:line="281" w:lineRule="auto"/>
        <w:rPr>
          <w:sz w:val="20"/>
          <w:szCs w:val="20"/>
          <w:color w:val="auto"/>
        </w:rPr>
      </w:pPr>
      <w:r>
        <w:rPr>
          <w:rFonts w:ascii="Arial" w:cs="Arial" w:eastAsia="Arial" w:hAnsi="Arial"/>
          <w:sz w:val="12"/>
          <w:szCs w:val="12"/>
          <w:color w:val="auto"/>
        </w:rPr>
        <w:t>2 Represents a non-GAAP financial measure. For a reconciliation to the most directly comparable financial measure calculated and presented in accordance with Generally Accepted Accounting Principles (“GAAP”), see "</w:t>
      </w:r>
      <w:r>
        <w:rPr>
          <w:rFonts w:ascii="Arial" w:cs="Arial" w:eastAsia="Arial" w:hAnsi="Arial"/>
          <w:sz w:val="12"/>
          <w:szCs w:val="12"/>
          <w:u w:val="single" w:color="auto"/>
          <w:color w:val="0000FF"/>
        </w:rPr>
        <w:t>Non-GAAP Financial Information</w:t>
      </w:r>
      <w:r>
        <w:rPr>
          <w:rFonts w:ascii="Arial" w:cs="Arial" w:eastAsia="Arial" w:hAnsi="Arial"/>
          <w:sz w:val="12"/>
          <w:szCs w:val="12"/>
          <w:color w:val="auto"/>
        </w:rPr>
        <w: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3 The blended benchmark consists of 60% MSCI All Country World Index and 40% Bloomberg Intermediate US Government/Credit Total Return Index.</w:t>
      </w:r>
    </w:p>
    <w:p>
      <w:pPr>
        <w:spacing w:after="0" w:line="42" w:lineRule="exact"/>
        <w:rPr>
          <w:sz w:val="20"/>
          <w:szCs w:val="20"/>
          <w:color w:val="auto"/>
        </w:rPr>
      </w:pPr>
    </w:p>
    <w:p>
      <w:pPr>
        <w:ind w:left="420" w:right="560" w:hanging="90"/>
        <w:spacing w:after="0" w:line="281" w:lineRule="auto"/>
        <w:rPr>
          <w:sz w:val="20"/>
          <w:szCs w:val="20"/>
          <w:color w:val="auto"/>
        </w:rPr>
      </w:pPr>
      <w:r>
        <w:rPr>
          <w:rFonts w:ascii="Arial" w:cs="Arial" w:eastAsia="Arial" w:hAnsi="Arial"/>
          <w:sz w:val="12"/>
          <w:szCs w:val="12"/>
          <w:color w:val="auto"/>
        </w:rPr>
        <w:t>4 Estimated uninsured and uncollateralized deposits consist of account balances in excess of the $250,000 Federal Deposit Insurance Corporation insurance limit, less intercompany accounts, fully collateralized accounts (including preferred deposits), and pass-through accounts where clients have deposit insurance at the correspondent financial institution.</w:t>
      </w:r>
    </w:p>
    <w:p>
      <w:pPr>
        <w:spacing w:after="0" w:line="1" w:lineRule="exact"/>
        <w:rPr>
          <w:sz w:val="20"/>
          <w:szCs w:val="20"/>
          <w:color w:val="auto"/>
        </w:rPr>
      </w:pPr>
    </w:p>
    <w:p>
      <w:pPr>
        <w:ind w:left="420" w:right="40" w:hanging="90"/>
        <w:spacing w:after="0" w:line="281" w:lineRule="auto"/>
        <w:rPr>
          <w:sz w:val="20"/>
          <w:szCs w:val="20"/>
          <w:color w:val="auto"/>
        </w:rPr>
      </w:pPr>
      <w:r>
        <w:rPr>
          <w:rFonts w:ascii="Arial" w:cs="Arial" w:eastAsia="Arial" w:hAnsi="Arial"/>
          <w:sz w:val="12"/>
          <w:szCs w:val="12"/>
          <w:color w:val="auto"/>
        </w:rPr>
        <w:t>5 On- and off-balance sheet liquidity is comprised of cash and cash equivalents, debt securities excluding those pledged as collateral, brokered deposits, and Busey’s borrowing capacity through its revolving credit facility, the FHLB, the Federal Reserve Bank, and federal funds purchased lines.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2"/>
          <w:szCs w:val="12"/>
          <w:color w:val="auto"/>
        </w:rPr>
        <w:t>6 Capital amounts and ratios for the second quarter of 2025 are not yet finalized and are subject to change.</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2"/>
          <w:szCs w:val="12"/>
          <w:color w:val="808285"/>
        </w:rPr>
        <w:t xml:space="preserve">First Busey Corporation </w:t>
      </w:r>
      <w:r>
        <w:rPr>
          <w:rFonts w:ascii="Arial" w:cs="Arial" w:eastAsia="Arial" w:hAnsi="Arial"/>
          <w:sz w:val="12"/>
          <w:szCs w:val="12"/>
          <w:b w:val="1"/>
          <w:bCs w:val="1"/>
          <w:color w:val="808285"/>
        </w:rPr>
        <w:t>(BUSE)</w:t>
      </w:r>
      <w:r>
        <w:rPr>
          <w:rFonts w:ascii="Arial" w:cs="Arial" w:eastAsia="Arial" w:hAnsi="Arial"/>
          <w:sz w:val="12"/>
          <w:szCs w:val="12"/>
          <w:color w:val="808285"/>
        </w:rPr>
        <w:t xml:space="preserve"> | 2025 </w:t>
      </w:r>
      <w:r>
        <w:rPr>
          <w:rFonts w:ascii="Arial" w:cs="Arial" w:eastAsia="Arial" w:hAnsi="Arial"/>
          <w:sz w:val="12"/>
          <w:szCs w:val="12"/>
          <w:b w:val="1"/>
          <w:bCs w:val="1"/>
          <w:color w:val="808285"/>
        </w:rPr>
        <w:t>Q2</w:t>
      </w:r>
      <w:r>
        <w:rPr>
          <w:rFonts w:ascii="Arial" w:cs="Arial" w:eastAsia="Arial" w:hAnsi="Arial"/>
          <w:sz w:val="12"/>
          <w:szCs w:val="12"/>
          <w:color w:val="808285"/>
        </w:rPr>
        <w:t xml:space="preserve"> — </w:t>
      </w:r>
      <w:r>
        <w:rPr>
          <w:rFonts w:ascii="Arial" w:cs="Arial" w:eastAsia="Arial" w:hAnsi="Arial"/>
          <w:sz w:val="12"/>
          <w:szCs w:val="12"/>
          <w:b w:val="1"/>
          <w:bCs w:val="1"/>
          <w:color w:val="376484"/>
        </w:rPr>
        <w:t>20</w:t>
      </w:r>
    </w:p>
    <w:p>
      <w:pPr>
        <w:sectPr>
          <w:pgSz w:w="11900" w:h="16838" w:orient="portrait"/>
          <w:cols w:equalWidth="0" w:num="1">
            <w:col w:w="11300"/>
          </w:cols>
          <w:pgMar w:left="300" w:top="910" w:right="299" w:bottom="1440" w:gutter="0" w:footer="0" w:header="0"/>
        </w:sectPr>
      </w:pPr>
    </w:p>
    <w:bookmarkStart w:id="24" w:name="page25"/>
    <w:bookmarkEnd w:id="24"/>
    <w:p>
      <w:pPr>
        <w:jc w:val="center"/>
        <w:ind w:right="380"/>
        <w:spacing w:after="0"/>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185420</wp:posOffset>
            </wp:positionH>
            <wp:positionV relativeFrom="page">
              <wp:posOffset>163195</wp:posOffset>
            </wp:positionV>
            <wp:extent cx="7178040" cy="31318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8040" cy="3131820"/>
                    </a:xfrm>
                    <a:prstGeom prst="rect">
                      <a:avLst/>
                    </a:prstGeom>
                    <a:noFill/>
                  </pic:spPr>
                </pic:pic>
              </a:graphicData>
            </a:graphic>
          </wp:anchor>
        </w:drawing>
        <w:t>First Busey Corporation</w:t>
      </w:r>
    </w:p>
    <w:p>
      <w:pPr>
        <w:spacing w:after="0" w:line="40"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FFFFFF"/>
        </w:rPr>
        <w:t>11440 Tomahawk Creek Parkway</w:t>
      </w:r>
      <w:r>
        <w:rPr>
          <w:rFonts w:ascii="Arial" w:cs="Arial" w:eastAsia="Arial" w:hAnsi="Arial"/>
          <w:sz w:val="13"/>
          <w:szCs w:val="13"/>
          <w:color w:val="FFFFFF"/>
        </w:rPr>
        <w:t>,</w:t>
      </w:r>
      <w:r>
        <w:rPr>
          <w:rFonts w:ascii="Arial" w:cs="Arial" w:eastAsia="Arial" w:hAnsi="Arial"/>
          <w:sz w:val="12"/>
          <w:szCs w:val="12"/>
          <w:color w:val="FFFFFF"/>
        </w:rPr>
        <w:t xml:space="preserve"> Leawood</w:t>
      </w:r>
      <w:r>
        <w:rPr>
          <w:rFonts w:ascii="Arial" w:cs="Arial" w:eastAsia="Arial" w:hAnsi="Arial"/>
          <w:sz w:val="13"/>
          <w:szCs w:val="13"/>
          <w:color w:val="FFFFFF"/>
        </w:rPr>
        <w:t>,</w:t>
      </w:r>
      <w:r>
        <w:rPr>
          <w:rFonts w:ascii="Arial" w:cs="Arial" w:eastAsia="Arial" w:hAnsi="Arial"/>
          <w:sz w:val="12"/>
          <w:szCs w:val="12"/>
          <w:color w:val="FFFFFF"/>
        </w:rPr>
        <w:t xml:space="preserve"> KS 66211</w:t>
      </w:r>
    </w:p>
    <w:p>
      <w:pPr>
        <w:spacing w:after="0" w:line="40"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FFFFFF"/>
        </w:rPr>
        <w:t>NASDAQ: BUSE</w:t>
      </w:r>
    </w:p>
    <w:p>
      <w:pPr>
        <w:spacing w:after="0" w:line="40"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FFFFFF"/>
        </w:rPr>
        <w:t>Busey 2025 | All Rights Reserved</w:t>
      </w:r>
    </w:p>
    <w:p>
      <w:pPr>
        <w:spacing w:after="0" w:line="200" w:lineRule="exact"/>
        <w:rPr>
          <w:sz w:val="20"/>
          <w:szCs w:val="20"/>
          <w:color w:val="auto"/>
        </w:rPr>
      </w:pPr>
    </w:p>
    <w:p>
      <w:pPr>
        <w:spacing w:after="0" w:line="263" w:lineRule="exact"/>
        <w:rPr>
          <w:sz w:val="20"/>
          <w:szCs w:val="20"/>
          <w:color w:val="auto"/>
        </w:rPr>
      </w:pPr>
    </w:p>
    <w:p>
      <w:pPr>
        <w:jc w:val="center"/>
        <w:ind w:right="380"/>
        <w:spacing w:after="0"/>
        <w:rPr>
          <w:sz w:val="20"/>
          <w:szCs w:val="20"/>
          <w:color w:val="auto"/>
        </w:rPr>
      </w:pPr>
      <w:r>
        <w:rPr>
          <w:rFonts w:ascii="Arial" w:cs="Arial" w:eastAsia="Arial" w:hAnsi="Arial"/>
          <w:sz w:val="13"/>
          <w:szCs w:val="13"/>
          <w:color w:val="FFFFFF"/>
        </w:rPr>
        <w:t>Busey’s Financial Suite of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0260" w:val="left"/>
        </w:tabs>
        <w:rPr>
          <w:sz w:val="20"/>
          <w:szCs w:val="20"/>
          <w:color w:val="auto"/>
        </w:rPr>
      </w:pPr>
      <w:r>
        <w:rPr>
          <w:rFonts w:ascii="Arial" w:cs="Arial" w:eastAsia="Arial" w:hAnsi="Arial"/>
          <w:sz w:val="12"/>
          <w:szCs w:val="12"/>
          <w:color w:val="FFFFFF"/>
        </w:rPr>
        <w:t>Member FDIC</w:t>
      </w:r>
      <w:r>
        <w:rPr>
          <w:sz w:val="20"/>
          <w:szCs w:val="20"/>
          <w:color w:val="auto"/>
        </w:rPr>
        <w:tab/>
      </w:r>
      <w:r>
        <w:rPr>
          <w:rFonts w:ascii="Arial" w:cs="Arial" w:eastAsia="Arial" w:hAnsi="Arial"/>
          <w:sz w:val="11"/>
          <w:szCs w:val="11"/>
          <w:b w:val="1"/>
          <w:bCs w:val="1"/>
          <w:color w:val="FFFFFF"/>
        </w:rPr>
        <w:t>busey.com</w:t>
      </w:r>
    </w:p>
    <w:p>
      <w:pPr>
        <w:sectPr>
          <w:pgSz w:w="11900" w:h="16838" w:orient="portrait"/>
          <w:cols w:equalWidth="0" w:num="1">
            <w:col w:w="10900"/>
          </w:cols>
          <w:pgMar w:left="680" w:top="1250" w:right="319" w:bottom="1440" w:gutter="0" w:footer="0" w:header="0"/>
        </w:sectPr>
      </w:pPr>
    </w:p>
    <w:bookmarkStart w:id="25" w:name="page26"/>
    <w:bookmarkEnd w:id="25"/>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556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0415" cy="3655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9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0415" cy="3649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tabs>
          <w:tab w:leader="none" w:pos="102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6442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32" Type="http://schemas.openxmlformats.org/officeDocument/2006/relationships/hyperlink" Target="https://www.sec.gov/ix?doc=/Archives/edgar/data/0000314489/000110465925051061/tm2514597d6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2025-07-22T16:04:51Z</dcterms:created>
  <dcterms:modified xsi:type="dcterms:W3CDTF">2025-07-22T16:04:51Z</dcterms:modified>
</cp:coreProperties>
</file>