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66"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580" w:hanging="350"/>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0-15950</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2"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120" w:type="dxa"/>
            <w:vAlign w:val="bottom"/>
          </w:tcPr>
          <w:p>
            <w:pPr>
              <w:jc w:val="center"/>
              <w:ind w:right="1174"/>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tcPr>
          <w:p>
            <w:pPr>
              <w:jc w:val="right"/>
              <w:ind w:right="655"/>
              <w:spacing w:after="0"/>
              <w:rPr>
                <w:sz w:val="20"/>
                <w:szCs w:val="20"/>
                <w:color w:val="auto"/>
              </w:rPr>
            </w:pPr>
            <w:r>
              <w:rPr>
                <w:rFonts w:ascii="Arial" w:cs="Arial" w:eastAsia="Arial" w:hAnsi="Arial"/>
                <w:sz w:val="18"/>
                <w:szCs w:val="18"/>
                <w:b w:val="1"/>
                <w:bCs w:val="1"/>
                <w:color w:val="auto"/>
              </w:rPr>
              <w:t>37-1078406</w:t>
            </w:r>
          </w:p>
        </w:tc>
      </w:tr>
      <w:tr>
        <w:trPr>
          <w:trHeight w:val="237"/>
        </w:trPr>
        <w:tc>
          <w:tcPr>
            <w:tcW w:w="5120" w:type="dxa"/>
            <w:vAlign w:val="bottom"/>
          </w:tcPr>
          <w:p>
            <w:pPr>
              <w:jc w:val="center"/>
              <w:ind w:right="115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600" w:type="dxa"/>
            <w:vAlign w:val="bottom"/>
          </w:tcPr>
          <w:p>
            <w:pPr>
              <w:jc w:val="center"/>
              <w:ind w:left="1175"/>
              <w:spacing w:after="0"/>
              <w:rPr>
                <w:sz w:val="20"/>
                <w:szCs w:val="20"/>
                <w:color w:val="auto"/>
              </w:rPr>
            </w:pPr>
            <w:r>
              <w:rPr>
                <w:rFonts w:ascii="Arial" w:cs="Arial" w:eastAsia="Arial" w:hAnsi="Arial"/>
                <w:sz w:val="16"/>
                <w:szCs w:val="16"/>
                <w:color w:val="auto"/>
                <w:w w:val="94"/>
              </w:rPr>
              <w:t>(I.R.S. Employer Identification No.)</w:t>
            </w:r>
          </w:p>
        </w:tc>
      </w:tr>
      <w:tr>
        <w:trPr>
          <w:trHeight w:val="235"/>
        </w:trPr>
        <w:tc>
          <w:tcPr>
            <w:tcW w:w="5120" w:type="dxa"/>
            <w:vAlign w:val="bottom"/>
          </w:tcPr>
          <w:p>
            <w:pPr>
              <w:jc w:val="center"/>
              <w:ind w:right="1174"/>
              <w:spacing w:after="0"/>
              <w:rPr>
                <w:sz w:val="20"/>
                <w:szCs w:val="20"/>
                <w:color w:val="auto"/>
              </w:rPr>
            </w:pPr>
            <w:r>
              <w:rPr>
                <w:rFonts w:ascii="Arial" w:cs="Arial" w:eastAsia="Arial" w:hAnsi="Arial"/>
                <w:sz w:val="18"/>
                <w:szCs w:val="18"/>
                <w:color w:val="auto"/>
                <w:w w:val="93"/>
              </w:rPr>
              <w:t>100 W. University Ave.</w:t>
            </w:r>
          </w:p>
        </w:tc>
        <w:tc>
          <w:tcPr>
            <w:tcW w:w="3600" w:type="dxa"/>
            <w:vAlign w:val="bottom"/>
          </w:tcPr>
          <w:p>
            <w:pPr>
              <w:spacing w:after="0"/>
              <w:rPr>
                <w:sz w:val="20"/>
                <w:szCs w:val="20"/>
                <w:color w:val="auto"/>
              </w:rPr>
            </w:pPr>
          </w:p>
        </w:tc>
      </w:tr>
      <w:tr>
        <w:trPr>
          <w:trHeight w:val="230"/>
        </w:trPr>
        <w:tc>
          <w:tcPr>
            <w:tcW w:w="5120" w:type="dxa"/>
            <w:vAlign w:val="bottom"/>
          </w:tcPr>
          <w:p>
            <w:pPr>
              <w:jc w:val="center"/>
              <w:ind w:right="1154"/>
              <w:spacing w:after="0"/>
              <w:rPr>
                <w:sz w:val="20"/>
                <w:szCs w:val="20"/>
                <w:color w:val="auto"/>
              </w:rPr>
            </w:pPr>
            <w:r>
              <w:rPr>
                <w:rFonts w:ascii="Arial" w:cs="Arial" w:eastAsia="Arial" w:hAnsi="Arial"/>
                <w:sz w:val="18"/>
                <w:szCs w:val="18"/>
                <w:color w:val="auto"/>
                <w:w w:val="94"/>
              </w:rPr>
              <w:t>Champaign, Illinois</w:t>
            </w:r>
          </w:p>
        </w:tc>
        <w:tc>
          <w:tcPr>
            <w:tcW w:w="3600" w:type="dxa"/>
            <w:vAlign w:val="bottom"/>
          </w:tcPr>
          <w:p>
            <w:pPr>
              <w:jc w:val="right"/>
              <w:ind w:right="855"/>
              <w:spacing w:after="0"/>
              <w:rPr>
                <w:sz w:val="20"/>
                <w:szCs w:val="20"/>
                <w:color w:val="auto"/>
              </w:rPr>
            </w:pPr>
            <w:r>
              <w:rPr>
                <w:rFonts w:ascii="Arial" w:cs="Arial" w:eastAsia="Arial" w:hAnsi="Arial"/>
                <w:sz w:val="18"/>
                <w:szCs w:val="18"/>
                <w:color w:val="auto"/>
              </w:rPr>
              <w:t>61820</w:t>
            </w:r>
          </w:p>
        </w:tc>
      </w:tr>
      <w:tr>
        <w:trPr>
          <w:trHeight w:val="237"/>
        </w:trPr>
        <w:tc>
          <w:tcPr>
            <w:tcW w:w="5120" w:type="dxa"/>
            <w:vAlign w:val="bottom"/>
          </w:tcPr>
          <w:p>
            <w:pPr>
              <w:jc w:val="center"/>
              <w:ind w:right="1154"/>
              <w:spacing w:after="0"/>
              <w:rPr>
                <w:sz w:val="20"/>
                <w:szCs w:val="20"/>
                <w:color w:val="auto"/>
              </w:rPr>
            </w:pPr>
            <w:r>
              <w:rPr>
                <w:rFonts w:ascii="Arial" w:cs="Arial" w:eastAsia="Arial" w:hAnsi="Arial"/>
                <w:sz w:val="16"/>
                <w:szCs w:val="16"/>
                <w:color w:val="auto"/>
                <w:w w:val="93"/>
              </w:rPr>
              <w:t>(Address of principal executive offices)</w:t>
            </w:r>
          </w:p>
        </w:tc>
        <w:tc>
          <w:tcPr>
            <w:tcW w:w="3600" w:type="dxa"/>
            <w:vAlign w:val="bottom"/>
          </w:tcPr>
          <w:p>
            <w:pPr>
              <w:jc w:val="center"/>
              <w:ind w:left="1195"/>
              <w:spacing w:after="0"/>
              <w:rPr>
                <w:sz w:val="20"/>
                <w:szCs w:val="20"/>
                <w:color w:val="auto"/>
              </w:rPr>
            </w:pPr>
            <w:r>
              <w:rPr>
                <w:rFonts w:ascii="Arial" w:cs="Arial" w:eastAsia="Arial" w:hAnsi="Arial"/>
                <w:sz w:val="16"/>
                <w:szCs w:val="16"/>
                <w:color w:val="auto"/>
                <w:w w:val="94"/>
              </w:rPr>
              <w:t>(Zip code)</w:t>
            </w: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14" w:lineRule="exact"/>
        <w:rPr>
          <w:sz w:val="24"/>
          <w:szCs w:val="24"/>
          <w:color w:val="auto"/>
        </w:rPr>
      </w:pPr>
    </w:p>
    <w:p>
      <w:pPr>
        <w:ind w:left="294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 (s)</w:t>
            </w: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44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Common Stock, $.001 par value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74" w:lineRule="exact"/>
        <w:rPr>
          <w:sz w:val="24"/>
          <w:szCs w:val="24"/>
          <w:color w:val="auto"/>
        </w:rPr>
      </w:pPr>
    </w:p>
    <w:p>
      <w:pPr>
        <w:jc w:val="both"/>
        <w:spacing w:after="0" w:line="18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94" w:lineRule="exact"/>
        <w:rPr>
          <w:sz w:val="24"/>
          <w:szCs w:val="24"/>
          <w:color w:val="auto"/>
        </w:rPr>
      </w:pPr>
    </w:p>
    <w:p>
      <w:pPr>
        <w:jc w:val="both"/>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92"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01" w:right="339" w:bottom="1440" w:gutter="0" w:footer="0" w:header="0"/>
        </w:sectPr>
      </w:pPr>
    </w:p>
    <w:p>
      <w:pPr>
        <w:spacing w:after="0" w:line="133"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w:t>
      </w:r>
    </w:p>
    <w:p>
      <w:pPr>
        <w:spacing w:after="0" w:line="177" w:lineRule="exact"/>
        <w:rPr>
          <w:sz w:val="24"/>
          <w:szCs w:val="24"/>
          <w:color w:val="auto"/>
        </w:rPr>
      </w:pPr>
    </w:p>
    <w:p>
      <w:pPr>
        <w:sectPr>
          <w:pgSz w:w="11900" w:h="16838" w:orient="portrait"/>
          <w:cols w:equalWidth="0" w:num="3">
            <w:col w:w="3040" w:space="720"/>
            <w:col w:w="3020" w:space="720"/>
            <w:col w:w="3740"/>
          </w:cols>
          <w:pgMar w:left="320" w:top="301" w:right="339" w:bottom="1440" w:gutter="0" w:footer="0" w:header="0"/>
          <w:type w:val="continuous"/>
        </w:sectPr>
      </w:pPr>
    </w:p>
    <w:p>
      <w:pPr>
        <w:ind w:left="2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3040" w:space="720"/>
            <w:col w:w="7480"/>
          </w:cols>
          <w:pgMar w:left="320" w:top="301" w:right="339" w:bottom="1440" w:gutter="0" w:footer="0" w:header="0"/>
          <w:type w:val="continuous"/>
        </w:sect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8" w:lineRule="exact"/>
        <w:rPr>
          <w:sz w:val="24"/>
          <w:szCs w:val="24"/>
          <w:color w:val="auto"/>
        </w:rPr>
      </w:pPr>
    </w:p>
    <w:p>
      <w:pPr>
        <w:ind w:right="3000"/>
        <w:spacing w:after="0" w:line="28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w:t>
            </w:r>
          </w:p>
        </w:tc>
        <w:tc>
          <w:tcPr>
            <w:tcW w:w="558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1"/>
              </w:rPr>
              <w:t>Outstanding at November 2, 2023</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Common Stock, $.001 par value</w:t>
            </w:r>
          </w:p>
        </w:tc>
        <w:tc>
          <w:tcPr>
            <w:tcW w:w="4680" w:type="dxa"/>
            <w:vAlign w:val="bottom"/>
          </w:tcPr>
          <w:p>
            <w:pPr>
              <w:jc w:val="right"/>
              <w:ind w:right="1850"/>
              <w:spacing w:after="0"/>
              <w:rPr>
                <w:sz w:val="20"/>
                <w:szCs w:val="20"/>
                <w:color w:val="auto"/>
              </w:rPr>
            </w:pPr>
            <w:r>
              <w:rPr>
                <w:rFonts w:ascii="Arial" w:cs="Arial" w:eastAsia="Arial" w:hAnsi="Arial"/>
                <w:sz w:val="18"/>
                <w:szCs w:val="18"/>
                <w:color w:val="auto"/>
              </w:rPr>
              <w:t>55,258,904</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2023</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20" w:type="dxa"/>
            <w:vAlign w:val="bottom"/>
            <w:gridSpan w:val="12"/>
          </w:tcPr>
          <w:p>
            <w:pPr>
              <w:ind w:left="3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360" w:type="dxa"/>
            <w:vAlign w:val="bottom"/>
            <w:gridSpan w:val="9"/>
          </w:tcPr>
          <w:p>
            <w:pPr>
              <w:spacing w:after="0"/>
              <w:rPr>
                <w:sz w:val="20"/>
                <w:szCs w:val="20"/>
                <w:color w:val="auto"/>
              </w:rPr>
            </w:pPr>
            <w:r>
              <w:rPr>
                <w:rFonts w:ascii="Arial" w:cs="Arial" w:eastAsia="Arial" w:hAnsi="Arial"/>
                <w:sz w:val="18"/>
                <w:szCs w:val="18"/>
                <w:color w:val="0000FF"/>
              </w:rPr>
              <w:t>GLOSSARY</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2"/>
        </w:trPr>
        <w:tc>
          <w:tcPr>
            <w:tcW w:w="940" w:type="dxa"/>
            <w:vAlign w:val="bottom"/>
            <w:gridSpan w:val="7"/>
          </w:tcPr>
          <w:p>
            <w:pPr>
              <w:spacing w:after="0"/>
              <w:rPr>
                <w:sz w:val="20"/>
                <w:szCs w:val="20"/>
                <w:color w:val="auto"/>
              </w:rPr>
            </w:pPr>
            <w:r>
              <w:rPr>
                <w:rFonts w:ascii="Arial" w:cs="Arial" w:eastAsia="Arial" w:hAnsi="Arial"/>
                <w:sz w:val="18"/>
                <w:szCs w:val="18"/>
                <w:color w:val="0000FF"/>
              </w:rPr>
              <w:t>PART I</w:t>
            </w:r>
          </w:p>
        </w:tc>
        <w:tc>
          <w:tcPr>
            <w:tcW w:w="420" w:type="dxa"/>
            <w:vAlign w:val="bottom"/>
            <w:gridSpan w:val="2"/>
          </w:tcPr>
          <w:p>
            <w:pPr>
              <w:spacing w:after="0"/>
              <w:rPr>
                <w:sz w:val="24"/>
                <w:szCs w:val="24"/>
                <w:color w:val="auto"/>
              </w:rPr>
            </w:pPr>
          </w:p>
        </w:tc>
        <w:tc>
          <w:tcPr>
            <w:tcW w:w="9660" w:type="dxa"/>
            <w:vAlign w:val="bottom"/>
            <w:gridSpan w:val="33"/>
          </w:tcPr>
          <w:p>
            <w:pPr>
              <w:spacing w:after="0"/>
              <w:rPr>
                <w:sz w:val="20"/>
                <w:szCs w:val="20"/>
                <w:color w:val="auto"/>
              </w:rPr>
            </w:pPr>
            <w:r>
              <w:rPr>
                <w:rFonts w:ascii="Arial" w:cs="Arial" w:eastAsia="Arial" w:hAnsi="Arial"/>
                <w:sz w:val="18"/>
                <w:szCs w:val="18"/>
                <w:color w:val="0000FF"/>
              </w:rPr>
              <w:t>FINANCIAL INFORMATION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0000FF"/>
                <w:w w:val="90"/>
              </w:rPr>
              <w:t>Item 1.</w:t>
            </w:r>
          </w:p>
        </w:tc>
        <w:tc>
          <w:tcPr>
            <w:tcW w:w="680" w:type="dxa"/>
            <w:vAlign w:val="bottom"/>
            <w:gridSpan w:val="5"/>
          </w:tcPr>
          <w:p>
            <w:pPr>
              <w:spacing w:after="0"/>
              <w:rPr>
                <w:sz w:val="24"/>
                <w:szCs w:val="24"/>
                <w:color w:val="auto"/>
              </w:rPr>
            </w:pPr>
          </w:p>
        </w:tc>
        <w:tc>
          <w:tcPr>
            <w:tcW w:w="9660" w:type="dxa"/>
            <w:vAlign w:val="bottom"/>
            <w:gridSpan w:val="33"/>
          </w:tcPr>
          <w:p>
            <w:pPr>
              <w:spacing w:after="0"/>
              <w:rPr>
                <w:sz w:val="20"/>
                <w:szCs w:val="20"/>
                <w:color w:val="auto"/>
              </w:rPr>
            </w:pPr>
            <w:r>
              <w:rPr>
                <w:rFonts w:ascii="Arial" w:cs="Arial" w:eastAsia="Arial" w:hAnsi="Arial"/>
                <w:sz w:val="18"/>
                <w:szCs w:val="18"/>
                <w:color w:val="0000FF"/>
              </w:rPr>
              <w:t>FINANCIAL STATEMENTS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00" w:type="dxa"/>
            <w:vAlign w:val="bottom"/>
            <w:gridSpan w:val="32"/>
          </w:tcPr>
          <w:p>
            <w:pPr>
              <w:spacing w:after="0"/>
              <w:rPr>
                <w:sz w:val="20"/>
                <w:szCs w:val="20"/>
                <w:color w:val="auto"/>
              </w:rPr>
            </w:pPr>
            <w:r>
              <w:rPr>
                <w:rFonts w:ascii="Arial" w:cs="Arial" w:eastAsia="Arial" w:hAnsi="Arial"/>
                <w:sz w:val="18"/>
                <w:szCs w:val="18"/>
                <w:color w:val="0000FF"/>
              </w:rPr>
              <w:t>CONSOLIDATED BALANCE SHEETS (Unaudited)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00" w:type="dxa"/>
            <w:vAlign w:val="bottom"/>
            <w:gridSpan w:val="24"/>
          </w:tcPr>
          <w:p>
            <w:pPr>
              <w:spacing w:after="0"/>
              <w:rPr>
                <w:sz w:val="20"/>
                <w:szCs w:val="20"/>
                <w:color w:val="auto"/>
              </w:rPr>
            </w:pPr>
            <w:r>
              <w:rPr>
                <w:rFonts w:ascii="Arial" w:cs="Arial" w:eastAsia="Arial" w:hAnsi="Arial"/>
                <w:sz w:val="18"/>
                <w:szCs w:val="18"/>
                <w:color w:val="0000FF"/>
                <w:w w:val="94"/>
              </w:rPr>
              <w:t>CONSOLIDATED STATEMENTS OF INCOME (Unaudited)</w:t>
            </w:r>
          </w:p>
        </w:tc>
        <w:tc>
          <w:tcPr>
            <w:tcW w:w="5000" w:type="dxa"/>
            <w:vAlign w:val="bottom"/>
            <w:gridSpan w:val="8"/>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60" w:type="dxa"/>
            <w:vAlign w:val="bottom"/>
            <w:gridSpan w:val="29"/>
          </w:tcPr>
          <w:p>
            <w:pPr>
              <w:spacing w:after="0"/>
              <w:rPr>
                <w:sz w:val="20"/>
                <w:szCs w:val="20"/>
                <w:color w:val="auto"/>
              </w:rPr>
            </w:pPr>
            <w:r>
              <w:rPr>
                <w:rFonts w:ascii="Arial" w:cs="Arial" w:eastAsia="Arial" w:hAnsi="Arial"/>
                <w:sz w:val="18"/>
                <w:szCs w:val="18"/>
                <w:color w:val="0000FF"/>
                <w:w w:val="94"/>
              </w:rPr>
              <w:t>CONSOLIDATED STATEMENTS OF COMPREHENSIVE INCOME (LOSS) (Unaudited)</w:t>
            </w:r>
          </w:p>
        </w:tc>
        <w:tc>
          <w:tcPr>
            <w:tcW w:w="2840" w:type="dxa"/>
            <w:vAlign w:val="bottom"/>
            <w:gridSpan w:val="3"/>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980" w:type="dxa"/>
            <w:vAlign w:val="bottom"/>
            <w:gridSpan w:val="28"/>
          </w:tcPr>
          <w:p>
            <w:pPr>
              <w:spacing w:after="0"/>
              <w:rPr>
                <w:sz w:val="20"/>
                <w:szCs w:val="20"/>
                <w:color w:val="auto"/>
              </w:rPr>
            </w:pPr>
            <w:r>
              <w:rPr>
                <w:rFonts w:ascii="Arial" w:cs="Arial" w:eastAsia="Arial" w:hAnsi="Arial"/>
                <w:sz w:val="18"/>
                <w:szCs w:val="18"/>
                <w:color w:val="0000FF"/>
                <w:w w:val="95"/>
              </w:rPr>
              <w:t>CONSOLIDATED STATEMENTS OF STOCKHOLDERS’ EQUITY (Unaudited)</w:t>
            </w:r>
          </w:p>
        </w:tc>
        <w:tc>
          <w:tcPr>
            <w:tcW w:w="680" w:type="dxa"/>
            <w:vAlign w:val="bottom"/>
          </w:tcPr>
          <w:p>
            <w:pPr>
              <w:spacing w:after="0"/>
              <w:rPr>
                <w:sz w:val="21"/>
                <w:szCs w:val="21"/>
                <w:color w:val="auto"/>
              </w:rPr>
            </w:pPr>
          </w:p>
        </w:tc>
        <w:tc>
          <w:tcPr>
            <w:tcW w:w="2840" w:type="dxa"/>
            <w:vAlign w:val="bottom"/>
            <w:gridSpan w:val="3"/>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9</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4"/>
              </w:rPr>
              <w:t>CONSOLIDATED STATEMENTS OF CASH FLOWS (Unaudited)</w:t>
            </w:r>
          </w:p>
        </w:tc>
        <w:tc>
          <w:tcPr>
            <w:tcW w:w="1060" w:type="dxa"/>
            <w:vAlign w:val="bottom"/>
            <w:gridSpan w:val="2"/>
          </w:tcPr>
          <w:p>
            <w:pPr>
              <w:spacing w:after="0"/>
              <w:rPr>
                <w:sz w:val="21"/>
                <w:szCs w:val="21"/>
                <w:color w:val="auto"/>
              </w:rPr>
            </w:pPr>
          </w:p>
        </w:tc>
        <w:tc>
          <w:tcPr>
            <w:tcW w:w="3520" w:type="dxa"/>
            <w:vAlign w:val="bottom"/>
            <w:gridSpan w:val="4"/>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11</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60" w:type="dxa"/>
            <w:vAlign w:val="bottom"/>
            <w:gridSpan w:val="33"/>
          </w:tcPr>
          <w:p>
            <w:pPr>
              <w:spacing w:after="0"/>
              <w:rPr>
                <w:sz w:val="20"/>
                <w:szCs w:val="20"/>
                <w:color w:val="auto"/>
              </w:rPr>
            </w:pPr>
            <w:r>
              <w:rPr>
                <w:rFonts w:ascii="Arial" w:cs="Arial" w:eastAsia="Arial" w:hAnsi="Arial"/>
                <w:sz w:val="18"/>
                <w:szCs w:val="18"/>
                <w:color w:val="0000FF"/>
              </w:rPr>
              <w:t>NOTES TO CONSOLIDATED FINANCIAL STATEMENTS (Unaudited)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13</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522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Note 1:  Significant Accounting Policies</w:t>
            </w:r>
          </w:p>
        </w:tc>
        <w:tc>
          <w:tcPr>
            <w:tcW w:w="4280" w:type="dxa"/>
            <w:vAlign w:val="bottom"/>
            <w:gridSpan w:val="5"/>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13</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rPr>
              <w:t>Note 2:</w:t>
            </w:r>
          </w:p>
        </w:tc>
        <w:tc>
          <w:tcPr>
            <w:tcW w:w="1140" w:type="dxa"/>
            <w:vAlign w:val="bottom"/>
            <w:tcBorders>
              <w:top w:val="single" w:sz="8" w:color="0000FF"/>
              <w:bottom w:val="single" w:sz="8" w:color="0000FF"/>
            </w:tcBorders>
            <w:gridSpan w:val="7"/>
          </w:tcPr>
          <w:p>
            <w:pPr>
              <w:ind w:left="40"/>
              <w:spacing w:after="0"/>
              <w:rPr>
                <w:sz w:val="20"/>
                <w:szCs w:val="20"/>
                <w:color w:val="auto"/>
              </w:rPr>
            </w:pPr>
            <w:r>
              <w:rPr>
                <w:rFonts w:ascii="Arial" w:cs="Arial" w:eastAsia="Arial" w:hAnsi="Arial"/>
                <w:sz w:val="18"/>
                <w:szCs w:val="18"/>
                <w:color w:val="0000FF"/>
                <w:w w:val="88"/>
              </w:rPr>
              <w:t>Debt Securities</w:t>
            </w:r>
          </w:p>
        </w:tc>
        <w:tc>
          <w:tcPr>
            <w:tcW w:w="1180" w:type="dxa"/>
            <w:vAlign w:val="bottom"/>
            <w:tcBorders>
              <w:top w:val="single" w:sz="8" w:color="0000FF"/>
            </w:tcBorders>
            <w:gridSpan w:val="9"/>
          </w:tcPr>
          <w:p>
            <w:pPr>
              <w:spacing w:after="0"/>
              <w:rPr>
                <w:sz w:val="21"/>
                <w:szCs w:val="21"/>
                <w:color w:val="auto"/>
              </w:rPr>
            </w:pPr>
          </w:p>
        </w:tc>
        <w:tc>
          <w:tcPr>
            <w:tcW w:w="6500" w:type="dxa"/>
            <w:vAlign w:val="bottom"/>
            <w:gridSpan w:val="1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16</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Note 3:</w:t>
            </w:r>
          </w:p>
        </w:tc>
        <w:tc>
          <w:tcPr>
            <w:tcW w:w="1160" w:type="dxa"/>
            <w:vAlign w:val="bottom"/>
            <w:tcBorders>
              <w:bottom w:val="single" w:sz="8" w:color="0000FF"/>
            </w:tcBorders>
            <w:gridSpan w:val="8"/>
          </w:tcPr>
          <w:p>
            <w:pPr>
              <w:ind w:left="40"/>
              <w:spacing w:after="0"/>
              <w:rPr>
                <w:sz w:val="20"/>
                <w:szCs w:val="20"/>
                <w:color w:val="auto"/>
              </w:rPr>
            </w:pPr>
            <w:r>
              <w:rPr>
                <w:rFonts w:ascii="Arial" w:cs="Arial" w:eastAsia="Arial" w:hAnsi="Arial"/>
                <w:sz w:val="18"/>
                <w:szCs w:val="18"/>
                <w:color w:val="0000FF"/>
                <w:w w:val="91"/>
              </w:rPr>
              <w:t>Portfolio Loans</w:t>
            </w:r>
          </w:p>
        </w:tc>
        <w:tc>
          <w:tcPr>
            <w:tcW w:w="7660" w:type="dxa"/>
            <w:vAlign w:val="bottom"/>
            <w:gridSpan w:val="22"/>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20</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Note 4:</w:t>
            </w:r>
          </w:p>
        </w:tc>
        <w:tc>
          <w:tcPr>
            <w:tcW w:w="8820" w:type="dxa"/>
            <w:vAlign w:val="bottom"/>
            <w:gridSpan w:val="30"/>
          </w:tcPr>
          <w:p>
            <w:pPr>
              <w:ind w:left="40"/>
              <w:spacing w:after="0"/>
              <w:rPr>
                <w:sz w:val="20"/>
                <w:szCs w:val="20"/>
                <w:color w:val="auto"/>
              </w:rPr>
            </w:pPr>
            <w:r>
              <w:rPr>
                <w:rFonts w:ascii="Arial" w:cs="Arial" w:eastAsia="Arial" w:hAnsi="Arial"/>
                <w:sz w:val="18"/>
                <w:szCs w:val="18"/>
                <w:color w:val="0000FF"/>
              </w:rPr>
              <w:t>Leases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31</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Note 5:</w:t>
            </w:r>
          </w:p>
        </w:tc>
        <w:tc>
          <w:tcPr>
            <w:tcW w:w="8820" w:type="dxa"/>
            <w:vAlign w:val="bottom"/>
            <w:gridSpan w:val="30"/>
          </w:tcPr>
          <w:p>
            <w:pPr>
              <w:ind w:left="40"/>
              <w:spacing w:after="0"/>
              <w:rPr>
                <w:sz w:val="20"/>
                <w:szCs w:val="20"/>
                <w:color w:val="auto"/>
              </w:rPr>
            </w:pPr>
            <w:r>
              <w:rPr>
                <w:rFonts w:ascii="Arial" w:cs="Arial" w:eastAsia="Arial" w:hAnsi="Arial"/>
                <w:sz w:val="18"/>
                <w:szCs w:val="18"/>
                <w:color w:val="0000FF"/>
              </w:rPr>
              <w:t>Deposits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32</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Note 6:</w:t>
            </w:r>
          </w:p>
        </w:tc>
        <w:tc>
          <w:tcPr>
            <w:tcW w:w="8820" w:type="dxa"/>
            <w:vAlign w:val="bottom"/>
            <w:gridSpan w:val="30"/>
          </w:tcPr>
          <w:p>
            <w:pPr>
              <w:ind w:left="40"/>
              <w:spacing w:after="0"/>
              <w:rPr>
                <w:sz w:val="20"/>
                <w:szCs w:val="20"/>
                <w:color w:val="auto"/>
              </w:rPr>
            </w:pPr>
            <w:r>
              <w:rPr>
                <w:rFonts w:ascii="Arial" w:cs="Arial" w:eastAsia="Arial" w:hAnsi="Arial"/>
                <w:sz w:val="18"/>
                <w:szCs w:val="18"/>
                <w:color w:val="0000FF"/>
              </w:rPr>
              <w:t>Borrowings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33</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Note 7:</w:t>
            </w:r>
          </w:p>
        </w:tc>
        <w:tc>
          <w:tcPr>
            <w:tcW w:w="1420" w:type="dxa"/>
            <w:vAlign w:val="bottom"/>
            <w:tcBorders>
              <w:bottom w:val="single" w:sz="8" w:color="0000FF"/>
            </w:tcBorders>
            <w:gridSpan w:val="10"/>
          </w:tcPr>
          <w:p>
            <w:pPr>
              <w:ind w:left="40"/>
              <w:spacing w:after="0"/>
              <w:rPr>
                <w:sz w:val="20"/>
                <w:szCs w:val="20"/>
                <w:color w:val="auto"/>
              </w:rPr>
            </w:pPr>
            <w:r>
              <w:rPr>
                <w:rFonts w:ascii="Arial" w:cs="Arial" w:eastAsia="Arial" w:hAnsi="Arial"/>
                <w:sz w:val="18"/>
                <w:szCs w:val="18"/>
                <w:color w:val="0000FF"/>
                <w:w w:val="90"/>
              </w:rPr>
              <w:t>Regulatory Capital</w:t>
            </w:r>
          </w:p>
        </w:tc>
        <w:tc>
          <w:tcPr>
            <w:tcW w:w="7400" w:type="dxa"/>
            <w:vAlign w:val="bottom"/>
            <w:gridSpan w:val="20"/>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rPr>
              <w:t>Note 8:</w:t>
            </w:r>
          </w:p>
        </w:tc>
        <w:tc>
          <w:tcPr>
            <w:tcW w:w="8820" w:type="dxa"/>
            <w:vAlign w:val="bottom"/>
            <w:gridSpan w:val="30"/>
          </w:tcPr>
          <w:p>
            <w:pPr>
              <w:ind w:left="40"/>
              <w:spacing w:after="0"/>
              <w:rPr>
                <w:sz w:val="20"/>
                <w:szCs w:val="20"/>
                <w:color w:val="auto"/>
              </w:rPr>
            </w:pPr>
            <w:r>
              <w:rPr>
                <w:rFonts w:ascii="Arial" w:cs="Arial" w:eastAsia="Arial" w:hAnsi="Arial"/>
                <w:sz w:val="18"/>
                <w:szCs w:val="18"/>
                <w:color w:val="0000FF"/>
              </w:rPr>
              <w:t>Stock-Based Compensation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37</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00" w:type="dxa"/>
            <w:vAlign w:val="bottom"/>
            <w:gridSpan w:val="32"/>
          </w:tcPr>
          <w:p>
            <w:pPr>
              <w:spacing w:after="0"/>
              <w:rPr>
                <w:sz w:val="20"/>
                <w:szCs w:val="20"/>
                <w:color w:val="auto"/>
              </w:rPr>
            </w:pPr>
            <w:r>
              <w:rPr>
                <w:rFonts w:ascii="Arial" w:cs="Arial" w:eastAsia="Arial" w:hAnsi="Arial"/>
                <w:sz w:val="18"/>
                <w:szCs w:val="18"/>
                <w:color w:val="0000FF"/>
              </w:rPr>
              <w:t>Note 9:  Outstanding Commitments and Contingent Liabilities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41</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8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Note 10: Derivative Financial Instruments</w:t>
            </w:r>
          </w:p>
        </w:tc>
        <w:tc>
          <w:tcPr>
            <w:tcW w:w="4920" w:type="dxa"/>
            <w:vAlign w:val="bottom"/>
            <w:gridSpan w:val="7"/>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41</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8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Note 11: Fair Value Measurements</w:t>
            </w:r>
          </w:p>
        </w:tc>
        <w:tc>
          <w:tcPr>
            <w:tcW w:w="6420" w:type="dxa"/>
            <w:vAlign w:val="bottom"/>
            <w:gridSpan w:val="12"/>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47</w:t>
            </w:r>
          </w:p>
        </w:tc>
      </w:tr>
      <w:tr>
        <w:trPr>
          <w:trHeight w:val="20"/>
        </w:trPr>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Note 12: Earnings per Common Share</w:t>
            </w:r>
          </w:p>
        </w:tc>
        <w:tc>
          <w:tcPr>
            <w:tcW w:w="6700" w:type="dxa"/>
            <w:vAlign w:val="bottom"/>
            <w:gridSpan w:val="15"/>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52</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00" w:type="dxa"/>
            <w:vAlign w:val="bottom"/>
            <w:gridSpan w:val="32"/>
          </w:tcPr>
          <w:p>
            <w:pPr>
              <w:spacing w:after="0"/>
              <w:rPr>
                <w:sz w:val="20"/>
                <w:szCs w:val="20"/>
                <w:color w:val="auto"/>
              </w:rPr>
            </w:pPr>
            <w:r>
              <w:rPr>
                <w:rFonts w:ascii="Arial" w:cs="Arial" w:eastAsia="Arial" w:hAnsi="Arial"/>
                <w:sz w:val="18"/>
                <w:szCs w:val="18"/>
                <w:color w:val="0000FF"/>
              </w:rPr>
              <w:t>Note 13: Accumulated Other Comprehensive Income (Loss)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53</w:t>
            </w:r>
          </w:p>
        </w:tc>
      </w:tr>
      <w:tr>
        <w:trPr>
          <w:trHeight w:val="250"/>
        </w:trPr>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8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Note 14: Operating Segments and Related Information</w:t>
            </w:r>
          </w:p>
        </w:tc>
        <w:tc>
          <w:tcPr>
            <w:tcW w:w="5120" w:type="dxa"/>
            <w:vAlign w:val="bottom"/>
            <w:gridSpan w:val="9"/>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r>
      <w:tr>
        <w:trPr>
          <w:trHeight w:val="20"/>
        </w:trPr>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2.</w:t>
            </w:r>
          </w:p>
        </w:tc>
        <w:tc>
          <w:tcPr>
            <w:tcW w:w="660" w:type="dxa"/>
            <w:vAlign w:val="bottom"/>
            <w:gridSpan w:val="4"/>
          </w:tcPr>
          <w:p>
            <w:pPr>
              <w:spacing w:after="0"/>
              <w:rPr>
                <w:sz w:val="21"/>
                <w:szCs w:val="21"/>
                <w:color w:val="auto"/>
              </w:rPr>
            </w:pPr>
          </w:p>
        </w:tc>
        <w:tc>
          <w:tcPr>
            <w:tcW w:w="892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7"/>
              </w:rPr>
              <w:t>MANAGEMENT’S DISCUSSION AND ANALYSIS OF FINANCIAL CONDITION AND RESULTS OF OPERATIONS</w:t>
            </w:r>
          </w:p>
        </w:tc>
        <w:tc>
          <w:tcPr>
            <w:tcW w:w="7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57</w:t>
            </w:r>
          </w:p>
        </w:tc>
      </w:tr>
      <w:tr>
        <w:trPr>
          <w:trHeight w:val="250"/>
        </w:trPr>
        <w:tc>
          <w:tcPr>
            <w:tcW w:w="160" w:type="dxa"/>
            <w:vAlign w:val="bottom"/>
          </w:tcPr>
          <w:p>
            <w:pPr>
              <w:spacing w:after="0"/>
              <w:rPr>
                <w:sz w:val="21"/>
                <w:szCs w:val="21"/>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3.</w:t>
            </w:r>
          </w:p>
        </w:tc>
        <w:tc>
          <w:tcPr>
            <w:tcW w:w="660" w:type="dxa"/>
            <w:vAlign w:val="bottom"/>
            <w:gridSpan w:val="4"/>
          </w:tcPr>
          <w:p>
            <w:pPr>
              <w:spacing w:after="0"/>
              <w:rPr>
                <w:sz w:val="21"/>
                <w:szCs w:val="21"/>
                <w:color w:val="auto"/>
              </w:rPr>
            </w:pPr>
          </w:p>
        </w:tc>
        <w:tc>
          <w:tcPr>
            <w:tcW w:w="614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8"/>
              </w:rPr>
              <w:t>QUANTITATIVE AND QUALITATIVE DISCLOSURES ABOUT MARKET RISK</w:t>
            </w:r>
          </w:p>
        </w:tc>
        <w:tc>
          <w:tcPr>
            <w:tcW w:w="3520" w:type="dxa"/>
            <w:vAlign w:val="bottom"/>
            <w:gridSpan w:val="4"/>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89</w:t>
            </w:r>
          </w:p>
        </w:tc>
      </w:tr>
      <w:tr>
        <w:trPr>
          <w:trHeight w:val="250"/>
        </w:trPr>
        <w:tc>
          <w:tcPr>
            <w:tcW w:w="160" w:type="dxa"/>
            <w:vAlign w:val="bottom"/>
          </w:tcPr>
          <w:p>
            <w:pPr>
              <w:spacing w:after="0"/>
              <w:rPr>
                <w:sz w:val="21"/>
                <w:szCs w:val="21"/>
                <w:color w:val="auto"/>
              </w:rPr>
            </w:pPr>
          </w:p>
        </w:tc>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Item 4.</w:t>
            </w:r>
          </w:p>
        </w:tc>
        <w:tc>
          <w:tcPr>
            <w:tcW w:w="680" w:type="dxa"/>
            <w:vAlign w:val="bottom"/>
            <w:gridSpan w:val="5"/>
          </w:tcPr>
          <w:p>
            <w:pPr>
              <w:spacing w:after="0"/>
              <w:rPr>
                <w:sz w:val="21"/>
                <w:szCs w:val="21"/>
                <w:color w:val="auto"/>
              </w:rPr>
            </w:pPr>
          </w:p>
        </w:tc>
        <w:tc>
          <w:tcPr>
            <w:tcW w:w="26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3"/>
              </w:rPr>
              <w:t>CONTROLS AND PROCEDURES</w:t>
            </w:r>
          </w:p>
        </w:tc>
        <w:tc>
          <w:tcPr>
            <w:tcW w:w="7060" w:type="dxa"/>
            <w:vAlign w:val="bottom"/>
            <w:gridSpan w:val="18"/>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90</w:t>
            </w:r>
          </w:p>
        </w:tc>
      </w:tr>
      <w:tr>
        <w:trPr>
          <w:trHeight w:val="412"/>
        </w:trPr>
        <w:tc>
          <w:tcPr>
            <w:tcW w:w="1360" w:type="dxa"/>
            <w:vAlign w:val="bottom"/>
            <w:gridSpan w:val="9"/>
          </w:tcPr>
          <w:p>
            <w:pPr>
              <w:spacing w:after="0"/>
              <w:rPr>
                <w:sz w:val="20"/>
                <w:szCs w:val="20"/>
                <w:color w:val="auto"/>
              </w:rPr>
            </w:pPr>
            <w:r>
              <w:rPr>
                <w:rFonts w:ascii="Arial" w:cs="Arial" w:eastAsia="Arial" w:hAnsi="Arial"/>
                <w:sz w:val="18"/>
                <w:szCs w:val="18"/>
                <w:color w:val="0000FF"/>
              </w:rPr>
              <w:t>PART II</w:t>
            </w:r>
          </w:p>
        </w:tc>
        <w:tc>
          <w:tcPr>
            <w:tcW w:w="9660" w:type="dxa"/>
            <w:vAlign w:val="bottom"/>
            <w:gridSpan w:val="33"/>
          </w:tcPr>
          <w:p>
            <w:pPr>
              <w:spacing w:after="0"/>
              <w:rPr>
                <w:sz w:val="20"/>
                <w:szCs w:val="20"/>
                <w:color w:val="auto"/>
              </w:rPr>
            </w:pPr>
            <w:r>
              <w:rPr>
                <w:rFonts w:ascii="Arial" w:cs="Arial" w:eastAsia="Arial" w:hAnsi="Arial"/>
                <w:sz w:val="18"/>
                <w:szCs w:val="18"/>
                <w:color w:val="0000FF"/>
              </w:rPr>
              <w:t>OTHER INFORMATION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91</w:t>
            </w: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720" w:type="dxa"/>
            <w:vAlign w:val="bottom"/>
            <w:gridSpan w:val="1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1.</w:t>
            </w:r>
          </w:p>
        </w:tc>
        <w:tc>
          <w:tcPr>
            <w:tcW w:w="660" w:type="dxa"/>
            <w:vAlign w:val="bottom"/>
            <w:gridSpan w:val="4"/>
          </w:tcPr>
          <w:p>
            <w:pPr>
              <w:spacing w:after="0"/>
              <w:rPr>
                <w:sz w:val="24"/>
                <w:szCs w:val="24"/>
                <w:color w:val="auto"/>
              </w:rPr>
            </w:pPr>
          </w:p>
        </w:tc>
        <w:tc>
          <w:tcPr>
            <w:tcW w:w="19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4"/>
              </w:rPr>
              <w:t>LEGAL PROCEEDINGS</w:t>
            </w:r>
          </w:p>
        </w:tc>
        <w:tc>
          <w:tcPr>
            <w:tcW w:w="7760" w:type="dxa"/>
            <w:vAlign w:val="bottom"/>
            <w:gridSpan w:val="24"/>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91</w:t>
            </w:r>
          </w:p>
        </w:tc>
      </w:tr>
      <w:tr>
        <w:trPr>
          <w:trHeight w:val="250"/>
        </w:trPr>
        <w:tc>
          <w:tcPr>
            <w:tcW w:w="160" w:type="dxa"/>
            <w:vAlign w:val="bottom"/>
          </w:tcPr>
          <w:p>
            <w:pPr>
              <w:spacing w:after="0"/>
              <w:rPr>
                <w:sz w:val="21"/>
                <w:szCs w:val="21"/>
                <w:color w:val="auto"/>
              </w:rPr>
            </w:pPr>
          </w:p>
        </w:tc>
        <w:tc>
          <w:tcPr>
            <w:tcW w:w="1200" w:type="dxa"/>
            <w:vAlign w:val="bottom"/>
            <w:gridSpan w:val="8"/>
          </w:tcPr>
          <w:p>
            <w:pPr>
              <w:spacing w:after="0"/>
              <w:rPr>
                <w:sz w:val="20"/>
                <w:szCs w:val="20"/>
                <w:color w:val="auto"/>
              </w:rPr>
            </w:pPr>
            <w:r>
              <w:rPr>
                <w:rFonts w:ascii="Arial" w:cs="Arial" w:eastAsia="Arial" w:hAnsi="Arial"/>
                <w:sz w:val="18"/>
                <w:szCs w:val="18"/>
                <w:color w:val="0000FF"/>
              </w:rPr>
              <w:t>Item 1A</w:t>
            </w:r>
            <w:r>
              <w:rPr>
                <w:rFonts w:ascii="Arial" w:cs="Arial" w:eastAsia="Arial" w:hAnsi="Arial"/>
                <w:sz w:val="18"/>
                <w:szCs w:val="18"/>
                <w:color w:val="000000"/>
              </w:rPr>
              <w:t>.</w:t>
            </w:r>
          </w:p>
        </w:tc>
        <w:tc>
          <w:tcPr>
            <w:tcW w:w="9660" w:type="dxa"/>
            <w:vAlign w:val="bottom"/>
            <w:gridSpan w:val="33"/>
          </w:tcPr>
          <w:p>
            <w:pPr>
              <w:spacing w:after="0"/>
              <w:rPr>
                <w:sz w:val="20"/>
                <w:szCs w:val="20"/>
                <w:color w:val="auto"/>
              </w:rPr>
            </w:pPr>
            <w:r>
              <w:rPr>
                <w:rFonts w:ascii="Arial" w:cs="Arial" w:eastAsia="Arial" w:hAnsi="Arial"/>
                <w:sz w:val="18"/>
                <w:szCs w:val="18"/>
                <w:color w:val="0000FF"/>
              </w:rPr>
              <w:t>RISK FACTORS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91</w:t>
            </w:r>
          </w:p>
        </w:tc>
      </w:tr>
      <w:tr>
        <w:trPr>
          <w:trHeight w:val="20"/>
        </w:trPr>
        <w:tc>
          <w:tcPr>
            <w:tcW w:w="16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720" w:type="dxa"/>
            <w:vAlign w:val="bottom"/>
            <w:gridSpan w:val="1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Item 2.</w:t>
            </w:r>
          </w:p>
        </w:tc>
        <w:tc>
          <w:tcPr>
            <w:tcW w:w="80" w:type="dxa"/>
            <w:vAlign w:val="bottom"/>
            <w:gridSpan w:val="2"/>
          </w:tcPr>
          <w:p>
            <w:pPr>
              <w:spacing w:after="0"/>
              <w:rPr>
                <w:sz w:val="21"/>
                <w:szCs w:val="21"/>
                <w:color w:val="auto"/>
              </w:rPr>
            </w:pPr>
          </w:p>
        </w:tc>
        <w:tc>
          <w:tcPr>
            <w:tcW w:w="600" w:type="dxa"/>
            <w:vAlign w:val="bottom"/>
            <w:gridSpan w:val="3"/>
          </w:tcPr>
          <w:p>
            <w:pPr>
              <w:spacing w:after="0"/>
              <w:rPr>
                <w:sz w:val="21"/>
                <w:szCs w:val="21"/>
                <w:color w:val="auto"/>
              </w:rPr>
            </w:pPr>
          </w:p>
        </w:tc>
        <w:tc>
          <w:tcPr>
            <w:tcW w:w="890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4"/>
              </w:rPr>
              <w:t>UNREGISTERED SALES OF EQUITY SECURITIES, USE OF PROCEEDS, AND ISSUER PURCHASES OF EQUITY</w:t>
            </w:r>
          </w:p>
        </w:tc>
        <w:tc>
          <w:tcPr>
            <w:tcW w:w="7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6"/>
        </w:trPr>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2"/>
              </w:rPr>
              <w:t>SECURITIES</w:t>
            </w:r>
          </w:p>
        </w:tc>
        <w:tc>
          <w:tcPr>
            <w:tcW w:w="8640" w:type="dxa"/>
            <w:vAlign w:val="bottom"/>
            <w:gridSpan w:val="29"/>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sz w:val="20"/>
                <w:szCs w:val="20"/>
                <w:color w:val="auto"/>
              </w:rPr>
            </w:pPr>
            <w:r>
              <w:rPr>
                <w:rFonts w:ascii="Arial" w:cs="Arial" w:eastAsia="Arial" w:hAnsi="Arial"/>
                <w:sz w:val="18"/>
                <w:szCs w:val="18"/>
                <w:color w:val="0000FF"/>
                <w:w w:val="79"/>
              </w:rPr>
              <w:t>91</w:t>
            </w:r>
          </w:p>
        </w:tc>
      </w:tr>
      <w:tr>
        <w:trPr>
          <w:trHeight w:val="250"/>
        </w:trPr>
        <w:tc>
          <w:tcPr>
            <w:tcW w:w="160" w:type="dxa"/>
            <w:vAlign w:val="bottom"/>
          </w:tcPr>
          <w:p>
            <w:pPr>
              <w:spacing w:after="0"/>
              <w:rPr>
                <w:sz w:val="21"/>
                <w:szCs w:val="21"/>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3.</w:t>
            </w:r>
          </w:p>
        </w:tc>
        <w:tc>
          <w:tcPr>
            <w:tcW w:w="660" w:type="dxa"/>
            <w:vAlign w:val="bottom"/>
            <w:gridSpan w:val="4"/>
          </w:tcPr>
          <w:p>
            <w:pPr>
              <w:spacing w:after="0"/>
              <w:rPr>
                <w:sz w:val="21"/>
                <w:szCs w:val="21"/>
                <w:color w:val="auto"/>
              </w:rPr>
            </w:pPr>
          </w:p>
        </w:tc>
        <w:tc>
          <w:tcPr>
            <w:tcW w:w="31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3"/>
              </w:rPr>
              <w:t>DEFAULTS UPON SENIOR SECURITIES</w:t>
            </w:r>
          </w:p>
        </w:tc>
        <w:tc>
          <w:tcPr>
            <w:tcW w:w="6480" w:type="dxa"/>
            <w:vAlign w:val="bottom"/>
            <w:gridSpan w:val="13"/>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91</w:t>
            </w:r>
          </w:p>
        </w:tc>
      </w:tr>
      <w:tr>
        <w:trPr>
          <w:trHeight w:val="250"/>
        </w:trPr>
        <w:tc>
          <w:tcPr>
            <w:tcW w:w="160" w:type="dxa"/>
            <w:vAlign w:val="bottom"/>
          </w:tcPr>
          <w:p>
            <w:pPr>
              <w:spacing w:after="0"/>
              <w:rPr>
                <w:sz w:val="21"/>
                <w:szCs w:val="21"/>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4.</w:t>
            </w:r>
          </w:p>
        </w:tc>
        <w:tc>
          <w:tcPr>
            <w:tcW w:w="660" w:type="dxa"/>
            <w:vAlign w:val="bottom"/>
            <w:gridSpan w:val="4"/>
          </w:tcPr>
          <w:p>
            <w:pPr>
              <w:spacing w:after="0"/>
              <w:rPr>
                <w:sz w:val="21"/>
                <w:szCs w:val="21"/>
                <w:color w:val="auto"/>
              </w:rPr>
            </w:pPr>
          </w:p>
        </w:tc>
        <w:tc>
          <w:tcPr>
            <w:tcW w:w="24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5"/>
              </w:rPr>
              <w:t>MINE SAFETY DISCLOSURES</w:t>
            </w:r>
          </w:p>
        </w:tc>
        <w:tc>
          <w:tcPr>
            <w:tcW w:w="7220" w:type="dxa"/>
            <w:vAlign w:val="bottom"/>
            <w:gridSpan w:val="19"/>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91</w:t>
            </w:r>
          </w:p>
        </w:tc>
      </w:tr>
      <w:tr>
        <w:trPr>
          <w:trHeight w:val="250"/>
        </w:trPr>
        <w:tc>
          <w:tcPr>
            <w:tcW w:w="160" w:type="dxa"/>
            <w:vAlign w:val="bottom"/>
          </w:tcPr>
          <w:p>
            <w:pPr>
              <w:spacing w:after="0"/>
              <w:rPr>
                <w:sz w:val="21"/>
                <w:szCs w:val="21"/>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5.</w:t>
            </w:r>
          </w:p>
        </w:tc>
        <w:tc>
          <w:tcPr>
            <w:tcW w:w="660" w:type="dxa"/>
            <w:vAlign w:val="bottom"/>
            <w:gridSpan w:val="4"/>
          </w:tcPr>
          <w:p>
            <w:pPr>
              <w:spacing w:after="0"/>
              <w:rPr>
                <w:sz w:val="21"/>
                <w:szCs w:val="21"/>
                <w:color w:val="auto"/>
              </w:rPr>
            </w:pPr>
          </w:p>
        </w:tc>
        <w:tc>
          <w:tcPr>
            <w:tcW w:w="19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OTHER INFORMATION</w:t>
            </w:r>
          </w:p>
        </w:tc>
        <w:tc>
          <w:tcPr>
            <w:tcW w:w="7760" w:type="dxa"/>
            <w:vAlign w:val="bottom"/>
            <w:gridSpan w:val="24"/>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92</w:t>
            </w:r>
          </w:p>
        </w:tc>
      </w:tr>
      <w:tr>
        <w:trPr>
          <w:trHeight w:val="250"/>
        </w:trPr>
        <w:tc>
          <w:tcPr>
            <w:tcW w:w="160" w:type="dxa"/>
            <w:vAlign w:val="bottom"/>
          </w:tcPr>
          <w:p>
            <w:pPr>
              <w:spacing w:after="0"/>
              <w:rPr>
                <w:sz w:val="21"/>
                <w:szCs w:val="21"/>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Item 6.</w:t>
            </w:r>
          </w:p>
        </w:tc>
        <w:tc>
          <w:tcPr>
            <w:tcW w:w="660" w:type="dxa"/>
            <w:vAlign w:val="bottom"/>
            <w:gridSpan w:val="4"/>
          </w:tcPr>
          <w:p>
            <w:pPr>
              <w:spacing w:after="0"/>
              <w:rPr>
                <w:sz w:val="21"/>
                <w:szCs w:val="21"/>
                <w:color w:val="auto"/>
              </w:rPr>
            </w:pPr>
          </w:p>
        </w:tc>
        <w:tc>
          <w:tcPr>
            <w:tcW w:w="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EXHIBITS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93</w:t>
            </w:r>
          </w:p>
        </w:tc>
      </w:tr>
      <w:tr>
        <w:trPr>
          <w:trHeight w:val="412"/>
        </w:trPr>
        <w:tc>
          <w:tcPr>
            <w:tcW w:w="1360" w:type="dxa"/>
            <w:vAlign w:val="bottom"/>
            <w:gridSpan w:val="9"/>
          </w:tcPr>
          <w:p>
            <w:pPr>
              <w:spacing w:after="0"/>
              <w:rPr>
                <w:sz w:val="20"/>
                <w:szCs w:val="20"/>
                <w:color w:val="auto"/>
              </w:rPr>
            </w:pPr>
            <w:r>
              <w:rPr>
                <w:rFonts w:ascii="Arial" w:cs="Arial" w:eastAsia="Arial" w:hAnsi="Arial"/>
                <w:sz w:val="18"/>
                <w:szCs w:val="18"/>
                <w:color w:val="0000FF"/>
              </w:rPr>
              <w:t>SIGNATURES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94</w:t>
            </w:r>
          </w:p>
        </w:tc>
      </w:tr>
      <w:tr>
        <w:trPr>
          <w:trHeight w:val="20"/>
        </w:trPr>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218440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780"/>
              <w:spacing w:after="0"/>
              <w:rPr>
                <w:sz w:val="20"/>
                <w:szCs w:val="20"/>
                <w:color w:val="auto"/>
              </w:rPr>
            </w:pPr>
            <w:r>
              <w:rPr>
                <w:rFonts w:ascii="Arial" w:cs="Arial" w:eastAsia="Arial" w:hAnsi="Arial"/>
                <w:sz w:val="18"/>
                <w:szCs w:val="18"/>
                <w:b w:val="1"/>
                <w:bCs w:val="1"/>
                <w:color w:val="auto"/>
              </w:rPr>
              <w:t>GLOSSARY</w:t>
            </w:r>
          </w:p>
        </w:tc>
      </w:tr>
      <w:tr>
        <w:trPr>
          <w:trHeight w:val="432"/>
        </w:trPr>
        <w:tc>
          <w:tcPr>
            <w:tcW w:w="11240" w:type="dxa"/>
            <w:vAlign w:val="bottom"/>
            <w:gridSpan w:val="3"/>
          </w:tcPr>
          <w:p>
            <w:pPr>
              <w:spacing w:after="0"/>
              <w:rPr>
                <w:sz w:val="20"/>
                <w:szCs w:val="20"/>
                <w:color w:val="auto"/>
              </w:rPr>
            </w:pPr>
            <w:r>
              <w:rPr>
                <w:rFonts w:ascii="Arial" w:cs="Arial" w:eastAsia="Arial" w:hAnsi="Arial"/>
                <w:sz w:val="18"/>
                <w:szCs w:val="18"/>
                <w:color w:val="auto"/>
              </w:rPr>
              <w:t>We use acronyms, abbreviations, and other terms throughout this Quarterly Report, as defined in the glossary below:</w:t>
            </w:r>
          </w:p>
        </w:tc>
      </w:tr>
      <w:tr>
        <w:trPr>
          <w:trHeight w:val="433"/>
        </w:trPr>
        <w:tc>
          <w:tcPr>
            <w:tcW w:w="2360" w:type="dxa"/>
            <w:vAlign w:val="bottom"/>
            <w:gridSpan w:val="2"/>
          </w:tcPr>
          <w:p>
            <w:pPr>
              <w:ind w:left="980"/>
              <w:spacing w:after="0"/>
              <w:rPr>
                <w:sz w:val="20"/>
                <w:szCs w:val="20"/>
                <w:color w:val="auto"/>
              </w:rPr>
            </w:pPr>
            <w:r>
              <w:rPr>
                <w:rFonts w:ascii="Arial" w:cs="Arial" w:eastAsia="Arial" w:hAnsi="Arial"/>
                <w:sz w:val="14"/>
                <w:szCs w:val="14"/>
                <w:b w:val="1"/>
                <w:bCs w:val="1"/>
                <w:color w:val="auto"/>
              </w:rPr>
              <w:t>Term</w:t>
            </w:r>
          </w:p>
        </w:tc>
        <w:tc>
          <w:tcPr>
            <w:tcW w:w="8880" w:type="dxa"/>
            <w:vAlign w:val="bottom"/>
          </w:tcPr>
          <w:p>
            <w:pPr>
              <w:ind w:left="4140"/>
              <w:spacing w:after="0"/>
              <w:rPr>
                <w:sz w:val="20"/>
                <w:szCs w:val="20"/>
                <w:color w:val="auto"/>
              </w:rPr>
            </w:pPr>
            <w:r>
              <w:rPr>
                <w:rFonts w:ascii="Arial" w:cs="Arial" w:eastAsia="Arial" w:hAnsi="Arial"/>
                <w:sz w:val="14"/>
                <w:szCs w:val="14"/>
                <w:b w:val="1"/>
                <w:bCs w:val="1"/>
                <w:color w:val="auto"/>
              </w:rPr>
              <w:t>Definition</w:t>
            </w:r>
          </w:p>
        </w:tc>
      </w:tr>
      <w:tr>
        <w:trPr>
          <w:trHeight w:val="39"/>
        </w:trPr>
        <w:tc>
          <w:tcPr>
            <w:tcW w:w="2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80" w:type="dxa"/>
            <w:vAlign w:val="bottom"/>
            <w:tcBorders>
              <w:bottom w:val="single" w:sz="8" w:color="auto"/>
            </w:tcBorders>
          </w:tcPr>
          <w:p>
            <w:pPr>
              <w:spacing w:after="0"/>
              <w:rPr>
                <w:sz w:val="3"/>
                <w:szCs w:val="3"/>
                <w:color w:val="auto"/>
              </w:rPr>
            </w:pPr>
          </w:p>
        </w:tc>
      </w:tr>
      <w:tr>
        <w:trPr>
          <w:trHeight w:val="24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Equity Plan</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Busey's 2020 Equity Incentive Plan</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ACL</w:t>
            </w:r>
          </w:p>
        </w:tc>
        <w:tc>
          <w:tcPr>
            <w:tcW w:w="88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Amended 2020 Equity Plan</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Busey's Amended 2020 Equity Incentive Plan</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Annual Report</w:t>
            </w:r>
          </w:p>
        </w:tc>
        <w:tc>
          <w:tcPr>
            <w:tcW w:w="8880" w:type="dxa"/>
            <w:vAlign w:val="bottom"/>
          </w:tcPr>
          <w:p>
            <w:pPr>
              <w:ind w:left="20"/>
              <w:spacing w:after="0"/>
              <w:rPr>
                <w:sz w:val="20"/>
                <w:szCs w:val="20"/>
                <w:color w:val="auto"/>
              </w:rPr>
            </w:pPr>
            <w:r>
              <w:rPr>
                <w:rFonts w:ascii="Arial" w:cs="Arial" w:eastAsia="Arial" w:hAnsi="Arial"/>
                <w:sz w:val="18"/>
                <w:szCs w:val="18"/>
                <w:color w:val="auto"/>
              </w:rPr>
              <w:t>Annual report filed with the SEC on Form 10-K pursuant to Section 13 or 15(d) of the Exchange Act</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ASC</w:t>
            </w:r>
          </w:p>
        </w:tc>
        <w:tc>
          <w:tcPr>
            <w:tcW w:w="8880" w:type="dxa"/>
            <w:vAlign w:val="bottom"/>
          </w:tcPr>
          <w:p>
            <w:pPr>
              <w:ind w:left="20"/>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Standards Update</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Basel III</w:t>
            </w:r>
          </w:p>
        </w:tc>
        <w:tc>
          <w:tcPr>
            <w:tcW w:w="8880" w:type="dxa"/>
            <w:vAlign w:val="bottom"/>
          </w:tcPr>
          <w:p>
            <w:pPr>
              <w:ind w:left="20"/>
              <w:spacing w:after="0"/>
              <w:rPr>
                <w:sz w:val="20"/>
                <w:szCs w:val="20"/>
                <w:color w:val="auto"/>
              </w:rPr>
            </w:pPr>
            <w:r>
              <w:rPr>
                <w:rFonts w:ascii="Arial" w:cs="Arial" w:eastAsia="Arial" w:hAnsi="Arial"/>
                <w:sz w:val="18"/>
                <w:szCs w:val="18"/>
                <w:color w:val="auto"/>
              </w:rPr>
              <w:t>2010 capital accord adopted by the international Basel Committee on Banking Supervision</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Basel III Rule</w:t>
            </w: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Regulations promulgated by U.S. federal banking agencies – the OCC, the Federal Reserve, and the FDIC – to both</w:t>
            </w:r>
          </w:p>
        </w:tc>
      </w:tr>
      <w:tr>
        <w:trPr>
          <w:trHeight w:val="216"/>
        </w:trPr>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enforce implementation of certain aspects of the Basel III capital reforms and effect certain changes required by the Dodd-</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Frank Wall Street Reform and Consumer Protection Act</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bps</w:t>
            </w:r>
          </w:p>
        </w:tc>
        <w:tc>
          <w:tcPr>
            <w:tcW w:w="8880" w:type="dxa"/>
            <w:vAlign w:val="bottom"/>
          </w:tcPr>
          <w:p>
            <w:pPr>
              <w:ind w:left="20"/>
              <w:spacing w:after="0"/>
              <w:rPr>
                <w:sz w:val="20"/>
                <w:szCs w:val="20"/>
                <w:color w:val="auto"/>
              </w:rPr>
            </w:pPr>
            <w:r>
              <w:rPr>
                <w:rFonts w:ascii="Arial" w:cs="Arial" w:eastAsia="Arial" w:hAnsi="Arial"/>
                <w:sz w:val="18"/>
                <w:szCs w:val="18"/>
                <w:color w:val="auto"/>
              </w:rPr>
              <w:t>basis points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CAC</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Cummins-American Corp.</w:t>
            </w:r>
          </w:p>
        </w:tc>
      </w:tr>
      <w:tr>
        <w:trPr>
          <w:trHeight w:val="22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CECL</w:t>
            </w:r>
          </w:p>
        </w:tc>
        <w:tc>
          <w:tcPr>
            <w:tcW w:w="8880" w:type="dxa"/>
            <w:vAlign w:val="bottom"/>
          </w:tcPr>
          <w:p>
            <w:pPr>
              <w:ind w:left="20"/>
              <w:spacing w:after="0"/>
              <w:rPr>
                <w:sz w:val="20"/>
                <w:szCs w:val="20"/>
                <w:color w:val="auto"/>
              </w:rPr>
            </w:pPr>
            <w:r>
              <w:rPr>
                <w:rFonts w:ascii="Arial" w:cs="Arial" w:eastAsia="Arial" w:hAnsi="Arial"/>
                <w:sz w:val="18"/>
                <w:szCs w:val="18"/>
                <w:color w:val="auto"/>
                <w:w w:val="91"/>
              </w:rPr>
              <w:t>ASU 2016-13, codified as ASC Topic 326 “Financial Instruments-Credit Losses,” which established the Current Expected</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Credit Losses methodology for measuring credit losses on financial instruments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COVID-19</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Coronavirus disease 2019</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DSU</w:t>
            </w:r>
          </w:p>
        </w:tc>
        <w:tc>
          <w:tcPr>
            <w:tcW w:w="8880" w:type="dxa"/>
            <w:vAlign w:val="bottom"/>
          </w:tcPr>
          <w:p>
            <w:pPr>
              <w:ind w:left="20"/>
              <w:spacing w:after="0"/>
              <w:rPr>
                <w:sz w:val="20"/>
                <w:szCs w:val="20"/>
                <w:color w:val="auto"/>
              </w:rPr>
            </w:pPr>
            <w:r>
              <w:rPr>
                <w:rFonts w:ascii="Arial" w:cs="Arial" w:eastAsia="Arial" w:hAnsi="Arial"/>
                <w:sz w:val="18"/>
                <w:szCs w:val="18"/>
                <w:color w:val="auto"/>
              </w:rPr>
              <w:t>Deferred stock unit</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Exchange Act</w:t>
            </w:r>
          </w:p>
        </w:tc>
        <w:tc>
          <w:tcPr>
            <w:tcW w:w="8880" w:type="dxa"/>
            <w:vAlign w:val="bottom"/>
          </w:tcPr>
          <w:p>
            <w:pPr>
              <w:ind w:left="20"/>
              <w:spacing w:after="0"/>
              <w:rPr>
                <w:sz w:val="20"/>
                <w:szCs w:val="20"/>
                <w:color w:val="auto"/>
              </w:rPr>
            </w:pPr>
            <w:r>
              <w:rPr>
                <w:rFonts w:ascii="Arial" w:cs="Arial" w:eastAsia="Arial" w:hAnsi="Arial"/>
                <w:sz w:val="18"/>
                <w:szCs w:val="18"/>
                <w:color w:val="auto"/>
              </w:rPr>
              <w:t>Securities Exchange Act of 1934, as amended</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The price that would be received to sell an asset, or paid to transfer a liability, in an orderly transaction between market</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participants at the measurement date, as defined in ASC Topic 820 “Fair Value Measurement”</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FASB</w:t>
            </w:r>
          </w:p>
        </w:tc>
        <w:tc>
          <w:tcPr>
            <w:tcW w:w="8880" w:type="dxa"/>
            <w:vAlign w:val="bottom"/>
          </w:tcPr>
          <w:p>
            <w:pPr>
              <w:ind w:left="2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FDIC</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Deposit Insurance Corporation</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Federal Reserve</w:t>
            </w:r>
          </w:p>
        </w:tc>
        <w:tc>
          <w:tcPr>
            <w:tcW w:w="8880" w:type="dxa"/>
            <w:vAlign w:val="bottom"/>
          </w:tcPr>
          <w:p>
            <w:pPr>
              <w:ind w:left="20"/>
              <w:spacing w:after="0"/>
              <w:rPr>
                <w:sz w:val="20"/>
                <w:szCs w:val="20"/>
                <w:color w:val="auto"/>
              </w:rPr>
            </w:pPr>
            <w:r>
              <w:rPr>
                <w:rFonts w:ascii="Arial" w:cs="Arial" w:eastAsia="Arial" w:hAnsi="Arial"/>
                <w:sz w:val="18"/>
                <w:szCs w:val="18"/>
                <w:color w:val="auto"/>
              </w:rPr>
              <w:t>Board of Governors of the Federal Reserve System</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FHLB</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Home Loan Bank</w:t>
            </w:r>
          </w:p>
        </w:tc>
      </w:tr>
      <w:tr>
        <w:trPr>
          <w:trHeight w:val="22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First Busey</w:t>
            </w:r>
          </w:p>
        </w:tc>
        <w:tc>
          <w:tcPr>
            <w:tcW w:w="8880" w:type="dxa"/>
            <w:vAlign w:val="bottom"/>
          </w:tcPr>
          <w:p>
            <w:pPr>
              <w:ind w:left="20"/>
              <w:spacing w:after="0"/>
              <w:rPr>
                <w:sz w:val="20"/>
                <w:szCs w:val="20"/>
                <w:color w:val="auto"/>
              </w:rPr>
            </w:pPr>
            <w:r>
              <w:rPr>
                <w:rFonts w:ascii="Arial" w:cs="Arial" w:eastAsia="Arial" w:hAnsi="Arial"/>
                <w:sz w:val="18"/>
                <w:szCs w:val="18"/>
                <w:color w:val="auto"/>
                <w:w w:val="94"/>
              </w:rPr>
              <w:t>First Busey Corporation, together with its wholly-owned consolidated subsidiaries; also, “Busey,” the “Company,” “we,”</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“us,” and “our”</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First Busey Risk Management</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Busey Risk Management, Inc.</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FirsTech</w:t>
            </w:r>
          </w:p>
        </w:tc>
        <w:tc>
          <w:tcPr>
            <w:tcW w:w="8880" w:type="dxa"/>
            <w:vAlign w:val="bottom"/>
          </w:tcPr>
          <w:p>
            <w:pPr>
              <w:ind w:left="20"/>
              <w:spacing w:after="0"/>
              <w:rPr>
                <w:sz w:val="20"/>
                <w:szCs w:val="20"/>
                <w:color w:val="auto"/>
              </w:rPr>
            </w:pPr>
            <w:r>
              <w:rPr>
                <w:rFonts w:ascii="Arial" w:cs="Arial" w:eastAsia="Arial" w:hAnsi="Arial"/>
                <w:sz w:val="18"/>
                <w:szCs w:val="18"/>
                <w:color w:val="auto"/>
              </w:rPr>
              <w:t>FirsTech, Inc.</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FOMC</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Open Market Committee</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GAAP</w:t>
            </w:r>
          </w:p>
        </w:tc>
        <w:tc>
          <w:tcPr>
            <w:tcW w:w="8880" w:type="dxa"/>
            <w:vAlign w:val="bottom"/>
          </w:tcPr>
          <w:p>
            <w:pPr>
              <w:ind w:left="20"/>
              <w:spacing w:after="0"/>
              <w:rPr>
                <w:sz w:val="20"/>
                <w:szCs w:val="20"/>
                <w:color w:val="auto"/>
              </w:rPr>
            </w:pPr>
            <w:r>
              <w:rPr>
                <w:rFonts w:ascii="Arial" w:cs="Arial" w:eastAsia="Arial" w:hAnsi="Arial"/>
                <w:sz w:val="18"/>
                <w:szCs w:val="18"/>
                <w:color w:val="auto"/>
              </w:rPr>
              <w:t>U.S. Generally Accepted Accounting Principles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Nasdaq</w:t>
            </w:r>
          </w:p>
        </w:tc>
        <w:tc>
          <w:tcPr>
            <w:tcW w:w="8880" w:type="dxa"/>
            <w:vAlign w:val="bottom"/>
          </w:tcPr>
          <w:p>
            <w:pPr>
              <w:ind w:left="20"/>
              <w:spacing w:after="0"/>
              <w:rPr>
                <w:sz w:val="20"/>
                <w:szCs w:val="20"/>
                <w:color w:val="auto"/>
              </w:rPr>
            </w:pPr>
            <w:r>
              <w:rPr>
                <w:rFonts w:ascii="Arial" w:cs="Arial" w:eastAsia="Arial" w:hAnsi="Arial"/>
                <w:sz w:val="18"/>
                <w:szCs w:val="18"/>
                <w:color w:val="auto"/>
              </w:rPr>
              <w:t>National Association of Securities Dealers Automated Quotations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NMTC</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Markets Tax Credit</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OCI</w:t>
            </w:r>
          </w:p>
        </w:tc>
        <w:tc>
          <w:tcPr>
            <w:tcW w:w="88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OREO</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real estate owned</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PCD</w:t>
            </w:r>
          </w:p>
        </w:tc>
        <w:tc>
          <w:tcPr>
            <w:tcW w:w="8880" w:type="dxa"/>
            <w:vAlign w:val="bottom"/>
          </w:tcPr>
          <w:p>
            <w:pPr>
              <w:ind w:left="20"/>
              <w:spacing w:after="0"/>
              <w:rPr>
                <w:sz w:val="20"/>
                <w:szCs w:val="20"/>
                <w:color w:val="auto"/>
              </w:rPr>
            </w:pPr>
            <w:r>
              <w:rPr>
                <w:rFonts w:ascii="Arial" w:cs="Arial" w:eastAsia="Arial" w:hAnsi="Arial"/>
                <w:sz w:val="18"/>
                <w:szCs w:val="18"/>
                <w:color w:val="auto"/>
              </w:rPr>
              <w:t>Purchased credit deteriorated</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Paycheck Protection Program</w:t>
            </w:r>
          </w:p>
        </w:tc>
      </w:tr>
      <w:tr>
        <w:trPr>
          <w:trHeight w:val="891"/>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3220"/>
              <w:spacing w:after="0"/>
              <w:rPr>
                <w:sz w:val="20"/>
                <w:szCs w:val="20"/>
                <w:color w:val="auto"/>
              </w:rPr>
            </w:pPr>
            <w:r>
              <w:rPr>
                <w:rFonts w:ascii="Arial" w:cs="Arial" w:eastAsia="Arial" w:hAnsi="Arial"/>
                <w:sz w:val="18"/>
                <w:szCs w:val="18"/>
                <w:color w:val="auto"/>
              </w:rPr>
              <w:t>3</w:t>
            </w:r>
          </w:p>
        </w:tc>
      </w:tr>
      <w:tr>
        <w:trPr>
          <w:trHeight w:val="304"/>
        </w:trPr>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gridSpan w:val="2"/>
          </w:tcPr>
          <w:p>
            <w:pPr>
              <w:ind w:left="980"/>
              <w:spacing w:after="0"/>
              <w:rPr>
                <w:sz w:val="20"/>
                <w:szCs w:val="20"/>
                <w:color w:val="auto"/>
              </w:rPr>
            </w:pPr>
            <w:r>
              <w:rPr>
                <w:rFonts w:ascii="Arial" w:cs="Arial" w:eastAsia="Arial" w:hAnsi="Arial"/>
                <w:sz w:val="14"/>
                <w:szCs w:val="14"/>
                <w:b w:val="1"/>
                <w:bCs w:val="1"/>
                <w:color w:val="auto"/>
              </w:rPr>
              <w:t>Term</w:t>
            </w:r>
          </w:p>
        </w:tc>
        <w:tc>
          <w:tcPr>
            <w:tcW w:w="8880" w:type="dxa"/>
            <w:vAlign w:val="bottom"/>
          </w:tcPr>
          <w:p>
            <w:pPr>
              <w:ind w:left="4140"/>
              <w:spacing w:after="0"/>
              <w:rPr>
                <w:sz w:val="20"/>
                <w:szCs w:val="20"/>
                <w:color w:val="auto"/>
              </w:rPr>
            </w:pPr>
            <w:r>
              <w:rPr>
                <w:rFonts w:ascii="Arial" w:cs="Arial" w:eastAsia="Arial" w:hAnsi="Arial"/>
                <w:sz w:val="14"/>
                <w:szCs w:val="14"/>
                <w:b w:val="1"/>
                <w:bCs w:val="1"/>
                <w:color w:val="auto"/>
              </w:rPr>
              <w:t>Definition</w:t>
            </w:r>
          </w:p>
        </w:tc>
      </w:tr>
      <w:tr>
        <w:trPr>
          <w:trHeight w:val="39"/>
        </w:trPr>
        <w:tc>
          <w:tcPr>
            <w:tcW w:w="2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80" w:type="dxa"/>
            <w:vAlign w:val="bottom"/>
            <w:tcBorders>
              <w:bottom w:val="single" w:sz="8" w:color="auto"/>
            </w:tcBorders>
          </w:tcPr>
          <w:p>
            <w:pPr>
              <w:spacing w:after="0"/>
              <w:rPr>
                <w:sz w:val="3"/>
                <w:szCs w:val="3"/>
                <w:color w:val="auto"/>
              </w:rPr>
            </w:pPr>
          </w:p>
        </w:tc>
      </w:tr>
      <w:tr>
        <w:trPr>
          <w:trHeight w:val="23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PSU</w:t>
            </w:r>
          </w:p>
        </w:tc>
        <w:tc>
          <w:tcPr>
            <w:tcW w:w="8880" w:type="dxa"/>
            <w:vAlign w:val="bottom"/>
          </w:tcPr>
          <w:p>
            <w:pPr>
              <w:ind w:left="20"/>
              <w:spacing w:after="0"/>
              <w:rPr>
                <w:sz w:val="20"/>
                <w:szCs w:val="20"/>
                <w:color w:val="auto"/>
              </w:rPr>
            </w:pPr>
            <w:r>
              <w:rPr>
                <w:rFonts w:ascii="Arial" w:cs="Arial" w:eastAsia="Arial" w:hAnsi="Arial"/>
                <w:sz w:val="18"/>
                <w:szCs w:val="18"/>
                <w:color w:val="auto"/>
              </w:rPr>
              <w:t>Performance-based restricted stock unit</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Quarterly Report</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Quarterly report filed with the SEC on Form 10-Q pursuant to Section 13 or 15(d) of the Exchange Act</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RSU</w:t>
            </w:r>
          </w:p>
        </w:tc>
        <w:tc>
          <w:tcPr>
            <w:tcW w:w="8880" w:type="dxa"/>
            <w:vAlign w:val="bottom"/>
          </w:tcPr>
          <w:p>
            <w:pPr>
              <w:ind w:left="20"/>
              <w:spacing w:after="0"/>
              <w:rPr>
                <w:sz w:val="20"/>
                <w:szCs w:val="20"/>
                <w:color w:val="auto"/>
              </w:rPr>
            </w:pPr>
            <w:r>
              <w:rPr>
                <w:rFonts w:ascii="Arial" w:cs="Arial" w:eastAsia="Arial" w:hAnsi="Arial"/>
                <w:sz w:val="18"/>
                <w:szCs w:val="18"/>
                <w:color w:val="auto"/>
              </w:rPr>
              <w:t>Restricted stock unit</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Small Business Administration</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SEC</w:t>
            </w:r>
          </w:p>
        </w:tc>
        <w:tc>
          <w:tcPr>
            <w:tcW w:w="8880" w:type="dxa"/>
            <w:vAlign w:val="bottom"/>
          </w:tcPr>
          <w:p>
            <w:pPr>
              <w:ind w:left="20"/>
              <w:spacing w:after="0"/>
              <w:rPr>
                <w:sz w:val="20"/>
                <w:szCs w:val="20"/>
                <w:color w:val="auto"/>
              </w:rPr>
            </w:pPr>
            <w:r>
              <w:rPr>
                <w:rFonts w:ascii="Arial" w:cs="Arial" w:eastAsia="Arial" w:hAnsi="Arial"/>
                <w:sz w:val="18"/>
                <w:szCs w:val="18"/>
                <w:color w:val="auto"/>
              </w:rPr>
              <w:t>U.S. Securities and Exchange Commission</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SOFR</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Overnight Financing Rate published by the Federal Reserve</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TDR</w:t>
            </w:r>
          </w:p>
        </w:tc>
        <w:tc>
          <w:tcPr>
            <w:tcW w:w="8880" w:type="dxa"/>
            <w:vAlign w:val="bottom"/>
          </w:tcPr>
          <w:p>
            <w:pPr>
              <w:ind w:left="20"/>
              <w:spacing w:after="0"/>
              <w:rPr>
                <w:sz w:val="20"/>
                <w:szCs w:val="20"/>
                <w:color w:val="auto"/>
              </w:rPr>
            </w:pPr>
            <w:r>
              <w:rPr>
                <w:rFonts w:ascii="Arial" w:cs="Arial" w:eastAsia="Arial" w:hAnsi="Arial"/>
                <w:sz w:val="18"/>
                <w:szCs w:val="18"/>
                <w:color w:val="auto"/>
              </w:rPr>
              <w:t>Troubled debt restructuring</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of America</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U.S. Treasury</w:t>
            </w:r>
          </w:p>
        </w:tc>
        <w:tc>
          <w:tcPr>
            <w:tcW w:w="8880" w:type="dxa"/>
            <w:vAlign w:val="bottom"/>
          </w:tcPr>
          <w:p>
            <w:pPr>
              <w:ind w:left="20"/>
              <w:spacing w:after="0"/>
              <w:rPr>
                <w:sz w:val="20"/>
                <w:szCs w:val="20"/>
                <w:color w:val="auto"/>
              </w:rPr>
            </w:pPr>
            <w:r>
              <w:rPr>
                <w:rFonts w:ascii="Arial" w:cs="Arial" w:eastAsia="Arial" w:hAnsi="Arial"/>
                <w:sz w:val="18"/>
                <w:szCs w:val="18"/>
                <w:color w:val="auto"/>
              </w:rPr>
              <w:t>U.S. Department of the Treasury</w:t>
            </w:r>
          </w:p>
        </w:tc>
      </w:tr>
      <w:tr>
        <w:trPr>
          <w:trHeight w:val="931"/>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3220"/>
              <w:spacing w:after="0"/>
              <w:rPr>
                <w:sz w:val="20"/>
                <w:szCs w:val="20"/>
                <w:color w:val="auto"/>
              </w:rPr>
            </w:pPr>
            <w:r>
              <w:rPr>
                <w:rFonts w:ascii="Arial" w:cs="Arial" w:eastAsia="Arial" w:hAnsi="Arial"/>
                <w:sz w:val="18"/>
                <w:szCs w:val="18"/>
                <w:color w:val="auto"/>
              </w:rPr>
              <w:t>4</w:t>
            </w:r>
          </w:p>
        </w:tc>
      </w:tr>
      <w:tr>
        <w:trPr>
          <w:trHeight w:val="291"/>
        </w:trPr>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0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3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3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39"/>
        </w:trPr>
        <w:tc>
          <w:tcPr>
            <w:tcW w:w="3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9"/>
        </w:trPr>
        <w:tc>
          <w:tcPr>
            <w:tcW w:w="81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r>
      <w:tr>
        <w:trPr>
          <w:trHeight w:val="190"/>
        </w:trPr>
        <w:tc>
          <w:tcPr>
            <w:tcW w:w="8180" w:type="dxa"/>
            <w:vAlign w:val="bottom"/>
            <w:gridSpan w:val="5"/>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4"/>
                <w:szCs w:val="14"/>
                <w:color w:val="auto"/>
              </w:rPr>
              <w:t>Cash and due from banks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122,574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117,513</w:t>
            </w:r>
          </w:p>
        </w:tc>
      </w:tr>
      <w:tr>
        <w:trPr>
          <w:trHeight w:val="190"/>
        </w:trPr>
        <w:tc>
          <w:tcPr>
            <w:tcW w:w="8180" w:type="dxa"/>
            <w:vAlign w:val="bottom"/>
            <w:gridSpan w:val="5"/>
          </w:tcPr>
          <w:p>
            <w:pPr>
              <w:ind w:left="360"/>
              <w:spacing w:after="0"/>
              <w:rPr>
                <w:sz w:val="20"/>
                <w:szCs w:val="20"/>
                <w:color w:val="auto"/>
              </w:rPr>
            </w:pPr>
            <w:r>
              <w:rPr>
                <w:rFonts w:ascii="Arial" w:cs="Arial" w:eastAsia="Arial" w:hAnsi="Arial"/>
                <w:sz w:val="14"/>
                <w:szCs w:val="14"/>
                <w:color w:val="auto"/>
              </w:rPr>
              <w:t>Interest-bearing deposits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215,345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109,651</w:t>
            </w:r>
          </w:p>
        </w:tc>
      </w:tr>
      <w:tr>
        <w:trPr>
          <w:trHeight w:val="39"/>
        </w:trPr>
        <w:tc>
          <w:tcPr>
            <w:tcW w:w="3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Total cash and cash equivalents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337,919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227,164</w:t>
            </w:r>
          </w:p>
        </w:tc>
      </w:tr>
      <w:tr>
        <w:trPr>
          <w:trHeight w:val="203"/>
        </w:trPr>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Debt securities available for sale</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2,182,841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2,461,393</w:t>
            </w:r>
          </w:p>
        </w:tc>
      </w:tr>
      <w:tr>
        <w:trPr>
          <w:trHeight w:val="190"/>
        </w:trPr>
        <w:tc>
          <w:tcPr>
            <w:tcW w:w="8180" w:type="dxa"/>
            <w:vAlign w:val="bottom"/>
            <w:gridSpan w:val="5"/>
          </w:tcPr>
          <w:p>
            <w:pPr>
              <w:ind w:left="180"/>
              <w:spacing w:after="0"/>
              <w:rPr>
                <w:sz w:val="20"/>
                <w:szCs w:val="20"/>
                <w:color w:val="auto"/>
              </w:rPr>
            </w:pPr>
            <w:r>
              <w:rPr>
                <w:rFonts w:ascii="Arial" w:cs="Arial" w:eastAsia="Arial" w:hAnsi="Arial"/>
                <w:sz w:val="14"/>
                <w:szCs w:val="14"/>
                <w:color w:val="auto"/>
              </w:rPr>
              <w:t>Debt securities held to maturity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882,614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918,312</w:t>
            </w: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11,535</w:t>
            </w:r>
          </w:p>
        </w:tc>
      </w:tr>
      <w:tr>
        <w:trPr>
          <w:trHeight w:val="190"/>
        </w:trPr>
        <w:tc>
          <w:tcPr>
            <w:tcW w:w="8180" w:type="dxa"/>
            <w:vAlign w:val="bottom"/>
            <w:gridSpan w:val="5"/>
          </w:tcPr>
          <w:p>
            <w:pPr>
              <w:ind w:left="180"/>
              <w:spacing w:after="0"/>
              <w:rPr>
                <w:sz w:val="20"/>
                <w:szCs w:val="20"/>
                <w:color w:val="auto"/>
              </w:rPr>
            </w:pPr>
            <w:r>
              <w:rPr>
                <w:rFonts w:ascii="Arial" w:cs="Arial" w:eastAsia="Arial" w:hAnsi="Arial"/>
                <w:sz w:val="14"/>
                <w:szCs w:val="14"/>
                <w:color w:val="auto"/>
              </w:rPr>
              <w:t>Loans held for sale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1,253</w:t>
            </w: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Portfolio loans (net of ACL of $91,710 at September 30, 2023, and $91,608 at December 31, 2022)</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7,764,450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7,634,094</w:t>
            </w:r>
          </w:p>
        </w:tc>
      </w:tr>
      <w:tr>
        <w:trPr>
          <w:trHeight w:val="190"/>
        </w:trPr>
        <w:tc>
          <w:tcPr>
            <w:tcW w:w="8180" w:type="dxa"/>
            <w:vAlign w:val="bottom"/>
            <w:gridSpan w:val="5"/>
          </w:tcPr>
          <w:p>
            <w:pPr>
              <w:ind w:left="180"/>
              <w:spacing w:after="0"/>
              <w:rPr>
                <w:sz w:val="20"/>
                <w:szCs w:val="20"/>
                <w:color w:val="auto"/>
              </w:rPr>
            </w:pPr>
            <w:r>
              <w:rPr>
                <w:rFonts w:ascii="Arial" w:cs="Arial" w:eastAsia="Arial" w:hAnsi="Arial"/>
                <w:sz w:val="14"/>
                <w:szCs w:val="14"/>
                <w:color w:val="auto"/>
              </w:rPr>
              <w:t>Premises and equipment,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122,538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126,524</w:t>
            </w: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Right of use assets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12,829</w:t>
            </w:r>
          </w:p>
        </w:tc>
      </w:tr>
      <w:tr>
        <w:trPr>
          <w:trHeight w:val="191"/>
        </w:trPr>
        <w:tc>
          <w:tcPr>
            <w:tcW w:w="8180" w:type="dxa"/>
            <w:vAlign w:val="bottom"/>
            <w:gridSpan w:val="5"/>
          </w:tcPr>
          <w:p>
            <w:pPr>
              <w:ind w:left="18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317,873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317,873</w:t>
            </w: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Other intangible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46,423</w:t>
            </w:r>
          </w:p>
        </w:tc>
      </w:tr>
      <w:tr>
        <w:trPr>
          <w:trHeight w:val="190"/>
        </w:trPr>
        <w:tc>
          <w:tcPr>
            <w:tcW w:w="8180" w:type="dxa"/>
            <w:vAlign w:val="bottom"/>
            <w:gridSpan w:val="5"/>
          </w:tcPr>
          <w:p>
            <w:pPr>
              <w:ind w:left="180"/>
              <w:spacing w:after="0"/>
              <w:rPr>
                <w:sz w:val="20"/>
                <w:szCs w:val="20"/>
                <w:color w:val="auto"/>
              </w:rPr>
            </w:pPr>
            <w:r>
              <w:rPr>
                <w:rFonts w:ascii="Arial" w:cs="Arial" w:eastAsia="Arial" w:hAnsi="Arial"/>
                <w:sz w:val="14"/>
                <w:szCs w:val="14"/>
                <w:color w:val="auto"/>
              </w:rPr>
              <w:t>Cash surrender value of bank owned life insurance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181,955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180,485</w:t>
            </w: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406,257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398,792</w:t>
            </w:r>
          </w:p>
        </w:tc>
      </w:tr>
      <w:tr>
        <w:trPr>
          <w:trHeight w:val="217"/>
        </w:trPr>
        <w:tc>
          <w:tcPr>
            <w:tcW w:w="8180" w:type="dxa"/>
            <w:vAlign w:val="bottom"/>
            <w:gridSpan w:val="5"/>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12,258,250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12,336,677</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6"/>
        </w:trPr>
        <w:tc>
          <w:tcPr>
            <w:tcW w:w="3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0"/>
        </w:trPr>
        <w:tc>
          <w:tcPr>
            <w:tcW w:w="8180" w:type="dxa"/>
            <w:vAlign w:val="bottom"/>
            <w:gridSpan w:val="5"/>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191"/>
        </w:trPr>
        <w:tc>
          <w:tcPr>
            <w:tcW w:w="8180" w:type="dxa"/>
            <w:vAlign w:val="bottom"/>
            <w:gridSpan w:val="5"/>
          </w:tcPr>
          <w:p>
            <w:pPr>
              <w:ind w:left="360"/>
              <w:spacing w:after="0"/>
              <w:rPr>
                <w:sz w:val="20"/>
                <w:szCs w:val="20"/>
                <w:color w:val="auto"/>
              </w:rPr>
            </w:pPr>
            <w:r>
              <w:rPr>
                <w:rFonts w:ascii="Arial" w:cs="Arial" w:eastAsia="Arial" w:hAnsi="Arial"/>
                <w:sz w:val="14"/>
                <w:szCs w:val="14"/>
                <w:color w:val="auto"/>
              </w:rPr>
              <w:t>Deposits: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color w:val="auto"/>
              </w:rPr>
              <w:t>Noninterest-bearing</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2,918,574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3,393,666</w:t>
            </w:r>
          </w:p>
        </w:tc>
      </w:tr>
      <w:tr>
        <w:trPr>
          <w:trHeight w:val="190"/>
        </w:trPr>
        <w:tc>
          <w:tcPr>
            <w:tcW w:w="8180" w:type="dxa"/>
            <w:vAlign w:val="bottom"/>
            <w:gridSpan w:val="5"/>
          </w:tcPr>
          <w:p>
            <w:pPr>
              <w:ind w:left="520"/>
              <w:spacing w:after="0"/>
              <w:rPr>
                <w:sz w:val="20"/>
                <w:szCs w:val="20"/>
                <w:color w:val="auto"/>
              </w:rPr>
            </w:pPr>
            <w:r>
              <w:rPr>
                <w:rFonts w:ascii="Arial" w:cs="Arial" w:eastAsia="Arial" w:hAnsi="Arial"/>
                <w:sz w:val="14"/>
                <w:szCs w:val="14"/>
                <w:color w:val="auto"/>
              </w:rPr>
              <w:t>Interest-bearing</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7,413,788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6,677,614</w:t>
            </w:r>
          </w:p>
        </w:tc>
      </w:tr>
      <w:tr>
        <w:trPr>
          <w:trHeight w:val="39"/>
        </w:trPr>
        <w:tc>
          <w:tcPr>
            <w:tcW w:w="3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4"/>
                <w:szCs w:val="14"/>
                <w:color w:val="auto"/>
              </w:rPr>
              <w:t>Total deposits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10,332,362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10,071,280</w:t>
            </w:r>
          </w:p>
        </w:tc>
      </w:tr>
      <w:tr>
        <w:trPr>
          <w:trHeight w:val="203"/>
        </w:trPr>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81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183,702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229,806</w:t>
            </w:r>
          </w:p>
        </w:tc>
      </w:tr>
      <w:tr>
        <w:trPr>
          <w:trHeight w:val="191"/>
        </w:trPr>
        <w:tc>
          <w:tcPr>
            <w:tcW w:w="8180" w:type="dxa"/>
            <w:vAlign w:val="bottom"/>
            <w:gridSpan w:val="5"/>
          </w:tcPr>
          <w:p>
            <w:pPr>
              <w:ind w:left="360"/>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351,054</w:t>
            </w: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w:t>
            </w:r>
          </w:p>
        </w:tc>
      </w:tr>
      <w:tr>
        <w:trPr>
          <w:trHeight w:val="190"/>
        </w:trPr>
        <w:tc>
          <w:tcPr>
            <w:tcW w:w="8180" w:type="dxa"/>
            <w:vAlign w:val="bottom"/>
            <w:gridSpan w:val="5"/>
          </w:tcPr>
          <w:p>
            <w:pPr>
              <w:ind w:left="360"/>
              <w:spacing w:after="0"/>
              <w:rPr>
                <w:sz w:val="20"/>
                <w:szCs w:val="20"/>
                <w:color w:val="auto"/>
              </w:rPr>
            </w:pPr>
            <w:r>
              <w:rPr>
                <w:rFonts w:ascii="Arial" w:cs="Arial" w:eastAsia="Arial" w:hAnsi="Arial"/>
                <w:sz w:val="14"/>
                <w:szCs w:val="14"/>
                <w:color w:val="auto"/>
              </w:rPr>
              <w:t>Subordinated notes, net of unamortized issuance costs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222,666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222,038</w:t>
            </w: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4"/>
                <w:szCs w:val="14"/>
                <w:color w:val="auto"/>
              </w:rPr>
              <w:t>Junior subordinated debt owed to unconsolidated trusts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71,946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71,810</w:t>
            </w:r>
          </w:p>
        </w:tc>
      </w:tr>
      <w:tr>
        <w:trPr>
          <w:trHeight w:val="191"/>
        </w:trPr>
        <w:tc>
          <w:tcPr>
            <w:tcW w:w="8180" w:type="dxa"/>
            <w:vAlign w:val="bottom"/>
            <w:gridSpan w:val="5"/>
          </w:tcPr>
          <w:p>
            <w:pPr>
              <w:ind w:left="360"/>
              <w:spacing w:after="0"/>
              <w:rPr>
                <w:sz w:val="20"/>
                <w:szCs w:val="20"/>
                <w:color w:val="auto"/>
              </w:rPr>
            </w:pPr>
            <w:r>
              <w:rPr>
                <w:rFonts w:ascii="Arial" w:cs="Arial" w:eastAsia="Arial" w:hAnsi="Arial"/>
                <w:sz w:val="14"/>
                <w:szCs w:val="14"/>
                <w:color w:val="auto"/>
              </w:rPr>
              <w:t>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11,783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12,995</w:t>
            </w: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81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212,633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201,717</w:t>
            </w:r>
          </w:p>
        </w:tc>
      </w:tr>
      <w:tr>
        <w:trPr>
          <w:trHeight w:val="184"/>
        </w:trPr>
        <w:tc>
          <w:tcPr>
            <w:tcW w:w="8180" w:type="dxa"/>
            <w:vAlign w:val="bottom"/>
            <w:gridSpan w:val="5"/>
          </w:tcPr>
          <w:p>
            <w:pPr>
              <w:ind w:left="180"/>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11,068,092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11,190,700</w:t>
            </w:r>
          </w:p>
        </w:tc>
      </w:tr>
      <w:tr>
        <w:trPr>
          <w:trHeight w:val="39"/>
        </w:trPr>
        <w:tc>
          <w:tcPr>
            <w:tcW w:w="3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3"/>
        </w:trPr>
        <w:tc>
          <w:tcPr>
            <w:tcW w:w="3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62"/>
        </w:trPr>
        <w:tc>
          <w:tcPr>
            <w:tcW w:w="8180" w:type="dxa"/>
            <w:vAlign w:val="bottom"/>
            <w:gridSpan w:val="5"/>
          </w:tcPr>
          <w:p>
            <w:pPr>
              <w:ind w:left="180"/>
              <w:spacing w:after="0"/>
              <w:rPr>
                <w:sz w:val="20"/>
                <w:szCs w:val="20"/>
                <w:color w:val="auto"/>
              </w:rPr>
            </w:pPr>
            <w:r>
              <w:rPr>
                <w:rFonts w:ascii="Arial" w:cs="Arial" w:eastAsia="Arial" w:hAnsi="Arial"/>
                <w:sz w:val="14"/>
                <w:szCs w:val="14"/>
                <w:color w:val="auto"/>
              </w:rPr>
              <w:t xml:space="preserve">Outstanding commitments and contingent liabilities (see Notes </w:t>
            </w:r>
            <w:r>
              <w:rPr>
                <w:rFonts w:ascii="Arial" w:cs="Arial" w:eastAsia="Arial" w:hAnsi="Arial"/>
                <w:sz w:val="14"/>
                <w:szCs w:val="14"/>
                <w:color w:val="0000FF"/>
              </w:rPr>
              <w:t>4</w:t>
            </w:r>
            <w:r>
              <w:rPr>
                <w:rFonts w:ascii="Arial" w:cs="Arial" w:eastAsia="Arial" w:hAnsi="Arial"/>
                <w:sz w:val="14"/>
                <w:szCs w:val="14"/>
                <w:color w:val="auto"/>
              </w:rPr>
              <w:t xml:space="preserve"> and </w:t>
            </w:r>
            <w:r>
              <w:rPr>
                <w:rFonts w:ascii="Arial" w:cs="Arial" w:eastAsia="Arial" w:hAnsi="Arial"/>
                <w:sz w:val="14"/>
                <w:szCs w:val="14"/>
                <w:color w:val="0000FF"/>
              </w:rPr>
              <w:t>9</w:t>
            </w: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8"/>
        </w:trPr>
        <w:tc>
          <w:tcPr>
            <w:tcW w:w="38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03"/>
        </w:trPr>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190"/>
        </w:trPr>
        <w:tc>
          <w:tcPr>
            <w:tcW w:w="8180" w:type="dxa"/>
            <w:vAlign w:val="bottom"/>
            <w:gridSpan w:val="5"/>
          </w:tcPr>
          <w:p>
            <w:pPr>
              <w:ind w:left="180"/>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4"/>
                <w:szCs w:val="14"/>
                <w:color w:val="auto"/>
              </w:rPr>
              <w:t>Common stock, ($.001 par value; 100,000,000 shares authorized)</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91"/>
        </w:trPr>
        <w:tc>
          <w:tcPr>
            <w:tcW w:w="8180" w:type="dxa"/>
            <w:vAlign w:val="bottom"/>
            <w:gridSpan w:val="5"/>
          </w:tcPr>
          <w:p>
            <w:pPr>
              <w:ind w:left="36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1,324,438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1,320,980</w:t>
            </w: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9"/>
        </w:trPr>
        <w:tc>
          <w:tcPr>
            <w:tcW w:w="81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4"/>
                <w:szCs w:val="14"/>
                <w:color w:val="auto"/>
              </w:rPr>
              <w:t>Retained earnings</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224,698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168,769</w:t>
            </w:r>
          </w:p>
        </w:tc>
      </w:tr>
      <w:tr>
        <w:trPr>
          <w:trHeight w:val="191"/>
        </w:trPr>
        <w:tc>
          <w:tcPr>
            <w:tcW w:w="8180" w:type="dxa"/>
            <w:vAlign w:val="bottom"/>
            <w:gridSpan w:val="5"/>
          </w:tcPr>
          <w:p>
            <w:pPr>
              <w:ind w:left="360"/>
              <w:spacing w:after="0"/>
              <w:rPr>
                <w:sz w:val="20"/>
                <w:szCs w:val="20"/>
                <w:color w:val="auto"/>
              </w:rPr>
            </w:pPr>
            <w:r>
              <w:rPr>
                <w:rFonts w:ascii="Arial" w:cs="Arial" w:eastAsia="Arial" w:hAnsi="Arial"/>
                <w:sz w:val="14"/>
                <w:szCs w:val="14"/>
                <w:color w:val="auto"/>
              </w:rPr>
              <w:t>AOCI</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(290,730)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(273,278)</w:t>
            </w:r>
          </w:p>
        </w:tc>
      </w:tr>
      <w:tr>
        <w:trPr>
          <w:trHeight w:val="39"/>
        </w:trPr>
        <w:tc>
          <w:tcPr>
            <w:tcW w:w="3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4"/>
                <w:szCs w:val="14"/>
                <w:color w:val="auto"/>
              </w:rPr>
              <w:t>Total stockholders’ equity before treasury stock</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1,258,464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1,216,529</w:t>
            </w:r>
          </w:p>
        </w:tc>
      </w:tr>
      <w:tr>
        <w:trPr>
          <w:trHeight w:val="191"/>
        </w:trPr>
        <w:tc>
          <w:tcPr>
            <w:tcW w:w="8180" w:type="dxa"/>
            <w:vAlign w:val="bottom"/>
            <w:gridSpan w:val="5"/>
          </w:tcPr>
          <w:p>
            <w:pPr>
              <w:ind w:left="360"/>
              <w:spacing w:after="0"/>
              <w:rPr>
                <w:sz w:val="20"/>
                <w:szCs w:val="20"/>
                <w:color w:val="auto"/>
              </w:rPr>
            </w:pPr>
            <w:r>
              <w:rPr>
                <w:rFonts w:ascii="Arial" w:cs="Arial" w:eastAsia="Arial" w:hAnsi="Arial"/>
                <w:sz w:val="14"/>
                <w:szCs w:val="14"/>
                <w:color w:val="auto"/>
              </w:rPr>
              <w:t>Treasury stock at cost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(68,306)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(70,552)</w:t>
            </w:r>
          </w:p>
        </w:tc>
      </w:tr>
      <w:tr>
        <w:trPr>
          <w:trHeight w:val="39"/>
        </w:trPr>
        <w:tc>
          <w:tcPr>
            <w:tcW w:w="3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1,190,158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1,145,977</w:t>
            </w:r>
          </w:p>
        </w:tc>
      </w:tr>
      <w:tr>
        <w:trPr>
          <w:trHeight w:val="217"/>
        </w:trPr>
        <w:tc>
          <w:tcPr>
            <w:tcW w:w="8180" w:type="dxa"/>
            <w:vAlign w:val="bottom"/>
            <w:gridSpan w:val="5"/>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12,258,250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12,336,677</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5"/>
        </w:trPr>
        <w:tc>
          <w:tcPr>
            <w:tcW w:w="3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1"/>
        </w:trPr>
        <w:tc>
          <w:tcPr>
            <w:tcW w:w="8180" w:type="dxa"/>
            <w:vAlign w:val="bottom"/>
            <w:gridSpan w:val="5"/>
          </w:tcPr>
          <w:p>
            <w:pPr>
              <w:ind w:left="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9"/>
        </w:trPr>
        <w:tc>
          <w:tcPr>
            <w:tcW w:w="3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0"/>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Common shares issued</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58,116,969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58,116,970</w:t>
            </w:r>
          </w:p>
        </w:tc>
      </w:tr>
      <w:tr>
        <w:trPr>
          <w:trHeight w:val="191"/>
        </w:trPr>
        <w:tc>
          <w:tcPr>
            <w:tcW w:w="8180" w:type="dxa"/>
            <w:vAlign w:val="bottom"/>
            <w:gridSpan w:val="5"/>
          </w:tcPr>
          <w:p>
            <w:pPr>
              <w:ind w:left="180"/>
              <w:spacing w:after="0"/>
              <w:rPr>
                <w:sz w:val="20"/>
                <w:szCs w:val="20"/>
                <w:color w:val="auto"/>
              </w:rPr>
            </w:pPr>
            <w:r>
              <w:rPr>
                <w:rFonts w:ascii="Arial" w:cs="Arial" w:eastAsia="Arial" w:hAnsi="Arial"/>
                <w:sz w:val="14"/>
                <w:szCs w:val="14"/>
                <w:color w:val="auto"/>
              </w:rPr>
              <w:t>Less: Treasury shares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(2,774,952)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(2,837,846)</w:t>
            </w:r>
          </w:p>
        </w:tc>
      </w:tr>
      <w:tr>
        <w:trPr>
          <w:trHeight w:val="39"/>
        </w:trPr>
        <w:tc>
          <w:tcPr>
            <w:tcW w:w="38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9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2"/>
        </w:trPr>
        <w:tc>
          <w:tcPr>
            <w:tcW w:w="81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4"/>
                <w:szCs w:val="14"/>
                <w:color w:val="auto"/>
              </w:rPr>
              <w:t>Common shares outstanding</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55,342,017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55,279,124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ectPr>
          <w:pgSz w:w="11900" w:h="16838" w:orient="portrait"/>
          <w:cols w:equalWidth="0" w:num="1">
            <w:col w:w="11240"/>
          </w:cols>
          <w:pgMar w:left="320" w:top="301" w:right="339" w:bottom="7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703"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1"/>
        </w:trPr>
        <w:tc>
          <w:tcPr>
            <w:tcW w:w="5040" w:type="dxa"/>
            <w:vAlign w:val="bottom"/>
          </w:tcPr>
          <w:p>
            <w:pPr>
              <w:ind w:left="180"/>
              <w:spacing w:after="0"/>
              <w:rPr>
                <w:sz w:val="20"/>
                <w:szCs w:val="20"/>
                <w:color w:val="auto"/>
              </w:rPr>
            </w:pPr>
            <w:r>
              <w:rPr>
                <w:rFonts w:ascii="Arial" w:cs="Arial" w:eastAsia="Arial" w:hAnsi="Arial"/>
                <w:sz w:val="14"/>
                <w:szCs w:val="14"/>
                <w:color w:val="auto"/>
              </w:rPr>
              <w:t>Interest and fees on loans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99,844</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76,081</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284,423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202,530</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and dividends on investment securities: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0"/>
        </w:trPr>
        <w:tc>
          <w:tcPr>
            <w:tcW w:w="5040" w:type="dxa"/>
            <w:vAlign w:val="bottom"/>
          </w:tcPr>
          <w:p>
            <w:pPr>
              <w:ind w:left="360"/>
              <w:spacing w:after="0"/>
              <w:rPr>
                <w:sz w:val="20"/>
                <w:szCs w:val="20"/>
                <w:color w:val="auto"/>
              </w:rPr>
            </w:pPr>
            <w:r>
              <w:rPr>
                <w:rFonts w:ascii="Arial" w:cs="Arial" w:eastAsia="Arial" w:hAnsi="Arial"/>
                <w:sz w:val="14"/>
                <w:szCs w:val="14"/>
                <w:color w:val="auto"/>
              </w:rPr>
              <w:t>Taxable interest income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20,549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17,436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60,224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47,370</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Non-taxable interest income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2,482</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Other interest income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1,591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1,720</w:t>
            </w:r>
          </w:p>
        </w:tc>
      </w:tr>
      <w:tr>
        <w:trPr>
          <w:trHeight w:val="39"/>
        </w:trPr>
        <w:tc>
          <w:tcPr>
            <w:tcW w:w="50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interest income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122,669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95,415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350,673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254,102</w:t>
            </w:r>
          </w:p>
        </w:tc>
      </w:tr>
      <w:tr>
        <w:trPr>
          <w:trHeight w:val="183"/>
        </w:trPr>
        <w:tc>
          <w:tcPr>
            <w:tcW w:w="50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Deposits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37,068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78,576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7,835</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Federal funds purchased and securities sold under agreements to repurchase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Short-term borrowings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426</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Senior notes</w:t>
            </w:r>
          </w:p>
        </w:tc>
        <w:tc>
          <w:tcPr>
            <w:tcW w:w="92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637</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Subordinated notes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9,243</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Junior subordinated debt owed to unconsolidated trusts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2,148</w:t>
            </w:r>
          </w:p>
        </w:tc>
      </w:tr>
      <w:tr>
        <w:trPr>
          <w:trHeight w:val="39"/>
        </w:trPr>
        <w:tc>
          <w:tcPr>
            <w:tcW w:w="50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interest expense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44,878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9,110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108,355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21,813</w:t>
            </w:r>
          </w:p>
        </w:tc>
      </w:tr>
      <w:tr>
        <w:trPr>
          <w:trHeight w:val="183"/>
        </w:trPr>
        <w:tc>
          <w:tcPr>
            <w:tcW w:w="50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77,791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86,305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242,318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232,289</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Provision for credit losses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3,764</w:t>
            </w:r>
          </w:p>
        </w:tc>
      </w:tr>
      <w:tr>
        <w:trPr>
          <w:trHeight w:val="39"/>
        </w:trPr>
        <w:tc>
          <w:tcPr>
            <w:tcW w:w="50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 after provision for credit losses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77,427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83,941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240,374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228,525</w:t>
            </w:r>
          </w:p>
        </w:tc>
      </w:tr>
      <w:tr>
        <w:trPr>
          <w:trHeight w:val="183"/>
        </w:trPr>
        <w:tc>
          <w:tcPr>
            <w:tcW w:w="50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1"/>
        </w:trPr>
        <w:tc>
          <w:tcPr>
            <w:tcW w:w="5040" w:type="dxa"/>
            <w:vAlign w:val="bottom"/>
          </w:tcPr>
          <w:p>
            <w:pPr>
              <w:ind w:left="180"/>
              <w:spacing w:after="0"/>
              <w:rPr>
                <w:sz w:val="20"/>
                <w:szCs w:val="20"/>
                <w:color w:val="auto"/>
              </w:rPr>
            </w:pPr>
            <w:r>
              <w:rPr>
                <w:rFonts w:ascii="Arial" w:cs="Arial" w:eastAsia="Arial" w:hAnsi="Arial"/>
                <w:sz w:val="14"/>
                <w:szCs w:val="14"/>
                <w:color w:val="auto"/>
              </w:rPr>
              <w:t>Wealth management fees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14,235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43,594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42,422</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Fees for customer services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7,627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21,560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26,122</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Payment technology solutions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15,772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15,045</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Mortgage revenue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1,697</w:t>
            </w:r>
          </w:p>
        </w:tc>
      </w:tr>
      <w:tr>
        <w:trPr>
          <w:trHeight w:val="191"/>
        </w:trPr>
        <w:tc>
          <w:tcPr>
            <w:tcW w:w="5040" w:type="dxa"/>
            <w:vAlign w:val="bottom"/>
          </w:tcPr>
          <w:p>
            <w:pPr>
              <w:ind w:left="180"/>
              <w:spacing w:after="0"/>
              <w:rPr>
                <w:sz w:val="20"/>
                <w:szCs w:val="20"/>
                <w:color w:val="auto"/>
              </w:rPr>
            </w:pPr>
            <w:r>
              <w:rPr>
                <w:rFonts w:ascii="Arial" w:cs="Arial" w:eastAsia="Arial" w:hAnsi="Arial"/>
                <w:sz w:val="14"/>
                <w:szCs w:val="14"/>
                <w:color w:val="auto"/>
              </w:rPr>
              <w:t>Income on bank owned life insurance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Realized net gains (losses) on securities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Unrealized net gains (losses) recognized on equity securities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(2,376)</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income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12,046</w:t>
            </w:r>
          </w:p>
        </w:tc>
      </w:tr>
      <w:tr>
        <w:trPr>
          <w:trHeight w:val="184"/>
        </w:trPr>
        <w:tc>
          <w:tcPr>
            <w:tcW w:w="5040" w:type="dxa"/>
            <w:vAlign w:val="bottom"/>
          </w:tcPr>
          <w:p>
            <w:pPr>
              <w:ind w:left="20"/>
              <w:spacing w:after="0"/>
              <w:rPr>
                <w:sz w:val="20"/>
                <w:szCs w:val="20"/>
                <w:color w:val="auto"/>
              </w:rPr>
            </w:pPr>
            <w:r>
              <w:rPr>
                <w:rFonts w:ascii="Arial" w:cs="Arial" w:eastAsia="Arial" w:hAnsi="Arial"/>
                <w:sz w:val="14"/>
                <w:szCs w:val="14"/>
                <w:color w:val="auto"/>
              </w:rPr>
              <w:t>Total noninterest income</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31,008</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30,933</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90,868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97,724</w:t>
            </w:r>
          </w:p>
        </w:tc>
      </w:tr>
      <w:tr>
        <w:trPr>
          <w:trHeight w:val="39"/>
        </w:trPr>
        <w:tc>
          <w:tcPr>
            <w:tcW w:w="50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3"/>
        </w:trPr>
        <w:tc>
          <w:tcPr>
            <w:tcW w:w="50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0"/>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Salaries, wages, and employee benefits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39,677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39,762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119,867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117,226</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Data processing</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5,930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15,800</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occupancy expense of premises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14,492</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Furniture and equipment expenses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1,638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5,874</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4,693</w:t>
            </w:r>
          </w:p>
        </w:tc>
      </w:tr>
      <w:tr>
        <w:trPr>
          <w:trHeight w:val="190"/>
        </w:trPr>
        <w:tc>
          <w:tcPr>
            <w:tcW w:w="5040" w:type="dxa"/>
            <w:vAlign w:val="bottom"/>
          </w:tcPr>
          <w:p>
            <w:pPr>
              <w:ind w:left="180"/>
              <w:spacing w:after="0"/>
              <w:rPr>
                <w:sz w:val="20"/>
                <w:szCs w:val="20"/>
                <w:color w:val="auto"/>
              </w:rPr>
            </w:pPr>
            <w:r>
              <w:rPr>
                <w:rFonts w:ascii="Arial" w:cs="Arial" w:eastAsia="Arial" w:hAnsi="Arial"/>
                <w:sz w:val="14"/>
                <w:szCs w:val="14"/>
                <w:color w:val="auto"/>
              </w:rPr>
              <w:t>Amortization of intangible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8,833</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Interchange expense</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4,606</w:t>
            </w:r>
          </w:p>
        </w:tc>
      </w:tr>
      <w:tr>
        <w:trPr>
          <w:trHeight w:val="191"/>
        </w:trPr>
        <w:tc>
          <w:tcPr>
            <w:tcW w:w="5040" w:type="dxa"/>
            <w:vAlign w:val="bottom"/>
          </w:tcPr>
          <w:p>
            <w:pPr>
              <w:ind w:left="180"/>
              <w:spacing w:after="0"/>
              <w:rPr>
                <w:sz w:val="20"/>
                <w:szCs w:val="20"/>
                <w:color w:val="auto"/>
              </w:rPr>
            </w:pPr>
            <w:r>
              <w:rPr>
                <w:rFonts w:ascii="Arial" w:cs="Arial" w:eastAsia="Arial" w:hAnsi="Arial"/>
                <w:sz w:val="14"/>
                <w:szCs w:val="14"/>
                <w:color w:val="auto"/>
              </w:rPr>
              <w:t>FDIC insurance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3,108</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expense</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11,748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35,572</w:t>
            </w:r>
          </w:p>
        </w:tc>
      </w:tr>
      <w:tr>
        <w:trPr>
          <w:trHeight w:val="184"/>
        </w:trPr>
        <w:tc>
          <w:tcPr>
            <w:tcW w:w="5040" w:type="dxa"/>
            <w:vAlign w:val="bottom"/>
          </w:tcPr>
          <w:p>
            <w:pPr>
              <w:ind w:left="20"/>
              <w:spacing w:after="0"/>
              <w:rPr>
                <w:sz w:val="20"/>
                <w:szCs w:val="20"/>
                <w:color w:val="auto"/>
              </w:rPr>
            </w:pPr>
            <w:r>
              <w:rPr>
                <w:rFonts w:ascii="Arial" w:cs="Arial" w:eastAsia="Arial" w:hAnsi="Arial"/>
                <w:sz w:val="14"/>
                <w:szCs w:val="14"/>
                <w:color w:val="auto"/>
              </w:rPr>
              <w:t>Total noninterest expense</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70,945</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70,736</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210,553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210,204</w:t>
            </w:r>
          </w:p>
        </w:tc>
      </w:tr>
      <w:tr>
        <w:trPr>
          <w:trHeight w:val="39"/>
        </w:trPr>
        <w:tc>
          <w:tcPr>
            <w:tcW w:w="50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3"/>
        </w:trPr>
        <w:tc>
          <w:tcPr>
            <w:tcW w:w="50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0"/>
        </w:trPr>
        <w:tc>
          <w:tcPr>
            <w:tcW w:w="50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37,490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44,138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120,689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116,045</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22,121</w:t>
            </w:r>
          </w:p>
        </w:tc>
      </w:tr>
      <w:tr>
        <w:trPr>
          <w:trHeight w:val="217"/>
        </w:trPr>
        <w:tc>
          <w:tcPr>
            <w:tcW w:w="50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30,666</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35,661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96,816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93,924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50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1"/>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0.55</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0.64</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39"/>
        </w:trPr>
        <w:tc>
          <w:tcPr>
            <w:tcW w:w="5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common share</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91"/>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Dividends declared per share of common stock</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0.24</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0.69</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ectPr>
          <w:pgSz w:w="11900" w:h="16838" w:orient="portrait"/>
          <w:cols w:equalWidth="0" w:num="1">
            <w:col w:w="11240"/>
          </w:cols>
          <w:pgMar w:left="320" w:top="301" w:right="339"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757"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506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30,666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35,661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96,816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93,924</w:t>
            </w:r>
          </w:p>
        </w:tc>
        <w:tc>
          <w:tcPr>
            <w:tcW w:w="0" w:type="dxa"/>
            <w:vAlign w:val="bottom"/>
          </w:tcPr>
          <w:p>
            <w:pPr>
              <w:spacing w:after="0"/>
              <w:rPr>
                <w:sz w:val="1"/>
                <w:szCs w:val="1"/>
                <w:color w:val="auto"/>
              </w:rPr>
            </w:pPr>
          </w:p>
        </w:tc>
      </w:tr>
      <w:tr>
        <w:trPr>
          <w:trHeight w:val="190"/>
        </w:trPr>
        <w:tc>
          <w:tcPr>
            <w:tcW w:w="5060" w:type="dxa"/>
            <w:vAlign w:val="bottom"/>
          </w:tcPr>
          <w:p>
            <w:pPr>
              <w:ind w:left="20"/>
              <w:spacing w:after="0"/>
              <w:rPr>
                <w:sz w:val="20"/>
                <w:szCs w:val="20"/>
                <w:color w:val="auto"/>
              </w:rPr>
            </w:pPr>
            <w:r>
              <w:rPr>
                <w:rFonts w:ascii="Arial" w:cs="Arial" w:eastAsia="Arial" w:hAnsi="Arial"/>
                <w:sz w:val="14"/>
                <w:szCs w:val="14"/>
                <w:color w:val="auto"/>
              </w:rPr>
              <w:t>OCI:</w:t>
            </w: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Unrealized/Unrecognized gains (losses) on debt securities: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060" w:type="dxa"/>
            <w:vAlign w:val="bottom"/>
          </w:tcPr>
          <w:p>
            <w:pPr>
              <w:ind w:left="360"/>
              <w:spacing w:after="0"/>
              <w:rPr>
                <w:sz w:val="20"/>
                <w:szCs w:val="20"/>
                <w:color w:val="auto"/>
              </w:rPr>
            </w:pPr>
            <w:r>
              <w:rPr>
                <w:rFonts w:ascii="Arial" w:cs="Arial" w:eastAsia="Arial" w:hAnsi="Arial"/>
                <w:sz w:val="14"/>
                <w:szCs w:val="14"/>
                <w:color w:val="auto"/>
                <w:w w:val="94"/>
              </w:rPr>
              <w:t>Net unrealized holding gains (losses) on debt securities available for sale, net of</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360"/>
              <w:spacing w:after="0"/>
              <w:rPr>
                <w:sz w:val="20"/>
                <w:szCs w:val="20"/>
                <w:color w:val="auto"/>
              </w:rPr>
            </w:pPr>
            <w:r>
              <w:rPr>
                <w:rFonts w:ascii="Arial" w:cs="Arial" w:eastAsia="Arial" w:hAnsi="Arial"/>
                <w:sz w:val="14"/>
                <w:szCs w:val="14"/>
                <w:color w:val="auto"/>
              </w:rPr>
              <w:t>taxes of $10,746, $27,631, $6,728, and $84,519, respectively</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(26,950)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(69,306)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(16,872)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(211,988)</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7"/>
              </w:rPr>
              <w:t>Net unrealized gains (losses) on debt securities transferred to held to maturity</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from available for sale, net of taxes of $0, $0, $0, and $13,812, respectively</w:t>
            </w:r>
          </w:p>
        </w:tc>
        <w:tc>
          <w:tcPr>
            <w:tcW w:w="9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(34,644)</w:t>
            </w:r>
          </w:p>
        </w:tc>
        <w:tc>
          <w:tcPr>
            <w:tcW w:w="0" w:type="dxa"/>
            <w:vAlign w:val="bottom"/>
          </w:tcPr>
          <w:p>
            <w:pPr>
              <w:spacing w:after="0"/>
              <w:rPr>
                <w:sz w:val="1"/>
                <w:szCs w:val="1"/>
                <w:color w:val="auto"/>
              </w:rPr>
            </w:pPr>
          </w:p>
        </w:tc>
      </w:tr>
      <w:tr>
        <w:trPr>
          <w:trHeight w:val="184"/>
        </w:trPr>
        <w:tc>
          <w:tcPr>
            <w:tcW w:w="5060" w:type="dxa"/>
            <w:vAlign w:val="bottom"/>
          </w:tcPr>
          <w:p>
            <w:pPr>
              <w:ind w:left="360"/>
              <w:spacing w:after="0"/>
              <w:rPr>
                <w:sz w:val="20"/>
                <w:szCs w:val="20"/>
                <w:color w:val="auto"/>
              </w:rPr>
            </w:pPr>
            <w:r>
              <w:rPr>
                <w:rFonts w:ascii="Arial" w:cs="Arial" w:eastAsia="Arial" w:hAnsi="Arial"/>
                <w:sz w:val="14"/>
                <w:szCs w:val="14"/>
                <w:color w:val="auto"/>
              </w:rPr>
              <w:t>Reclassification adjustment for realized (gains) losses on debt securities</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tcPr>
          <w:p>
            <w:pPr>
              <w:ind w:left="360"/>
              <w:spacing w:after="0"/>
              <w:rPr>
                <w:sz w:val="20"/>
                <w:szCs w:val="20"/>
                <w:color w:val="auto"/>
              </w:rPr>
            </w:pPr>
            <w:r>
              <w:rPr>
                <w:rFonts w:ascii="Arial" w:cs="Arial" w:eastAsia="Arial" w:hAnsi="Arial"/>
                <w:sz w:val="14"/>
                <w:szCs w:val="14"/>
                <w:color w:val="auto"/>
                <w:w w:val="96"/>
              </w:rPr>
              <w:t>available for sale included in net income, net of taxes of $(9), $(21), $(59), and</w:t>
            </w:r>
          </w:p>
        </w:tc>
        <w:tc>
          <w:tcPr>
            <w:tcW w:w="9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2"/>
        </w:trPr>
        <w:tc>
          <w:tcPr>
            <w:tcW w:w="5060" w:type="dxa"/>
            <w:vAlign w:val="bottom"/>
          </w:tcPr>
          <w:p>
            <w:pPr>
              <w:ind w:left="360"/>
              <w:spacing w:after="0"/>
              <w:rPr>
                <w:sz w:val="20"/>
                <w:szCs w:val="20"/>
                <w:color w:val="auto"/>
              </w:rPr>
            </w:pPr>
            <w:r>
              <w:rPr>
                <w:rFonts w:ascii="Arial" w:cs="Arial" w:eastAsia="Arial" w:hAnsi="Arial"/>
                <w:sz w:val="14"/>
                <w:szCs w:val="14"/>
                <w:color w:val="auto"/>
              </w:rPr>
              <w:t>$8, respectively</w:t>
            </w:r>
          </w:p>
        </w:tc>
        <w:tc>
          <w:tcPr>
            <w:tcW w:w="9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3"/>
              </w:rPr>
              <w:t>Amortization of unrecognized losses on securities transferred to held to maturity,</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of taxes of $(420), $(515), $(1,346), and $(1,396), respectively</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0" w:type="dxa"/>
            <w:vAlign w:val="bottom"/>
          </w:tcPr>
          <w:p>
            <w:pPr>
              <w:spacing w:after="0"/>
              <w:rPr>
                <w:sz w:val="1"/>
                <w:szCs w:val="1"/>
                <w:color w:val="auto"/>
              </w:rPr>
            </w:pPr>
          </w:p>
        </w:tc>
      </w:tr>
      <w:tr>
        <w:trPr>
          <w:trHeight w:val="184"/>
        </w:trPr>
        <w:tc>
          <w:tcPr>
            <w:tcW w:w="5060" w:type="dxa"/>
            <w:vAlign w:val="bottom"/>
          </w:tcPr>
          <w:p>
            <w:pPr>
              <w:ind w:left="180"/>
              <w:spacing w:after="0"/>
              <w:rPr>
                <w:sz w:val="20"/>
                <w:szCs w:val="20"/>
                <w:color w:val="auto"/>
              </w:rPr>
            </w:pPr>
            <w:r>
              <w:rPr>
                <w:rFonts w:ascii="Arial" w:cs="Arial" w:eastAsia="Arial" w:hAnsi="Arial"/>
                <w:sz w:val="14"/>
                <w:szCs w:val="14"/>
                <w:color w:val="auto"/>
              </w:rPr>
              <w:t>Net change in unrealized/unrecognized gains (losses) on debt securities</w:t>
            </w:r>
          </w:p>
        </w:tc>
        <w:tc>
          <w:tcPr>
            <w:tcW w:w="9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5"/>
              </w:rPr>
              <w:t>(25,870)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(67,962)</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(13,345)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(243,152)</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Unrealized gains (losses) on cash flow hedges:</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060" w:type="dxa"/>
            <w:vAlign w:val="bottom"/>
          </w:tcPr>
          <w:p>
            <w:pPr>
              <w:ind w:left="360"/>
              <w:spacing w:after="0"/>
              <w:rPr>
                <w:sz w:val="20"/>
                <w:szCs w:val="20"/>
                <w:color w:val="auto"/>
              </w:rPr>
            </w:pPr>
            <w:r>
              <w:rPr>
                <w:rFonts w:ascii="Arial" w:cs="Arial" w:eastAsia="Arial" w:hAnsi="Arial"/>
                <w:sz w:val="14"/>
                <w:szCs w:val="14"/>
                <w:color w:val="auto"/>
              </w:rPr>
              <w:t>Net unrealized holding gains (losses) on cash flow hedges, net of taxes of</w:t>
            </w: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60" w:type="dxa"/>
            <w:vAlign w:val="bottom"/>
          </w:tcPr>
          <w:p>
            <w:pPr>
              <w:ind w:left="360"/>
              <w:spacing w:after="0"/>
              <w:rPr>
                <w:sz w:val="20"/>
                <w:szCs w:val="20"/>
                <w:color w:val="auto"/>
              </w:rPr>
            </w:pPr>
            <w:r>
              <w:rPr>
                <w:rFonts w:ascii="Arial" w:cs="Arial" w:eastAsia="Arial" w:hAnsi="Arial"/>
                <w:sz w:val="14"/>
                <w:szCs w:val="14"/>
                <w:color w:val="auto"/>
              </w:rPr>
              <w:t>$2,220, $4,061, $3,412, and $8,604, respectively</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(21,587)</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Reclassification adjustment for realized (gains) losses on cash flow hedges</w:t>
            </w: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included in net income, net of taxes of $(652), ($104), $(1,776), and $199,</w:t>
            </w:r>
          </w:p>
        </w:tc>
        <w:tc>
          <w:tcPr>
            <w:tcW w:w="9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08"/>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respectively</w:t>
            </w:r>
          </w:p>
        </w:tc>
        <w:tc>
          <w:tcPr>
            <w:tcW w:w="9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060" w:type="dxa"/>
            <w:vAlign w:val="bottom"/>
          </w:tcPr>
          <w:p>
            <w:pPr>
              <w:ind w:left="180"/>
              <w:spacing w:after="0"/>
              <w:rPr>
                <w:sz w:val="20"/>
                <w:szCs w:val="20"/>
                <w:color w:val="auto"/>
              </w:rPr>
            </w:pPr>
            <w:r>
              <w:rPr>
                <w:rFonts w:ascii="Arial" w:cs="Arial" w:eastAsia="Arial" w:hAnsi="Arial"/>
                <w:sz w:val="14"/>
                <w:szCs w:val="14"/>
                <w:color w:val="auto"/>
              </w:rPr>
              <w:t>Net change in unrealized gains (losses) on cash flow hedges</w:t>
            </w:r>
          </w:p>
        </w:tc>
        <w:tc>
          <w:tcPr>
            <w:tcW w:w="9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(9,926)</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(4,107)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(22,085)</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AOCI</w:t>
            </w:r>
          </w:p>
        </w:tc>
        <w:tc>
          <w:tcPr>
            <w:tcW w:w="9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(29,809)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(77,888)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(17,452)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(265,237)</w:t>
            </w:r>
          </w:p>
        </w:tc>
        <w:tc>
          <w:tcPr>
            <w:tcW w:w="0" w:type="dxa"/>
            <w:vAlign w:val="bottom"/>
          </w:tcPr>
          <w:p>
            <w:pPr>
              <w:spacing w:after="0"/>
              <w:rPr>
                <w:sz w:val="1"/>
                <w:szCs w:val="1"/>
                <w:color w:val="auto"/>
              </w:rPr>
            </w:pPr>
          </w:p>
        </w:tc>
      </w:tr>
      <w:tr>
        <w:trPr>
          <w:trHeight w:val="217"/>
        </w:trPr>
        <w:tc>
          <w:tcPr>
            <w:tcW w:w="506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(42,227)</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79,364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(171,313)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Three Months Ended September 30, 2023</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0"/>
        </w:trPr>
        <w:tc>
          <w:tcPr>
            <w:tcW w:w="256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AOCI</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55,290,847</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1,325,173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207,660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(260,921)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1,201,948</w:t>
            </w:r>
          </w:p>
        </w:tc>
        <w:tc>
          <w:tcPr>
            <w:tcW w:w="0" w:type="dxa"/>
            <w:vAlign w:val="bottom"/>
          </w:tcPr>
          <w:p>
            <w:pPr>
              <w:spacing w:after="0"/>
              <w:rPr>
                <w:sz w:val="1"/>
                <w:szCs w:val="1"/>
                <w:color w:val="auto"/>
              </w:rPr>
            </w:pPr>
          </w:p>
        </w:tc>
      </w:tr>
      <w:tr>
        <w:trPr>
          <w:trHeight w:val="190"/>
        </w:trPr>
        <w:tc>
          <w:tcPr>
            <w:tcW w:w="25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30,666</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OCI, net of tax</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(29,809)</w:t>
            </w:r>
          </w:p>
        </w:tc>
        <w:tc>
          <w:tcPr>
            <w:tcW w:w="0" w:type="dxa"/>
            <w:vAlign w:val="bottom"/>
          </w:tcPr>
          <w:p>
            <w:pPr>
              <w:spacing w:after="0"/>
              <w:rPr>
                <w:sz w:val="1"/>
                <w:szCs w:val="1"/>
                <w:color w:val="auto"/>
              </w:rPr>
            </w:pPr>
          </w:p>
        </w:tc>
      </w:tr>
      <w:tr>
        <w:trPr>
          <w:trHeight w:val="191"/>
        </w:trPr>
        <w:tc>
          <w:tcPr>
            <w:tcW w:w="2560" w:type="dxa"/>
            <w:vAlign w:val="bottom"/>
          </w:tcPr>
          <w:p>
            <w:pPr>
              <w:ind w:left="180"/>
              <w:spacing w:after="0"/>
              <w:rPr>
                <w:sz w:val="20"/>
                <w:szCs w:val="20"/>
                <w:color w:val="auto"/>
              </w:rPr>
            </w:pPr>
            <w:r>
              <w:rPr>
                <w:rFonts w:ascii="Arial" w:cs="Arial" w:eastAsia="Arial" w:hAnsi="Arial"/>
                <w:sz w:val="14"/>
                <w:szCs w:val="14"/>
                <w:color w:val="auto"/>
              </w:rPr>
              <w:t>Repurchase of stock</w:t>
            </w:r>
          </w:p>
        </w:tc>
        <w:tc>
          <w:tcPr>
            <w:tcW w:w="1220" w:type="dxa"/>
            <w:vAlign w:val="bottom"/>
          </w:tcPr>
          <w:p>
            <w:pPr>
              <w:jc w:val="right"/>
              <w:spacing w:after="0"/>
              <w:rPr>
                <w:sz w:val="20"/>
                <w:szCs w:val="20"/>
                <w:color w:val="auto"/>
              </w:rPr>
            </w:pPr>
            <w:r>
              <w:rPr>
                <w:rFonts w:ascii="Arial" w:cs="Arial" w:eastAsia="Arial" w:hAnsi="Arial"/>
                <w:sz w:val="14"/>
                <w:szCs w:val="14"/>
                <w:color w:val="auto"/>
              </w:rPr>
              <w:t>(65,123)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treasury stock for ESPP</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11,291</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84"/>
        </w:trPr>
        <w:tc>
          <w:tcPr>
            <w:tcW w:w="2560" w:type="dxa"/>
            <w:vAlign w:val="bottom"/>
          </w:tcPr>
          <w:p>
            <w:pPr>
              <w:ind w:left="180"/>
              <w:spacing w:after="0"/>
              <w:rPr>
                <w:sz w:val="20"/>
                <w:szCs w:val="20"/>
                <w:color w:val="auto"/>
              </w:rPr>
            </w:pPr>
            <w:r>
              <w:rPr>
                <w:rFonts w:ascii="Arial" w:cs="Arial" w:eastAsia="Arial" w:hAnsi="Arial"/>
                <w:sz w:val="14"/>
                <w:szCs w:val="14"/>
                <w:color w:val="auto"/>
              </w:rPr>
              <w:t>Net issuance of treasury stock for</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180"/>
              <w:spacing w:after="0"/>
              <w:rPr>
                <w:sz w:val="20"/>
                <w:szCs w:val="20"/>
                <w:color w:val="auto"/>
              </w:rPr>
            </w:pPr>
            <w:r>
              <w:rPr>
                <w:rFonts w:ascii="Arial" w:cs="Arial" w:eastAsia="Arial" w:hAnsi="Arial"/>
                <w:sz w:val="14"/>
                <w:szCs w:val="14"/>
                <w:color w:val="auto"/>
                <w:w w:val="98"/>
              </w:rPr>
              <w:t>RSU/PSU/DSU vesting and related tax</w:t>
            </w:r>
          </w:p>
        </w:tc>
        <w:tc>
          <w:tcPr>
            <w:tcW w:w="1220" w:type="dxa"/>
            <w:vAlign w:val="bottom"/>
          </w:tcPr>
          <w:p>
            <w:pPr>
              <w:jc w:val="right"/>
              <w:spacing w:after="0"/>
              <w:rPr>
                <w:sz w:val="20"/>
                <w:szCs w:val="20"/>
                <w:color w:val="auto"/>
              </w:rPr>
            </w:pPr>
            <w:r>
              <w:rPr>
                <w:rFonts w:ascii="Arial" w:cs="Arial" w:eastAsia="Arial" w:hAnsi="Arial"/>
                <w:sz w:val="14"/>
                <w:szCs w:val="14"/>
                <w:color w:val="auto"/>
              </w:rPr>
              <w:t>105,002</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 at</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$0.24 per share</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(13,267)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(13,267)</w:t>
            </w:r>
          </w:p>
        </w:tc>
        <w:tc>
          <w:tcPr>
            <w:tcW w:w="0" w:type="dxa"/>
            <w:vAlign w:val="bottom"/>
          </w:tcPr>
          <w:p>
            <w:pPr>
              <w:spacing w:after="0"/>
              <w:rPr>
                <w:sz w:val="1"/>
                <w:szCs w:val="1"/>
                <w:color w:val="auto"/>
              </w:rPr>
            </w:pPr>
          </w:p>
        </w:tc>
      </w:tr>
      <w:tr>
        <w:trPr>
          <w:trHeight w:val="184"/>
        </w:trPr>
        <w:tc>
          <w:tcPr>
            <w:tcW w:w="2560" w:type="dxa"/>
            <w:vAlign w:val="bottom"/>
          </w:tcPr>
          <w:p>
            <w:pPr>
              <w:ind w:left="180"/>
              <w:spacing w:after="0"/>
              <w:rPr>
                <w:sz w:val="20"/>
                <w:szCs w:val="20"/>
                <w:color w:val="auto"/>
              </w:rPr>
            </w:pPr>
            <w:r>
              <w:rPr>
                <w:rFonts w:ascii="Arial" w:cs="Arial" w:eastAsia="Arial" w:hAnsi="Arial"/>
                <w:sz w:val="14"/>
                <w:szCs w:val="14"/>
                <w:color w:val="auto"/>
              </w:rPr>
              <w:t>Stock dividend equivalents on</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180"/>
              <w:spacing w:after="0"/>
              <w:rPr>
                <w:sz w:val="20"/>
                <w:szCs w:val="20"/>
                <w:color w:val="auto"/>
              </w:rPr>
            </w:pPr>
            <w:r>
              <w:rPr>
                <w:rFonts w:ascii="Arial" w:cs="Arial" w:eastAsia="Arial" w:hAnsi="Arial"/>
                <w:sz w:val="14"/>
                <w:szCs w:val="14"/>
                <w:color w:val="auto"/>
              </w:rPr>
              <w:t>RSUs/PSUs/DSUs</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217"/>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55,342,017</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1,324,438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224,698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(290,730)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(68,306)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1,190,158</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1"/>
        </w:trPr>
        <w:tc>
          <w:tcPr>
            <w:tcW w:w="2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30, 2023</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0"/>
        </w:trPr>
        <w:tc>
          <w:tcPr>
            <w:tcW w:w="256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jc w:val="center"/>
              <w:ind w:left="16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AOCI</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2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55,279,124</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1,320,980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168,769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(273,278)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(70,552)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1,145,977</w:t>
            </w:r>
          </w:p>
        </w:tc>
        <w:tc>
          <w:tcPr>
            <w:tcW w:w="0" w:type="dxa"/>
            <w:vAlign w:val="bottom"/>
          </w:tcPr>
          <w:p>
            <w:pPr>
              <w:spacing w:after="0"/>
              <w:rPr>
                <w:sz w:val="1"/>
                <w:szCs w:val="1"/>
                <w:color w:val="auto"/>
              </w:rPr>
            </w:pPr>
          </w:p>
        </w:tc>
      </w:tr>
      <w:tr>
        <w:trPr>
          <w:trHeight w:val="191"/>
        </w:trPr>
        <w:tc>
          <w:tcPr>
            <w:tcW w:w="25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96,816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96,816</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OCI, net of tax</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(17,452)</w:t>
            </w:r>
          </w:p>
        </w:tc>
        <w:tc>
          <w:tcPr>
            <w:tcW w:w="0" w:type="dxa"/>
            <w:vAlign w:val="bottom"/>
          </w:tcPr>
          <w:p>
            <w:pPr>
              <w:spacing w:after="0"/>
              <w:rPr>
                <w:sz w:val="1"/>
                <w:szCs w:val="1"/>
                <w:color w:val="auto"/>
              </w:rPr>
            </w:pPr>
          </w:p>
        </w:tc>
      </w:tr>
      <w:tr>
        <w:trPr>
          <w:trHeight w:val="190"/>
        </w:trPr>
        <w:tc>
          <w:tcPr>
            <w:tcW w:w="2560" w:type="dxa"/>
            <w:vAlign w:val="bottom"/>
          </w:tcPr>
          <w:p>
            <w:pPr>
              <w:ind w:left="180"/>
              <w:spacing w:after="0"/>
              <w:rPr>
                <w:sz w:val="20"/>
                <w:szCs w:val="20"/>
                <w:color w:val="auto"/>
              </w:rPr>
            </w:pPr>
            <w:r>
              <w:rPr>
                <w:rFonts w:ascii="Arial" w:cs="Arial" w:eastAsia="Arial" w:hAnsi="Arial"/>
                <w:sz w:val="14"/>
                <w:szCs w:val="14"/>
                <w:color w:val="auto"/>
              </w:rPr>
              <w:t>Repurchase of stock</w:t>
            </w:r>
          </w:p>
        </w:tc>
        <w:tc>
          <w:tcPr>
            <w:tcW w:w="1220" w:type="dxa"/>
            <w:vAlign w:val="bottom"/>
          </w:tcPr>
          <w:p>
            <w:pPr>
              <w:jc w:val="right"/>
              <w:spacing w:after="0"/>
              <w:rPr>
                <w:sz w:val="20"/>
                <w:szCs w:val="20"/>
                <w:color w:val="auto"/>
              </w:rPr>
            </w:pPr>
            <w:r>
              <w:rPr>
                <w:rFonts w:ascii="Arial" w:cs="Arial" w:eastAsia="Arial" w:hAnsi="Arial"/>
                <w:sz w:val="14"/>
                <w:szCs w:val="14"/>
                <w:color w:val="auto"/>
              </w:rPr>
              <w:t>(110,123)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(2,209)</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treasury stock for ESPP</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51,885</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84"/>
        </w:trPr>
        <w:tc>
          <w:tcPr>
            <w:tcW w:w="2560" w:type="dxa"/>
            <w:vAlign w:val="bottom"/>
          </w:tcPr>
          <w:p>
            <w:pPr>
              <w:ind w:left="180"/>
              <w:spacing w:after="0"/>
              <w:rPr>
                <w:sz w:val="20"/>
                <w:szCs w:val="20"/>
                <w:color w:val="auto"/>
              </w:rPr>
            </w:pPr>
            <w:r>
              <w:rPr>
                <w:rFonts w:ascii="Arial" w:cs="Arial" w:eastAsia="Arial" w:hAnsi="Arial"/>
                <w:sz w:val="14"/>
                <w:szCs w:val="14"/>
                <w:color w:val="auto"/>
              </w:rPr>
              <w:t>Net issuance of treasury stock for</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180"/>
              <w:spacing w:after="0"/>
              <w:rPr>
                <w:sz w:val="20"/>
                <w:szCs w:val="20"/>
                <w:color w:val="auto"/>
              </w:rPr>
            </w:pPr>
            <w:r>
              <w:rPr>
                <w:rFonts w:ascii="Arial" w:cs="Arial" w:eastAsia="Arial" w:hAnsi="Arial"/>
                <w:sz w:val="14"/>
                <w:szCs w:val="14"/>
                <w:color w:val="auto"/>
                <w:w w:val="98"/>
              </w:rPr>
              <w:t>RSU/PSU/DSU vesting and related tax</w:t>
            </w:r>
          </w:p>
        </w:tc>
        <w:tc>
          <w:tcPr>
            <w:tcW w:w="1220" w:type="dxa"/>
            <w:vAlign w:val="bottom"/>
          </w:tcPr>
          <w:p>
            <w:pPr>
              <w:jc w:val="right"/>
              <w:spacing w:after="0"/>
              <w:rPr>
                <w:sz w:val="20"/>
                <w:szCs w:val="20"/>
                <w:color w:val="auto"/>
              </w:rPr>
            </w:pPr>
            <w:r>
              <w:rPr>
                <w:rFonts w:ascii="Arial" w:cs="Arial" w:eastAsia="Arial" w:hAnsi="Arial"/>
                <w:sz w:val="14"/>
                <w:szCs w:val="14"/>
                <w:color w:val="auto"/>
              </w:rPr>
              <w:t>120,137</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(989)</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issuance of treasury stock for</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warrants 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4"/>
        </w:trPr>
        <w:tc>
          <w:tcPr>
            <w:tcW w:w="2560" w:type="dxa"/>
            <w:vAlign w:val="bottom"/>
          </w:tcPr>
          <w:p>
            <w:pPr>
              <w:ind w:left="180"/>
              <w:spacing w:after="0"/>
              <w:rPr>
                <w:sz w:val="20"/>
                <w:szCs w:val="20"/>
                <w:color w:val="auto"/>
              </w:rPr>
            </w:pPr>
            <w:r>
              <w:rPr>
                <w:rFonts w:ascii="Arial" w:cs="Arial" w:eastAsia="Arial" w:hAnsi="Arial"/>
                <w:sz w:val="14"/>
                <w:szCs w:val="14"/>
                <w:color w:val="auto"/>
              </w:rPr>
              <w:t>Cash dividends on common stock at</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60" w:type="dxa"/>
            <w:vAlign w:val="bottom"/>
          </w:tcPr>
          <w:p>
            <w:pPr>
              <w:ind w:left="180"/>
              <w:spacing w:after="0"/>
              <w:rPr>
                <w:sz w:val="20"/>
                <w:szCs w:val="20"/>
                <w:color w:val="auto"/>
              </w:rPr>
            </w:pPr>
            <w:r>
              <w:rPr>
                <w:rFonts w:ascii="Arial" w:cs="Arial" w:eastAsia="Arial" w:hAnsi="Arial"/>
                <w:sz w:val="14"/>
                <w:szCs w:val="14"/>
                <w:color w:val="auto"/>
              </w:rPr>
              <w:t>$0.72 per share</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(39,806)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(39,806)</w:t>
            </w:r>
          </w:p>
        </w:tc>
        <w:tc>
          <w:tcPr>
            <w:tcW w:w="0" w:type="dxa"/>
            <w:vAlign w:val="bottom"/>
          </w:tcPr>
          <w:p>
            <w:pPr>
              <w:spacing w:after="0"/>
              <w:rPr>
                <w:sz w:val="1"/>
                <w:szCs w:val="1"/>
                <w:color w:val="auto"/>
              </w:rPr>
            </w:pPr>
          </w:p>
        </w:tc>
      </w:tr>
      <w:tr>
        <w:trPr>
          <w:trHeight w:val="39"/>
        </w:trPr>
        <w:tc>
          <w:tcPr>
            <w:tcW w:w="25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dividend equivalents on</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RSUs/PSUs/DSUs</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56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6,928</w:t>
            </w:r>
          </w:p>
        </w:tc>
        <w:tc>
          <w:tcPr>
            <w:tcW w:w="0" w:type="dxa"/>
            <w:vAlign w:val="bottom"/>
          </w:tcPr>
          <w:p>
            <w:pPr>
              <w:spacing w:after="0"/>
              <w:rPr>
                <w:sz w:val="1"/>
                <w:szCs w:val="1"/>
                <w:color w:val="auto"/>
              </w:rPr>
            </w:pPr>
          </w:p>
        </w:tc>
      </w:tr>
      <w:tr>
        <w:trPr>
          <w:trHeight w:val="39"/>
        </w:trPr>
        <w:tc>
          <w:tcPr>
            <w:tcW w:w="256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55,342,017</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1,324,438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224,698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(290,730)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1,190,158</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5"/>
                <w:szCs w:val="15"/>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0"/>
        </w:trPr>
        <w:tc>
          <w:tcPr>
            <w:tcW w:w="2540" w:type="dxa"/>
            <w:vAlign w:val="bottom"/>
          </w:tcPr>
          <w:p>
            <w:pPr>
              <w:spacing w:after="0"/>
              <w:rPr>
                <w:sz w:val="17"/>
                <w:szCs w:val="17"/>
                <w:color w:val="auto"/>
              </w:rPr>
            </w:pPr>
          </w:p>
        </w:tc>
        <w:tc>
          <w:tcPr>
            <w:tcW w:w="132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4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AOCI</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2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55,335,703</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1,317,675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124,685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(211,107)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(69,354)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1,161,957</w:t>
            </w:r>
          </w:p>
        </w:tc>
        <w:tc>
          <w:tcPr>
            <w:tcW w:w="0" w:type="dxa"/>
            <w:vAlign w:val="bottom"/>
          </w:tcPr>
          <w:p>
            <w:pPr>
              <w:spacing w:after="0"/>
              <w:rPr>
                <w:sz w:val="1"/>
                <w:szCs w:val="1"/>
                <w:color w:val="auto"/>
              </w:rPr>
            </w:pPr>
          </w:p>
        </w:tc>
      </w:tr>
      <w:tr>
        <w:trPr>
          <w:trHeight w:val="190"/>
        </w:trPr>
        <w:tc>
          <w:tcPr>
            <w:tcW w:w="25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35,661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35,661</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OCI, net of tax</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(77,888)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(77,888)</w:t>
            </w:r>
          </w:p>
        </w:tc>
        <w:tc>
          <w:tcPr>
            <w:tcW w:w="0" w:type="dxa"/>
            <w:vAlign w:val="bottom"/>
          </w:tcPr>
          <w:p>
            <w:pPr>
              <w:spacing w:after="0"/>
              <w:rPr>
                <w:sz w:val="1"/>
                <w:szCs w:val="1"/>
                <w:color w:val="auto"/>
              </w:rPr>
            </w:pPr>
          </w:p>
        </w:tc>
      </w:tr>
      <w:tr>
        <w:trPr>
          <w:trHeight w:val="191"/>
        </w:trPr>
        <w:tc>
          <w:tcPr>
            <w:tcW w:w="2540" w:type="dxa"/>
            <w:vAlign w:val="bottom"/>
          </w:tcPr>
          <w:p>
            <w:pPr>
              <w:ind w:left="180"/>
              <w:spacing w:after="0"/>
              <w:rPr>
                <w:sz w:val="20"/>
                <w:szCs w:val="20"/>
                <w:color w:val="auto"/>
              </w:rPr>
            </w:pPr>
            <w:r>
              <w:rPr>
                <w:rFonts w:ascii="Arial" w:cs="Arial" w:eastAsia="Arial" w:hAnsi="Arial"/>
                <w:sz w:val="14"/>
                <w:szCs w:val="14"/>
                <w:color w:val="auto"/>
              </w:rPr>
              <w:t>Repurchase of stock</w:t>
            </w:r>
          </w:p>
        </w:tc>
        <w:tc>
          <w:tcPr>
            <w:tcW w:w="1220" w:type="dxa"/>
            <w:vAlign w:val="bottom"/>
          </w:tcPr>
          <w:p>
            <w:pPr>
              <w:jc w:val="right"/>
              <w:spacing w:after="0"/>
              <w:rPr>
                <w:sz w:val="20"/>
                <w:szCs w:val="20"/>
                <w:color w:val="auto"/>
              </w:rPr>
            </w:pPr>
            <w:r>
              <w:rPr>
                <w:rFonts w:ascii="Arial" w:cs="Arial" w:eastAsia="Arial" w:hAnsi="Arial"/>
                <w:sz w:val="14"/>
                <w:szCs w:val="14"/>
                <w:color w:val="auto"/>
              </w:rPr>
              <w:t>(130,000)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(3,088)</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treasury stock for ESPP</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10,993</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4"/>
        </w:trPr>
        <w:tc>
          <w:tcPr>
            <w:tcW w:w="2540" w:type="dxa"/>
            <w:vAlign w:val="bottom"/>
          </w:tcPr>
          <w:p>
            <w:pPr>
              <w:ind w:left="180"/>
              <w:spacing w:after="0"/>
              <w:rPr>
                <w:sz w:val="20"/>
                <w:szCs w:val="20"/>
                <w:color w:val="auto"/>
              </w:rPr>
            </w:pPr>
            <w:r>
              <w:rPr>
                <w:rFonts w:ascii="Arial" w:cs="Arial" w:eastAsia="Arial" w:hAnsi="Arial"/>
                <w:sz w:val="14"/>
                <w:szCs w:val="14"/>
                <w:color w:val="auto"/>
              </w:rPr>
              <w:t>Net issuance of treasury stock for</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80"/>
              <w:spacing w:after="0"/>
              <w:rPr>
                <w:sz w:val="20"/>
                <w:szCs w:val="20"/>
                <w:color w:val="auto"/>
              </w:rPr>
            </w:pPr>
            <w:r>
              <w:rPr>
                <w:rFonts w:ascii="Arial" w:cs="Arial" w:eastAsia="Arial" w:hAnsi="Arial"/>
                <w:sz w:val="14"/>
                <w:szCs w:val="14"/>
                <w:color w:val="auto"/>
              </w:rPr>
              <w:t>RSU/DSU vesting and related tax</w:t>
            </w:r>
          </w:p>
        </w:tc>
        <w:tc>
          <w:tcPr>
            <w:tcW w:w="1220" w:type="dxa"/>
            <w:vAlign w:val="bottom"/>
          </w:tcPr>
          <w:p>
            <w:pPr>
              <w:jc w:val="right"/>
              <w:spacing w:after="0"/>
              <w:rPr>
                <w:sz w:val="20"/>
                <w:szCs w:val="20"/>
                <w:color w:val="auto"/>
              </w:rPr>
            </w:pPr>
            <w:r>
              <w:rPr>
                <w:rFonts w:ascii="Arial" w:cs="Arial" w:eastAsia="Arial" w:hAnsi="Arial"/>
                <w:sz w:val="14"/>
                <w:szCs w:val="14"/>
                <w:color w:val="auto"/>
              </w:rPr>
              <w:t>15,738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 at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$0.23 per share</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(12,707)</w:t>
            </w:r>
          </w:p>
        </w:tc>
        <w:tc>
          <w:tcPr>
            <w:tcW w:w="0" w:type="dxa"/>
            <w:vAlign w:val="bottom"/>
          </w:tcPr>
          <w:p>
            <w:pPr>
              <w:spacing w:after="0"/>
              <w:rPr>
                <w:sz w:val="1"/>
                <w:szCs w:val="1"/>
                <w:color w:val="auto"/>
              </w:rPr>
            </w:pPr>
          </w:p>
        </w:tc>
      </w:tr>
      <w:tr>
        <w:trPr>
          <w:trHeight w:val="184"/>
        </w:trPr>
        <w:tc>
          <w:tcPr>
            <w:tcW w:w="2540" w:type="dxa"/>
            <w:vAlign w:val="bottom"/>
          </w:tcPr>
          <w:p>
            <w:pPr>
              <w:ind w:left="180"/>
              <w:spacing w:after="0"/>
              <w:rPr>
                <w:sz w:val="20"/>
                <w:szCs w:val="20"/>
                <w:color w:val="auto"/>
              </w:rPr>
            </w:pPr>
            <w:r>
              <w:rPr>
                <w:rFonts w:ascii="Arial" w:cs="Arial" w:eastAsia="Arial" w:hAnsi="Arial"/>
                <w:sz w:val="14"/>
                <w:szCs w:val="14"/>
                <w:color w:val="auto"/>
              </w:rPr>
              <w:t>Stock dividend equivalents 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80"/>
              <w:spacing w:after="0"/>
              <w:rPr>
                <w:sz w:val="20"/>
                <w:szCs w:val="20"/>
                <w:color w:val="auto"/>
              </w:rPr>
            </w:pPr>
            <w:r>
              <w:rPr>
                <w:rFonts w:ascii="Arial" w:cs="Arial" w:eastAsia="Arial" w:hAnsi="Arial"/>
                <w:sz w:val="14"/>
                <w:szCs w:val="14"/>
                <w:color w:val="auto"/>
              </w:rPr>
              <w:t>RSUs/DSUs at $0.23 per share</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217"/>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55,232,434</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1,319,921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147,358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(288,995)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1,106,588</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1"/>
        </w:trPr>
        <w:tc>
          <w:tcPr>
            <w:tcW w:w="2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Nine Months Ended September 30, 2022</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5"/>
                <w:szCs w:val="15"/>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00"/>
        </w:trPr>
        <w:tc>
          <w:tcPr>
            <w:tcW w:w="2540" w:type="dxa"/>
            <w:vAlign w:val="bottom"/>
          </w:tcPr>
          <w:p>
            <w:pPr>
              <w:spacing w:after="0"/>
              <w:rPr>
                <w:sz w:val="17"/>
                <w:szCs w:val="17"/>
                <w:color w:val="auto"/>
              </w:rPr>
            </w:pPr>
          </w:p>
        </w:tc>
        <w:tc>
          <w:tcPr>
            <w:tcW w:w="132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24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AOCI</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
        </w:trPr>
        <w:tc>
          <w:tcPr>
            <w:tcW w:w="25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55,434,910</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1,316,984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(23,758)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(66,635)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1,319,112</w:t>
            </w:r>
          </w:p>
        </w:tc>
        <w:tc>
          <w:tcPr>
            <w:tcW w:w="0" w:type="dxa"/>
            <w:vAlign w:val="bottom"/>
          </w:tcPr>
          <w:p>
            <w:pPr>
              <w:spacing w:after="0"/>
              <w:rPr>
                <w:sz w:val="1"/>
                <w:szCs w:val="1"/>
                <w:color w:val="auto"/>
              </w:rPr>
            </w:pPr>
          </w:p>
        </w:tc>
      </w:tr>
      <w:tr>
        <w:trPr>
          <w:trHeight w:val="190"/>
        </w:trPr>
        <w:tc>
          <w:tcPr>
            <w:tcW w:w="25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93,924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93,924</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OCI, net of tax</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(265,237)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(265,237)</w:t>
            </w:r>
          </w:p>
        </w:tc>
        <w:tc>
          <w:tcPr>
            <w:tcW w:w="0" w:type="dxa"/>
            <w:vAlign w:val="bottom"/>
          </w:tcPr>
          <w:p>
            <w:pPr>
              <w:spacing w:after="0"/>
              <w:rPr>
                <w:sz w:val="1"/>
                <w:szCs w:val="1"/>
                <w:color w:val="auto"/>
              </w:rPr>
            </w:pPr>
          </w:p>
        </w:tc>
      </w:tr>
      <w:tr>
        <w:trPr>
          <w:trHeight w:val="190"/>
        </w:trPr>
        <w:tc>
          <w:tcPr>
            <w:tcW w:w="2540" w:type="dxa"/>
            <w:vAlign w:val="bottom"/>
          </w:tcPr>
          <w:p>
            <w:pPr>
              <w:ind w:left="180"/>
              <w:spacing w:after="0"/>
              <w:rPr>
                <w:sz w:val="20"/>
                <w:szCs w:val="20"/>
                <w:color w:val="auto"/>
              </w:rPr>
            </w:pPr>
            <w:r>
              <w:rPr>
                <w:rFonts w:ascii="Arial" w:cs="Arial" w:eastAsia="Arial" w:hAnsi="Arial"/>
                <w:sz w:val="14"/>
                <w:szCs w:val="14"/>
                <w:color w:val="auto"/>
              </w:rPr>
              <w:t>Repurchase of stock</w:t>
            </w:r>
          </w:p>
        </w:tc>
        <w:tc>
          <w:tcPr>
            <w:tcW w:w="1220" w:type="dxa"/>
            <w:vAlign w:val="bottom"/>
          </w:tcPr>
          <w:p>
            <w:pPr>
              <w:jc w:val="right"/>
              <w:spacing w:after="0"/>
              <w:rPr>
                <w:sz w:val="20"/>
                <w:szCs w:val="20"/>
                <w:color w:val="auto"/>
              </w:rPr>
            </w:pPr>
            <w:r>
              <w:rPr>
                <w:rFonts w:ascii="Arial" w:cs="Arial" w:eastAsia="Arial" w:hAnsi="Arial"/>
                <w:sz w:val="14"/>
                <w:szCs w:val="14"/>
                <w:color w:val="auto"/>
              </w:rPr>
              <w:t>(388,614)</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(9,912)</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treasury stock for ESPP</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50,033</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84"/>
        </w:trPr>
        <w:tc>
          <w:tcPr>
            <w:tcW w:w="2540" w:type="dxa"/>
            <w:vAlign w:val="bottom"/>
          </w:tcPr>
          <w:p>
            <w:pPr>
              <w:ind w:left="180"/>
              <w:spacing w:after="0"/>
              <w:rPr>
                <w:sz w:val="20"/>
                <w:szCs w:val="20"/>
                <w:color w:val="auto"/>
              </w:rPr>
            </w:pPr>
            <w:r>
              <w:rPr>
                <w:rFonts w:ascii="Arial" w:cs="Arial" w:eastAsia="Arial" w:hAnsi="Arial"/>
                <w:sz w:val="14"/>
                <w:szCs w:val="14"/>
                <w:color w:val="auto"/>
              </w:rPr>
              <w:t>Net issuance of treasury stock for</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80"/>
              <w:spacing w:after="0"/>
              <w:rPr>
                <w:sz w:val="20"/>
                <w:szCs w:val="20"/>
                <w:color w:val="auto"/>
              </w:rPr>
            </w:pPr>
            <w:r>
              <w:rPr>
                <w:rFonts w:ascii="Arial" w:cs="Arial" w:eastAsia="Arial" w:hAnsi="Arial"/>
                <w:sz w:val="14"/>
                <w:szCs w:val="14"/>
                <w:color w:val="auto"/>
              </w:rPr>
              <w:t>RSU/DSU vesting and related tax</w:t>
            </w:r>
          </w:p>
        </w:tc>
        <w:tc>
          <w:tcPr>
            <w:tcW w:w="1220" w:type="dxa"/>
            <w:vAlign w:val="bottom"/>
          </w:tcPr>
          <w:p>
            <w:pPr>
              <w:jc w:val="right"/>
              <w:spacing w:after="0"/>
              <w:rPr>
                <w:sz w:val="20"/>
                <w:szCs w:val="20"/>
                <w:color w:val="auto"/>
              </w:rPr>
            </w:pPr>
            <w:r>
              <w:rPr>
                <w:rFonts w:ascii="Arial" w:cs="Arial" w:eastAsia="Arial" w:hAnsi="Arial"/>
                <w:sz w:val="14"/>
                <w:szCs w:val="14"/>
                <w:color w:val="auto"/>
              </w:rPr>
              <w:t>136,105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 at</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$0.69 per share</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(38,159)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(38,159)</w:t>
            </w:r>
          </w:p>
        </w:tc>
        <w:tc>
          <w:tcPr>
            <w:tcW w:w="0" w:type="dxa"/>
            <w:vAlign w:val="bottom"/>
          </w:tcPr>
          <w:p>
            <w:pPr>
              <w:spacing w:after="0"/>
              <w:rPr>
                <w:sz w:val="1"/>
                <w:szCs w:val="1"/>
                <w:color w:val="auto"/>
              </w:rPr>
            </w:pPr>
          </w:p>
        </w:tc>
      </w:tr>
      <w:tr>
        <w:trPr>
          <w:trHeight w:val="184"/>
        </w:trPr>
        <w:tc>
          <w:tcPr>
            <w:tcW w:w="2540" w:type="dxa"/>
            <w:vAlign w:val="bottom"/>
          </w:tcPr>
          <w:p>
            <w:pPr>
              <w:ind w:left="180"/>
              <w:spacing w:after="0"/>
              <w:rPr>
                <w:sz w:val="20"/>
                <w:szCs w:val="20"/>
                <w:color w:val="auto"/>
              </w:rPr>
            </w:pPr>
            <w:r>
              <w:rPr>
                <w:rFonts w:ascii="Arial" w:cs="Arial" w:eastAsia="Arial" w:hAnsi="Arial"/>
                <w:sz w:val="14"/>
                <w:szCs w:val="14"/>
                <w:color w:val="auto"/>
              </w:rPr>
              <w:t>Stock dividend equivalents on</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tcPr>
          <w:p>
            <w:pPr>
              <w:ind w:left="180"/>
              <w:spacing w:after="0"/>
              <w:rPr>
                <w:sz w:val="20"/>
                <w:szCs w:val="20"/>
                <w:color w:val="auto"/>
              </w:rPr>
            </w:pPr>
            <w:r>
              <w:rPr>
                <w:rFonts w:ascii="Arial" w:cs="Arial" w:eastAsia="Arial" w:hAnsi="Arial"/>
                <w:sz w:val="14"/>
                <w:szCs w:val="14"/>
                <w:color w:val="auto"/>
              </w:rPr>
              <w:t>RSUs/DSUs at $0.69 per share</w:t>
            </w: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6,721</w:t>
            </w:r>
          </w:p>
        </w:tc>
        <w:tc>
          <w:tcPr>
            <w:tcW w:w="0" w:type="dxa"/>
            <w:vAlign w:val="bottom"/>
          </w:tcPr>
          <w:p>
            <w:pPr>
              <w:spacing w:after="0"/>
              <w:rPr>
                <w:sz w:val="1"/>
                <w:szCs w:val="1"/>
                <w:color w:val="auto"/>
              </w:rPr>
            </w:pPr>
          </w:p>
        </w:tc>
      </w:tr>
      <w:tr>
        <w:trPr>
          <w:trHeight w:val="217"/>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55,232,434</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1,319,921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147,358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(288,995)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1,106,588</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provided by (used in)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96,816</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93,924</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Provision for credit losses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3,764</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intangible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8,833</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Amortization of mortgage servicing rights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2,757</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Amortization of NMTC</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4,668</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Depreciation and amortization of premises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8,035</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amortization (accretion) on portfolio loans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2,524</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Net amortization (accretion) of premium (discount) on investment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15,820</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amortization (accretion) of premium (discount) on time deposits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Net amortization (accretion) of premium (discount) on FHLB advances and other borrowings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1,152</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Impairment of OREO and other repossessed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611</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Impairment of fixed assets held for sale</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Impairment of mortgage servicing rights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Impairment of leases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Unrealized (gains) losses recognized on equity securities, net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2,376</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(Gain) loss on sales of equity securities, net</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loss on sales of debt securities, net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(Gain) loss on sales of loans,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(1,777)</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loss on sales of OREO</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(Gain) loss on sales of premises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(666)</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(Gain) loss on life insurance proceeds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(Increase) decrease in cash surrender value of bank 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Provision for deferred income taxes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6,928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6,721</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Mortgage loans originated for sale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(63,986)</w:t>
            </w:r>
          </w:p>
        </w:tc>
      </w:tr>
      <w:tr>
        <w:trPr>
          <w:trHeight w:val="191"/>
        </w:trPr>
        <w:tc>
          <w:tcPr>
            <w:tcW w:w="8180" w:type="dxa"/>
            <w:vAlign w:val="bottom"/>
          </w:tcPr>
          <w:p>
            <w:pPr>
              <w:ind w:left="360"/>
              <w:spacing w:after="0"/>
              <w:rPr>
                <w:sz w:val="20"/>
                <w:szCs w:val="20"/>
                <w:color w:val="auto"/>
              </w:rPr>
            </w:pPr>
            <w:r>
              <w:rPr>
                <w:rFonts w:ascii="Arial" w:cs="Arial" w:eastAsia="Arial" w:hAnsi="Arial"/>
                <w:sz w:val="14"/>
                <w:szCs w:val="14"/>
                <w:color w:val="auto"/>
              </w:rPr>
              <w:t>Proceeds from sales of mortgage loans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27,418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84,732</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(Increase) decrease in other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(45,575)</w:t>
            </w:r>
          </w:p>
        </w:tc>
      </w:tr>
      <w:tr>
        <w:trPr>
          <w:trHeight w:val="190"/>
        </w:trPr>
        <w:tc>
          <w:tcPr>
            <w:tcW w:w="8180" w:type="dxa"/>
            <w:vAlign w:val="bottom"/>
          </w:tcPr>
          <w:p>
            <w:pPr>
              <w:ind w:left="360"/>
              <w:spacing w:after="0"/>
              <w:rPr>
                <w:sz w:val="20"/>
                <w:szCs w:val="20"/>
                <w:color w:val="auto"/>
              </w:rPr>
            </w:pPr>
            <w:r>
              <w:rPr>
                <w:rFonts w:ascii="Arial" w:cs="Arial" w:eastAsia="Arial" w:hAnsi="Arial"/>
                <w:sz w:val="14"/>
                <w:szCs w:val="14"/>
                <w:color w:val="auto"/>
              </w:rPr>
              <w:t>Increase (decrease) in other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(3,364)</w:t>
            </w:r>
          </w:p>
        </w:tc>
      </w:tr>
      <w:tr>
        <w:trPr>
          <w:trHeight w:val="39"/>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127,329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118,018</w:t>
            </w:r>
          </w:p>
        </w:tc>
      </w:tr>
      <w:tr>
        <w:trPr>
          <w:trHeight w:val="183"/>
        </w:trPr>
        <w:tc>
          <w:tcPr>
            <w:tcW w:w="81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Purchases of equity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(14,820)</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debt securities available for sale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(279,831)</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sales of equity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15,418</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paydowns and maturities of debt securities held to maturity</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51,552</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paydowns and maturities of debt securities available for sale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253,648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370,274</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FHLB and other bank stock</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the redemption of FHLB and other bank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43,926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(increase) decrease in loans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(137,843)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(484,701)</w:t>
            </w: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Cash paid for premiums on bank-owned life insurance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life insurance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w:t>
            </w: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Purchases of premises and equipment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(4,006)</w:t>
            </w: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disposition of premises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4,182</w:t>
            </w: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sales of OREO</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2,662</w:t>
            </w:r>
          </w:p>
        </w:tc>
      </w:tr>
      <w:tr>
        <w:trPr>
          <w:trHeight w:val="39"/>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159,274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(338,927)</w:t>
            </w:r>
          </w:p>
        </w:tc>
      </w:tr>
      <w:tr>
        <w:trPr>
          <w:trHeight w:val="20"/>
        </w:trPr>
        <w:tc>
          <w:tcPr>
            <w:tcW w:w="8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ectPr>
          <w:pgSz w:w="11900" w:h="16838" w:orient="portrait"/>
          <w:cols w:equalWidth="0" w:num="1">
            <w:col w:w="11240"/>
          </w:cols>
          <w:pgMar w:left="320" w:top="301"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81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increase (decrease) in deposits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261,305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(166,862)</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Net change in federal funds purchased and securities sold under agreements to repurchase</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(46,104)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(35,542)</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FHLB advances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265,000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180" w:type="dxa"/>
            <w:vAlign w:val="bottom"/>
          </w:tcPr>
          <w:p>
            <w:pPr>
              <w:ind w:left="180"/>
              <w:spacing w:after="0"/>
              <w:rPr>
                <w:sz w:val="20"/>
                <w:szCs w:val="20"/>
                <w:color w:val="auto"/>
              </w:rPr>
            </w:pPr>
            <w:r>
              <w:rPr>
                <w:rFonts w:ascii="Arial" w:cs="Arial" w:eastAsia="Arial" w:hAnsi="Arial"/>
                <w:sz w:val="14"/>
                <w:szCs w:val="14"/>
                <w:color w:val="auto"/>
              </w:rPr>
              <w:t>Repayment of FHLB advances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(604,054)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(5,507)</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Proceeds from other borrowings, net of debt issuance costs</w:t>
            </w:r>
          </w:p>
        </w:tc>
        <w:tc>
          <w:tcPr>
            <w:tcW w:w="8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98,094</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Repayment of other borrowings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(109,000)</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dividends paid</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(38,159)</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Purchase of treasury stock</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(9,912)</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paid for withholding taxes on stock-based payments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stock warrants exercised</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Issuance of treasury stock for ESPP</w:t>
            </w:r>
          </w:p>
        </w:tc>
        <w:tc>
          <w:tcPr>
            <w:tcW w:w="8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(175,848)</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(268,037)</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110,755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(488,946)</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beginning of period</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227,164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836,095</w:t>
            </w:r>
          </w:p>
        </w:tc>
        <w:tc>
          <w:tcPr>
            <w:tcW w:w="0" w:type="dxa"/>
            <w:vAlign w:val="bottom"/>
          </w:tcPr>
          <w:p>
            <w:pPr>
              <w:spacing w:after="0"/>
              <w:rPr>
                <w:sz w:val="1"/>
                <w:szCs w:val="1"/>
                <w:color w:val="auto"/>
              </w:rPr>
            </w:pP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ending of period</w:t>
            </w:r>
          </w:p>
        </w:tc>
        <w:tc>
          <w:tcPr>
            <w:tcW w:w="88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337,919</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347,149</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payments for:</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19,465</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23,594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30,506</w:t>
            </w: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OREO acquired in settlement of loans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0"/>
        </w:trPr>
        <w:tc>
          <w:tcPr>
            <w:tcW w:w="8180" w:type="dxa"/>
            <w:vAlign w:val="bottom"/>
          </w:tcPr>
          <w:p>
            <w:pPr>
              <w:ind w:left="180"/>
              <w:spacing w:after="0"/>
              <w:rPr>
                <w:sz w:val="20"/>
                <w:szCs w:val="20"/>
                <w:color w:val="auto"/>
              </w:rPr>
            </w:pPr>
            <w:r>
              <w:rPr>
                <w:rFonts w:ascii="Arial" w:cs="Arial" w:eastAsia="Arial" w:hAnsi="Arial"/>
                <w:sz w:val="14"/>
                <w:szCs w:val="14"/>
                <w:color w:val="auto"/>
              </w:rPr>
              <w:t>Transfer of debt securities available for sale to held to maturity</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985,199</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First Busey Corporation, a Nevada corporation organized in 1980, is a $12.3 billion financial holding company headquartered in Champaign, Illinois. Busey’s common stock is traded on The Nasdaq Global Select Market under the symbol “BUSE.”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First Busey operates and reports its business in three segments: Banking, Wealth Management, and FirsTech.</w:t>
      </w:r>
    </w:p>
    <w:p>
      <w:pPr>
        <w:spacing w:after="0" w:line="225"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Banking</w:t>
      </w:r>
      <w:r>
        <w:rPr>
          <w:rFonts w:ascii="Arial" w:cs="Arial" w:eastAsia="Arial" w:hAnsi="Arial"/>
          <w:sz w:val="18"/>
          <w:szCs w:val="18"/>
          <w:color w:val="auto"/>
        </w:rPr>
        <w:t xml:space="preserve"> operating segment provides a full range of banking services to individual and corporate customers through its banking center network in Illinois; the St. Louis, Missouri metropolitan area; southwest Florida; and Indianapolis, Indiana.</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Wealth Management</w:t>
      </w:r>
      <w:r>
        <w:rPr>
          <w:rFonts w:ascii="Arial" w:cs="Arial" w:eastAsia="Arial" w:hAnsi="Arial"/>
          <w:sz w:val="18"/>
          <w:szCs w:val="18"/>
          <w:color w:val="auto"/>
        </w:rPr>
        <w:t xml:space="preserve"> operating segment provides a full range of asset management, investment, brokerage, fiduciary, philanthropic advisory, tax preparation, and farm management services to individuals, businesses, and foundations.</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FirsTech</w:t>
      </w:r>
      <w:r>
        <w:rPr>
          <w:rFonts w:ascii="Arial" w:cs="Arial" w:eastAsia="Arial" w:hAnsi="Arial"/>
          <w:sz w:val="18"/>
          <w:szCs w:val="18"/>
          <w:color w:val="auto"/>
        </w:rPr>
        <w:t xml:space="preserve"> operating segment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First Busey's operating segments, see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Note 14. Operating Segments and Related Information</w:t>
      </w:r>
      <w:r>
        <w:rPr>
          <w:rFonts w:ascii="Arial" w:cs="Arial" w:eastAsia="Arial" w:hAnsi="Arial"/>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185"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These unaudited consolidated financial statements and related notes should be read in conjunction with the </w:t>
      </w:r>
      <w:hyperlink r:id="rId25">
        <w:r>
          <w:rPr>
            <w:rFonts w:ascii="Arial" w:cs="Arial" w:eastAsia="Arial" w:hAnsi="Arial"/>
            <w:sz w:val="18"/>
            <w:szCs w:val="18"/>
            <w:u w:val="single" w:color="auto"/>
            <w:color w:val="0000FF"/>
          </w:rPr>
          <w:t>audited consolidated financial statements</w:t>
        </w:r>
      </w:hyperlink>
      <w:r>
        <w:rPr>
          <w:rFonts w:ascii="Arial" w:cs="Arial" w:eastAsia="Arial" w:hAnsi="Arial"/>
          <w:sz w:val="18"/>
          <w:szCs w:val="18"/>
          <w:color w:val="auto"/>
        </w:rPr>
        <w:t xml:space="preserve"> included in </w:t>
      </w:r>
      <w:hyperlink r:id="rId26">
        <w:r>
          <w:rPr>
            <w:rFonts w:ascii="Arial" w:cs="Arial" w:eastAsia="Arial" w:hAnsi="Arial"/>
            <w:sz w:val="18"/>
            <w:szCs w:val="18"/>
            <w:u w:val="single" w:color="auto"/>
            <w:color w:val="0000FF"/>
          </w:rPr>
          <w:t>Busey's 2022 Annual Report</w:t>
        </w:r>
      </w:hyperlink>
      <w:r>
        <w:rPr>
          <w:rFonts w:ascii="Arial" w:cs="Arial" w:eastAsia="Arial" w:hAnsi="Arial"/>
          <w:sz w:val="18"/>
          <w:szCs w:val="18"/>
          <w:color w:val="auto"/>
        </w:rPr>
        <w:t>. These interim unaudited consolidated financial statements serve to update our 2022 Annual Report and may not include all information and notes necessary to constitute a complete set of financial statements.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preparing the accompanying unaudited consolidated financial statements in conformity with GAAP, Busey’s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Adopted Accounting Standards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July 2023, the FASB issued ASU 2023-03 </w:t>
      </w:r>
      <w:r>
        <w:rPr>
          <w:rFonts w:ascii="Arial" w:cs="Arial" w:eastAsia="Arial" w:hAnsi="Arial"/>
          <w:sz w:val="16"/>
          <w:szCs w:val="16"/>
          <w:i w:val="1"/>
          <w:iCs w:val="1"/>
          <w:color w:val="auto"/>
        </w:rPr>
        <w:t>“Presentation of Financial Statements (Topic 205), Income Statement—Reporting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Distinguishing Liabilities from Equity (Topic 480), Equity (Topic 505), and Compensation—Stock Compensation (Topic 718)” </w:t>
      </w:r>
      <w:r>
        <w:rPr>
          <w:rFonts w:ascii="Arial" w:cs="Arial" w:eastAsia="Arial" w:hAnsi="Arial"/>
          <w:sz w:val="16"/>
          <w:szCs w:val="16"/>
          <w:color w:val="auto"/>
        </w:rPr>
        <w:t>pursuant to:</w:t>
      </w:r>
    </w:p>
    <w:p>
      <w:pPr>
        <w:jc w:val="both"/>
        <w:ind w:firstLine="8"/>
        <w:spacing w:after="0" w:line="270"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Staff Accounting Bulletin No. 120, which provided interpretive guidance related to estimating the fair value of share-based payment transactions while in possession of material non-public information; (ii) an SEC Staff Announcement at the March 24, 2022, Emerging Issues Task Force Meeting, which provided interpretive guidance on accounting for share-based payments to employees and non-employees; and (iii) Staff Accounting Bulletin Topic 6.B, Accounting Series Release 280—General Revision of Regulation S-X: Income or Loss Applicable to Common Stock, which provided interpretive guidance on the reporting of income or loss applicable to common stock. This update was reflected in the Accounting Standards Codification upon issuance. Adoption of this standard did not have a material impact on Busey’s financial position or results of operations.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2022, the FASB issued ASU 2022-02 </w:t>
      </w:r>
      <w:r>
        <w:rPr>
          <w:rFonts w:ascii="Arial" w:cs="Arial" w:eastAsia="Arial" w:hAnsi="Arial"/>
          <w:sz w:val="18"/>
          <w:szCs w:val="18"/>
          <w:i w:val="1"/>
          <w:iCs w:val="1"/>
          <w:color w:val="auto"/>
        </w:rPr>
        <w:t>“Financial Instruments—Credit Losses (Topic 326): Troubled Debt Restructurings and Vintage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eliminates the TDR accounting model for creditors that have already adopted CECL. In lieu of the TDR accounting model,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refinancing and restructuring guidance in ASC Subtopic 310-20-35-9 through 35-11 </w:t>
      </w:r>
      <w:r>
        <w:rPr>
          <w:rFonts w:ascii="Arial" w:cs="Arial" w:eastAsia="Arial" w:hAnsi="Arial"/>
          <w:sz w:val="18"/>
          <w:szCs w:val="18"/>
          <w:i w:val="1"/>
          <w:iCs w:val="1"/>
          <w:color w:val="auto"/>
        </w:rPr>
        <w:t>“Receivables—Nonrefundable Fees and Other Costs—Subsequent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Measurement—Loan Refinancing or Restructuring” </w:t>
      </w:r>
      <w:r>
        <w:rPr>
          <w:rFonts w:ascii="Arial" w:cs="Arial" w:eastAsia="Arial" w:hAnsi="Arial"/>
          <w:sz w:val="18"/>
          <w:szCs w:val="18"/>
          <w:color w:val="auto"/>
        </w:rPr>
        <w:t>will apply to all loan modifications, including those made for borrowers experiencing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difficulty. This standard also enhances disclosure requirements related to certain loan modifications. Additionally, this standard introduces new requirements to disclose gross write-off information in the vintage disclosures of financing receivables by credit quality indicator and class of financing receivable by year of origination. This standard applies prospectively. For the transition method related to the recognition and measurement of TDRs, there is an option to apply a modified retrospective transition method, resulting in a cumulative-effect adjustment to retained earnings in the period of adoption. This standard became effective for Busey beginning January 1, 2023. Adoption of this standard did not have a material impact on Busey’s financial position or results of operations.</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March 2022, the FASB issued ASU 2022-01 </w:t>
      </w:r>
      <w:r>
        <w:rPr>
          <w:rFonts w:ascii="Arial" w:cs="Arial" w:eastAsia="Arial" w:hAnsi="Arial"/>
          <w:sz w:val="16"/>
          <w:szCs w:val="16"/>
          <w:i w:val="1"/>
          <w:iCs w:val="1"/>
          <w:color w:val="auto"/>
        </w:rPr>
        <w:t>“Derivatives and Hedging (Topic 815): Fair Value Hedging—Portfolio Layer Method,”</w:t>
      </w:r>
      <w:r>
        <w:rPr>
          <w:rFonts w:ascii="Arial" w:cs="Arial" w:eastAsia="Arial" w:hAnsi="Arial"/>
          <w:sz w:val="16"/>
          <w:szCs w:val="16"/>
          <w:color w:val="auto"/>
        </w:rPr>
        <w:t xml:space="preserve"> which replaces the current last-of-layer hedge accounting method with an expanded portfolio layer method that permits multiple hedged layers of a single closed portfolio. The scope of the portfolio layer method is also expanded to include non-prepayable financial assets. This update also provides additional guidance on the accounting for and disclosure of hedge basis adjustments that are applicable to the portfolio layer method, and specifies how hedge basis adjustments should be considered when determining credit losses for the assets included in the closed portfolio. Amendments related to hedge basis adjustments which are included in this standard apply on a modified retrospective basis by means of a cumulative-effect adjustment to the opening balance of retained earnings on the initial application date. Amendments related to disclosure which are included in this standard may be applied on a prospective basis from the initial application date, or on a retrospective basis to each prior period presented after the date of adoption of the amendments in ASU 2017-12 </w:t>
      </w:r>
      <w:r>
        <w:rPr>
          <w:rFonts w:ascii="Arial" w:cs="Arial" w:eastAsia="Arial" w:hAnsi="Arial"/>
          <w:sz w:val="16"/>
          <w:szCs w:val="16"/>
          <w:i w:val="1"/>
          <w:iCs w:val="1"/>
          <w:color w:val="auto"/>
        </w:rPr>
        <w:t xml:space="preserve">“Derivatives and Hedging (Topic 815): Targeted Improvements to Accounting for Hedging Activities.” </w:t>
      </w:r>
      <w:r>
        <w:rPr>
          <w:rFonts w:ascii="Arial" w:cs="Arial" w:eastAsia="Arial" w:hAnsi="Arial"/>
          <w:sz w:val="16"/>
          <w:szCs w:val="16"/>
          <w:color w:val="auto"/>
        </w:rPr>
        <w:t>This standard became effective for Busey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2023. Adoption of this standard did not have a material impact on Busey’s financial position or results of operations.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 Combinations (Topic 805): Accounting for Contract Assets and Contract Liabilities from Contracts with Customers”</w:t>
      </w:r>
      <w:r>
        <w:rPr>
          <w:rFonts w:ascii="Arial" w:cs="Arial" w:eastAsia="Arial" w:hAnsi="Arial"/>
          <w:sz w:val="18"/>
          <w:szCs w:val="18"/>
          <w:color w:val="auto"/>
        </w:rPr>
        <w:t xml:space="preserve"> requires measurement and recognition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for contract assets and contract liabilities acquired in a business combination. This update became effective for Busey beginning January 1, 2023. This standard applied prospectively to all business combinations that occurred on or after the date of adoption. Adoption of this standard did not have an impact on Busey’s financial position or results of operations.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March 2023, the FASB issued ASU 2023-02 </w:t>
      </w:r>
      <w:r>
        <w:rPr>
          <w:rFonts w:ascii="Arial" w:cs="Arial" w:eastAsia="Arial" w:hAnsi="Arial"/>
          <w:sz w:val="16"/>
          <w:szCs w:val="16"/>
          <w:i w:val="1"/>
          <w:iCs w:val="1"/>
          <w:color w:val="auto"/>
        </w:rPr>
        <w:t>“Investments—Equity Method and Joint Ventures (Topic 323),”</w:t>
      </w:r>
      <w:r>
        <w:rPr>
          <w:rFonts w:ascii="Arial" w:cs="Arial" w:eastAsia="Arial" w:hAnsi="Arial"/>
          <w:sz w:val="16"/>
          <w:szCs w:val="16"/>
          <w:color w:val="auto"/>
        </w:rPr>
        <w:t xml:space="preserve"> permitting an election to use the proportional amortization method to account for equity investments made primarily for the purpose of receiving income tax credits and other income tax benefits, regardless of the tax credit program from which the income tax credits are received, provided that certain conditions are met. The proportional amortization method results in the cost of the investment being amortized in proportion to the income tax credits and other income tax benefits received, with the amortization of the investment and the income tax credits being presented net in the income statement as a component of income tax expense. This standard must be applied on a retrospective or modified retrospective basis, and is applicable for Busey beginning on January 1, 2024. Early adoption is permitted. Busey is currently evaluating the potential effect on the Company’s financial position and results of operations, and upon adoption expects changes to be reflected in the Other Expense and Income Taxes line items in the Consolidated Statements of Income (Unaudited).</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March 2023, the FASB issued ASU 2023-01 </w:t>
      </w:r>
      <w:r>
        <w:rPr>
          <w:rFonts w:ascii="Arial" w:cs="Arial" w:eastAsia="Arial" w:hAnsi="Arial"/>
          <w:sz w:val="17"/>
          <w:szCs w:val="17"/>
          <w:i w:val="1"/>
          <w:iCs w:val="1"/>
          <w:color w:val="auto"/>
        </w:rPr>
        <w:t>“Leases (Topic 842): Common Control Arrangements,”</w:t>
      </w:r>
      <w:r>
        <w:rPr>
          <w:rFonts w:ascii="Arial" w:cs="Arial" w:eastAsia="Arial" w:hAnsi="Arial"/>
          <w:sz w:val="17"/>
          <w:szCs w:val="17"/>
          <w:color w:val="auto"/>
        </w:rPr>
        <w:t xml:space="preserve"> which requires amortization over the useful life of leasehold improvements (not the lease term) when the lease is between entities under common control, and any value of such leasehold improvements remaining at the end of the lease term is to be accounted for as a transfer between entities under common control. This standard may be adopted either prospectively, or retrospectively, and is effective for Busey beginning January 1, 2024. Early adoption is permitted. Busey does not expect adoption of this standard to have a material impact on the Company’s financial position and results of operations.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2022, the FASB issued ASU 2022-03 </w:t>
      </w:r>
      <w:r>
        <w:rPr>
          <w:rFonts w:ascii="Arial" w:cs="Arial" w:eastAsia="Arial" w:hAnsi="Arial"/>
          <w:sz w:val="18"/>
          <w:szCs w:val="18"/>
          <w:i w:val="1"/>
          <w:iCs w:val="1"/>
          <w:color w:val="auto"/>
        </w:rPr>
        <w:t>“Fair Value Measurements (Topic 820): Fair Value Measurement of Equity Securities Subject to 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Sale Restrictions,” </w:t>
      </w:r>
      <w:r>
        <w:rPr>
          <w:rFonts w:ascii="Arial" w:cs="Arial" w:eastAsia="Arial" w:hAnsi="Arial"/>
          <w:sz w:val="18"/>
          <w:szCs w:val="18"/>
          <w:color w:val="auto"/>
        </w:rPr>
        <w:t>which clarifies that contractual restrictions on the sale of equity securities are not considered in measuring the fair value of those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further that contractual sale restrictions cannot be recognized and measured as a separate unit of account. This standard applies prospectively, and is effective for Busey beginning January 1, 2024. Early adoption is permitted. Busey is currently evaluating the potential effect on the Company’s financial position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spacing w:after="0" w:line="219" w:lineRule="exact"/>
        <w:rPr>
          <w:rFonts w:ascii="Arial" w:cs="Arial" w:eastAsia="Arial" w:hAnsi="Arial"/>
          <w:sz w:val="18"/>
          <w:szCs w:val="18"/>
          <w:color w:val="0000FF"/>
        </w:rPr>
      </w:pPr>
      <w:r>
        <w:rPr>
          <w:rFonts w:ascii="Arial" w:cs="Arial" w:eastAsia="Arial" w:hAnsi="Arial"/>
          <w:sz w:val="18"/>
          <w:szCs w:val="18"/>
          <w:color w:val="auto"/>
        </w:rPr>
        <w:t xml:space="preserve">Busey has evaluated subsequent events for potential recognition and/or disclosure through the date the unaudited consolidated financial statements included in this Quarterly Report were issued. The Company issued a </w:t>
      </w:r>
      <w:hyperlink r:id="rId29">
        <w:r>
          <w:rPr>
            <w:rFonts w:ascii="Arial" w:cs="Arial" w:eastAsia="Arial" w:hAnsi="Arial"/>
            <w:sz w:val="18"/>
            <w:szCs w:val="18"/>
            <w:u w:val="single" w:color="auto"/>
            <w:color w:val="0000FF"/>
          </w:rPr>
          <w:t>Form 8</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K on October 24, 2023</w:t>
        </w:r>
      </w:hyperlink>
      <w:r>
        <w:rPr>
          <w:rFonts w:ascii="Arial" w:cs="Arial" w:eastAsia="Arial" w:hAnsi="Arial"/>
          <w:sz w:val="18"/>
          <w:szCs w:val="18"/>
          <w:color w:val="auto"/>
        </w:rPr>
        <w:t xml:space="preserve">, regarding the departure of a named executive officer, and </w:t>
      </w:r>
      <w:hyperlink r:id="rId30">
        <w:r>
          <w:rPr>
            <w:rFonts w:ascii="Arial" w:cs="Arial" w:eastAsia="Arial" w:hAnsi="Arial"/>
            <w:sz w:val="18"/>
            <w:szCs w:val="18"/>
            <w:color w:val="auto"/>
          </w:rPr>
          <w:t xml:space="preserve">during the fourth quarter of 2023 expects to record related severance expenses according to </w:t>
        </w:r>
        <w:r>
          <w:rPr>
            <w:rFonts w:ascii="Arial" w:cs="Arial" w:eastAsia="Arial" w:hAnsi="Arial"/>
            <w:sz w:val="18"/>
            <w:szCs w:val="18"/>
            <w:u w:val="single" w:color="auto"/>
            <w:color w:val="0000FF"/>
          </w:rPr>
          <w:t>Schedule 1 of the Separation Letter that was filed as</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FF"/>
          </w:rPr>
          <w:t>Exhibit 10.1 to the Form 8</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K</w:t>
        </w:r>
        <w:r>
          <w:rPr>
            <w:rFonts w:ascii="Arial" w:cs="Arial" w:eastAsia="Arial" w:hAnsi="Arial"/>
            <w:sz w:val="18"/>
            <w:szCs w:val="18"/>
            <w:color w:val="000000"/>
          </w:rPr>
          <w:t>. Other than this, there were no significant subsequent events for the quarter ended September 30, 2023, through the filing</w:t>
        </w:r>
      </w:hyperlink>
      <w:r>
        <w:rPr>
          <w:rFonts w:ascii="Arial" w:cs="Arial" w:eastAsia="Arial" w:hAnsi="Arial"/>
          <w:sz w:val="18"/>
          <w:szCs w:val="18"/>
          <w:color w:val="0000FF"/>
        </w:rPr>
        <w:t xml:space="preserve"> </w:t>
      </w:r>
      <w:r>
        <w:rPr>
          <w:rFonts w:ascii="Arial" w:cs="Arial" w:eastAsia="Arial" w:hAnsi="Arial"/>
          <w:sz w:val="18"/>
          <w:szCs w:val="18"/>
          <w:color w:val="000000"/>
        </w:rPr>
        <w:t>date of these unaudited consolidated financial statements.</w:t>
      </w:r>
    </w:p>
    <w:p>
      <w:pPr>
        <w:spacing w:after="0" w:line="200" w:lineRule="exact"/>
        <w:rPr>
          <w:rFonts w:ascii="Arial" w:cs="Arial" w:eastAsia="Arial" w:hAnsi="Arial"/>
          <w:sz w:val="18"/>
          <w:szCs w:val="18"/>
          <w:color w:val="auto"/>
        </w:rPr>
      </w:pPr>
    </w:p>
    <w:p>
      <w:pPr>
        <w:spacing w:after="0" w:line="38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Debt Securities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Busey's portfolio of debt securities includes both available for sale and held to maturity securities. The tables below provide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September 30, 2023</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Gains</w:t>
            </w:r>
          </w:p>
        </w:tc>
        <w:tc>
          <w:tcPr>
            <w:tcW w:w="320" w:type="dxa"/>
            <w:vAlign w:val="bottom"/>
          </w:tcPr>
          <w:p>
            <w:pPr>
              <w:spacing w:after="0"/>
              <w:rPr>
                <w:sz w:val="2"/>
                <w:szCs w:val="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Losses</w:t>
            </w:r>
          </w:p>
        </w:tc>
        <w:tc>
          <w:tcPr>
            <w:tcW w:w="340" w:type="dxa"/>
            <w:vAlign w:val="bottom"/>
          </w:tcPr>
          <w:p>
            <w:pPr>
              <w:spacing w:after="0"/>
              <w:rPr>
                <w:sz w:val="2"/>
                <w:szCs w:val="2"/>
                <w:color w:val="auto"/>
              </w:rPr>
            </w:pPr>
          </w:p>
        </w:tc>
        <w:tc>
          <w:tcPr>
            <w:tcW w:w="11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line="20" w:lineRule="exact"/>
              <w:rPr>
                <w:sz w:val="1"/>
                <w:szCs w:val="1"/>
                <w:color w:val="auto"/>
              </w:rPr>
            </w:pPr>
          </w:p>
        </w:tc>
      </w:tr>
      <w:tr>
        <w:trPr>
          <w:trHeight w:val="192"/>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51,522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50,130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of U.S. government corporations and agencies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rPr>
                <w:sz w:val="1"/>
                <w:szCs w:val="1"/>
                <w:color w:val="auto"/>
              </w:rPr>
            </w:pP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r>
              <w:rPr>
                <w:rFonts w:ascii="Arial" w:cs="Arial" w:eastAsia="Arial" w:hAnsi="Arial"/>
                <w:sz w:val="23"/>
                <w:szCs w:val="23"/>
                <w:color w:val="auto"/>
                <w:vertAlign w:val="superscript"/>
              </w:rPr>
              <w:t>1</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254,549</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226,797</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486,517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479,448</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120,117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100,300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1,343,324</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(254,528)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1,088,796</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251,194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227,551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 available for sale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2,517,294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2,182,841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securities marked at par, with no gain or loss to report.</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Gross gains on Residential mortgage-backed securities were insignificant, rounding to zero thousand.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6"/>
                <w:szCs w:val="16"/>
                <w:color w:val="auto"/>
              </w:rPr>
            </w:pPr>
          </w:p>
        </w:tc>
        <w:tc>
          <w:tcPr>
            <w:tcW w:w="2920" w:type="dxa"/>
            <w:vAlign w:val="bottom"/>
            <w:gridSpan w:val="5"/>
          </w:tcPr>
          <w:p>
            <w:pPr>
              <w:ind w:left="880"/>
              <w:spacing w:after="0"/>
              <w:rPr>
                <w:sz w:val="20"/>
                <w:szCs w:val="20"/>
                <w:color w:val="auto"/>
              </w:rPr>
            </w:pPr>
            <w:r>
              <w:rPr>
                <w:rFonts w:ascii="Arial" w:cs="Arial" w:eastAsia="Arial" w:hAnsi="Arial"/>
                <w:sz w:val="14"/>
                <w:szCs w:val="14"/>
                <w:b w:val="1"/>
                <w:bCs w:val="1"/>
                <w:color w:val="auto"/>
              </w:rPr>
              <w:t>Unrecognized</w:t>
            </w:r>
          </w:p>
        </w:tc>
        <w:tc>
          <w:tcPr>
            <w:tcW w:w="340" w:type="dxa"/>
            <w:vAlign w:val="bottom"/>
          </w:tcPr>
          <w:p>
            <w:pPr>
              <w:spacing w:after="0"/>
              <w:rPr>
                <w:sz w:val="16"/>
                <w:szCs w:val="16"/>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39"/>
        </w:trPr>
        <w:tc>
          <w:tcPr>
            <w:tcW w:w="5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Losses</w:t>
            </w:r>
          </w:p>
        </w:tc>
        <w:tc>
          <w:tcPr>
            <w:tcW w:w="340" w:type="dxa"/>
            <w:vAlign w:val="bottom"/>
          </w:tcPr>
          <w:p>
            <w:pPr>
              <w:spacing w:after="0"/>
              <w:rPr>
                <w:sz w:val="2"/>
                <w:szCs w:val="2"/>
                <w:color w:val="auto"/>
              </w:rPr>
            </w:pPr>
          </w:p>
        </w:tc>
        <w:tc>
          <w:tcPr>
            <w:tcW w:w="114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line="20" w:lineRule="exact"/>
              <w:rPr>
                <w:sz w:val="1"/>
                <w:szCs w:val="1"/>
                <w:color w:val="auto"/>
              </w:rPr>
            </w:pPr>
          </w:p>
        </w:tc>
      </w:tr>
      <w:tr>
        <w:trPr>
          <w:trHeight w:val="192"/>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459,866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(93,401)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366,465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422,748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335,211</w:t>
            </w:r>
          </w:p>
        </w:tc>
        <w:tc>
          <w:tcPr>
            <w:tcW w:w="0" w:type="dxa"/>
            <w:vAlign w:val="bottom"/>
          </w:tcPr>
          <w:p>
            <w:pPr>
              <w:spacing w:after="0"/>
              <w:rPr>
                <w:sz w:val="1"/>
                <w:szCs w:val="1"/>
                <w:color w:val="auto"/>
              </w:rPr>
            </w:pP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Total debt securities held to maturity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882,614</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(180,938)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701,676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16"/>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As of December 31,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6"/>
                <w:szCs w:val="16"/>
                <w:color w:val="auto"/>
              </w:rPr>
            </w:pPr>
          </w:p>
        </w:tc>
        <w:tc>
          <w:tcPr>
            <w:tcW w:w="1660" w:type="dxa"/>
            <w:vAlign w:val="bottom"/>
            <w:gridSpan w:val="3"/>
          </w:tcPr>
          <w:p>
            <w:pPr>
              <w:jc w:val="center"/>
              <w:ind w:left="836"/>
              <w:spacing w:after="0"/>
              <w:rPr>
                <w:sz w:val="20"/>
                <w:szCs w:val="20"/>
                <w:color w:val="auto"/>
              </w:rPr>
            </w:pPr>
            <w:r>
              <w:rPr>
                <w:rFonts w:ascii="Arial" w:cs="Arial" w:eastAsia="Arial" w:hAnsi="Arial"/>
                <w:sz w:val="14"/>
                <w:szCs w:val="14"/>
                <w:b w:val="1"/>
                <w:bCs w:val="1"/>
                <w:color w:val="auto"/>
                <w:w w:val="93"/>
              </w:rPr>
              <w:t>Unrealized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center"/>
              <w:ind w:right="27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Gains</w:t>
            </w:r>
          </w:p>
        </w:tc>
        <w:tc>
          <w:tcPr>
            <w:tcW w:w="3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Losses</w:t>
            </w:r>
          </w:p>
        </w:tc>
        <w:tc>
          <w:tcPr>
            <w:tcW w:w="340" w:type="dxa"/>
            <w:vAlign w:val="bottom"/>
          </w:tcPr>
          <w:p>
            <w:pPr>
              <w:spacing w:after="0"/>
              <w:rPr>
                <w:sz w:val="16"/>
                <w:szCs w:val="16"/>
                <w:color w:val="auto"/>
              </w:rPr>
            </w:pPr>
          </w:p>
        </w:tc>
        <w:tc>
          <w:tcPr>
            <w:tcW w:w="1140" w:type="dxa"/>
            <w:vAlign w:val="bottom"/>
          </w:tcPr>
          <w:p>
            <w:pPr>
              <w:jc w:val="center"/>
              <w:ind w:right="25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39"/>
        </w:trPr>
        <w:tc>
          <w:tcPr>
            <w:tcW w:w="50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117,805</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114,061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Obligations of U.S. government corporations and agencies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283,481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257,512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489,558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469,875</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124,423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108,394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1,463,971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1,243,256</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273,118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248,516</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 available for sale</w:t>
            </w: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2,772,453</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2,461,393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24"/>
                <w:szCs w:val="24"/>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Unrecognized</w:t>
            </w:r>
          </w:p>
        </w:tc>
        <w:tc>
          <w:tcPr>
            <w:tcW w:w="340" w:type="dxa"/>
            <w:vAlign w:val="bottom"/>
          </w:tcPr>
          <w:p>
            <w:pPr>
              <w:spacing w:after="0"/>
              <w:rPr>
                <w:sz w:val="24"/>
                <w:szCs w:val="24"/>
                <w:color w:val="auto"/>
              </w:rPr>
            </w:pPr>
          </w:p>
        </w:tc>
        <w:tc>
          <w:tcPr>
            <w:tcW w:w="1140" w:type="dxa"/>
            <w:vAlign w:val="bottom"/>
            <w:vMerge w:val="restart"/>
          </w:tcPr>
          <w:p>
            <w:pPr>
              <w:jc w:val="center"/>
              <w:ind w:right="27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39"/>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 Gains</w:t>
            </w:r>
          </w:p>
        </w:tc>
        <w:tc>
          <w:tcPr>
            <w:tcW w:w="320" w:type="dxa"/>
            <w:vAlign w:val="bottom"/>
          </w:tcPr>
          <w:p>
            <w:pPr>
              <w:spacing w:after="0"/>
              <w:rPr>
                <w:sz w:val="2"/>
                <w:szCs w:val="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Losses</w:t>
            </w:r>
          </w:p>
        </w:tc>
        <w:tc>
          <w:tcPr>
            <w:tcW w:w="340" w:type="dxa"/>
            <w:vAlign w:val="bottom"/>
          </w:tcPr>
          <w:p>
            <w:pPr>
              <w:spacing w:after="0"/>
              <w:rPr>
                <w:sz w:val="2"/>
                <w:szCs w:val="2"/>
                <w:color w:val="auto"/>
              </w:rPr>
            </w:pPr>
          </w:p>
        </w:tc>
        <w:tc>
          <w:tcPr>
            <w:tcW w:w="1140" w:type="dxa"/>
            <w:vAlign w:val="bottom"/>
            <w:vMerge w:val="restart"/>
          </w:tcPr>
          <w:p>
            <w:pPr>
              <w:jc w:val="center"/>
              <w:ind w:right="25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line="20" w:lineRule="exact"/>
              <w:rPr>
                <w:sz w:val="1"/>
                <w:szCs w:val="1"/>
                <w:color w:val="auto"/>
              </w:rPr>
            </w:pPr>
          </w:p>
        </w:tc>
      </w:tr>
      <w:tr>
        <w:trPr>
          <w:trHeight w:val="192"/>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474,820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(63,738)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411,082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443,492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374,213</w:t>
            </w:r>
          </w:p>
        </w:tc>
        <w:tc>
          <w:tcPr>
            <w:tcW w:w="0" w:type="dxa"/>
            <w:vAlign w:val="bottom"/>
          </w:tcPr>
          <w:p>
            <w:pPr>
              <w:spacing w:after="0"/>
              <w:rPr>
                <w:sz w:val="1"/>
                <w:szCs w:val="1"/>
                <w:color w:val="auto"/>
              </w:rPr>
            </w:pPr>
          </w:p>
        </w:tc>
      </w:tr>
      <w:tr>
        <w:trPr>
          <w:trHeight w:val="263"/>
        </w:trPr>
        <w:tc>
          <w:tcPr>
            <w:tcW w:w="5020" w:type="dxa"/>
            <w:vAlign w:val="bottom"/>
          </w:tcPr>
          <w:p>
            <w:pPr>
              <w:ind w:left="20"/>
              <w:spacing w:after="0"/>
              <w:rPr>
                <w:sz w:val="20"/>
                <w:szCs w:val="20"/>
                <w:color w:val="auto"/>
              </w:rPr>
            </w:pPr>
            <w:r>
              <w:rPr>
                <w:rFonts w:ascii="Arial" w:cs="Arial" w:eastAsia="Arial" w:hAnsi="Arial"/>
                <w:sz w:val="18"/>
                <w:szCs w:val="18"/>
                <w:color w:val="auto"/>
              </w:rPr>
              <w:t>Total debt securities held to maturity</w:t>
            </w: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918,312</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785,295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Debt Securities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As of September 30, 2023</w:t>
            </w:r>
          </w:p>
        </w:tc>
        <w:tc>
          <w:tcPr>
            <w:tcW w:w="0" w:type="dxa"/>
            <w:vAlign w:val="bottom"/>
          </w:tcPr>
          <w:p>
            <w:pPr>
              <w:spacing w:after="0"/>
              <w:rPr>
                <w:sz w:val="1"/>
                <w:szCs w:val="1"/>
                <w:color w:val="auto"/>
              </w:rPr>
            </w:pPr>
          </w:p>
        </w:tc>
      </w:tr>
      <w:tr>
        <w:trPr>
          <w:trHeight w:val="39"/>
        </w:trPr>
        <w:tc>
          <w:tcPr>
            <w:tcW w:w="42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2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3"/>
                <w:szCs w:val="13"/>
                <w:color w:val="auto"/>
              </w:rPr>
            </w:pPr>
          </w:p>
        </w:tc>
        <w:tc>
          <w:tcPr>
            <w:tcW w:w="1140" w:type="dxa"/>
            <w:vAlign w:val="bottom"/>
          </w:tcPr>
          <w:p>
            <w:pPr>
              <w:jc w:val="right"/>
              <w:ind w:right="533"/>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340" w:type="dxa"/>
            <w:vAlign w:val="bottom"/>
          </w:tcPr>
          <w:p>
            <w:pPr>
              <w:spacing w:after="0"/>
              <w:rPr>
                <w:sz w:val="16"/>
                <w:szCs w:val="16"/>
                <w:color w:val="auto"/>
              </w:rPr>
            </w:pPr>
          </w:p>
        </w:tc>
        <w:tc>
          <w:tcPr>
            <w:tcW w:w="114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53"/>
        </w:trPr>
        <w:tc>
          <w:tcPr>
            <w:tcW w:w="4220" w:type="dxa"/>
            <w:vAlign w:val="bottom"/>
            <w:tcBorders>
              <w:bottom w:val="single" w:sz="8" w:color="CCEEFF"/>
            </w:tcBorders>
          </w:tcPr>
          <w:p>
            <w:pPr>
              <w:spacing w:after="0"/>
              <w:rPr>
                <w:sz w:val="4"/>
                <w:szCs w:val="4"/>
                <w:color w:val="auto"/>
              </w:rPr>
            </w:pPr>
          </w:p>
        </w:tc>
        <w:tc>
          <w:tcPr>
            <w:tcW w:w="39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3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Due in one year or less</w:t>
            </w:r>
          </w:p>
        </w:tc>
        <w:tc>
          <w:tcPr>
            <w:tcW w:w="4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109,189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106,940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one year through five years</w:t>
            </w:r>
          </w:p>
        </w:tc>
        <w:tc>
          <w:tcPr>
            <w:tcW w:w="3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289,027</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3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389,702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ten years</w:t>
            </w:r>
          </w:p>
        </w:tc>
        <w:tc>
          <w:tcPr>
            <w:tcW w:w="3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1,664,389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1,397,172</w:t>
            </w:r>
          </w:p>
        </w:tc>
        <w:tc>
          <w:tcPr>
            <w:tcW w:w="0" w:type="dxa"/>
            <w:vAlign w:val="bottom"/>
          </w:tcPr>
          <w:p>
            <w:pPr>
              <w:spacing w:after="0"/>
              <w:rPr>
                <w:sz w:val="1"/>
                <w:szCs w:val="1"/>
                <w:color w:val="auto"/>
              </w:rPr>
            </w:pPr>
          </w:p>
        </w:tc>
      </w:tr>
      <w:tr>
        <w:trPr>
          <w:trHeight w:val="263"/>
        </w:trPr>
        <w:tc>
          <w:tcPr>
            <w:tcW w:w="4220" w:type="dxa"/>
            <w:vAlign w:val="bottom"/>
          </w:tcPr>
          <w:p>
            <w:pPr>
              <w:ind w:left="20"/>
              <w:spacing w:after="0"/>
              <w:rPr>
                <w:sz w:val="20"/>
                <w:szCs w:val="20"/>
                <w:color w:val="auto"/>
              </w:rPr>
            </w:pPr>
            <w:r>
              <w:rPr>
                <w:rFonts w:ascii="Arial" w:cs="Arial" w:eastAsia="Arial" w:hAnsi="Arial"/>
                <w:sz w:val="18"/>
                <w:szCs w:val="18"/>
                <w:color w:val="auto"/>
              </w:rPr>
              <w:t>Debt securities available for sale</w:t>
            </w:r>
          </w:p>
        </w:tc>
        <w:tc>
          <w:tcPr>
            <w:tcW w:w="39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2,517,294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2,182,841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3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Due after one year through five years</w:t>
            </w:r>
          </w:p>
        </w:tc>
        <w:tc>
          <w:tcPr>
            <w:tcW w:w="4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63,474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58,144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3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34,985</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Due after ten years</w:t>
            </w:r>
          </w:p>
        </w:tc>
        <w:tc>
          <w:tcPr>
            <w:tcW w:w="3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779,064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608,547</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 held to maturity</w:t>
            </w:r>
          </w:p>
        </w:tc>
        <w:tc>
          <w:tcPr>
            <w:tcW w:w="4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701,676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Debt Securities Available for Sale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Realized gains and losses on debt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Gross gains on debt securities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5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(losses) on debt securities</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Realized net gains (losses) on debt securities</w:t>
            </w:r>
            <w:r>
              <w:rPr>
                <w:rFonts w:ascii="Arial" w:cs="Arial" w:eastAsia="Arial" w:hAnsi="Arial"/>
                <w:sz w:val="23"/>
                <w:szCs w:val="23"/>
                <w:color w:val="auto"/>
                <w:vertAlign w:val="superscript"/>
              </w:rPr>
              <w:t>1</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500" w:hanging="33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gains (losses) on sales of securities reported in the Consolidated Statements of Income (Unaudited) include sales of equity securities, excluded in this table.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securities with carrying amounts of $819.8 million on September 30, 2023, and $746.7 million on December 31, 2022, were pledged as collateral for public deposits, securities sold under agreements to repurchase, and for other purposes as required.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 in an Unrealized or Unrecognized Loss Position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information pertains to debt securities with gross unrealized or unrecognized losses, aggregated by investment category and the length of time that individual securities have been in a continuous loss position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0"/>
              </w:rPr>
              <w:t>As of September 30, 2023</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5"/>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Less than 12 months</w:t>
            </w:r>
          </w:p>
        </w:tc>
        <w:tc>
          <w:tcPr>
            <w:tcW w:w="280" w:type="dxa"/>
            <w:vAlign w:val="bottom"/>
          </w:tcPr>
          <w:p>
            <w:pPr>
              <w:spacing w:after="0"/>
              <w:rPr>
                <w:sz w:val="16"/>
                <w:szCs w:val="16"/>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12 months or more</w:t>
            </w:r>
          </w:p>
        </w:tc>
        <w:tc>
          <w:tcPr>
            <w:tcW w:w="28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39"/>
        </w:trPr>
        <w:tc>
          <w:tcPr>
            <w:tcW w:w="3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50,130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50,130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U.S. government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corporations and agencies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Obligations of states and political</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subdivisions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222,973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7"/>
              </w:rPr>
              <w:t>Commercial mortgage-backed securities</w:t>
            </w: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1,088,344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(254,528)</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219,074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(23,734)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Debt securities available for sale with gross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49,649</w:t>
            </w:r>
          </w:p>
        </w:tc>
        <w:tc>
          <w:tcPr>
            <w:tcW w:w="8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2,122,190</w:t>
            </w:r>
          </w:p>
        </w:tc>
        <w:tc>
          <w:tcPr>
            <w:tcW w:w="8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(333,315)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2,171,839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(334,552)</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w:t>
            </w: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12 months or more</w:t>
            </w:r>
          </w:p>
        </w:tc>
        <w:tc>
          <w:tcPr>
            <w:tcW w:w="28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Unrecognized</w:t>
            </w:r>
          </w:p>
        </w:tc>
        <w:tc>
          <w:tcPr>
            <w:tcW w:w="28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39"/>
        </w:trPr>
        <w:tc>
          <w:tcPr>
            <w:tcW w:w="334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7"/>
              </w:rPr>
              <w:t>Commercial mortgage-backed securities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366,465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(93,401)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366,465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(93,401)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Residential mortgage-backed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335,211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(87,537)</w:t>
            </w:r>
          </w:p>
        </w:tc>
        <w:tc>
          <w:tcPr>
            <w:tcW w:w="0" w:type="dxa"/>
            <w:vAlign w:val="bottom"/>
          </w:tcPr>
          <w:p>
            <w:pPr>
              <w:spacing w:after="0"/>
              <w:rPr>
                <w:sz w:val="1"/>
                <w:szCs w:val="1"/>
                <w:color w:val="auto"/>
              </w:rPr>
            </w:pPr>
          </w:p>
        </w:tc>
      </w:tr>
      <w:tr>
        <w:trPr>
          <w:trHeight w:val="263"/>
        </w:trPr>
        <w:tc>
          <w:tcPr>
            <w:tcW w:w="4660" w:type="dxa"/>
            <w:vAlign w:val="bottom"/>
            <w:gridSpan w:val="4"/>
          </w:tcPr>
          <w:p>
            <w:pPr>
              <w:ind w:left="20"/>
              <w:spacing w:after="0"/>
              <w:rPr>
                <w:sz w:val="20"/>
                <w:szCs w:val="20"/>
                <w:color w:val="auto"/>
              </w:rPr>
            </w:pPr>
            <w:r>
              <w:rPr>
                <w:rFonts w:ascii="Arial" w:cs="Arial" w:eastAsia="Arial" w:hAnsi="Arial"/>
                <w:sz w:val="18"/>
                <w:szCs w:val="18"/>
                <w:color w:val="auto"/>
                <w:w w:val="91"/>
              </w:rPr>
              <w:t>Debt securities held to maturity with gross unrecognized losses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701,676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701,676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(180,938)</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right"/>
              <w:ind w:right="93"/>
              <w:spacing w:after="0"/>
              <w:rPr>
                <w:sz w:val="20"/>
                <w:szCs w:val="20"/>
                <w:color w:val="auto"/>
              </w:rPr>
            </w:pPr>
            <w:r>
              <w:rPr>
                <w:rFonts w:ascii="Arial" w:cs="Arial" w:eastAsia="Arial" w:hAnsi="Arial"/>
                <w:sz w:val="18"/>
                <w:szCs w:val="18"/>
                <w:color w:val="auto"/>
              </w:rPr>
              <w:t>18</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0"/>
              </w:rPr>
              <w:t>As of December 31, 2022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7"/>
          </w:tcPr>
          <w:p>
            <w:pPr>
              <w:ind w:left="360"/>
              <w:spacing w:after="0"/>
              <w:rPr>
                <w:sz w:val="20"/>
                <w:szCs w:val="20"/>
                <w:color w:val="auto"/>
              </w:rPr>
            </w:pPr>
            <w:r>
              <w:rPr>
                <w:rFonts w:ascii="Arial" w:cs="Arial" w:eastAsia="Arial" w:hAnsi="Arial"/>
                <w:sz w:val="14"/>
                <w:szCs w:val="14"/>
                <w:b w:val="1"/>
                <w:bCs w:val="1"/>
                <w:color w:val="auto"/>
              </w:rPr>
              <w:t>Less than 12 months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2"/>
              </w:rPr>
              <w:t>12 months or more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39"/>
        </w:trPr>
        <w:tc>
          <w:tcPr>
            <w:tcW w:w="33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180"/>
              <w:spacing w:after="0"/>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1</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113,987</w:t>
            </w:r>
          </w:p>
        </w:tc>
        <w:tc>
          <w:tcPr>
            <w:tcW w:w="8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114,061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U.S. government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corporations and agencies</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Obligations of states and political</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subdivisions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166,147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(10,059)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241,364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(26,075)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390,164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79,711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7"/>
              </w:rPr>
              <w:t>Commercial mortgage-backed securities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89,428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(16,029)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Residential mortgage-backed securities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366,221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876,668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(220,717)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204,310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243,347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(24,635)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Debt securities available for sale with gross</w:t>
            </w:r>
          </w:p>
        </w:tc>
        <w:tc>
          <w:tcPr>
            <w:tcW w:w="2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1,070,674</w:t>
            </w:r>
          </w:p>
        </w:tc>
        <w:tc>
          <w:tcPr>
            <w:tcW w:w="80" w:type="dxa"/>
            <w:vAlign w:val="bottom"/>
            <w:shd w:val="clear" w:color="auto" w:fill="CCEEFF"/>
          </w:tcPr>
          <w:p>
            <w:pPr>
              <w:spacing w:after="0"/>
              <w:rPr>
                <w:sz w:val="18"/>
                <w:szCs w:val="18"/>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(81,841)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1,368,859</w:t>
            </w:r>
          </w:p>
        </w:tc>
        <w:tc>
          <w:tcPr>
            <w:tcW w:w="80" w:type="dxa"/>
            <w:vAlign w:val="bottom"/>
            <w:shd w:val="clear" w:color="auto" w:fill="CCEEFF"/>
          </w:tcPr>
          <w:p>
            <w:pPr>
              <w:spacing w:after="0"/>
              <w:rPr>
                <w:sz w:val="18"/>
                <w:szCs w:val="18"/>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(229,363)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2,439,533</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(311,204)</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w:t>
            </w:r>
          </w:p>
        </w:tc>
        <w:tc>
          <w:tcPr>
            <w:tcW w:w="280" w:type="dxa"/>
            <w:vAlign w:val="bottom"/>
            <w:tcBorders>
              <w:bottom w:val="single" w:sz="8" w:color="auto"/>
            </w:tcBorders>
            <w:gridSpan w:val="2"/>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7"/>
          </w:tcPr>
          <w:p>
            <w:pPr>
              <w:ind w:left="380"/>
              <w:spacing w:after="0"/>
              <w:rPr>
                <w:sz w:val="20"/>
                <w:szCs w:val="20"/>
                <w:color w:val="auto"/>
              </w:rPr>
            </w:pPr>
            <w:r>
              <w:rPr>
                <w:rFonts w:ascii="Arial" w:cs="Arial" w:eastAsia="Arial" w:hAnsi="Arial"/>
                <w:sz w:val="14"/>
                <w:szCs w:val="14"/>
                <w:b w:val="1"/>
                <w:bCs w:val="1"/>
                <w:color w:val="auto"/>
              </w:rPr>
              <w:t>Less than 12 months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2"/>
              </w:rPr>
              <w:t>12 months or more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Unrecognized</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Unrecognized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080" w:type="dxa"/>
            <w:vAlign w:val="bottom"/>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39"/>
        </w:trPr>
        <w:tc>
          <w:tcPr>
            <w:tcW w:w="33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7"/>
              </w:rPr>
              <w:t>Commercial mortgage-backed securities</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58,065</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(8,009)</w:t>
            </w:r>
          </w:p>
        </w:tc>
        <w:tc>
          <w:tcPr>
            <w:tcW w:w="60" w:type="dxa"/>
            <w:vAlign w:val="bottom"/>
          </w:tcPr>
          <w:p>
            <w:pPr>
              <w:spacing w:after="0"/>
              <w:rPr>
                <w:sz w:val="21"/>
                <w:szCs w:val="21"/>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353,017</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(55,729)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411,082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(63,738)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Residential mortgage-backed securities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374,213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(69,279)</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8"/>
                <w:szCs w:val="18"/>
                <w:color w:val="auto"/>
                <w:w w:val="99"/>
              </w:rPr>
              <w:t>Debt securities held to maturity with gross</w:t>
            </w:r>
          </w:p>
        </w:tc>
        <w:tc>
          <w:tcPr>
            <w:tcW w:w="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58,065</w:t>
            </w: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vMerge w:val="restart"/>
          </w:tcPr>
          <w:p>
            <w:pPr>
              <w:jc w:val="right"/>
              <w:ind w:right="20"/>
              <w:spacing w:after="0"/>
              <w:rPr>
                <w:sz w:val="20"/>
                <w:szCs w:val="20"/>
                <w:color w:val="auto"/>
              </w:rPr>
            </w:pPr>
            <w:r>
              <w:rPr>
                <w:rFonts w:ascii="Arial" w:cs="Arial" w:eastAsia="Arial" w:hAnsi="Arial"/>
                <w:sz w:val="18"/>
                <w:szCs w:val="18"/>
                <w:color w:val="auto"/>
              </w:rPr>
              <w:t>(8,009)</w:t>
            </w:r>
          </w:p>
        </w:tc>
        <w:tc>
          <w:tcPr>
            <w:tcW w:w="6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727,230</w:t>
            </w: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(125,008)</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785,295</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(133,017)</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unrecognized losses</w:t>
            </w:r>
          </w:p>
        </w:tc>
        <w:tc>
          <w:tcPr>
            <w:tcW w:w="2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3"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Unrealized losses for U.S. Treasury securities that had been in a continuous unrealized loss position for less than 12 months were insignificant, rounding to zero thousand.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 information about debt securities in an unrealized or unrecognized loss position is presented in the tables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As of September 30, 2023</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6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Available for Sale</w:t>
            </w: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Held to Maturity</w:t>
            </w:r>
          </w:p>
        </w:tc>
        <w:tc>
          <w:tcPr>
            <w:tcW w:w="38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39"/>
        </w:trPr>
        <w:tc>
          <w:tcPr>
            <w:tcW w:w="6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with gross unrealized or unrecognized losses,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2,171,839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701,676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2,873,515</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Gross unrealized or unrecognized losses on debt securities</w:t>
            </w:r>
          </w:p>
        </w:tc>
        <w:tc>
          <w:tcPr>
            <w:tcW w:w="18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334,552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180,938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515,490</w:t>
            </w: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gross unrealized or unrecognized losses to debt securities with gross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or unrecognized losses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70"/>
        </w:trPr>
        <w:tc>
          <w:tcPr>
            <w:tcW w:w="6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Count of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1,056</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Count of debt securities in an unrealized or unrecognized loss position</w:t>
            </w:r>
          </w:p>
        </w:tc>
        <w:tc>
          <w:tcPr>
            <w:tcW w:w="18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1,037</w:t>
            </w:r>
          </w:p>
        </w:tc>
      </w:tr>
      <w:tr>
        <w:trPr>
          <w:trHeight w:val="918"/>
        </w:trPr>
        <w:tc>
          <w:tcPr>
            <w:tcW w:w="6260" w:type="dxa"/>
            <w:vAlign w:val="bottom"/>
          </w:tcPr>
          <w:p>
            <w:pPr>
              <w:ind w:left="554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6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As of December 31, 2022</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6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6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Available for Sale</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Held to Maturity</w:t>
            </w:r>
          </w:p>
        </w:tc>
        <w:tc>
          <w:tcPr>
            <w:tcW w:w="38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r>
      <w:tr>
        <w:trPr>
          <w:trHeight w:val="39"/>
        </w:trPr>
        <w:tc>
          <w:tcPr>
            <w:tcW w:w="62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with gross unrealized or unrecognized losses,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2,439,533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785,295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3,224,828</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Gross unrealized or unrecognized losses on debt securities</w:t>
            </w:r>
          </w:p>
        </w:tc>
        <w:tc>
          <w:tcPr>
            <w:tcW w:w="18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311,204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133,017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444,221</w:t>
            </w:r>
          </w:p>
        </w:tc>
      </w:tr>
      <w:tr>
        <w:trPr>
          <w:trHeight w:val="27"/>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gross unrealized or unrecognized losses to debt securities with gross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or unrecognized losses</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70"/>
        </w:trPr>
        <w:tc>
          <w:tcPr>
            <w:tcW w:w="6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Count of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1,091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1,146</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Count of debt securities in an unrealized or unrecognized loss position</w:t>
            </w:r>
          </w:p>
        </w:tc>
        <w:tc>
          <w:tcPr>
            <w:tcW w:w="180" w:type="dxa"/>
            <w:vAlign w:val="bottom"/>
          </w:tcPr>
          <w:p>
            <w:pPr>
              <w:spacing w:after="0"/>
              <w:rPr>
                <w:sz w:val="21"/>
                <w:szCs w:val="21"/>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1,087</w:t>
            </w:r>
          </w:p>
        </w:tc>
      </w:tr>
    </w:tbl>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Unrealized and unrecognized losses were related to changes in market interest rates and market conditions that do not represent credit-related impairments. Busey does not intend to sell securities that are in an unrealized or unrecognized loss position, and it is more likely than not that the Company will recover the amortized cost prior to being required to sell the debt securities. Full collection of the amounts due according to the contractual terms of the debt securities is expected; therefore, no ACL was recorded in relation to debt securities, and the impairment related to noncredit factors on debt securities available for sale is recognized in AOCI, net of applicable taxes. As of September 30, 2023, Busey did not hold general obligation bonds of any single issuer, the aggregate of which exceeded 10% of the Company’s stockholders’ equity.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Portfolio Loans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Categories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Busey’s lending can be summarized in two primary categories: commercial and retail. Lending is further classified into five primary areas of loans: commercial loans, commercial real estate loans, real estate construction loans, retail real estate loans, and retail other loans. Distributions of the loan portfolio by loan category and class is presented in the following table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loans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1,943,449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1,974,154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3,261,873</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530,469</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5,824,800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5,766,496</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1,715,445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1,657,082</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302,124</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retail loans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2,031,360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1,959,206</w:t>
            </w:r>
          </w:p>
        </w:tc>
      </w:tr>
      <w:tr>
        <w:trPr>
          <w:trHeight w:val="236"/>
        </w:trPr>
        <w:tc>
          <w:tcPr>
            <w:tcW w:w="8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portfolio loans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7,856,160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7,725,702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(91,608)</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Portfolio loans,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7,764,450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7,634,094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deferred loan origination costs included in the balances above were $13.4 million as of September 30, 2023, compared to $14.0 million as of December 31, 2022. Net accretable purchase accounting adjustments included in the balances above reduced loans by $4.9 million as of September 30, 2023, and $5.9 million as of December 31, 2022. Commercial balances include loans originated under the PPP with an amortized cost of $0.6 million as of September 30, 2023, and $0.8 million as of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Busey did not purchase any retail real estate loans during the three or nine months ended September 30, 2023, or 2022.</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Pledged Loans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Busey had loans pledged to the FHLB and Federal Reserve for liquidity as set forth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Pledged loans</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260"/>
              <w:spacing w:after="0"/>
              <w:rPr>
                <w:sz w:val="20"/>
                <w:szCs w:val="20"/>
                <w:color w:val="auto"/>
              </w:rPr>
            </w:pPr>
            <w:r>
              <w:rPr>
                <w:rFonts w:ascii="Arial" w:cs="Arial" w:eastAsia="Arial" w:hAnsi="Arial"/>
                <w:sz w:val="18"/>
                <w:szCs w:val="18"/>
                <w:color w:val="auto"/>
              </w:rPr>
              <w:t>FHLB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4,852,634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5,095,448</w:t>
            </w:r>
          </w:p>
        </w:tc>
      </w:tr>
      <w:tr>
        <w:trPr>
          <w:trHeight w:val="257"/>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 Reserve Bank</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858,312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804,718</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Total pledged loans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5,710,946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5,900,166</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Grading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Busey utilizes a loan grading scale to assign a risk grade to all of its loans. A description of the general characteristics of each grade is as follows:</w:t>
      </w:r>
    </w:p>
    <w:p>
      <w:pPr>
        <w:spacing w:after="0" w:line="196"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 This category includes loans that are all considered acceptable credits, ranging from investment or near investment grade, to loans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who exhibit credit fundamentals that meet or exceed industry standards.</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 This category includes loans that warrant a higher-than-average level of monitoring to ensure that weaknesses do not cause the inability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to perform as expected. These loans are not necessarily a problem due to other inherent strengths of the credit, such as guarantor strength, but have above average concern and monitoring.</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 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 This category includes “Substandard” loans, determined in accordance with regulatory guidelines, for which the accrual of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Substandard non-accrual </w:t>
      </w:r>
      <w:r>
        <w:rPr>
          <w:rFonts w:ascii="Arial" w:cs="Arial" w:eastAsia="Arial" w:hAnsi="Arial"/>
          <w:sz w:val="18"/>
          <w:szCs w:val="18"/>
          <w:color w:val="auto"/>
        </w:rPr>
        <w:t>– This category includes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is a summary of risk grades segregated by category and class of portfolio loans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September 30, 2023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3"/>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Special</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Pass</w:t>
            </w:r>
          </w:p>
        </w:tc>
        <w:tc>
          <w:tcPr>
            <w:tcW w:w="2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Watch</w:t>
            </w:r>
          </w:p>
        </w:tc>
        <w:tc>
          <w:tcPr>
            <w:tcW w:w="24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Mention</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Non-accrual</w:t>
            </w:r>
          </w:p>
        </w:tc>
        <w:tc>
          <w:tcPr>
            <w:tcW w:w="28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39"/>
        </w:trPr>
        <w:tc>
          <w:tcPr>
            <w:tcW w:w="3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loans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1,533,562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350,820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24,705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1,943,449</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3,353,753</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527,598</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4,990,971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711,341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5,824,800</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1,715,445</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315,915</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retail loans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2,014,537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2,031,360</w:t>
            </w: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7,005,508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721,586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70,118</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7,856,160</w:t>
            </w: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22"/>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 2022</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
        </w:trPr>
        <w:tc>
          <w:tcPr>
            <w:tcW w:w="33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3"/>
        </w:trPr>
        <w:tc>
          <w:tcPr>
            <w:tcW w:w="3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Special</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Pass</w:t>
            </w:r>
          </w:p>
        </w:tc>
        <w:tc>
          <w:tcPr>
            <w:tcW w:w="26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Watch</w:t>
            </w:r>
          </w:p>
        </w:tc>
        <w:tc>
          <w:tcPr>
            <w:tcW w:w="24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Mention</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Non-accrual</w:t>
            </w:r>
          </w:p>
        </w:tc>
        <w:tc>
          <w:tcPr>
            <w:tcW w:w="28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39"/>
        </w:trPr>
        <w:tc>
          <w:tcPr>
            <w:tcW w:w="33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loans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1,668,495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201,758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46,540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51,187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1,974,154</w:t>
            </w: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3,261,873</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502,904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530,469</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5,023,108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90,067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5,766,496</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7"/>
        </w:trPr>
        <w:tc>
          <w:tcPr>
            <w:tcW w:w="3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1,639,599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1,657,082</w:t>
            </w: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301,971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302,124</w:t>
            </w:r>
          </w:p>
        </w:tc>
      </w:tr>
      <w:tr>
        <w:trPr>
          <w:trHeight w:val="27"/>
        </w:trPr>
        <w:tc>
          <w:tcPr>
            <w:tcW w:w="3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retail loans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1,941,570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1,959,206</w:t>
            </w:r>
          </w:p>
        </w:tc>
      </w:tr>
      <w:tr>
        <w:trPr>
          <w:trHeight w:val="263"/>
        </w:trPr>
        <w:tc>
          <w:tcPr>
            <w:tcW w:w="336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6,964,678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563,897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91,405</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7,725,702</w:t>
            </w: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Risk grades of portfolio loans and net charge-offs are presented in the tables below by loan class, further sorted by origination year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gridSpan w:val="11"/>
          </w:tcPr>
          <w:p>
            <w:pPr>
              <w:ind w:left="140"/>
              <w:spacing w:after="0"/>
              <w:rPr>
                <w:sz w:val="20"/>
                <w:szCs w:val="20"/>
                <w:color w:val="auto"/>
              </w:rPr>
            </w:pPr>
            <w:r>
              <w:rPr>
                <w:rFonts w:ascii="Arial" w:cs="Arial" w:eastAsia="Arial" w:hAnsi="Arial"/>
                <w:sz w:val="14"/>
                <w:szCs w:val="14"/>
                <w:b w:val="1"/>
                <w:bCs w:val="1"/>
                <w:color w:val="auto"/>
              </w:rPr>
              <w:t>As of and For The Nine Months Ended September 30, 2023</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gridSpan w:val="11"/>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40" w:type="dxa"/>
            <w:vAlign w:val="bottom"/>
            <w:gridSpan w:val="11"/>
          </w:tcPr>
          <w:p>
            <w:pPr>
              <w:ind w:left="280"/>
              <w:spacing w:after="0"/>
              <w:rPr>
                <w:sz w:val="20"/>
                <w:szCs w:val="20"/>
                <w:color w:val="auto"/>
              </w:rPr>
            </w:pPr>
            <w:r>
              <w:rPr>
                <w:rFonts w:ascii="Arial" w:cs="Arial" w:eastAsia="Arial" w:hAnsi="Arial"/>
                <w:sz w:val="14"/>
                <w:szCs w:val="14"/>
                <w:b w:val="1"/>
                <w:bCs w:val="1"/>
                <w:color w:val="auto"/>
              </w:rPr>
              <w:t>Term Loans Amortized Cost Basis by Origination Year</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Revolving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Risk Grade Ratings</w:t>
            </w:r>
          </w:p>
        </w:tc>
        <w:tc>
          <w:tcPr>
            <w:tcW w:w="20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Loans</w:t>
            </w:r>
          </w:p>
        </w:tc>
        <w:tc>
          <w:tcPr>
            <w:tcW w:w="200" w:type="dxa"/>
            <w:vAlign w:val="bottom"/>
          </w:tcPr>
          <w:p>
            <w:pPr>
              <w:spacing w:after="0"/>
              <w:rPr>
                <w:sz w:val="16"/>
                <w:szCs w:val="16"/>
                <w:color w:val="auto"/>
              </w:rPr>
            </w:pPr>
          </w:p>
        </w:tc>
        <w:tc>
          <w:tcPr>
            <w:tcW w:w="820" w:type="dxa"/>
            <w:vAlign w:val="bottom"/>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279,467</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255,619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181,603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74,600</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39,483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152,523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550,267</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1,533,562</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350,820</w:t>
            </w: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24,705</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28,734</w:t>
            </w:r>
          </w:p>
        </w:tc>
        <w:tc>
          <w:tcPr>
            <w:tcW w:w="0" w:type="dxa"/>
            <w:vAlign w:val="bottom"/>
          </w:tcPr>
          <w:p>
            <w:pPr>
              <w:spacing w:after="0"/>
              <w:rPr>
                <w:sz w:val="1"/>
                <w:szCs w:val="1"/>
                <w:color w:val="auto"/>
              </w:rPr>
            </w:pPr>
          </w:p>
        </w:tc>
      </w:tr>
      <w:tr>
        <w:trPr>
          <w:trHeight w:val="237"/>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5,628</w:t>
            </w:r>
          </w:p>
        </w:tc>
        <w:tc>
          <w:tcPr>
            <w:tcW w:w="0" w:type="dxa"/>
            <w:vAlign w:val="bottom"/>
          </w:tcPr>
          <w:p>
            <w:pPr>
              <w:spacing w:after="0"/>
              <w:rPr>
                <w:sz w:val="1"/>
                <w:szCs w:val="1"/>
                <w:color w:val="auto"/>
              </w:rPr>
            </w:pPr>
          </w:p>
        </w:tc>
      </w:tr>
      <w:tr>
        <w:trPr>
          <w:trHeight w:val="236"/>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commercial</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401,852</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316,757</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230,222</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101,371</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186,358</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655,303</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1,943,449</w:t>
            </w:r>
          </w:p>
        </w:tc>
        <w:tc>
          <w:tcPr>
            <w:tcW w:w="0" w:type="dxa"/>
            <w:vAlign w:val="bottom"/>
          </w:tcPr>
          <w:p>
            <w:pPr>
              <w:spacing w:after="0"/>
              <w:rPr>
                <w:sz w:val="1"/>
                <w:szCs w:val="1"/>
                <w:color w:val="auto"/>
              </w:rPr>
            </w:pP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Current period charge-offs</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66"/>
        </w:trPr>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Commercial real estate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Pass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850,371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778,662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404,109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2,944,191</w:t>
            </w: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82,748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45,945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33,694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79,906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34,700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351,494</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44,771</w:t>
            </w: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11,739</w:t>
            </w:r>
          </w:p>
        </w:tc>
        <w:tc>
          <w:tcPr>
            <w:tcW w:w="0" w:type="dxa"/>
            <w:vAlign w:val="bottom"/>
          </w:tcPr>
          <w:p>
            <w:pPr>
              <w:spacing w:after="0"/>
              <w:rPr>
                <w:sz w:val="1"/>
                <w:szCs w:val="1"/>
                <w:color w:val="auto"/>
              </w:rPr>
            </w:pPr>
          </w:p>
        </w:tc>
      </w:tr>
      <w:tr>
        <w:trPr>
          <w:trHeight w:val="246"/>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commercial real estate</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456,269</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898,639</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862,943</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444,723</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366,956</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300,836</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23,387</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3,353,753</w:t>
            </w:r>
          </w:p>
        </w:tc>
        <w:tc>
          <w:tcPr>
            <w:tcW w:w="0" w:type="dxa"/>
            <w:vAlign w:val="bottom"/>
          </w:tcPr>
          <w:p>
            <w:pPr>
              <w:spacing w:after="0"/>
              <w:rPr>
                <w:sz w:val="1"/>
                <w:szCs w:val="1"/>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period charge-offs</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Real estate construction</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152,897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171,900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104,963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54,943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513,218</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9,027</w:t>
            </w:r>
          </w:p>
        </w:tc>
        <w:tc>
          <w:tcPr>
            <w:tcW w:w="0" w:type="dxa"/>
            <w:vAlign w:val="bottom"/>
          </w:tcPr>
          <w:p>
            <w:pPr>
              <w:spacing w:after="0"/>
              <w:rPr>
                <w:sz w:val="1"/>
                <w:szCs w:val="1"/>
                <w:color w:val="auto"/>
              </w:rPr>
            </w:pPr>
          </w:p>
        </w:tc>
      </w:tr>
      <w:tr>
        <w:trPr>
          <w:trHeight w:val="236"/>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5,353</w:t>
            </w:r>
          </w:p>
        </w:tc>
        <w:tc>
          <w:tcPr>
            <w:tcW w:w="0" w:type="dxa"/>
            <w:vAlign w:val="bottom"/>
          </w:tcPr>
          <w:p>
            <w:pPr>
              <w:spacing w:after="0"/>
              <w:rPr>
                <w:sz w:val="1"/>
                <w:szCs w:val="1"/>
                <w:color w:val="auto"/>
              </w:rPr>
            </w:pPr>
          </w:p>
        </w:tc>
      </w:tr>
      <w:tr>
        <w:trPr>
          <w:trHeight w:val="237"/>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real estate construction</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159,315</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176,353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105,216</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58,157</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23,251</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527,598</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Retail real estate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201,140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379,512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420,164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162,295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189,862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1,698,692</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10,245</w:t>
            </w:r>
          </w:p>
        </w:tc>
        <w:tc>
          <w:tcPr>
            <w:tcW w:w="0" w:type="dxa"/>
            <w:vAlign w:val="bottom"/>
          </w:tcPr>
          <w:p>
            <w:pPr>
              <w:spacing w:after="0"/>
              <w:rPr>
                <w:sz w:val="1"/>
                <w:szCs w:val="1"/>
                <w:color w:val="auto"/>
              </w:rPr>
            </w:pPr>
          </w:p>
        </w:tc>
      </w:tr>
      <w:tr>
        <w:trPr>
          <w:trHeight w:val="233"/>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36"/>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4,042</w:t>
            </w:r>
          </w:p>
        </w:tc>
        <w:tc>
          <w:tcPr>
            <w:tcW w:w="0" w:type="dxa"/>
            <w:vAlign w:val="bottom"/>
          </w:tcPr>
          <w:p>
            <w:pPr>
              <w:spacing w:after="0"/>
              <w:rPr>
                <w:sz w:val="1"/>
                <w:szCs w:val="1"/>
                <w:color w:val="auto"/>
              </w:rPr>
            </w:pPr>
          </w:p>
        </w:tc>
      </w:tr>
      <w:tr>
        <w:trPr>
          <w:trHeight w:val="237"/>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retail real estate</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202,184</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382,882</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423,392</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163,508</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71,864</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279,040</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192,575</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1,715,445</w:t>
            </w:r>
          </w:p>
        </w:tc>
        <w:tc>
          <w:tcPr>
            <w:tcW w:w="0" w:type="dxa"/>
            <w:vAlign w:val="bottom"/>
          </w:tcPr>
          <w:p>
            <w:pPr>
              <w:spacing w:after="0"/>
              <w:rPr>
                <w:sz w:val="1"/>
                <w:szCs w:val="1"/>
                <w:color w:val="auto"/>
              </w:rPr>
            </w:pP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Current period charge-offs</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66"/>
        </w:trPr>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48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Retail other</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4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Pass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84,839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315,845</w:t>
            </w:r>
          </w:p>
        </w:tc>
        <w:tc>
          <w:tcPr>
            <w:tcW w:w="0" w:type="dxa"/>
            <w:vAlign w:val="bottom"/>
          </w:tcPr>
          <w:p>
            <w:pPr>
              <w:spacing w:after="0"/>
              <w:rPr>
                <w:sz w:val="1"/>
                <w:szCs w:val="1"/>
                <w:color w:val="auto"/>
              </w:rPr>
            </w:pPr>
          </w:p>
        </w:tc>
      </w:tr>
      <w:tr>
        <w:trPr>
          <w:trHeight w:val="236"/>
        </w:trPr>
        <w:tc>
          <w:tcPr>
            <w:tcW w:w="24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retail other</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86,096</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102,897</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25,977</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8,175</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6,391</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84,839</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315,915</w:t>
            </w:r>
          </w:p>
        </w:tc>
        <w:tc>
          <w:tcPr>
            <w:tcW w:w="0" w:type="dxa"/>
            <w:vAlign w:val="bottom"/>
          </w:tcPr>
          <w:p>
            <w:pPr>
              <w:spacing w:after="0"/>
              <w:rPr>
                <w:sz w:val="1"/>
                <w:szCs w:val="1"/>
                <w:color w:val="auto"/>
              </w:rPr>
            </w:pPr>
          </w:p>
        </w:tc>
      </w:tr>
      <w:tr>
        <w:trPr>
          <w:trHeight w:val="22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Current period charge-offs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76"/>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loans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1,305,716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1,877,528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1,647,750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775,934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498,204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771,673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979,355</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7,856,160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Total current period charge-offs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80" w:type="dxa"/>
            <w:vAlign w:val="bottom"/>
            <w:gridSpan w:val="2"/>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2,339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60" w:type="dxa"/>
            <w:vAlign w:val="bottom"/>
            <w:tcBorders>
              <w:bottom w:val="single" w:sz="8" w:color="auto"/>
            </w:tcBorders>
            <w:gridSpan w:val="11"/>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60" w:type="dxa"/>
            <w:vAlign w:val="bottom"/>
            <w:gridSpan w:val="11"/>
          </w:tcPr>
          <w:p>
            <w:pPr>
              <w:ind w:left="300"/>
              <w:spacing w:after="0"/>
              <w:rPr>
                <w:sz w:val="20"/>
                <w:szCs w:val="20"/>
                <w:color w:val="auto"/>
              </w:rPr>
            </w:pPr>
            <w:r>
              <w:rPr>
                <w:rFonts w:ascii="Arial" w:cs="Arial" w:eastAsia="Arial" w:hAnsi="Arial"/>
                <w:sz w:val="14"/>
                <w:szCs w:val="14"/>
                <w:b w:val="1"/>
                <w:bCs w:val="1"/>
                <w:color w:val="auto"/>
              </w:rPr>
              <w:t>Term Loans Amortized Cost Basis by Origination Year</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Revolving</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380" w:type="dxa"/>
            <w:vAlign w:val="bottom"/>
            <w:gridSpan w:val="2"/>
          </w:tcPr>
          <w:p>
            <w:pPr>
              <w:ind w:left="20"/>
              <w:spacing w:after="0"/>
              <w:rPr>
                <w:sz w:val="20"/>
                <w:szCs w:val="20"/>
                <w:color w:val="auto"/>
              </w:rPr>
            </w:pPr>
            <w:r>
              <w:rPr>
                <w:rFonts w:ascii="Arial" w:cs="Arial" w:eastAsia="Arial" w:hAnsi="Arial"/>
                <w:sz w:val="14"/>
                <w:szCs w:val="14"/>
                <w:b w:val="1"/>
                <w:bCs w:val="1"/>
                <w:color w:val="auto"/>
              </w:rPr>
              <w:t>Risk Grade Ratings</w:t>
            </w:r>
          </w:p>
        </w:tc>
        <w:tc>
          <w:tcPr>
            <w:tcW w:w="20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Loans</w:t>
            </w: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2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479,893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266,122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136,445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52,046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50,764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548,225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1,668,495</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201,758</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46,540</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51,187</w:t>
            </w:r>
          </w:p>
        </w:tc>
        <w:tc>
          <w:tcPr>
            <w:tcW w:w="0" w:type="dxa"/>
            <w:vAlign w:val="bottom"/>
          </w:tcPr>
          <w:p>
            <w:pPr>
              <w:spacing w:after="0"/>
              <w:rPr>
                <w:sz w:val="1"/>
                <w:szCs w:val="1"/>
                <w:color w:val="auto"/>
              </w:rPr>
            </w:pPr>
          </w:p>
        </w:tc>
      </w:tr>
      <w:tr>
        <w:trPr>
          <w:trHeight w:val="237"/>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6,174</w:t>
            </w:r>
          </w:p>
        </w:tc>
        <w:tc>
          <w:tcPr>
            <w:tcW w:w="0" w:type="dxa"/>
            <w:vAlign w:val="bottom"/>
          </w:tcPr>
          <w:p>
            <w:pPr>
              <w:spacing w:after="0"/>
              <w:rPr>
                <w:sz w:val="1"/>
                <w:szCs w:val="1"/>
                <w:color w:val="auto"/>
              </w:rPr>
            </w:pPr>
          </w:p>
        </w:tc>
      </w:tr>
      <w:tr>
        <w:trPr>
          <w:trHeight w:val="236"/>
        </w:trPr>
        <w:tc>
          <w:tcPr>
            <w:tcW w:w="2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commercial</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544,993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320,898</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142,171</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67,027</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55,404</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159,475</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684,186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1,974,154</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real estate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883,688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819,133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478,452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297,525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161,409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198,419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2,851,709</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326,455</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43,526</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34,539</w:t>
            </w:r>
          </w:p>
        </w:tc>
        <w:tc>
          <w:tcPr>
            <w:tcW w:w="0" w:type="dxa"/>
            <w:vAlign w:val="bottom"/>
          </w:tcPr>
          <w:p>
            <w:pPr>
              <w:spacing w:after="0"/>
              <w:rPr>
                <w:sz w:val="1"/>
                <w:szCs w:val="1"/>
                <w:color w:val="auto"/>
              </w:rPr>
            </w:pPr>
          </w:p>
        </w:tc>
      </w:tr>
      <w:tr>
        <w:trPr>
          <w:trHeight w:val="237"/>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5,644</w:t>
            </w:r>
          </w:p>
        </w:tc>
        <w:tc>
          <w:tcPr>
            <w:tcW w:w="0" w:type="dxa"/>
            <w:vAlign w:val="bottom"/>
          </w:tcPr>
          <w:p>
            <w:pPr>
              <w:spacing w:after="0"/>
              <w:rPr>
                <w:sz w:val="1"/>
                <w:szCs w:val="1"/>
                <w:color w:val="auto"/>
              </w:rPr>
            </w:pPr>
          </w:p>
        </w:tc>
      </w:tr>
      <w:tr>
        <w:trPr>
          <w:trHeight w:val="236"/>
        </w:trPr>
        <w:tc>
          <w:tcPr>
            <w:tcW w:w="2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commercial real estate</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978,317</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898,122</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558,607</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397,516</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201,813</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209,715</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17,783</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3,261,873</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Real estate construction</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Pass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219,112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191,724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502,904</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25,164</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6"/>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real estate construction</w:t>
            </w: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230,042</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203,743</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71,184</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1,901</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3,149</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18,911</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530,469</w:t>
            </w: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Retail real estate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Pass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175,148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56,887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1,639,599</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Watch</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10,520</w:t>
            </w: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Special Mention</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33"/>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Substandard</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2,529</w:t>
            </w:r>
          </w:p>
        </w:tc>
        <w:tc>
          <w:tcPr>
            <w:tcW w:w="0" w:type="dxa"/>
            <w:vAlign w:val="bottom"/>
          </w:tcPr>
          <w:p>
            <w:pPr>
              <w:spacing w:after="0"/>
              <w:rPr>
                <w:sz w:val="1"/>
                <w:szCs w:val="1"/>
                <w:color w:val="auto"/>
              </w:rPr>
            </w:pPr>
          </w:p>
        </w:tc>
      </w:tr>
      <w:tr>
        <w:trPr>
          <w:trHeight w:val="246"/>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retail real estate</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400,507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460,072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177,299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58,481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270,808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210,789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1,657,082</w:t>
            </w: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Retail other</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3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Pass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301,971</w:t>
            </w:r>
          </w:p>
        </w:tc>
        <w:tc>
          <w:tcPr>
            <w:tcW w:w="0" w:type="dxa"/>
            <w:vAlign w:val="bottom"/>
          </w:tcPr>
          <w:p>
            <w:pPr>
              <w:spacing w:after="0"/>
              <w:rPr>
                <w:sz w:val="1"/>
                <w:szCs w:val="1"/>
                <w:color w:val="auto"/>
              </w:rPr>
            </w:pPr>
          </w:p>
        </w:tc>
      </w:tr>
      <w:tr>
        <w:trPr>
          <w:trHeight w:val="237"/>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Substandard non-accrual</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6"/>
        </w:trPr>
        <w:tc>
          <w:tcPr>
            <w:tcW w:w="2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retail other</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134,581</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43,646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13,144</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13,086</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91,028</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302,124</w:t>
            </w: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portfolio loans</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2,288,440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1,926,481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962,405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558,294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323,245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1,022,697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7,725,702</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Past Due and Non-accrual Loans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analysis of the amortized cost basis of portfolio loans that are past due and still accruing, or on a non-accrual status, is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500"/>
              <w:spacing w:after="0"/>
              <w:rPr>
                <w:sz w:val="20"/>
                <w:szCs w:val="20"/>
                <w:color w:val="auto"/>
              </w:rPr>
            </w:pPr>
            <w:r>
              <w:rPr>
                <w:rFonts w:ascii="Arial" w:cs="Arial" w:eastAsia="Arial" w:hAnsi="Arial"/>
                <w:sz w:val="14"/>
                <w:szCs w:val="14"/>
                <w:b w:val="1"/>
                <w:bCs w:val="1"/>
                <w:color w:val="auto"/>
              </w:rPr>
              <w:t>As of September 30, 2023</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6"/>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1"/>
              </w:rPr>
              <w:t>Loans past due, still accruing</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b w:val="1"/>
                <w:bCs w:val="1"/>
                <w:color w:val="auto"/>
              </w:rPr>
              <w:t>30-59 Days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60-89 Days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90+Days</w:t>
            </w:r>
          </w:p>
        </w:tc>
        <w:tc>
          <w:tcPr>
            <w:tcW w:w="240" w:type="dxa"/>
            <w:vAlign w:val="bottom"/>
          </w:tcPr>
          <w:p>
            <w:pPr>
              <w:spacing w:after="0"/>
              <w:rPr>
                <w:sz w:val="16"/>
                <w:szCs w:val="16"/>
                <w:color w:val="auto"/>
              </w:rPr>
            </w:pPr>
          </w:p>
        </w:tc>
        <w:tc>
          <w:tcPr>
            <w:tcW w:w="124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39"/>
        </w:trPr>
        <w:tc>
          <w:tcPr>
            <w:tcW w:w="5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Past due and non-accrual loans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Commercial loans: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43"/>
        </w:trPr>
        <w:tc>
          <w:tcPr>
            <w:tcW w:w="50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 estate construction</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Past due and non-accrual commercial loans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loans: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60"/>
              <w:spacing w:after="0"/>
              <w:rPr>
                <w:sz w:val="20"/>
                <w:szCs w:val="20"/>
                <w:color w:val="auto"/>
              </w:rPr>
            </w:pPr>
            <w:r>
              <w:rPr>
                <w:rFonts w:ascii="Arial" w:cs="Arial" w:eastAsia="Arial" w:hAnsi="Arial"/>
                <w:sz w:val="18"/>
                <w:szCs w:val="18"/>
                <w:color w:val="auto"/>
              </w:rPr>
              <w:t>Retail real estate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Retail other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Past due and non-accrual retail loans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past due and non-accrual loans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6"/>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gridSpan w:val="6"/>
          </w:tcPr>
          <w:p>
            <w:pPr>
              <w:jc w:val="center"/>
              <w:ind w:right="130"/>
              <w:spacing w:after="0"/>
              <w:rPr>
                <w:sz w:val="20"/>
                <w:szCs w:val="20"/>
                <w:color w:val="auto"/>
              </w:rPr>
            </w:pPr>
            <w:r>
              <w:rPr>
                <w:rFonts w:ascii="Arial" w:cs="Arial" w:eastAsia="Arial" w:hAnsi="Arial"/>
                <w:sz w:val="14"/>
                <w:szCs w:val="14"/>
                <w:b w:val="1"/>
                <w:bCs w:val="1"/>
                <w:color w:val="auto"/>
                <w:w w:val="91"/>
              </w:rPr>
              <w:t>Loans past due, still accruing</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3"/>
              </w:rPr>
              <w:t>Non-accrual</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b w:val="1"/>
                <w:bCs w:val="1"/>
                <w:color w:val="auto"/>
              </w:rPr>
              <w:t>30-59 Days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60-89 Days</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90+Days</w:t>
            </w:r>
          </w:p>
        </w:tc>
        <w:tc>
          <w:tcPr>
            <w:tcW w:w="240" w:type="dxa"/>
            <w:vAlign w:val="bottom"/>
          </w:tcPr>
          <w:p>
            <w:pPr>
              <w:spacing w:after="0"/>
              <w:rPr>
                <w:sz w:val="16"/>
                <w:szCs w:val="16"/>
                <w:color w:val="auto"/>
              </w:rPr>
            </w:pPr>
          </w:p>
        </w:tc>
        <w:tc>
          <w:tcPr>
            <w:tcW w:w="124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39"/>
        </w:trPr>
        <w:tc>
          <w:tcPr>
            <w:tcW w:w="5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Past due and non-accrual loans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Commercial loans: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43"/>
        </w:trPr>
        <w:tc>
          <w:tcPr>
            <w:tcW w:w="50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Past due and non-accrual commercial loans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Arial" w:cs="Arial" w:eastAsia="Arial" w:hAnsi="Arial"/>
                <w:sz w:val="18"/>
                <w:szCs w:val="18"/>
                <w:color w:val="auto"/>
              </w:rPr>
              <w:t>Retail loans:</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43"/>
        </w:trPr>
        <w:tc>
          <w:tcPr>
            <w:tcW w:w="5060" w:type="dxa"/>
            <w:vAlign w:val="bottom"/>
          </w:tcPr>
          <w:p>
            <w:pPr>
              <w:ind w:left="36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Past due and non-accrual retail loans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64"/>
        </w:trPr>
        <w:tc>
          <w:tcPr>
            <w:tcW w:w="5060" w:type="dxa"/>
            <w:vAlign w:val="bottom"/>
          </w:tcPr>
          <w:p>
            <w:pPr>
              <w:ind w:left="20"/>
              <w:spacing w:after="0"/>
              <w:rPr>
                <w:sz w:val="20"/>
                <w:szCs w:val="20"/>
                <w:color w:val="auto"/>
              </w:rPr>
            </w:pPr>
            <w:r>
              <w:rPr>
                <w:rFonts w:ascii="Arial" w:cs="Arial" w:eastAsia="Arial" w:hAnsi="Arial"/>
                <w:sz w:val="18"/>
                <w:szCs w:val="18"/>
                <w:color w:val="auto"/>
              </w:rPr>
              <w:t>Total past due and non-accrual loans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interest income recorded on 90+ days past due loans, and that would have been recorded on non-accrual loans if they had been accruing interest in accordance with their original terms, was $0.2 million and $0.9 million for the three and nine months ended September 30, 2023, respectively, and was $0.3 million and $0.8 million for the three and nine months ended September 30, 2022, respectively. The amount of interest collected on those loans and recognized on a cash basis that was included in interest income was insignificant for the three and nine months ended September 30, 2023. Interest collected on these loans and recognized on a cash basis was insignificant for the three months ended September 30, 2022, and was $0.4 million for the nine months ended September 30, 2022.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Modification Disclosures Pursuant to ASU 2022-02</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tables show the amortized cost basis of loans that were modified for borrowers experiencing financial difficulty during the periods indicated, disaggregated by class of financing receivable and type of concession granted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Three Months Ended September 30, 2023</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
        </w:trPr>
        <w:tc>
          <w:tcPr>
            <w:tcW w:w="48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170"/>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ind w:right="237"/>
              <w:spacing w:after="0"/>
              <w:rPr>
                <w:sz w:val="20"/>
                <w:szCs w:val="20"/>
                <w:color w:val="auto"/>
              </w:rPr>
            </w:pPr>
            <w:r>
              <w:rPr>
                <w:rFonts w:ascii="Arial" w:cs="Arial" w:eastAsia="Arial" w:hAnsi="Arial"/>
                <w:sz w:val="14"/>
                <w:szCs w:val="14"/>
                <w:b w:val="1"/>
                <w:bCs w:val="1"/>
                <w:color w:val="auto"/>
              </w:rPr>
              <w:t>Interest Rate</w:t>
            </w:r>
          </w:p>
        </w:tc>
        <w:tc>
          <w:tcPr>
            <w:tcW w:w="8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 of Total Class of</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right"/>
              <w:ind w:right="142"/>
              <w:spacing w:after="0"/>
              <w:rPr>
                <w:sz w:val="20"/>
                <w:szCs w:val="20"/>
                <w:color w:val="auto"/>
              </w:rPr>
            </w:pPr>
            <w:r>
              <w:rPr>
                <w:rFonts w:ascii="Arial" w:cs="Arial" w:eastAsia="Arial" w:hAnsi="Arial"/>
                <w:sz w:val="14"/>
                <w:szCs w:val="14"/>
                <w:b w:val="1"/>
                <w:bCs w:val="1"/>
                <w:color w:val="auto"/>
              </w:rPr>
              <w:t>% of Total Class of</w:t>
            </w:r>
          </w:p>
        </w:tc>
      </w:tr>
      <w:tr>
        <w:trPr>
          <w:trHeight w:val="228"/>
        </w:trPr>
        <w:tc>
          <w:tcPr>
            <w:tcW w:w="4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17"/>
              <w:spacing w:after="0"/>
              <w:rPr>
                <w:sz w:val="20"/>
                <w:szCs w:val="20"/>
                <w:color w:val="auto"/>
              </w:rPr>
            </w:pPr>
            <w:r>
              <w:rPr>
                <w:rFonts w:ascii="Arial" w:cs="Arial" w:eastAsia="Arial" w:hAnsi="Arial"/>
                <w:sz w:val="14"/>
                <w:szCs w:val="14"/>
                <w:b w:val="1"/>
                <w:bCs w:val="1"/>
                <w:color w:val="auto"/>
              </w:rPr>
              <w:t>Reduction</w:t>
            </w:r>
            <w:r>
              <w:rPr>
                <w:rFonts w:ascii="Arial" w:cs="Arial" w:eastAsia="Arial" w:hAnsi="Arial"/>
                <w:sz w:val="18"/>
                <w:szCs w:val="18"/>
                <w:b w:val="1"/>
                <w:bCs w:val="1"/>
                <w:color w:val="auto"/>
                <w:vertAlign w:val="superscript"/>
              </w:rPr>
              <w:t>1</w:t>
            </w:r>
          </w:p>
        </w:tc>
        <w:tc>
          <w:tcPr>
            <w:tcW w:w="8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Financing Receivable</w:t>
            </w:r>
            <w:r>
              <w:rPr>
                <w:rFonts w:ascii="Arial" w:cs="Arial" w:eastAsia="Arial" w:hAnsi="Arial"/>
                <w:sz w:val="18"/>
                <w:szCs w:val="18"/>
                <w:b w:val="1"/>
                <w:bCs w:val="1"/>
                <w:color w:val="auto"/>
                <w:w w:val="90"/>
                <w:vertAlign w:val="superscript"/>
              </w:rPr>
              <w:t>2</w:t>
            </w:r>
          </w:p>
        </w:tc>
        <w:tc>
          <w:tcPr>
            <w:tcW w:w="16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Term Extension</w:t>
            </w:r>
            <w:r>
              <w:rPr>
                <w:rFonts w:ascii="Arial" w:cs="Arial" w:eastAsia="Arial" w:hAnsi="Arial"/>
                <w:sz w:val="18"/>
                <w:szCs w:val="18"/>
                <w:b w:val="1"/>
                <w:bCs w:val="1"/>
                <w:color w:val="auto"/>
                <w:w w:val="93"/>
                <w:vertAlign w:val="superscript"/>
              </w:rPr>
              <w:t>3</w:t>
            </w:r>
          </w:p>
        </w:tc>
        <w:tc>
          <w:tcPr>
            <w:tcW w:w="100" w:type="dxa"/>
            <w:vAlign w:val="bottom"/>
          </w:tcPr>
          <w:p>
            <w:pPr>
              <w:spacing w:after="0"/>
              <w:rPr>
                <w:sz w:val="19"/>
                <w:szCs w:val="19"/>
                <w:color w:val="auto"/>
              </w:rPr>
            </w:pPr>
          </w:p>
        </w:tc>
        <w:tc>
          <w:tcPr>
            <w:tcW w:w="1600" w:type="dxa"/>
            <w:vAlign w:val="bottom"/>
          </w:tcPr>
          <w:p>
            <w:pPr>
              <w:jc w:val="right"/>
              <w:ind w:right="42"/>
              <w:spacing w:after="0"/>
              <w:rPr>
                <w:sz w:val="20"/>
                <w:szCs w:val="20"/>
                <w:color w:val="auto"/>
              </w:rPr>
            </w:pPr>
            <w:r>
              <w:rPr>
                <w:rFonts w:ascii="Arial" w:cs="Arial" w:eastAsia="Arial" w:hAnsi="Arial"/>
                <w:sz w:val="14"/>
                <w:szCs w:val="14"/>
                <w:b w:val="1"/>
                <w:bCs w:val="1"/>
                <w:color w:val="auto"/>
                <w:w w:val="97"/>
              </w:rPr>
              <w:t>Financing Receivable</w:t>
            </w:r>
            <w:r>
              <w:rPr>
                <w:rFonts w:ascii="Arial" w:cs="Arial" w:eastAsia="Arial" w:hAnsi="Arial"/>
                <w:sz w:val="18"/>
                <w:szCs w:val="18"/>
                <w:b w:val="1"/>
                <w:bCs w:val="1"/>
                <w:color w:val="auto"/>
                <w:w w:val="97"/>
                <w:vertAlign w:val="superscript"/>
              </w:rPr>
              <w:t>2</w:t>
            </w:r>
          </w:p>
        </w:tc>
      </w:tr>
      <w:tr>
        <w:trPr>
          <w:trHeight w:val="23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class: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12,026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4860" w:type="dxa"/>
            <w:vAlign w:val="bottom"/>
          </w:tcPr>
          <w:p>
            <w:pPr>
              <w:ind w:left="20"/>
              <w:spacing w:after="0"/>
              <w:rPr>
                <w:sz w:val="20"/>
                <w:szCs w:val="20"/>
                <w:color w:val="auto"/>
              </w:rPr>
            </w:pPr>
            <w:r>
              <w:rPr>
                <w:rFonts w:ascii="Arial" w:cs="Arial" w:eastAsia="Arial" w:hAnsi="Arial"/>
                <w:sz w:val="18"/>
                <w:szCs w:val="18"/>
                <w:color w:val="auto"/>
              </w:rPr>
              <w:t>Total of loans modified during the period</w:t>
            </w:r>
            <w:r>
              <w:rPr>
                <w:rFonts w:ascii="Arial" w:cs="Arial" w:eastAsia="Arial" w:hAnsi="Arial"/>
                <w:sz w:val="23"/>
                <w:szCs w:val="23"/>
                <w:color w:val="auto"/>
                <w:vertAlign w:val="superscript"/>
              </w:rPr>
              <w:t>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22"/>
                <w:szCs w:val="22"/>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1"/>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one loan, the default rate was removed once forbearance was entered.</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Modified loans represent an insignificant portion of commercial real estate loans, rounding to zero percent.</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Modifications to extend loan terms also included, in some cases, interest rate increases during the extension period.</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All modifications were for loans classified as substandard.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 September 30, 2023</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216"/>
              <w:spacing w:after="0" w:line="160" w:lineRule="exact"/>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3"/>
                <w:szCs w:val="13"/>
                <w:color w:val="auto"/>
              </w:rPr>
            </w:pPr>
          </w:p>
        </w:tc>
        <w:tc>
          <w:tcPr>
            <w:tcW w:w="1640" w:type="dxa"/>
            <w:vAlign w:val="bottom"/>
            <w:gridSpan w:val="2"/>
          </w:tcPr>
          <w:p>
            <w:pPr>
              <w:ind w:left="200"/>
              <w:spacing w:after="0" w:line="160" w:lineRule="exact"/>
              <w:rPr>
                <w:sz w:val="20"/>
                <w:szCs w:val="20"/>
                <w:color w:val="auto"/>
              </w:rPr>
            </w:pPr>
            <w:r>
              <w:rPr>
                <w:rFonts w:ascii="Arial" w:cs="Arial" w:eastAsia="Arial" w:hAnsi="Arial"/>
                <w:sz w:val="14"/>
                <w:szCs w:val="14"/>
                <w:b w:val="1"/>
                <w:bCs w:val="1"/>
                <w:color w:val="auto"/>
              </w:rPr>
              <w:t>% of Total Class of</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ind w:left="200"/>
              <w:spacing w:after="0" w:line="160" w:lineRule="exact"/>
              <w:rPr>
                <w:sz w:val="20"/>
                <w:szCs w:val="20"/>
                <w:color w:val="auto"/>
              </w:rPr>
            </w:pPr>
            <w:r>
              <w:rPr>
                <w:rFonts w:ascii="Arial" w:cs="Arial" w:eastAsia="Arial" w:hAnsi="Arial"/>
                <w:sz w:val="14"/>
                <w:szCs w:val="14"/>
                <w:b w:val="1"/>
                <w:bCs w:val="1"/>
                <w:color w:val="auto"/>
              </w:rPr>
              <w:t>% of Total Class of</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ind w:right="122"/>
              <w:spacing w:after="0" w:line="160" w:lineRule="exact"/>
              <w:rPr>
                <w:sz w:val="20"/>
                <w:szCs w:val="20"/>
                <w:color w:val="auto"/>
              </w:rPr>
            </w:pPr>
            <w:r>
              <w:rPr>
                <w:rFonts w:ascii="Arial" w:cs="Arial" w:eastAsia="Arial" w:hAnsi="Arial"/>
                <w:sz w:val="14"/>
                <w:szCs w:val="14"/>
                <w:b w:val="1"/>
                <w:bCs w:val="1"/>
                <w:color w:val="auto"/>
              </w:rPr>
              <w:t>% of Total Class of</w:t>
            </w: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276"/>
              <w:spacing w:after="0"/>
              <w:rPr>
                <w:sz w:val="20"/>
                <w:szCs w:val="20"/>
                <w:color w:val="auto"/>
              </w:rPr>
            </w:pPr>
            <w:r>
              <w:rPr>
                <w:rFonts w:ascii="Arial" w:cs="Arial" w:eastAsia="Arial" w:hAnsi="Arial"/>
                <w:sz w:val="14"/>
                <w:szCs w:val="14"/>
                <w:b w:val="1"/>
                <w:bCs w:val="1"/>
                <w:color w:val="auto"/>
              </w:rPr>
              <w:t>Reduction</w:t>
            </w:r>
            <w:r>
              <w:rPr>
                <w:rFonts w:ascii="Arial" w:cs="Arial" w:eastAsia="Arial" w:hAnsi="Arial"/>
                <w:sz w:val="9"/>
                <w:szCs w:val="9"/>
                <w:b w:val="1"/>
                <w:bCs w:val="1"/>
                <w:color w:val="auto"/>
              </w:rPr>
              <w:t>1</w:t>
            </w:r>
          </w:p>
        </w:tc>
        <w:tc>
          <w:tcPr>
            <w:tcW w:w="1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Financing Receivable</w:t>
            </w:r>
            <w:r>
              <w:rPr>
                <w:rFonts w:ascii="Arial" w:cs="Arial" w:eastAsia="Arial" w:hAnsi="Arial"/>
                <w:sz w:val="9"/>
                <w:szCs w:val="9"/>
                <w:b w:val="1"/>
                <w:bCs w:val="1"/>
                <w:color w:val="auto"/>
              </w:rPr>
              <w:t>2</w:t>
            </w:r>
          </w:p>
        </w:tc>
        <w:tc>
          <w:tcPr>
            <w:tcW w:w="120" w:type="dxa"/>
            <w:vAlign w:val="bottom"/>
          </w:tcPr>
          <w:p>
            <w:pPr>
              <w:spacing w:after="0"/>
              <w:rPr>
                <w:sz w:val="20"/>
                <w:szCs w:val="20"/>
                <w:color w:val="auto"/>
              </w:rPr>
            </w:pPr>
          </w:p>
        </w:tc>
        <w:tc>
          <w:tcPr>
            <w:tcW w:w="128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Payment Deferral</w:t>
            </w:r>
            <w:r>
              <w:rPr>
                <w:rFonts w:ascii="Arial" w:cs="Arial" w:eastAsia="Arial" w:hAnsi="Arial"/>
                <w:sz w:val="18"/>
                <w:szCs w:val="18"/>
                <w:b w:val="1"/>
                <w:bCs w:val="1"/>
                <w:color w:val="auto"/>
                <w:w w:val="93"/>
                <w:vertAlign w:val="superscript"/>
              </w:rPr>
              <w:t>3</w:t>
            </w:r>
          </w:p>
        </w:tc>
        <w:tc>
          <w:tcPr>
            <w:tcW w:w="1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Financing Receivable</w:t>
            </w:r>
            <w:r>
              <w:rPr>
                <w:rFonts w:ascii="Arial" w:cs="Arial" w:eastAsia="Arial" w:hAnsi="Arial"/>
                <w:sz w:val="9"/>
                <w:szCs w:val="9"/>
                <w:b w:val="1"/>
                <w:bCs w:val="1"/>
                <w:color w:val="auto"/>
              </w:rPr>
              <w:t>2</w:t>
            </w:r>
          </w:p>
        </w:tc>
        <w:tc>
          <w:tcPr>
            <w:tcW w:w="140" w:type="dxa"/>
            <w:vAlign w:val="bottom"/>
          </w:tcPr>
          <w:p>
            <w:pPr>
              <w:spacing w:after="0"/>
              <w:rPr>
                <w:sz w:val="20"/>
                <w:szCs w:val="20"/>
                <w:color w:val="auto"/>
              </w:rPr>
            </w:pPr>
          </w:p>
        </w:tc>
        <w:tc>
          <w:tcPr>
            <w:tcW w:w="126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Term Extension</w:t>
            </w:r>
            <w:r>
              <w:rPr>
                <w:rFonts w:ascii="Arial" w:cs="Arial" w:eastAsia="Arial" w:hAnsi="Arial"/>
                <w:sz w:val="18"/>
                <w:szCs w:val="18"/>
                <w:b w:val="1"/>
                <w:bCs w:val="1"/>
                <w:color w:val="auto"/>
                <w:w w:val="93"/>
                <w:vertAlign w:val="superscript"/>
              </w:rPr>
              <w:t>4</w:t>
            </w:r>
          </w:p>
        </w:tc>
        <w:tc>
          <w:tcPr>
            <w:tcW w:w="100" w:type="dxa"/>
            <w:vAlign w:val="bottom"/>
          </w:tcPr>
          <w:p>
            <w:pPr>
              <w:spacing w:after="0"/>
              <w:rPr>
                <w:sz w:val="20"/>
                <w:szCs w:val="20"/>
                <w:color w:val="auto"/>
              </w:rPr>
            </w:pPr>
          </w:p>
        </w:tc>
        <w:tc>
          <w:tcPr>
            <w:tcW w:w="1560" w:type="dxa"/>
            <w:vAlign w:val="bottom"/>
          </w:tcPr>
          <w:p>
            <w:pPr>
              <w:jc w:val="right"/>
              <w:ind w:right="22"/>
              <w:spacing w:after="0"/>
              <w:rPr>
                <w:sz w:val="20"/>
                <w:szCs w:val="20"/>
                <w:color w:val="auto"/>
              </w:rPr>
            </w:pPr>
            <w:r>
              <w:rPr>
                <w:rFonts w:ascii="Arial" w:cs="Arial" w:eastAsia="Arial" w:hAnsi="Arial"/>
                <w:sz w:val="14"/>
                <w:szCs w:val="14"/>
                <w:b w:val="1"/>
                <w:bCs w:val="1"/>
                <w:color w:val="auto"/>
                <w:w w:val="97"/>
              </w:rPr>
              <w:t>Financing Receivable</w:t>
            </w:r>
            <w:r>
              <w:rPr>
                <w:rFonts w:ascii="Arial" w:cs="Arial" w:eastAsia="Arial" w:hAnsi="Arial"/>
                <w:sz w:val="9"/>
                <w:szCs w:val="9"/>
                <w:b w:val="1"/>
                <w:bCs w:val="1"/>
                <w:color w:val="auto"/>
                <w:w w:val="97"/>
              </w:rPr>
              <w:t>2</w:t>
            </w:r>
          </w:p>
        </w:tc>
        <w:tc>
          <w:tcPr>
            <w:tcW w:w="0" w:type="dxa"/>
            <w:vAlign w:val="bottom"/>
          </w:tcPr>
          <w:p>
            <w:pPr>
              <w:spacing w:after="0"/>
              <w:rPr>
                <w:sz w:val="1"/>
                <w:szCs w:val="1"/>
                <w:color w:val="auto"/>
              </w:rPr>
            </w:pPr>
          </w:p>
        </w:tc>
      </w:tr>
      <w:tr>
        <w:trPr>
          <w:trHeight w:val="230"/>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class: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17,334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Commercial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1880" w:type="dxa"/>
            <w:vAlign w:val="bottom"/>
          </w:tcPr>
          <w:p>
            <w:pPr>
              <w:ind w:left="180"/>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5,353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of loans modified</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23,690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880" w:type="dxa"/>
            <w:vAlign w:val="bottom"/>
            <w:tcBorders>
              <w:bottom w:val="single" w:sz="8" w:color="CCEEFF"/>
            </w:tcBorders>
            <w:shd w:val="clear" w:color="auto" w:fill="CCEEFF"/>
          </w:tcPr>
          <w:p>
            <w:pPr>
              <w:ind w:left="20"/>
              <w:spacing w:after="0" w:line="235" w:lineRule="exact"/>
              <w:rPr>
                <w:sz w:val="20"/>
                <w:szCs w:val="20"/>
                <w:color w:val="auto"/>
              </w:rPr>
            </w:pPr>
            <w:r>
              <w:rPr>
                <w:rFonts w:ascii="Arial" w:cs="Arial" w:eastAsia="Arial" w:hAnsi="Arial"/>
                <w:sz w:val="18"/>
                <w:szCs w:val="18"/>
                <w:color w:val="auto"/>
              </w:rPr>
              <w:t>during the period</w:t>
            </w:r>
            <w:r>
              <w:rPr>
                <w:rFonts w:ascii="Arial" w:cs="Arial" w:eastAsia="Arial" w:hAnsi="Arial"/>
                <w:sz w:val="23"/>
                <w:szCs w:val="23"/>
                <w:color w:val="auto"/>
                <w:vertAlign w:val="superscript"/>
              </w:rPr>
              <w:t>5</w:t>
            </w: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2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500" w:hanging="33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one loan, the default rate was removed once forbearance was entered.</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Modified loans represent an insignificant portion of commercial real estate loans, rounding to zero percent.</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loan with payment deferral was modified to defer all principal payments until the end of the loan term, which was shortened.</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Modifications to extend loan terms also included, in some cases, interest rate increases during the extension period.</w:t>
      </w:r>
    </w:p>
    <w:p>
      <w:pPr>
        <w:spacing w:after="0" w:line="6" w:lineRule="exact"/>
        <w:rPr>
          <w:rFonts w:ascii="Arial" w:cs="Arial" w:eastAsia="Arial" w:hAnsi="Arial"/>
          <w:sz w:val="14"/>
          <w:szCs w:val="14"/>
          <w:color w:val="auto"/>
        </w:rPr>
      </w:pPr>
    </w:p>
    <w:p>
      <w:pPr>
        <w:ind w:left="500" w:hanging="33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Modifications include two loans on non-accrual status, and the remaining loans were classified as substandard.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loan modifications made during the periods indicated, for borrowers experiencing financial difficulty: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322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September 30, 2023</w:t>
            </w:r>
          </w:p>
        </w:tc>
        <w:tc>
          <w:tcPr>
            <w:tcW w:w="3140" w:type="dxa"/>
            <w:vAlign w:val="bottom"/>
            <w:gridSpan w:val="3"/>
          </w:tcPr>
          <w:p>
            <w:pPr>
              <w:ind w:left="340"/>
              <w:spacing w:after="0"/>
              <w:rPr>
                <w:sz w:val="20"/>
                <w:szCs w:val="20"/>
                <w:color w:val="auto"/>
              </w:rPr>
            </w:pPr>
            <w:r>
              <w:rPr>
                <w:rFonts w:ascii="Arial" w:cs="Arial" w:eastAsia="Arial" w:hAnsi="Arial"/>
                <w:sz w:val="14"/>
                <w:szCs w:val="14"/>
                <w:b w:val="1"/>
                <w:bCs w:val="1"/>
                <w:color w:val="auto"/>
              </w:rPr>
              <w:t>Nine Months Ended September 30, 2023</w:t>
            </w:r>
          </w:p>
        </w:tc>
      </w:tr>
      <w:tr>
        <w:trPr>
          <w:trHeight w:val="39"/>
        </w:trPr>
        <w:tc>
          <w:tcPr>
            <w:tcW w:w="4880" w:type="dxa"/>
            <w:vAlign w:val="bottom"/>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73"/>
        </w:trPr>
        <w:tc>
          <w:tcPr>
            <w:tcW w:w="4880" w:type="dxa"/>
            <w:vAlign w:val="bottom"/>
          </w:tcPr>
          <w:p>
            <w:pPr>
              <w:spacing w:after="0"/>
              <w:rPr>
                <w:sz w:val="15"/>
                <w:szCs w:val="15"/>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tcPr>
          <w:p>
            <w:pPr>
              <w:ind w:left="160"/>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4880" w:type="dxa"/>
            <w:vAlign w:val="bottom"/>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Interest Rate Reduction</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 Extension</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 Rate Reduction</w:t>
            </w:r>
          </w:p>
        </w:tc>
        <w:tc>
          <w:tcPr>
            <w:tcW w:w="1440" w:type="dxa"/>
            <w:vAlign w:val="bottom"/>
          </w:tcPr>
          <w:p>
            <w:pPr>
              <w:ind w:left="240"/>
              <w:spacing w:after="0"/>
              <w:rPr>
                <w:sz w:val="20"/>
                <w:szCs w:val="20"/>
                <w:color w:val="auto"/>
              </w:rPr>
            </w:pPr>
            <w:r>
              <w:rPr>
                <w:rFonts w:ascii="Arial" w:cs="Arial" w:eastAsia="Arial" w:hAnsi="Arial"/>
                <w:sz w:val="14"/>
                <w:szCs w:val="14"/>
                <w:b w:val="1"/>
                <w:bCs w:val="1"/>
                <w:color w:val="auto"/>
              </w:rPr>
              <w:t>Term Extension</w:t>
            </w:r>
          </w:p>
        </w:tc>
      </w:tr>
      <w:tr>
        <w:trPr>
          <w:trHeight w:val="39"/>
        </w:trPr>
        <w:tc>
          <w:tcPr>
            <w:tcW w:w="48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class:</w:t>
            </w:r>
          </w:p>
        </w:tc>
        <w:tc>
          <w:tcPr>
            <w:tcW w:w="1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15.3 months</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w w:val="88"/>
              </w:rPr>
              <w:t>14.3 months</w:t>
            </w:r>
          </w:p>
        </w:tc>
      </w:tr>
      <w:tr>
        <w:trPr>
          <w:trHeight w:val="27"/>
        </w:trPr>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 months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88"/>
              </w:rPr>
              <w:t>11.2 months</w:t>
            </w:r>
          </w:p>
        </w:tc>
      </w:tr>
      <w:tr>
        <w:trPr>
          <w:trHeight w:val="243"/>
        </w:trPr>
        <w:tc>
          <w:tcPr>
            <w:tcW w:w="488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1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ind w:left="540"/>
              <w:spacing w:after="0"/>
              <w:rPr>
                <w:sz w:val="20"/>
                <w:szCs w:val="20"/>
                <w:color w:val="auto"/>
              </w:rPr>
            </w:pPr>
            <w:r>
              <w:rPr>
                <w:rFonts w:ascii="Arial" w:cs="Arial" w:eastAsia="Arial" w:hAnsi="Arial"/>
                <w:sz w:val="18"/>
                <w:szCs w:val="18"/>
                <w:color w:val="auto"/>
                <w:w w:val="88"/>
              </w:rPr>
              <w:t>12.0 months</w:t>
            </w:r>
          </w:p>
        </w:tc>
      </w:tr>
      <w:tr>
        <w:trPr>
          <w:trHeight w:val="27"/>
        </w:trPr>
        <w:tc>
          <w:tcPr>
            <w:tcW w:w="48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effect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8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 months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88"/>
              </w:rPr>
              <w:t>13.7 months</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No financing receivables had payment defaults during the three months ended September 30, 2023, after having been modified during the 12 months before default for borrowers experiencing financial difficulty. The following table provides the amortized cost basis of financing receivables that had a payment default during the nine months ended September 30, 2023, after having been modified during the 12 months before default for borrowers experiencing financial difficulty </w:t>
      </w:r>
      <w:r>
        <w:rPr>
          <w:rFonts w:ascii="Arial" w:cs="Arial" w:eastAsia="Arial" w:hAnsi="Arial"/>
          <w:sz w:val="17"/>
          <w:szCs w:val="17"/>
          <w:i w:val="1"/>
          <w:iCs w:val="1"/>
          <w:color w:val="auto"/>
        </w:rPr>
        <w:t>(dollars in thousands)</w:t>
      </w:r>
      <w:r>
        <w:rPr>
          <w:rFonts w:ascii="Arial" w:cs="Arial" w:eastAsia="Arial" w:hAnsi="Arial"/>
          <w:sz w:val="17"/>
          <w:szCs w:val="17"/>
          <w:color w:val="auto"/>
        </w:rPr>
        <w:t>. A default occurs when a loan is 90 days or more past due or transferred to non-accrual status.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7"/>
              </w:rPr>
              <w:t>Nine Months Ended September 30, 2023</w:t>
            </w:r>
          </w:p>
        </w:tc>
      </w:tr>
      <w:tr>
        <w:trPr>
          <w:trHeight w:val="39"/>
        </w:trPr>
        <w:tc>
          <w:tcPr>
            <w:tcW w:w="8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Payment Deferral</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Term Extension</w:t>
            </w:r>
          </w:p>
        </w:tc>
      </w:tr>
      <w:tr>
        <w:trPr>
          <w:trHeight w:val="39"/>
        </w:trPr>
        <w:tc>
          <w:tcPr>
            <w:tcW w:w="8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class: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Amortized cost of modified loans with subsequent defaults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Busey closely monitors the performance of the loans that are modified to borrowers experiencing financial difficulty to understand the effectiveness of its modification efforts. The following table depicts the payment performance of loans modified on or after January 1, 2023, the date we adopted ASU 2022-02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As of September 30, 2023</w:t>
            </w:r>
          </w:p>
        </w:tc>
      </w:tr>
      <w:tr>
        <w:trPr>
          <w:trHeight w:val="39"/>
        </w:trPr>
        <w:tc>
          <w:tcPr>
            <w:tcW w:w="8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40" w:type="dxa"/>
            <w:vAlign w:val="bottom"/>
          </w:tcPr>
          <w:p>
            <w:pPr>
              <w:spacing w:after="0"/>
              <w:rPr>
                <w:sz w:val="16"/>
                <w:szCs w:val="16"/>
                <w:color w:val="auto"/>
              </w:rPr>
            </w:pPr>
          </w:p>
        </w:tc>
        <w:tc>
          <w:tcPr>
            <w:tcW w:w="1240" w:type="dxa"/>
            <w:vAlign w:val="bottom"/>
          </w:tcPr>
          <w:p>
            <w:pPr>
              <w:jc w:val="right"/>
              <w:ind w:right="274"/>
              <w:spacing w:after="0"/>
              <w:rPr>
                <w:sz w:val="20"/>
                <w:szCs w:val="20"/>
                <w:color w:val="auto"/>
              </w:rPr>
            </w:pPr>
            <w:r>
              <w:rPr>
                <w:rFonts w:ascii="Arial" w:cs="Arial" w:eastAsia="Arial" w:hAnsi="Arial"/>
                <w:sz w:val="14"/>
                <w:szCs w:val="14"/>
                <w:b w:val="1"/>
                <w:bCs w:val="1"/>
                <w:color w:val="auto"/>
              </w:rPr>
              <w:t>Non-accrual</w:t>
            </w:r>
          </w:p>
        </w:tc>
      </w:tr>
      <w:tr>
        <w:trPr>
          <w:trHeight w:val="39"/>
        </w:trPr>
        <w:tc>
          <w:tcPr>
            <w:tcW w:w="8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class: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Amortized cost of modified loans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TDR Disclosures Prior to the Adoption of ASU 2022-02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performing TDR’s were $3.0 million and non-performing TDR’s were $0.5 million.</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loans were newly designated as a TDR during the three months ended September 30, 2022, and one loan was newly designated as a TDR during the nine months ended September 30, 2022. There were no TDRs entered into during the 12 months ended September 30, 2022, that had subsequent defaults during the three or nine months ended September 30, 2022. Gross interest income that would have been recorded in the three and nine months ended September 30, 2022, if TDRs had performed in accordance with their original terms compared with their modified terms, was insignificant.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Dependent Loans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The Company had $10.0 million and $14.0 million of collateral dependent loans secured by real estate or business assets as of September 30, 2023, and December 31, 2022,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Foreclosures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Busey had $1.0 million of residential real estate in the process of foreclosure. Busey follows Federal Housing Finance Agency guidelines on single-family foreclosures and real estate owned evictions on portfolio loans.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Evaluated Individually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Busey evaluates loans with disparate risk characteristics on an individual basis. The following tables provide details of loans evaluated individually, segregated by loan category and class. The unpaid principal balance represents customer outstanding contractual principal balances excluding any partial charge-offs. Recorded investment represents the amortized cost of customer balances net of any partial charge-offs recognized on the loan.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0"/>
              </w:rPr>
              <w:t>As of September 30, 2023</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Unpaid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2"/>
              </w:rPr>
              <w:t>Recorded Investment</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39"/>
        </w:trPr>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34"/>
              <w:spacing w:after="0"/>
              <w:rPr>
                <w:sz w:val="20"/>
                <w:szCs w:val="20"/>
                <w:color w:val="auto"/>
              </w:rPr>
            </w:pPr>
            <w:r>
              <w:rPr>
                <w:rFonts w:ascii="Arial" w:cs="Arial" w:eastAsia="Arial" w:hAnsi="Arial"/>
                <w:sz w:val="14"/>
                <w:szCs w:val="14"/>
                <w:b w:val="1"/>
                <w:bCs w:val="1"/>
                <w:color w:val="auto"/>
                <w:w w:val="98"/>
              </w:rPr>
              <w:t>With No</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With</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Related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Allowance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80" w:type="dxa"/>
            <w:vAlign w:val="bottom"/>
          </w:tcPr>
          <w:p>
            <w:pPr>
              <w:spacing w:after="0"/>
              <w:rPr>
                <w:sz w:val="17"/>
                <w:szCs w:val="17"/>
                <w:color w:val="auto"/>
              </w:rPr>
            </w:pP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6"/>
        </w:trPr>
        <w:tc>
          <w:tcPr>
            <w:tcW w:w="3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evaluated individually</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Commercial loans: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5,506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ind w:left="460"/>
              <w:spacing w:after="0"/>
              <w:rPr>
                <w:sz w:val="20"/>
                <w:szCs w:val="20"/>
                <w:color w:val="auto"/>
              </w:rPr>
            </w:pPr>
            <w:r>
              <w:rPr>
                <w:rFonts w:ascii="Arial" w:cs="Arial" w:eastAsia="Arial" w:hAnsi="Arial"/>
                <w:sz w:val="18"/>
                <w:szCs w:val="18"/>
                <w:color w:val="auto"/>
              </w:rPr>
              <w:t>1,405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 estate construction</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8"/>
                <w:szCs w:val="18"/>
                <w:color w:val="auto"/>
                <w:w w:val="99"/>
              </w:rPr>
              <w:t>Commercial loans evaluated individually</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13,953</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7"/>
              </w:rPr>
              <w:t>6,911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11,024</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loans:</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loans evaluated individually</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63"/>
        </w:trPr>
        <w:tc>
          <w:tcPr>
            <w:tcW w:w="3380" w:type="dxa"/>
            <w:vAlign w:val="bottom"/>
          </w:tcPr>
          <w:p>
            <w:pPr>
              <w:ind w:left="20"/>
              <w:spacing w:after="0"/>
              <w:rPr>
                <w:sz w:val="20"/>
                <w:szCs w:val="20"/>
                <w:color w:val="auto"/>
              </w:rPr>
            </w:pPr>
            <w:r>
              <w:rPr>
                <w:rFonts w:ascii="Arial" w:cs="Arial" w:eastAsia="Arial" w:hAnsi="Arial"/>
                <w:sz w:val="18"/>
                <w:szCs w:val="18"/>
                <w:color w:val="auto"/>
              </w:rPr>
              <w:t>Total loans evaluated individually</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6,997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As of December 31, 2022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6"/>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Unpaid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Recorded Investment</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39"/>
        </w:trPr>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Principal</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94"/>
              <w:spacing w:after="0"/>
              <w:rPr>
                <w:sz w:val="20"/>
                <w:szCs w:val="20"/>
                <w:color w:val="auto"/>
              </w:rPr>
            </w:pPr>
            <w:r>
              <w:rPr>
                <w:rFonts w:ascii="Arial" w:cs="Arial" w:eastAsia="Arial" w:hAnsi="Arial"/>
                <w:sz w:val="14"/>
                <w:szCs w:val="14"/>
                <w:b w:val="1"/>
                <w:bCs w:val="1"/>
                <w:color w:val="auto"/>
                <w:w w:val="98"/>
              </w:rPr>
              <w:t>With No</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With</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Allowance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280" w:type="dxa"/>
            <w:vAlign w:val="bottom"/>
          </w:tcPr>
          <w:p>
            <w:pPr>
              <w:spacing w:after="0"/>
              <w:rPr>
                <w:sz w:val="17"/>
                <w:szCs w:val="17"/>
                <w:color w:val="auto"/>
              </w:rPr>
            </w:pP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115"/>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evaluated individually</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Commercial loans: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6,574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ind w:left="480"/>
              <w:spacing w:after="0"/>
              <w:rPr>
                <w:sz w:val="20"/>
                <w:szCs w:val="20"/>
                <w:color w:val="auto"/>
              </w:rPr>
            </w:pPr>
            <w:r>
              <w:rPr>
                <w:rFonts w:ascii="Arial" w:cs="Arial" w:eastAsia="Arial" w:hAnsi="Arial"/>
                <w:sz w:val="18"/>
                <w:szCs w:val="18"/>
                <w:color w:val="auto"/>
                <w:w w:val="97"/>
              </w:rPr>
              <w:t>6,237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 estate construction</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3380" w:type="dxa"/>
            <w:vAlign w:val="bottom"/>
          </w:tcPr>
          <w:p>
            <w:pPr>
              <w:ind w:left="180"/>
              <w:spacing w:after="0"/>
              <w:rPr>
                <w:sz w:val="20"/>
                <w:szCs w:val="20"/>
                <w:color w:val="auto"/>
              </w:rPr>
            </w:pPr>
            <w:r>
              <w:rPr>
                <w:rFonts w:ascii="Arial" w:cs="Arial" w:eastAsia="Arial" w:hAnsi="Arial"/>
                <w:sz w:val="18"/>
                <w:szCs w:val="18"/>
                <w:color w:val="auto"/>
                <w:w w:val="99"/>
              </w:rPr>
              <w:t>Commercial loans evaluated individually</w:t>
            </w: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17,875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loans:</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ind w:left="480"/>
              <w:spacing w:after="0"/>
              <w:rPr>
                <w:sz w:val="20"/>
                <w:szCs w:val="20"/>
                <w:color w:val="auto"/>
              </w:rPr>
            </w:pPr>
            <w:r>
              <w:rPr>
                <w:rFonts w:ascii="Arial" w:cs="Arial" w:eastAsia="Arial" w:hAnsi="Arial"/>
                <w:sz w:val="18"/>
                <w:szCs w:val="18"/>
                <w:color w:val="auto"/>
                <w:w w:val="97"/>
              </w:rPr>
              <w:t>2,589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loans evaluated individually</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2,589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63"/>
        </w:trPr>
        <w:tc>
          <w:tcPr>
            <w:tcW w:w="3380" w:type="dxa"/>
            <w:vAlign w:val="bottom"/>
          </w:tcPr>
          <w:p>
            <w:pPr>
              <w:ind w:left="20"/>
              <w:spacing w:after="0"/>
              <w:rPr>
                <w:sz w:val="20"/>
                <w:szCs w:val="20"/>
                <w:color w:val="auto"/>
              </w:rPr>
            </w:pPr>
            <w:r>
              <w:rPr>
                <w:rFonts w:ascii="Arial" w:cs="Arial" w:eastAsia="Arial" w:hAnsi="Arial"/>
                <w:sz w:val="18"/>
                <w:szCs w:val="18"/>
                <w:color w:val="auto"/>
              </w:rPr>
              <w:t>Total loans evaluated individually</w:t>
            </w: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1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Busey’s historical loss experience beginning in 2010. Due to the continued economic uncertainty in the markets in which the Company operates, Busey will continue to utilize a forecast period of 12 months with an immediate reversion to historical loss rates beyond this forecast period in its ACL estimate. PPP loans were excluded from the ACL calculation as they are 100% government guaranteed.</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tables summarize activity in the ACL attributable to each loan category. Allocation of a portion of the ACL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Three Months Ended September 30, 2023</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9"/>
        </w:trPr>
        <w:tc>
          <w:tcPr>
            <w:tcW w:w="33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3"/>
        </w:trPr>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6"/>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Construction</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Real Estate</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Retail Other</w:t>
            </w:r>
          </w:p>
        </w:tc>
        <w:tc>
          <w:tcPr>
            <w:tcW w:w="2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39"/>
        </w:trPr>
        <w:tc>
          <w:tcPr>
            <w:tcW w:w="33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balance, June 30,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91,639</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balance,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461"/>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Nine Months Ended September 30, 2023</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
        </w:trPr>
        <w:tc>
          <w:tcPr>
            <w:tcW w:w="33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3"/>
        </w:trPr>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6"/>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Construction</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Real Estate</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Retail Other</w:t>
            </w:r>
          </w:p>
        </w:tc>
        <w:tc>
          <w:tcPr>
            <w:tcW w:w="2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39"/>
        </w:trPr>
        <w:tc>
          <w:tcPr>
            <w:tcW w:w="33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balance, December 31,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38,299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91,608</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1,944</w:t>
            </w: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1,801</w:t>
            </w: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balance,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462"/>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Three Months Ended September 30, 2022</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
        </w:trPr>
        <w:tc>
          <w:tcPr>
            <w:tcW w:w="33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3"/>
        </w:trPr>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6"/>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Construction</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Real Estate</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Retail Other</w:t>
            </w:r>
          </w:p>
        </w:tc>
        <w:tc>
          <w:tcPr>
            <w:tcW w:w="2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39"/>
        </w:trPr>
        <w:tc>
          <w:tcPr>
            <w:tcW w:w="33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balance, June 30,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88,757</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2,364</w:t>
            </w: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balance,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90,722</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462"/>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6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Nine Months Ended September 30, 2022</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
        </w:trPr>
        <w:tc>
          <w:tcPr>
            <w:tcW w:w="33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3"/>
        </w:trPr>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6"/>
        </w:trPr>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Construction</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Real Estate</w:t>
            </w:r>
          </w:p>
        </w:tc>
        <w:tc>
          <w:tcPr>
            <w:tcW w:w="18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Retail Other</w:t>
            </w:r>
          </w:p>
        </w:tc>
        <w:tc>
          <w:tcPr>
            <w:tcW w:w="28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r>
      <w:tr>
        <w:trPr>
          <w:trHeight w:val="39"/>
        </w:trPr>
        <w:tc>
          <w:tcPr>
            <w:tcW w:w="33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balance, December 31,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38,249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87,887</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3,764</w:t>
            </w:r>
          </w:p>
        </w:tc>
      </w:tr>
      <w:tr>
        <w:trPr>
          <w:trHeight w:val="27"/>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1,694</w:t>
            </w:r>
          </w:p>
        </w:tc>
      </w:tr>
      <w:tr>
        <w:trPr>
          <w:trHeight w:val="27"/>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balance,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90,722</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1"/>
        </w:trPr>
        <w:tc>
          <w:tcPr>
            <w:tcW w:w="3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tables present the ACL and amortized cost of portfolio loans by loan category and class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of September 30, 2023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gridSpan w:val="6"/>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 Loans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6"/>
          </w:tcPr>
          <w:p>
            <w:pPr>
              <w:jc w:val="center"/>
              <w:ind w:left="576"/>
              <w:spacing w:after="0"/>
              <w:rPr>
                <w:sz w:val="20"/>
                <w:szCs w:val="20"/>
                <w:color w:val="auto"/>
              </w:rPr>
            </w:pPr>
            <w:r>
              <w:rPr>
                <w:rFonts w:ascii="Arial" w:cs="Arial" w:eastAsia="Arial" w:hAnsi="Arial"/>
                <w:sz w:val="14"/>
                <w:szCs w:val="14"/>
                <w:b w:val="1"/>
                <w:bCs w:val="1"/>
                <w:color w:val="auto"/>
                <w:w w:val="95"/>
              </w:rPr>
              <w:t>ACL Attributed to Portfolio Loans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Collectively</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Individually</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Collectively</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Individually</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Evaluated for</w:t>
            </w:r>
          </w:p>
        </w:tc>
        <w:tc>
          <w:tcPr>
            <w:tcW w:w="120" w:type="dxa"/>
            <w:vAlign w:val="bottom"/>
          </w:tcPr>
          <w:p>
            <w:pPr>
              <w:spacing w:after="0"/>
              <w:rPr>
                <w:sz w:val="15"/>
                <w:szCs w:val="15"/>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Evaluated for</w:t>
            </w:r>
          </w:p>
        </w:tc>
        <w:tc>
          <w:tcPr>
            <w:tcW w:w="280" w:type="dxa"/>
            <w:vAlign w:val="bottom"/>
          </w:tcPr>
          <w:p>
            <w:pPr>
              <w:spacing w:after="0"/>
              <w:rPr>
                <w:sz w:val="15"/>
                <w:szCs w:val="15"/>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Evaluated for</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Evaluated for</w:t>
            </w:r>
          </w:p>
        </w:tc>
        <w:tc>
          <w:tcPr>
            <w:tcW w:w="400" w:type="dxa"/>
            <w:vAlign w:val="bottom"/>
          </w:tcPr>
          <w:p>
            <w:pPr>
              <w:spacing w:after="0"/>
              <w:rPr>
                <w:sz w:val="15"/>
                <w:szCs w:val="15"/>
                <w:color w:val="auto"/>
              </w:rPr>
            </w:pPr>
          </w:p>
        </w:tc>
        <w:tc>
          <w:tcPr>
            <w:tcW w:w="8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Impairment</w:t>
            </w: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Impairment</w:t>
            </w:r>
          </w:p>
        </w:tc>
        <w:tc>
          <w:tcPr>
            <w:tcW w:w="4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 and related ACL</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Commercial loans: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22,633</w:t>
            </w:r>
          </w:p>
        </w:tc>
        <w:tc>
          <w:tcPr>
            <w:tcW w:w="0" w:type="dxa"/>
            <w:vAlign w:val="bottom"/>
          </w:tcPr>
          <w:p>
            <w:pPr>
              <w:spacing w:after="0"/>
              <w:rPr>
                <w:sz w:val="1"/>
                <w:szCs w:val="1"/>
                <w:color w:val="auto"/>
              </w:rPr>
            </w:pP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3,352,348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3,353,753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34,691</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 estate construction</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37"/>
        </w:trPr>
        <w:tc>
          <w:tcPr>
            <w:tcW w:w="3360" w:type="dxa"/>
            <w:vAlign w:val="bottom"/>
          </w:tcPr>
          <w:p>
            <w:pPr>
              <w:ind w:left="180"/>
              <w:spacing w:after="0"/>
              <w:rPr>
                <w:sz w:val="20"/>
                <w:szCs w:val="20"/>
                <w:color w:val="auto"/>
              </w:rPr>
            </w:pPr>
            <w:r>
              <w:rPr>
                <w:rFonts w:ascii="Arial" w:cs="Arial" w:eastAsia="Arial" w:hAnsi="Arial"/>
                <w:sz w:val="18"/>
                <w:szCs w:val="18"/>
                <w:color w:val="auto"/>
              </w:rPr>
              <w:t>Commercial loans and related ACL</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5,817,889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5,824,800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62,530</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loans: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1,715,359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1,715,445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25,333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37"/>
        </w:trPr>
        <w:tc>
          <w:tcPr>
            <w:tcW w:w="3360" w:type="dxa"/>
            <w:vAlign w:val="bottom"/>
          </w:tcPr>
          <w:p>
            <w:pPr>
              <w:ind w:left="180"/>
              <w:spacing w:after="0"/>
              <w:rPr>
                <w:sz w:val="20"/>
                <w:szCs w:val="20"/>
                <w:color w:val="auto"/>
              </w:rPr>
            </w:pPr>
            <w:r>
              <w:rPr>
                <w:rFonts w:ascii="Arial" w:cs="Arial" w:eastAsia="Arial" w:hAnsi="Arial"/>
                <w:sz w:val="18"/>
                <w:szCs w:val="18"/>
                <w:color w:val="auto"/>
              </w:rPr>
              <w:t>Retail loans and related ACL</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2,031,274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2,031,360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29,180</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Portfolio loans and related ACL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7,849,163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7,856,160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gridSpan w:val="6"/>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 Loans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20" w:type="dxa"/>
            <w:vAlign w:val="bottom"/>
            <w:gridSpan w:val="6"/>
          </w:tcPr>
          <w:p>
            <w:pPr>
              <w:jc w:val="center"/>
              <w:ind w:left="576"/>
              <w:spacing w:after="0"/>
              <w:rPr>
                <w:sz w:val="20"/>
                <w:szCs w:val="20"/>
                <w:color w:val="auto"/>
              </w:rPr>
            </w:pPr>
            <w:r>
              <w:rPr>
                <w:rFonts w:ascii="Arial" w:cs="Arial" w:eastAsia="Arial" w:hAnsi="Arial"/>
                <w:sz w:val="14"/>
                <w:szCs w:val="14"/>
                <w:b w:val="1"/>
                <w:bCs w:val="1"/>
                <w:color w:val="auto"/>
                <w:w w:val="95"/>
              </w:rPr>
              <w:t>ACL Attributed to Portfolio Loans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Collectively</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Individually</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Collectively</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Individually</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Evaluated for</w:t>
            </w: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Evaluated for</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Evaluated for</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Evaluated for</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Impairment</w:t>
            </w: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Impairment</w:t>
            </w:r>
          </w:p>
        </w:tc>
        <w:tc>
          <w:tcPr>
            <w:tcW w:w="400" w:type="dxa"/>
            <w:vAlign w:val="bottom"/>
          </w:tcPr>
          <w:p>
            <w:pPr>
              <w:spacing w:after="0"/>
              <w:rPr>
                <w:sz w:val="16"/>
                <w:szCs w:val="16"/>
                <w:color w:val="auto"/>
              </w:rPr>
            </w:pPr>
          </w:p>
        </w:tc>
        <w:tc>
          <w:tcPr>
            <w:tcW w:w="82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3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 and related ACL</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180"/>
              <w:spacing w:after="0"/>
              <w:rPr>
                <w:sz w:val="20"/>
                <w:szCs w:val="20"/>
                <w:color w:val="auto"/>
              </w:rPr>
            </w:pPr>
            <w:r>
              <w:rPr>
                <w:rFonts w:ascii="Arial" w:cs="Arial" w:eastAsia="Arial" w:hAnsi="Arial"/>
                <w:sz w:val="18"/>
                <w:szCs w:val="18"/>
                <w:color w:val="auto"/>
              </w:rPr>
              <w:t>Commercial loans: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1,967,580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23,860</w:t>
            </w:r>
          </w:p>
        </w:tc>
        <w:tc>
          <w:tcPr>
            <w:tcW w:w="0" w:type="dxa"/>
            <w:vAlign w:val="bottom"/>
          </w:tcPr>
          <w:p>
            <w:pPr>
              <w:spacing w:after="0"/>
              <w:rPr>
                <w:sz w:val="1"/>
                <w:szCs w:val="1"/>
                <w:color w:val="auto"/>
              </w:rPr>
            </w:pP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3,255,636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3,261,873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38,299</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Real estate construction</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530,222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530,469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37"/>
        </w:trPr>
        <w:tc>
          <w:tcPr>
            <w:tcW w:w="3360" w:type="dxa"/>
            <w:vAlign w:val="bottom"/>
          </w:tcPr>
          <w:p>
            <w:pPr>
              <w:ind w:left="180"/>
              <w:spacing w:after="0"/>
              <w:rPr>
                <w:sz w:val="20"/>
                <w:szCs w:val="20"/>
                <w:color w:val="auto"/>
              </w:rPr>
            </w:pPr>
            <w:r>
              <w:rPr>
                <w:rFonts w:ascii="Arial" w:cs="Arial" w:eastAsia="Arial" w:hAnsi="Arial"/>
                <w:sz w:val="18"/>
                <w:szCs w:val="18"/>
                <w:color w:val="auto"/>
              </w:rPr>
              <w:t>Commercial loans and related ACL</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5,753,438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5,766,496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68,616</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loans: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360"/>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1,654,493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1,657,082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18,193</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Retail other</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37"/>
        </w:trPr>
        <w:tc>
          <w:tcPr>
            <w:tcW w:w="3360" w:type="dxa"/>
            <w:vAlign w:val="bottom"/>
          </w:tcPr>
          <w:p>
            <w:pPr>
              <w:ind w:left="180"/>
              <w:spacing w:after="0"/>
              <w:rPr>
                <w:sz w:val="20"/>
                <w:szCs w:val="20"/>
                <w:color w:val="auto"/>
              </w:rPr>
            </w:pPr>
            <w:r>
              <w:rPr>
                <w:rFonts w:ascii="Arial" w:cs="Arial" w:eastAsia="Arial" w:hAnsi="Arial"/>
                <w:sz w:val="18"/>
                <w:szCs w:val="18"/>
                <w:color w:val="auto"/>
              </w:rPr>
              <w:t>Retail loans and related ACL</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1,956,617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1,959,206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22,992</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Portfolio loans and related ACL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7,710,055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7,725,702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91,608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Busey as the Lessee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Busey has operating leases consisting primarily of equipment leases and real estate leases for banking centers, ATM locations, and office space. The following table summarizes lease-related information and balances reported in our Consolidated Balance Sheets (Unaudited)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As of</w:t>
            </w:r>
          </w:p>
        </w:tc>
        <w:tc>
          <w:tcPr>
            <w:tcW w:w="1360" w:type="dxa"/>
            <w:vAlign w:val="bottom"/>
          </w:tcPr>
          <w:p>
            <w:pPr>
              <w:spacing w:after="0"/>
              <w:rPr>
                <w:sz w:val="16"/>
                <w:szCs w:val="16"/>
                <w:color w:val="auto"/>
              </w:rPr>
            </w:pPr>
          </w:p>
        </w:tc>
      </w:tr>
      <w:tr>
        <w:trPr>
          <w:trHeight w:val="39"/>
        </w:trPr>
        <w:tc>
          <w:tcPr>
            <w:tcW w:w="7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3"/>
        </w:trPr>
        <w:tc>
          <w:tcPr>
            <w:tcW w:w="7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3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39"/>
        </w:trPr>
        <w:tc>
          <w:tcPr>
            <w:tcW w:w="7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balances</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Right of use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7"/>
              <w:spacing w:after="0"/>
              <w:rPr>
                <w:sz w:val="20"/>
                <w:szCs w:val="20"/>
                <w:color w:val="auto"/>
              </w:rPr>
            </w:pPr>
            <w:r>
              <w:rPr>
                <w:rFonts w:ascii="Arial" w:cs="Arial" w:eastAsia="Arial" w:hAnsi="Arial"/>
                <w:sz w:val="18"/>
                <w:szCs w:val="18"/>
                <w:color w:val="auto"/>
              </w:rPr>
              <w:t>11,500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12,829</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11,783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12,995</w:t>
            </w:r>
          </w:p>
        </w:tc>
      </w:tr>
      <w:tr>
        <w:trPr>
          <w:trHeight w:val="270"/>
        </w:trPr>
        <w:tc>
          <w:tcPr>
            <w:tcW w:w="7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Year through which lease terms extend</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2037</w:t>
            </w:r>
          </w:p>
        </w:tc>
      </w:tr>
      <w:tr>
        <w:trPr>
          <w:trHeight w:val="27"/>
        </w:trPr>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remaining lease term, in years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represents lease costs and cash flows related to leases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50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50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costs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Operating lease costs</w:t>
            </w:r>
          </w:p>
        </w:tc>
        <w:tc>
          <w:tcPr>
            <w:tcW w:w="1000" w:type="dxa"/>
            <w:vAlign w:val="bottom"/>
          </w:tcPr>
          <w:p>
            <w:pPr>
              <w:jc w:val="right"/>
              <w:ind w:right="817"/>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Variable lease costs</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Short-term lease costs</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r>
              <w:rPr>
                <w:rFonts w:ascii="Arial" w:cs="Arial" w:eastAsia="Arial" w:hAnsi="Arial"/>
                <w:sz w:val="23"/>
                <w:szCs w:val="23"/>
                <w:color w:val="auto"/>
                <w:vertAlign w:val="superscript"/>
              </w:rPr>
              <w:t>1</w:t>
            </w: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flows related to leases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w:t>
            </w: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Operating lease cash flows – Fixed payments</w:t>
            </w:r>
          </w:p>
        </w:tc>
        <w:tc>
          <w:tcPr>
            <w:tcW w:w="1000" w:type="dxa"/>
            <w:vAlign w:val="bottom"/>
          </w:tcPr>
          <w:p>
            <w:pPr>
              <w:jc w:val="right"/>
              <w:ind w:right="817"/>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cash flows – Liability reduction</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Right of use assets obtained during the period in exchange for</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3"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Lease costs are included in net occupancy and equipment expense in the Consolidated Statements of Income (Unaudited).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Busey was obligated under noncancelable operating leases for office space and other commitments,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513"/>
              <w:spacing w:after="0"/>
              <w:rPr>
                <w:sz w:val="20"/>
                <w:szCs w:val="20"/>
                <w:color w:val="auto"/>
              </w:rPr>
            </w:pPr>
            <w:r>
              <w:rPr>
                <w:rFonts w:ascii="Arial" w:cs="Arial" w:eastAsia="Arial" w:hAnsi="Arial"/>
                <w:sz w:val="14"/>
                <w:szCs w:val="14"/>
                <w:b w:val="1"/>
                <w:bCs w:val="1"/>
                <w:color w:val="auto"/>
              </w:rPr>
              <w:t>As of</w:t>
            </w:r>
          </w:p>
        </w:tc>
      </w:tr>
      <w:tr>
        <w:trPr>
          <w:trHeight w:val="186"/>
        </w:trPr>
        <w:tc>
          <w:tcPr>
            <w:tcW w:w="9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September 30, 2023</w:t>
            </w:r>
          </w:p>
        </w:tc>
      </w:tr>
      <w:tr>
        <w:trPr>
          <w:trHeight w:val="39"/>
        </w:trPr>
        <w:tc>
          <w:tcPr>
            <w:tcW w:w="97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Rent commitments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Remainder of 2023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1,764</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r>
      <w:tr>
        <w:trPr>
          <w:trHeight w:val="243"/>
        </w:trPr>
        <w:tc>
          <w:tcPr>
            <w:tcW w:w="976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5,478</w:t>
            </w:r>
          </w:p>
        </w:tc>
      </w:tr>
      <w:tr>
        <w:trPr>
          <w:trHeight w:val="27"/>
        </w:trPr>
        <w:tc>
          <w:tcPr>
            <w:tcW w:w="9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undiscounted cash flows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13,825</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2,042</w:t>
            </w:r>
          </w:p>
        </w:tc>
      </w:tr>
      <w:tr>
        <w:trPr>
          <w:trHeight w:val="27"/>
        </w:trPr>
        <w:tc>
          <w:tcPr>
            <w:tcW w:w="9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net future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Busey as the Lessor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Busey occasionally leases parking lots and office space to outside parties. Revenues recorded in connection with these leases, reported in Other income on our Consolidated Statements of Income (Unaudited),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86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9"/>
        </w:trPr>
        <w:tc>
          <w:tcPr>
            <w:tcW w:w="5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50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486"/>
        </w:trPr>
        <w:tc>
          <w:tcPr>
            <w:tcW w:w="5040" w:type="dxa"/>
            <w:vAlign w:val="bottom"/>
          </w:tcPr>
          <w:p>
            <w:pPr>
              <w:spacing w:after="0"/>
              <w:rPr>
                <w:sz w:val="20"/>
                <w:szCs w:val="20"/>
                <w:color w:val="auto"/>
              </w:rPr>
            </w:pPr>
            <w:r>
              <w:rPr>
                <w:rFonts w:ascii="Arial" w:cs="Arial" w:eastAsia="Arial" w:hAnsi="Arial"/>
                <w:sz w:val="18"/>
                <w:szCs w:val="18"/>
                <w:b w:val="1"/>
                <w:bCs w:val="1"/>
                <w:color w:val="auto"/>
              </w:rPr>
              <w:t>Note 5: Deposits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80" w:type="dxa"/>
            <w:vAlign w:val="bottom"/>
            <w:gridSpan w:val="2"/>
          </w:tcPr>
          <w:p>
            <w:pPr>
              <w:spacing w:after="0"/>
              <w:rPr>
                <w:sz w:val="20"/>
                <w:szCs w:val="20"/>
                <w:color w:val="auto"/>
              </w:rPr>
            </w:pPr>
            <w:r>
              <w:rPr>
                <w:rFonts w:ascii="Arial" w:cs="Arial" w:eastAsia="Arial" w:hAnsi="Arial"/>
                <w:sz w:val="18"/>
                <w:szCs w:val="18"/>
                <w:color w:val="auto"/>
                <w:w w:val="93"/>
              </w:rPr>
              <w:t xml:space="preserve">The composition of Busey’s deposits is as follows </w:t>
            </w:r>
            <w:r>
              <w:rPr>
                <w:rFonts w:ascii="Arial" w:cs="Arial" w:eastAsia="Arial" w:hAnsi="Arial"/>
                <w:sz w:val="18"/>
                <w:szCs w:val="18"/>
                <w:i w:val="1"/>
                <w:iCs w:val="1"/>
                <w:color w:val="auto"/>
                <w:w w:val="93"/>
              </w:rPr>
              <w:t>(dollars in thousands)</w:t>
            </w:r>
            <w:r>
              <w:rPr>
                <w:rFonts w:ascii="Arial" w:cs="Arial" w:eastAsia="Arial" w:hAnsi="Arial"/>
                <w:sz w:val="18"/>
                <w:szCs w:val="18"/>
                <w:color w:val="auto"/>
                <w:w w:val="93"/>
              </w:rPr>
              <w:t>:</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504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Deposits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Noninterest-bearing demand deposits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2,918,574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3,393,666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Interest-bearing transaction deposits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2,857,818</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Saving deposits and money market deposits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2,890,944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2,964,421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1,666,652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855,375</w:t>
            </w:r>
          </w:p>
        </w:tc>
        <w:tc>
          <w:tcPr>
            <w:tcW w:w="0" w:type="dxa"/>
            <w:vAlign w:val="bottom"/>
          </w:tcPr>
          <w:p>
            <w:pPr>
              <w:spacing w:after="0"/>
              <w:rPr>
                <w:sz w:val="1"/>
                <w:szCs w:val="1"/>
                <w:color w:val="auto"/>
              </w:rPr>
            </w:pP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Total deposits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10,332,362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10,071,280</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vMerge w:val="restart"/>
          </w:tcPr>
          <w:p>
            <w:pPr>
              <w:jc w:val="right"/>
              <w:ind w:right="719"/>
              <w:spacing w:after="0"/>
              <w:rPr>
                <w:sz w:val="20"/>
                <w:szCs w:val="20"/>
                <w:color w:val="auto"/>
              </w:rPr>
            </w:pPr>
            <w:r>
              <w:rPr>
                <w:rFonts w:ascii="Arial" w:cs="Arial" w:eastAsia="Arial" w:hAnsi="Arial"/>
                <w:sz w:val="18"/>
                <w:szCs w:val="18"/>
                <w:color w:val="auto"/>
              </w:rPr>
              <w:t>32</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about Busey’s deposits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36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Brokered savings deposits and money market deposits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Brokered time deposits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amount of time deposits with a minimum denomination of $100,000</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416,445</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w w:val="94"/>
              </w:rPr>
              <w:t>Aggregate amount of time deposits with a minimum denomination that meets or exceeds the FDIC insurance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limit of $250,000</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350,276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120,377</w:t>
            </w:r>
          </w:p>
        </w:tc>
      </w:tr>
      <w:tr>
        <w:trPr>
          <w:trHeight w:val="513"/>
        </w:trPr>
        <w:tc>
          <w:tcPr>
            <w:tcW w:w="8180" w:type="dxa"/>
            <w:vAlign w:val="bottom"/>
          </w:tcPr>
          <w:p>
            <w:pPr>
              <w:spacing w:after="0"/>
              <w:rPr>
                <w:sz w:val="20"/>
                <w:szCs w:val="20"/>
                <w:color w:val="auto"/>
              </w:rPr>
            </w:pPr>
            <w:r>
              <w:rPr>
                <w:rFonts w:ascii="Arial" w:cs="Arial" w:eastAsia="Arial" w:hAnsi="Arial"/>
                <w:sz w:val="18"/>
                <w:szCs w:val="18"/>
                <w:color w:val="auto"/>
              </w:rPr>
              <w:t xml:space="preserve">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2"/>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As of</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September 30, 2023</w:t>
            </w:r>
          </w:p>
        </w:tc>
      </w:tr>
      <w:tr>
        <w:trPr>
          <w:trHeight w:val="53"/>
        </w:trPr>
        <w:tc>
          <w:tcPr>
            <w:tcW w:w="81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deposits by schedule of maturities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Remainder of 2023</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251,302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1,322,335</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52,337</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19,438</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12,888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2028</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1,666,652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Sold Under Agreements to Repurchase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As of</w:t>
            </w:r>
          </w:p>
        </w:tc>
        <w:tc>
          <w:tcPr>
            <w:tcW w:w="1360" w:type="dxa"/>
            <w:vAlign w:val="bottom"/>
          </w:tcPr>
          <w:p>
            <w:pPr>
              <w:spacing w:after="0"/>
              <w:rPr>
                <w:sz w:val="16"/>
                <w:szCs w:val="16"/>
                <w:color w:val="auto"/>
              </w:rPr>
            </w:pPr>
          </w:p>
        </w:tc>
      </w:tr>
      <w:tr>
        <w:trPr>
          <w:trHeight w:val="39"/>
        </w:trPr>
        <w:tc>
          <w:tcPr>
            <w:tcW w:w="7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3"/>
        </w:trPr>
        <w:tc>
          <w:tcPr>
            <w:tcW w:w="7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r>
      <w:tr>
        <w:trPr>
          <w:trHeight w:val="39"/>
        </w:trPr>
        <w:tc>
          <w:tcPr>
            <w:tcW w:w="7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under agreements to repurchase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183,702</w:t>
            </w:r>
          </w:p>
        </w:tc>
        <w:tc>
          <w:tcPr>
            <w:tcW w:w="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229,806</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Weighted average rate for securities sold under agreements to repurchase</w:t>
            </w: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1.91 %</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28, 2021, Busey entered into a Second Amended and Restated Credit Agreement, pursuant to which Busey has access to (i) a $40.0 million revolving line of credit with a termination date of April 30, 2022, and (ii)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loans now have an annual interest rate of 1.80% plus the one-month forward-looking term rate based on SOFR. On April 30, 2023, the agreement was further amended to extend the term for the revolving line of credit to April 30, 2024.</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Proceeds of the term loan were used to fund a part of the cash portion of the merger consideration related to the acquisition of CAC in the second quarter of 2021, and for general corporate purposes. The total outstanding balance on the term loan was $33.0 million as of September 30, 2023, of which $12.0 million was short-term and $21.0 million was long-term. Quarterly payments on the term loan reduce the outstanding principal balance by $3.0 million each quarter.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there was no balance outstanding on the revolving credit facility. The revolving credit facility incurs a non-usage fee based on any undrawn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Busey’s short-term borrowings include loans maturing within one year of the loan origination date, as well as the current portion of long-term debt that is due within 12 months. Short-term borrowings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w w:val="93"/>
              </w:rPr>
              <w:t>FHLB advances maturing in less than one year from date of origination, and the current portion of long-term</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FHLB advances due within 12 months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339,054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Term Loan, current portion due within 12 months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351,054</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Funds borrowed from the FHLB, listed above, consisted of four notes with a weighted average interest rate of 4.28% and a weighted average maturity period of five days as of December 31, 2022.</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Federal funds purchased are short-term borrowings that generally mature between one day and 90 days. During the first quarter of 2023, Busey purchased federal funds to test operational availability to access funds if needed. Busey had no federal funds purchased as of September 30, 2023, or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Busey’s long-term debt consists of loans maturing more than one year from the loan origination date, excluding the current portion that is due within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months. 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Term Loan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Notes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 2020, Busey issued $125.0 million of fixed-to-floating rate subordinated notes that mature on June 1, 2030. The subordinated notes, which qualify as Tier 2 capital for Busey, bear interest at an annual rate of 5.25% for the first five years after issuance and thereafter bear interest at a floating rate equal to a three-month benchmark rate plus a spread of 5.11%, as calculated on each applicable determination date. Interest on the subordinated notes is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(i) 5.000% per annum from the original issue date to, but excluding, June 15, 2027, payable semiannually in arrears, and (ii) a floating rate per annum equal to a benchmark rate, which is expected to be the Three-Month Term SOFR (as defined in the subordinated notes), plus a spread of 252 basis points from and including June 15, 2027, payable quarterly in arrears. The subordinated notes have an optional redemption, in whole or in part, on any interest payment date on or after June 15, 2027.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debt issuance costs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Subordinated notes issued in 2020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Subordinated notes issued in 2022</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unamortized debt issuance costs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2,962</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Regulatory Capital</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 Busey Corporation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Busey's consolidated financial statements. Capital amounts and classification also are subject to qualitative judgments by regulators about components, risk weightings, and other factors.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Banking regulations identify five capital categories for insured depository institutions: well capitalized, adequately capitalized, undercapitalized, significantly undercapitalized, and critically undercapitalized. As of September 30, 2023, and December 31, 2022, all capital ratios of First Busey Corporation and Busey Bank exceeded well capitalized levels under the applicable regulatory capital adequacy guidelines. Management believes that no events or changes have occurred subsequent to September 30, 2023, that would change this designation.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Expected Credit Loss Model</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26, 2020, the FDIC and other federal banking agencies adopted a final rule which provided banking organizations that adopted CECL during 2020 with the option to delay for two years the estimated impact of CECL on regulatory capital and to phase in the aggregate impact of the deferral on regulatory capital over a subsequent three-year period. Under this final rule, because the Company has elected to use the deferral option, the regulatory capital impact of our transition adjustments recorded on January 1, 2020, arising from the adoption of CECL, was deferred for two years. In addition, 25 percent of the ongoing impact of CECL on our ACL, retained earnings, and average total consolidated assets from January 1, 2020, through the end of the two-year deferral period, each as reported for regulatory capital purposes, has been added to the deferred transition amounts (“adjusted transition amounts”) and deferred for the two-year period. On January 1, 2022, at the conclusion of the two-year period, the adjusted transition amounts began to be phased-in for regulatory capital purposes at a rate of 25 percent per year, with the phased-in amounts included in regulatory capital at the beginning of each year.</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Amounts and Ratios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tables summarize regulatory capital requirements applicable to First Busey Corporation and Busey Bank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As of September 30, 2023</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vMerge w:val="restart"/>
          </w:tcPr>
          <w:p>
            <w:pPr>
              <w:jc w:val="center"/>
              <w:ind w:left="456"/>
              <w:spacing w:after="0"/>
              <w:rPr>
                <w:sz w:val="20"/>
                <w:szCs w:val="20"/>
                <w:color w:val="auto"/>
              </w:rPr>
            </w:pPr>
            <w:r>
              <w:rPr>
                <w:rFonts w:ascii="Arial" w:cs="Arial" w:eastAsia="Arial" w:hAnsi="Arial"/>
                <w:sz w:val="14"/>
                <w:szCs w:val="14"/>
                <w:b w:val="1"/>
                <w:bCs w:val="1"/>
                <w:color w:val="auto"/>
              </w:rPr>
              <w:t>Minimum</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Minimum</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To Be Well</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ind w:left="760"/>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Capital Requirement</w:t>
            </w:r>
          </w:p>
        </w:tc>
        <w:tc>
          <w:tcPr>
            <w:tcW w:w="260" w:type="dxa"/>
            <w:vAlign w:val="bottom"/>
          </w:tcPr>
          <w:p>
            <w:pPr>
              <w:spacing w:after="0"/>
              <w:rPr>
                <w:sz w:val="17"/>
                <w:szCs w:val="17"/>
                <w:color w:val="auto"/>
              </w:rPr>
            </w:pPr>
          </w:p>
        </w:tc>
        <w:tc>
          <w:tcPr>
            <w:tcW w:w="14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4"/>
              </w:rPr>
              <w:t>Capitalized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Ratio</w:t>
            </w:r>
          </w:p>
        </w:tc>
        <w:tc>
          <w:tcPr>
            <w:tcW w:w="26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Ratio</w:t>
            </w:r>
          </w:p>
        </w:tc>
        <w:tc>
          <w:tcPr>
            <w:tcW w:w="260" w:type="dxa"/>
            <w:vAlign w:val="bottom"/>
          </w:tcPr>
          <w:p>
            <w:pPr>
              <w:spacing w:after="0"/>
              <w:rPr>
                <w:sz w:val="16"/>
                <w:szCs w:val="16"/>
                <w:color w:val="auto"/>
              </w:rPr>
            </w:pPr>
          </w:p>
        </w:tc>
        <w:tc>
          <w:tcPr>
            <w:tcW w:w="14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39"/>
        </w:trPr>
        <w:tc>
          <w:tcPr>
            <w:tcW w:w="37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4"/>
              </w:rPr>
              <w:t>Common equity Tier 1 capital to risk weighted</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1,144,403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12.52 %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411,165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593,905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409,979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Tier 1 capital to risk weighted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1,218,403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13.33 %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548,220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730,960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 to risk weighted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1,527,627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16.72 %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730,960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913,700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9"/>
              </w:rPr>
              <w:t>Leverage ratio of Tier 1 capital to average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1,218,403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10.08 %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483,272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3"/>
          </w:tcPr>
          <w:p>
            <w:pPr>
              <w:ind w:left="7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905"/>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9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As of December 31, 2022</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vMerge w:val="restart"/>
          </w:tcPr>
          <w:p>
            <w:pPr>
              <w:jc w:val="center"/>
              <w:ind w:left="456"/>
              <w:spacing w:after="0"/>
              <w:rPr>
                <w:sz w:val="20"/>
                <w:szCs w:val="20"/>
                <w:color w:val="auto"/>
              </w:rPr>
            </w:pPr>
            <w:r>
              <w:rPr>
                <w:rFonts w:ascii="Arial" w:cs="Arial" w:eastAsia="Arial" w:hAnsi="Arial"/>
                <w:sz w:val="14"/>
                <w:szCs w:val="14"/>
                <w:b w:val="1"/>
                <w:bCs w:val="1"/>
                <w:color w:val="auto"/>
              </w:rPr>
              <w:t>Minimum</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Minimum</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To Be Well</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ind w:left="760"/>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Capital Requirement</w:t>
            </w:r>
          </w:p>
        </w:tc>
        <w:tc>
          <w:tcPr>
            <w:tcW w:w="260" w:type="dxa"/>
            <w:vAlign w:val="bottom"/>
          </w:tcPr>
          <w:p>
            <w:pPr>
              <w:spacing w:after="0"/>
              <w:rPr>
                <w:sz w:val="16"/>
                <w:szCs w:val="16"/>
                <w:color w:val="auto"/>
              </w:rPr>
            </w:pPr>
          </w:p>
        </w:tc>
        <w:tc>
          <w:tcPr>
            <w:tcW w:w="14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4"/>
              </w:rPr>
              <w:t>Capitalized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Ratio</w:t>
            </w:r>
          </w:p>
        </w:tc>
        <w:tc>
          <w:tcPr>
            <w:tcW w:w="26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Ratio</w:t>
            </w:r>
          </w:p>
        </w:tc>
        <w:tc>
          <w:tcPr>
            <w:tcW w:w="260" w:type="dxa"/>
            <w:vAlign w:val="bottom"/>
          </w:tcPr>
          <w:p>
            <w:pPr>
              <w:spacing w:after="0"/>
              <w:rPr>
                <w:sz w:val="16"/>
                <w:szCs w:val="16"/>
                <w:color w:val="auto"/>
              </w:rPr>
            </w:pPr>
          </w:p>
        </w:tc>
        <w:tc>
          <w:tcPr>
            <w:tcW w:w="14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39"/>
        </w:trPr>
        <w:tc>
          <w:tcPr>
            <w:tcW w:w="37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4"/>
              </w:rPr>
              <w:t>Common equity Tier 1 capital to risk weighted</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1,081,686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11.96 %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406,980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587,861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Tier 1 capital to risk weighted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1,155,686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12.78 %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542,640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723,521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 to risk weighted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1,457,994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16.12 %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723,521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904,401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721,308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9"/>
              </w:rPr>
              <w:t>Leverage ratio of Tier 1 capital to average 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1,155,686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9.45 %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489,124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3"/>
          </w:tcPr>
          <w:p>
            <w:pPr>
              <w:ind w:left="7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Busey Bank</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1,306,716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Conservation Buffer</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common equity Tier 1 capital to risk-weighted assets of at least 7.0%, (ii) Tier 1 capital to risk-weighted assets of at least 8.5%, and (iii) total capital to risk-weighted assets of at least 10.5%.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Busey has outstanding stock options assumed from acquisitions. A summary of the status of, and changes in, the Company's stock option awards for the nine months ended September 30, 2023,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75"/>
        </w:trPr>
        <w:tc>
          <w:tcPr>
            <w:tcW w:w="6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6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75"/>
        </w:trPr>
        <w:tc>
          <w:tcPr>
            <w:tcW w:w="6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r>
      <w:tr>
        <w:trPr>
          <w:trHeight w:val="186"/>
        </w:trPr>
        <w:tc>
          <w:tcPr>
            <w:tcW w:w="6600" w:type="dxa"/>
            <w:vAlign w:val="bottom"/>
          </w:tcPr>
          <w:p>
            <w:pPr>
              <w:spacing w:after="0"/>
              <w:rPr>
                <w:sz w:val="16"/>
                <w:szCs w:val="16"/>
                <w:color w:val="auto"/>
              </w:rPr>
            </w:pPr>
          </w:p>
        </w:tc>
        <w:tc>
          <w:tcPr>
            <w:tcW w:w="1480" w:type="dxa"/>
            <w:vAlign w:val="bottom"/>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39"/>
        </w:trPr>
        <w:tc>
          <w:tcPr>
            <w:tcW w:w="66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3"/>
        </w:trPr>
        <w:tc>
          <w:tcPr>
            <w:tcW w:w="660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at September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66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2020 Equity Plan</w:t>
      </w:r>
    </w:p>
    <w:p>
      <w:pPr>
        <w:spacing w:after="0" w:line="185" w:lineRule="exact"/>
        <w:rPr>
          <w:sz w:val="20"/>
          <w:szCs w:val="20"/>
          <w:color w:val="auto"/>
        </w:rPr>
      </w:pPr>
    </w:p>
    <w:p>
      <w:pPr>
        <w:jc w:val="both"/>
        <w:spacing w:after="0" w:line="275" w:lineRule="auto"/>
        <w:rPr>
          <w:rFonts w:ascii="Arial" w:cs="Arial" w:eastAsia="Arial" w:hAnsi="Arial"/>
          <w:sz w:val="17"/>
          <w:szCs w:val="17"/>
          <w:color w:val="000000"/>
        </w:rPr>
      </w:pPr>
      <w:r>
        <w:rPr>
          <w:rFonts w:ascii="Arial" w:cs="Arial" w:eastAsia="Arial" w:hAnsi="Arial"/>
          <w:sz w:val="17"/>
          <w:szCs w:val="17"/>
          <w:color w:val="auto"/>
        </w:rPr>
        <w:t xml:space="preserve">The 2020 Equity Plan was approved by stockholders at the 2020 Annual Meeting of Stockholders. A description of the 2020 Equity Plan can be found in </w:t>
      </w:r>
      <w:hyperlink r:id="rId62">
        <w:r>
          <w:rPr>
            <w:rFonts w:ascii="Arial" w:cs="Arial" w:eastAsia="Arial" w:hAnsi="Arial"/>
            <w:sz w:val="17"/>
            <w:szCs w:val="17"/>
            <w:u w:val="single" w:color="auto"/>
            <w:color w:val="0000FF"/>
          </w:rPr>
          <w:t>Appendix A</w:t>
        </w:r>
        <w:r>
          <w:rPr>
            <w:rFonts w:ascii="Arial" w:cs="Arial" w:eastAsia="Arial" w:hAnsi="Arial"/>
            <w:sz w:val="17"/>
            <w:szCs w:val="17"/>
            <w:color w:val="0000FF"/>
          </w:rPr>
          <w:t xml:space="preserve"> </w:t>
        </w:r>
      </w:hyperlink>
      <w:r>
        <w:rPr>
          <w:rFonts w:ascii="Arial" w:cs="Arial" w:eastAsia="Arial" w:hAnsi="Arial"/>
          <w:sz w:val="17"/>
          <w:szCs w:val="17"/>
          <w:color w:val="000000"/>
        </w:rPr>
        <w:t>within</w:t>
      </w:r>
      <w:r>
        <w:rPr>
          <w:rFonts w:ascii="Arial" w:cs="Arial" w:eastAsia="Arial" w:hAnsi="Arial"/>
          <w:sz w:val="17"/>
          <w:szCs w:val="17"/>
          <w:color w:val="0000FF"/>
        </w:rPr>
        <w:t xml:space="preserve"> </w:t>
      </w:r>
      <w:hyperlink r:id="rId63">
        <w:r>
          <w:rPr>
            <w:rFonts w:ascii="Arial" w:cs="Arial" w:eastAsia="Arial" w:hAnsi="Arial"/>
            <w:sz w:val="17"/>
            <w:szCs w:val="17"/>
            <w:u w:val="single" w:color="auto"/>
            <w:color w:val="0000FF"/>
          </w:rPr>
          <w:t>Busey’s Proxy Statement for the 2020 Annual Meeting of Stockholders filed on April 9, 2020</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The Amended 2020 Equity Plan was</w:t>
      </w:r>
      <w:r>
        <w:rPr>
          <w:rFonts w:ascii="Arial" w:cs="Arial" w:eastAsia="Arial" w:hAnsi="Arial"/>
          <w:sz w:val="17"/>
          <w:szCs w:val="17"/>
          <w:color w:val="0000FF"/>
        </w:rPr>
        <w:t xml:space="preserve"> </w:t>
      </w:r>
      <w:r>
        <w:rPr>
          <w:rFonts w:ascii="Arial" w:cs="Arial" w:eastAsia="Arial" w:hAnsi="Arial"/>
          <w:sz w:val="17"/>
          <w:szCs w:val="17"/>
          <w:color w:val="000000"/>
        </w:rPr>
        <w:t xml:space="preserve">approved by stockholders at the 2023 Annual Meeting of Stockholders. The terms of the Amended 2020 Equity Plan are substantially identical to those of the stockholder approved 2020 Equity Plan, other than a 1,350,000 increase in the number of shares authorized for issuance under the plan. More information can be found in </w:t>
      </w:r>
      <w:hyperlink r:id="rId64">
        <w:r>
          <w:rPr>
            <w:rFonts w:ascii="Arial" w:cs="Arial" w:eastAsia="Arial" w:hAnsi="Arial"/>
            <w:sz w:val="17"/>
            <w:szCs w:val="17"/>
            <w:u w:val="single" w:color="auto"/>
            <w:color w:val="0000FF"/>
          </w:rPr>
          <w:t>Appendix A</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 xml:space="preserve">within </w:t>
      </w:r>
      <w:hyperlink r:id="rId65">
        <w:r>
          <w:rPr>
            <w:rFonts w:ascii="Arial" w:cs="Arial" w:eastAsia="Arial" w:hAnsi="Arial"/>
            <w:sz w:val="17"/>
            <w:szCs w:val="17"/>
            <w:u w:val="single" w:color="auto"/>
            <w:color w:val="0000FF"/>
          </w:rPr>
          <w:t>Busey’s Proxy Statement for the 2023 Annual Meeting of Stockholders filed on April 14, 2023</w:t>
        </w:r>
      </w:hyperlink>
      <w:r>
        <w:rPr>
          <w:rFonts w:ascii="Arial" w:cs="Arial" w:eastAsia="Arial" w:hAnsi="Arial"/>
          <w:sz w:val="17"/>
          <w:szCs w:val="17"/>
          <w:color w:val="000000"/>
        </w:rPr>
        <w:t>.</w:t>
      </w:r>
    </w:p>
    <w:p>
      <w:pPr>
        <w:spacing w:after="0" w:line="149" w:lineRule="exact"/>
        <w:rPr>
          <w:rFonts w:ascii="Arial" w:cs="Arial" w:eastAsia="Arial" w:hAnsi="Arial"/>
          <w:sz w:val="17"/>
          <w:szCs w:val="17"/>
          <w:color w:val="0000FF"/>
        </w:rPr>
      </w:pPr>
    </w:p>
    <w:p>
      <w:pPr>
        <w:jc w:val="both"/>
        <w:spacing w:after="0" w:line="342" w:lineRule="auto"/>
        <w:rPr>
          <w:sz w:val="20"/>
          <w:szCs w:val="20"/>
          <w:color w:val="auto"/>
        </w:rPr>
      </w:pPr>
      <w:r>
        <w:rPr>
          <w:rFonts w:ascii="Arial" w:cs="Arial" w:eastAsia="Arial" w:hAnsi="Arial"/>
          <w:sz w:val="16"/>
          <w:szCs w:val="16"/>
          <w:color w:val="auto"/>
        </w:rPr>
        <w:t>Under the terms of the 2020 Equity Plan, Busey has granted RSU, PSU, and DSU awards. Upon vesting and delivery, shares are expected, though not required, to be issued from treasury. There were 1,525,987 shares available for issuance under the Amended 2020 Equity Plan as of September 30, 2023.</w:t>
      </w:r>
    </w:p>
    <w:p>
      <w:pPr>
        <w:spacing w:after="0" w:line="83" w:lineRule="exact"/>
        <w:rPr>
          <w:rFonts w:ascii="Arial" w:cs="Arial" w:eastAsia="Arial" w:hAnsi="Arial"/>
          <w:sz w:val="17"/>
          <w:szCs w:val="17"/>
          <w:color w:val="0000FF"/>
        </w:rPr>
      </w:pPr>
    </w:p>
    <w:p>
      <w:pPr>
        <w:spacing w:after="0"/>
        <w:rPr>
          <w:sz w:val="20"/>
          <w:szCs w:val="20"/>
          <w:color w:val="auto"/>
        </w:rPr>
      </w:pPr>
      <w:r>
        <w:rPr>
          <w:rFonts w:ascii="Arial" w:cs="Arial" w:eastAsia="Arial" w:hAnsi="Arial"/>
          <w:sz w:val="18"/>
          <w:szCs w:val="18"/>
          <w:u w:val="single" w:color="auto"/>
          <w:color w:val="auto"/>
        </w:rPr>
        <w:t>RSU Awards</w:t>
      </w:r>
    </w:p>
    <w:p>
      <w:pPr>
        <w:spacing w:after="0" w:line="185" w:lineRule="exact"/>
        <w:rPr>
          <w:rFonts w:ascii="Arial" w:cs="Arial" w:eastAsia="Arial" w:hAnsi="Arial"/>
          <w:sz w:val="17"/>
          <w:szCs w:val="17"/>
          <w:color w:val="0000FF"/>
        </w:rPr>
      </w:pPr>
    </w:p>
    <w:p>
      <w:pPr>
        <w:jc w:val="both"/>
        <w:spacing w:after="0" w:line="259" w:lineRule="auto"/>
        <w:rPr>
          <w:sz w:val="20"/>
          <w:szCs w:val="20"/>
          <w:color w:val="auto"/>
        </w:rPr>
      </w:pPr>
      <w:r>
        <w:rPr>
          <w:rFonts w:ascii="Arial" w:cs="Arial" w:eastAsia="Arial" w:hAnsi="Arial"/>
          <w:sz w:val="18"/>
          <w:szCs w:val="18"/>
          <w:color w:val="auto"/>
        </w:rPr>
        <w:t>Busey grants RSUs to members of management periodically throughout the year. Each RSU is equivalent to one share of Busey’s common stock. These units have requisite service periods ranging from one year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60" w:lineRule="exact"/>
        <w:rPr>
          <w:rFonts w:ascii="Arial" w:cs="Arial" w:eastAsia="Arial" w:hAnsi="Arial"/>
          <w:sz w:val="17"/>
          <w:szCs w:val="17"/>
          <w:color w:val="0000FF"/>
        </w:rPr>
      </w:pPr>
    </w:p>
    <w:p>
      <w:pPr>
        <w:jc w:val="both"/>
        <w:spacing w:after="0" w:line="259" w:lineRule="auto"/>
        <w:rPr>
          <w:sz w:val="20"/>
          <w:szCs w:val="20"/>
          <w:color w:val="auto"/>
        </w:rPr>
      </w:pPr>
      <w:r>
        <w:rPr>
          <w:rFonts w:ascii="Arial" w:cs="Arial" w:eastAsia="Arial" w:hAnsi="Arial"/>
          <w:sz w:val="18"/>
          <w:szCs w:val="18"/>
          <w:color w:val="auto"/>
        </w:rPr>
        <w:t>On March 22, 2023, under the terms of the 2020 Equity Plan, Busey granted 224,316 RSUs to members of management. The grant date fair value of the award totaled $4.6 million and will be recognized as compensation expense over the requisite service period ranging from one year to five years. The terms of these awards included an accelerated vesting provision upon eligible retirement from the Company, after a one-year minimum requisite service period. Subsequent to the requisite service period, the awards will become 100% vested.</w:t>
      </w:r>
    </w:p>
    <w:p>
      <w:pPr>
        <w:spacing w:after="0" w:line="146" w:lineRule="exact"/>
        <w:rPr>
          <w:rFonts w:ascii="Arial" w:cs="Arial" w:eastAsia="Arial" w:hAnsi="Arial"/>
          <w:sz w:val="17"/>
          <w:szCs w:val="17"/>
          <w:color w:val="0000FF"/>
        </w:rPr>
      </w:pPr>
    </w:p>
    <w:p>
      <w:pPr>
        <w:spacing w:after="0"/>
        <w:rPr>
          <w:sz w:val="20"/>
          <w:szCs w:val="20"/>
          <w:color w:val="auto"/>
        </w:rPr>
      </w:pPr>
      <w:r>
        <w:rPr>
          <w:rFonts w:ascii="Arial" w:cs="Arial" w:eastAsia="Arial" w:hAnsi="Arial"/>
          <w:sz w:val="18"/>
          <w:szCs w:val="18"/>
          <w:color w:val="auto"/>
        </w:rPr>
        <w:t>A summary of changes in Busey’s RSU awards for the nine months ended September 30, 2023, is as follows:</w:t>
      </w:r>
    </w:p>
    <w:p>
      <w:pPr>
        <w:spacing w:after="0" w:line="230" w:lineRule="exact"/>
        <w:rPr>
          <w:rFonts w:ascii="Arial" w:cs="Arial" w:eastAsia="Arial" w:hAnsi="Arial"/>
          <w:sz w:val="17"/>
          <w:szCs w:val="17"/>
          <w:color w:val="0000FF"/>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RSU Awards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9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48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9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2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1,096,931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224,316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(150,806)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Nonvested at September 30,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1,200,137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rFonts w:ascii="Arial" w:cs="Arial" w:eastAsia="Arial" w:hAnsi="Arial"/>
          <w:sz w:val="17"/>
          <w:szCs w:val="17"/>
          <w:color w:val="0000FF"/>
        </w:rPr>
      </w:pPr>
    </w:p>
    <w:p>
      <w:pPr>
        <w:spacing w:after="0"/>
        <w:rPr>
          <w:sz w:val="20"/>
          <w:szCs w:val="20"/>
          <w:color w:val="auto"/>
        </w:rPr>
      </w:pPr>
      <w:r>
        <w:rPr>
          <w:rFonts w:ascii="Arial" w:cs="Arial" w:eastAsia="Arial" w:hAnsi="Arial"/>
          <w:sz w:val="18"/>
          <w:szCs w:val="18"/>
          <w:u w:val="single" w:color="auto"/>
          <w:color w:val="auto"/>
        </w:rPr>
        <w:t>PSU Awards</w:t>
      </w:r>
    </w:p>
    <w:p>
      <w:pPr>
        <w:spacing w:after="0" w:line="198" w:lineRule="exact"/>
        <w:rPr>
          <w:rFonts w:ascii="Arial" w:cs="Arial" w:eastAsia="Arial" w:hAnsi="Arial"/>
          <w:sz w:val="17"/>
          <w:szCs w:val="17"/>
          <w:color w:val="0000FF"/>
        </w:rPr>
      </w:pPr>
    </w:p>
    <w:p>
      <w:pPr>
        <w:jc w:val="both"/>
        <w:spacing w:after="0" w:line="311" w:lineRule="auto"/>
        <w:rPr>
          <w:sz w:val="20"/>
          <w:szCs w:val="20"/>
          <w:color w:val="auto"/>
        </w:rPr>
      </w:pPr>
      <w:r>
        <w:rPr>
          <w:rFonts w:ascii="Arial" w:cs="Arial" w:eastAsia="Arial" w:hAnsi="Arial"/>
          <w:sz w:val="16"/>
          <w:szCs w:val="16"/>
          <w:color w:val="auto"/>
        </w:rPr>
        <w:t>Busey grants PSUs, which are restricted stock units that are subject to certain performance criteria, to members of management periodically throughout the year. Each PSU is equivalent to one share of Busey’s common stock. The number of units that ultimately vest will be determined based on the achievement of the market or other performance goals, subject to accelerated service-based vesting conditions upon eligible retirement from the Company.</w:t>
      </w:r>
    </w:p>
    <w:p>
      <w:pPr>
        <w:spacing w:after="0" w:line="108" w:lineRule="exact"/>
        <w:rPr>
          <w:rFonts w:ascii="Arial" w:cs="Arial" w:eastAsia="Arial" w:hAnsi="Arial"/>
          <w:sz w:val="17"/>
          <w:szCs w:val="17"/>
          <w:color w:val="0000FF"/>
        </w:rPr>
      </w:pPr>
    </w:p>
    <w:p>
      <w:pPr>
        <w:jc w:val="both"/>
        <w:spacing w:after="0" w:line="259" w:lineRule="auto"/>
        <w:rPr>
          <w:sz w:val="20"/>
          <w:szCs w:val="20"/>
          <w:color w:val="auto"/>
        </w:rPr>
      </w:pPr>
      <w:r>
        <w:rPr>
          <w:rFonts w:ascii="Arial" w:cs="Arial" w:eastAsia="Arial" w:hAnsi="Arial"/>
          <w:sz w:val="18"/>
          <w:szCs w:val="18"/>
          <w:color w:val="auto"/>
        </w:rPr>
        <w:t>On March 22, 2023, under the terms of the 2020 Equity Plan, Busey granted a target of 104,643 PSUs with a maximum award of 167,429 units. The actual number of units issued at the vesting date could range from 0% to 160% of the initial grant, depending on attaining a market-based total stockholder return performance goal. The grant date fair value of the award was $2.0 million and will be recognized in compensation expense over the performance period ending December 31, 2025.</w:t>
      </w:r>
    </w:p>
    <w:p>
      <w:pPr>
        <w:spacing w:after="0" w:line="200" w:lineRule="exact"/>
        <w:rPr>
          <w:rFonts w:ascii="Arial" w:cs="Arial" w:eastAsia="Arial" w:hAnsi="Arial"/>
          <w:sz w:val="17"/>
          <w:szCs w:val="17"/>
          <w:color w:val="0000FF"/>
        </w:rPr>
      </w:pPr>
    </w:p>
    <w:p>
      <w:pPr>
        <w:spacing w:after="0" w:line="365" w:lineRule="exact"/>
        <w:rPr>
          <w:rFonts w:ascii="Arial" w:cs="Arial" w:eastAsia="Arial" w:hAnsi="Arial"/>
          <w:sz w:val="17"/>
          <w:szCs w:val="17"/>
          <w:color w:val="0000FF"/>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22, 2023, under the terms of the 2020 Equity Plan, Busey granted a target of 104,643 PSUs with a maximum award of 167,429 units. The actual number of units issued at the vesting date could range from 0% to 160% of the initial grant, depending on attaining an adjusted return on average tangible common equity performance goal. The grant date fair value of the award was $2.1 million and will be recognized in compensation expense over the performance period ending December 31, 2025. The actual amount of compensation expense recognized may vary, subject to achievement of the performance goal.</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22, 2023, under the terms of the 2020 Equity Plan, Busey granted a target of 15,045 PSUs with a maximum award of 30,090 units. The actual number of units issued at the vesting date could range from 0% to 200% of the initial grant, depending on attaining a performance goal based upon the compounded annual revenue growth rate of the FirsTech operating segment. The grant date fair value of the award was $0.3 million and will be recognized in compensation expense over the performance period ending December 31, 2025, subject to achievement of the performance goal.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Busey’s PSU awards for the nine months ended September 30, 2023,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1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PSU Awards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9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4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center"/>
              <w:ind w:right="29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25"/>
        </w:trPr>
        <w:tc>
          <w:tcPr>
            <w:tcW w:w="38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285,351</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224,331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7"/>
        </w:trPr>
        <w:tc>
          <w:tcPr>
            <w:tcW w:w="81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3"/>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(13,155)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7"/>
        </w:trPr>
        <w:tc>
          <w:tcPr>
            <w:tcW w:w="81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6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Nonvested at September 30,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456,460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 w:type="dxa"/>
            <w:vAlign w:val="bottom"/>
            <w:shd w:val="clear" w:color="auto" w:fill="CCEEFF"/>
          </w:tcPr>
          <w:p>
            <w:pPr>
              <w:spacing w:after="0"/>
              <w:rPr>
                <w:sz w:val="20"/>
                <w:szCs w:val="20"/>
                <w:color w:val="auto"/>
              </w:rPr>
            </w:pPr>
          </w:p>
        </w:tc>
        <w:tc>
          <w:tcPr>
            <w:tcW w:w="78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Vested and outstanding at September 30, 2023²</w:t>
            </w:r>
          </w:p>
        </w:tc>
        <w:tc>
          <w:tcPr>
            <w:tcW w:w="1480" w:type="dxa"/>
            <w:vAlign w:val="bottom"/>
          </w:tcPr>
          <w:p>
            <w:pPr>
              <w:jc w:val="right"/>
              <w:spacing w:after="0"/>
              <w:rPr>
                <w:sz w:val="20"/>
                <w:szCs w:val="20"/>
                <w:color w:val="auto"/>
              </w:rPr>
            </w:pPr>
            <w:r>
              <w:rPr>
                <w:rFonts w:ascii="Arial" w:cs="Arial" w:eastAsia="Arial" w:hAnsi="Arial"/>
                <w:sz w:val="18"/>
                <w:szCs w:val="18"/>
                <w:color w:val="auto"/>
              </w:rPr>
              <w:t>13,063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65"/>
        </w:trPr>
        <w:tc>
          <w:tcPr>
            <w:tcW w:w="8180" w:type="dxa"/>
            <w:vAlign w:val="bottom"/>
            <w:gridSpan w:val="2"/>
          </w:tcPr>
          <w:p>
            <w:pPr>
              <w:spacing w:after="0"/>
              <w:rPr>
                <w:sz w:val="20"/>
                <w:szCs w:val="20"/>
                <w:color w:val="auto"/>
              </w:rPr>
            </w:pPr>
            <w:r>
              <w:rPr>
                <w:rFonts w:ascii="Arial" w:cs="Arial" w:eastAsia="Arial" w:hAnsi="Arial"/>
                <w:sz w:val="14"/>
                <w:szCs w:val="14"/>
                <w:color w:val="auto"/>
              </w:rPr>
              <w:t>___________________________________________</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80" w:type="dxa"/>
            <w:vAlign w:val="bottom"/>
          </w:tcPr>
          <w:p>
            <w:pPr>
              <w:ind w:left="180"/>
              <w:spacing w:after="0"/>
              <w:rPr>
                <w:sz w:val="20"/>
                <w:szCs w:val="20"/>
                <w:color w:val="auto"/>
              </w:rPr>
            </w:pPr>
            <w:r>
              <w:rPr>
                <w:rFonts w:ascii="Arial" w:cs="Arial" w:eastAsia="Arial" w:hAnsi="Arial"/>
                <w:sz w:val="14"/>
                <w:szCs w:val="14"/>
                <w:color w:val="auto"/>
              </w:rPr>
              <w:t>1.</w:t>
            </w:r>
          </w:p>
        </w:tc>
        <w:tc>
          <w:tcPr>
            <w:tcW w:w="7800" w:type="dxa"/>
            <w:vAlign w:val="bottom"/>
          </w:tcPr>
          <w:p>
            <w:pPr>
              <w:ind w:left="120"/>
              <w:spacing w:after="0"/>
              <w:rPr>
                <w:sz w:val="20"/>
                <w:szCs w:val="20"/>
                <w:color w:val="auto"/>
              </w:rPr>
            </w:pPr>
            <w:r>
              <w:rPr>
                <w:rFonts w:ascii="Arial" w:cs="Arial" w:eastAsia="Arial" w:hAnsi="Arial"/>
                <w:sz w:val="14"/>
                <w:szCs w:val="14"/>
                <w:color w:val="auto"/>
              </w:rPr>
              <w:t>Shares for PSU awards represent target shares at the grant date.</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Pr>
          <w:p>
            <w:pPr>
              <w:ind w:left="180"/>
              <w:spacing w:after="0"/>
              <w:rPr>
                <w:sz w:val="20"/>
                <w:szCs w:val="20"/>
                <w:color w:val="auto"/>
              </w:rPr>
            </w:pPr>
            <w:r>
              <w:rPr>
                <w:rFonts w:ascii="Arial" w:cs="Arial" w:eastAsia="Arial" w:hAnsi="Arial"/>
                <w:sz w:val="14"/>
                <w:szCs w:val="14"/>
                <w:color w:val="auto"/>
              </w:rPr>
              <w:t>2.</w:t>
            </w:r>
          </w:p>
        </w:tc>
        <w:tc>
          <w:tcPr>
            <w:tcW w:w="7800" w:type="dxa"/>
            <w:vAlign w:val="bottom"/>
          </w:tcPr>
          <w:p>
            <w:pPr>
              <w:ind w:left="120"/>
              <w:spacing w:after="0"/>
              <w:rPr>
                <w:sz w:val="20"/>
                <w:szCs w:val="20"/>
                <w:color w:val="auto"/>
              </w:rPr>
            </w:pPr>
            <w:r>
              <w:rPr>
                <w:rFonts w:ascii="Arial" w:cs="Arial" w:eastAsia="Arial" w:hAnsi="Arial"/>
                <w:sz w:val="14"/>
                <w:szCs w:val="14"/>
                <w:color w:val="auto"/>
              </w:rPr>
              <w:t>Reported at target, as performance determination and settlement activity will take place in the fourth quarter of 2023.</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DSU Awards</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Busey grants DSUs, which are restricted stock units with a deferred settlement date, to its directors and advisory directors. Each DSU is equivalent to one share of Busey’s common stock. DSUs vest over a one-year period following the grant date. Under both the 2020 Equity Plan and the Amended 2020 Equity Plan, DSUs are generally are subject to the same terms as RSUs, except that following vesting of DSUs, settlement occurs within 30 days following the earlier of separation from the board or a change in control of the Company. After vesting and prior to delivery, these units will continue to earn dividend equivalents.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22, 2023, under the terms of the 2020 Equity Plan, Busey granted 41,548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Busey’s DSU awards for the nine months ended September 30, 2023,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DSU Awards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7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97"/>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15"/>
                <w:szCs w:val="15"/>
                <w:color w:val="auto"/>
              </w:rPr>
            </w:pPr>
          </w:p>
        </w:tc>
        <w:tc>
          <w:tcPr>
            <w:tcW w:w="148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ind w:right="29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right="2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31,085</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41,548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(36,078)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Nonvested at September 30, 2023</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Vested and outstanding at September 30, 2023</w:t>
            </w:r>
          </w:p>
        </w:tc>
        <w:tc>
          <w:tcPr>
            <w:tcW w:w="1480" w:type="dxa"/>
            <w:vAlign w:val="bottom"/>
          </w:tcPr>
          <w:p>
            <w:pPr>
              <w:jc w:val="right"/>
              <w:spacing w:after="0"/>
              <w:rPr>
                <w:sz w:val="20"/>
                <w:szCs w:val="20"/>
                <w:color w:val="auto"/>
              </w:rPr>
            </w:pPr>
            <w:r>
              <w:rPr>
                <w:rFonts w:ascii="Arial" w:cs="Arial" w:eastAsia="Arial" w:hAnsi="Arial"/>
                <w:sz w:val="18"/>
                <w:szCs w:val="18"/>
                <w:color w:val="auto"/>
              </w:rPr>
              <w:t>142,347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98" w:lineRule="exact"/>
        <w:rPr>
          <w:sz w:val="20"/>
          <w:szCs w:val="20"/>
          <w:color w:val="auto"/>
        </w:rPr>
      </w:pPr>
    </w:p>
    <w:p>
      <w:pPr>
        <w:jc w:val="both"/>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The First Busey Corporation 2021 ESPP was approved at Busey’s 2021 Annual Meeting of Stockholders and details can be found in </w:t>
      </w:r>
      <w:hyperlink r:id="rId68">
        <w:r>
          <w:rPr>
            <w:rFonts w:ascii="Arial" w:cs="Arial" w:eastAsia="Arial" w:hAnsi="Arial"/>
            <w:sz w:val="18"/>
            <w:szCs w:val="18"/>
            <w:u w:val="single" w:color="auto"/>
            <w:color w:val="0000FF"/>
          </w:rPr>
          <w:t>Appendix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within </w:t>
      </w:r>
      <w:hyperlink r:id="rId69">
        <w:r>
          <w:rPr>
            <w:rFonts w:ascii="Arial" w:cs="Arial" w:eastAsia="Arial" w:hAnsi="Arial"/>
            <w:sz w:val="18"/>
            <w:szCs w:val="18"/>
            <w:u w:val="single" w:color="auto"/>
            <w:color w:val="0000FF"/>
          </w:rPr>
          <w:t>First Busey’s Definitive Proxy Statement filed with the SEC on April 8, 2021</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The purpose of the 2021 ESPP is to provide a means through which our</w:t>
      </w:r>
      <w:r>
        <w:rPr>
          <w:rFonts w:ascii="Arial" w:cs="Arial" w:eastAsia="Arial" w:hAnsi="Arial"/>
          <w:sz w:val="18"/>
          <w:szCs w:val="18"/>
          <w:color w:val="0000FF"/>
        </w:rPr>
        <w:t xml:space="preserve"> </w:t>
      </w:r>
      <w:r>
        <w:rPr>
          <w:rFonts w:ascii="Arial" w:cs="Arial" w:eastAsia="Arial" w:hAnsi="Arial"/>
          <w:sz w:val="18"/>
          <w:szCs w:val="18"/>
          <w:color w:val="000000"/>
        </w:rPr>
        <w:t>employees may acquire a proprietary interest in the Company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2021 ESPP initially reserved for issuance and purchase an aggregate of 600,000 shares of Busey’s common stock. The first offering under the 2021 ESPP began on July 1, 2021. There were 460,340 shares available for issuance under the 2021 ESPP as of September 30, 2023.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Busey did not record any stock option compensation expense for the three or nine months ended September 30, 2023, or 2022. As of September 30, 2023, the Company did not have any unrecognized stock option compensation expense.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Busey recognized compensation expense related to nonvested RSU, PSU, and DSU awards, as well as the 2021 ESPP, as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39"/>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RSU awards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3,521</w:t>
            </w: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PSU awards</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DSU awards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2021 ESPP</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64"/>
        </w:trPr>
        <w:tc>
          <w:tcPr>
            <w:tcW w:w="50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6,721</w:t>
            </w:r>
          </w:p>
        </w:tc>
      </w:tr>
      <w:tr>
        <w:trPr>
          <w:trHeight w:val="20"/>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jc w:val="both"/>
        <w:ind w:left="500" w:hanging="330"/>
        <w:spacing w:after="0" w:line="272"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 for PSU awards with a market-based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Unamortized compensation expense related to nonvested RSU, PSU, and DSU awards is summarized in the table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stock-based 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RSU awards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8,570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PSU awards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DSU awards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unamortized stock-based compensation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period over which expense is to be recognized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9"/>
              </w:rPr>
              <w:t>2.5 years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years</w:t>
            </w:r>
          </w:p>
        </w:tc>
      </w:tr>
      <w:tr>
        <w:trPr>
          <w:trHeight w:val="258"/>
        </w:trPr>
        <w:tc>
          <w:tcPr>
            <w:tcW w:w="8180" w:type="dxa"/>
            <w:vAlign w:val="bottom"/>
          </w:tcPr>
          <w:p>
            <w:pPr>
              <w:spacing w:after="0"/>
              <w:rPr>
                <w:sz w:val="20"/>
                <w:szCs w:val="20"/>
                <w:color w:val="auto"/>
              </w:rPr>
            </w:pPr>
            <w:r>
              <w:rPr>
                <w:rFonts w:ascii="Arial" w:cs="Arial" w:eastAsia="Arial" w:hAnsi="Arial"/>
                <w:sz w:val="14"/>
                <w:szCs w:val="14"/>
                <w:color w:val="auto"/>
              </w:rPr>
              <w:t>___________________________________________</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bl>
    <w:p>
      <w:pPr>
        <w:jc w:val="both"/>
        <w:ind w:left="500" w:hanging="330"/>
        <w:spacing w:after="0" w:line="262"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Unamortized expense for PSU awards with a market-based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Outstanding Commitments and Contingent Liabilities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Busey is a party to legal actions which arise in the normal course of its business activities. Legal and administrative proceedings are subject to inherent uncertainties, and while unfavorable outcomes could occur, Busey does not believe at this time that any potential liabilities relating to pending or potential legal matters are likely to have a material impact on Busey's results of operations or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Commitments and Contingencies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summary of the contractual amount of Busey’s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0"/>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7"/>
              <w:spacing w:after="0" w:line="160" w:lineRule="exact"/>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53"/>
        </w:trPr>
        <w:tc>
          <w:tcPr>
            <w:tcW w:w="8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instruments whose contract amounts represent credit risk</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Commitments to extend credit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2,130,938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1,991,769</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Standby letters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33,008</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commitments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2,167,785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2,024,777</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risk participation agreements, and foreign currency exchange contracts with customers and other third parties. See “</w:t>
      </w:r>
      <w:r>
        <w:rPr>
          <w:rFonts w:ascii="Arial" w:cs="Arial" w:eastAsia="Arial" w:hAnsi="Arial"/>
          <w:sz w:val="18"/>
          <w:szCs w:val="18"/>
          <w:i w:val="1"/>
          <w:iCs w:val="1"/>
          <w:u w:val="single" w:color="auto"/>
          <w:color w:val="0000FF"/>
        </w:rPr>
        <w:t>Note 11: Fair Value Measurements</w:t>
      </w:r>
      <w:r>
        <w:rPr>
          <w:rFonts w:ascii="Arial" w:cs="Arial" w:eastAsia="Arial" w:hAnsi="Arial"/>
          <w:sz w:val="18"/>
          <w:szCs w:val="18"/>
          <w:color w:val="auto"/>
        </w:rPr>
        <w:t>” for further discussion of the fair value measurement of such derivatives.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secure its obligations under derivative contracts, Busey pledged cash and held collateral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pledged to secure obligations under derivative contracts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34,210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Collateral held to secure obligations under derivative contracts</w:t>
            </w:r>
          </w:p>
        </w:tc>
        <w:tc>
          <w:tcPr>
            <w:tcW w:w="200" w:type="dxa"/>
            <w:vAlign w:val="bottom"/>
          </w:tcPr>
          <w:p>
            <w:pPr>
              <w:spacing w:after="0"/>
              <w:rPr>
                <w:sz w:val="21"/>
                <w:szCs w:val="21"/>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34,620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29,830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Designated as Hedges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 Designated as Cash Flow Hedges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rate swaps with notional amounts totaling $350.0 million as of both September 30, 2023, and December 31, 2022, were designated as cash flow hedges. Busey entered into one $50.0 million interest rate swap to hedge the risks of variability in cash flows for future interest payments attributable to changes in the contractually specified 3-month LIBOR benchmark interest rate on the Busey’s junior subordinated debt owed to unconsolidated trusts (Debt Swap). In addition, Busey entered into one $300.0 million receive fixed pay floating interest rate swap to reduce Busey’s asset sensitivity (Loan Swap). Duration was added to our loan portfolio by fixing a portion of floating prime 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Changes in fair value were recorded net of tax in OCI.</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interest-rate swaps designated as cash flow hedges is presented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5"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34290</wp:posOffset>
            </wp:positionV>
            <wp:extent cx="2100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36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5360" w:type="dxa"/>
            <w:vAlign w:val="bottom"/>
          </w:tcPr>
          <w:p>
            <w:pPr>
              <w:spacing w:after="0"/>
              <w:rPr>
                <w:sz w:val="16"/>
                <w:szCs w:val="16"/>
                <w:color w:val="auto"/>
              </w:rPr>
            </w:pPr>
          </w:p>
        </w:tc>
        <w:tc>
          <w:tcPr>
            <w:tcW w:w="2580" w:type="dxa"/>
            <w:vAlign w:val="bottom"/>
          </w:tcPr>
          <w:p>
            <w:pPr>
              <w:ind w:left="1440"/>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1380" w:type="dxa"/>
            <w:vAlign w:val="bottom"/>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r>
      <w:tr>
        <w:trPr>
          <w:trHeight w:val="39"/>
        </w:trPr>
        <w:tc>
          <w:tcPr>
            <w:tcW w:w="5360" w:type="dxa"/>
            <w:vAlign w:val="bottom"/>
            <w:tcBorders>
              <w:bottom w:val="single" w:sz="8" w:color="CCEEFF"/>
            </w:tcBorders>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Swap</w:t>
            </w:r>
          </w:p>
        </w:tc>
        <w:tc>
          <w:tcPr>
            <w:tcW w:w="2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Notional amount</w:t>
            </w:r>
          </w:p>
        </w:tc>
        <w:tc>
          <w:tcPr>
            <w:tcW w:w="25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50,000</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fixed pay rates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Weighted average variable 3-month LIBOR receive rates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4.77 %</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maturity</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9"/>
              </w:rPr>
              <w:t>0.96 years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years</w:t>
            </w:r>
          </w:p>
        </w:tc>
      </w:tr>
      <w:tr>
        <w:trPr>
          <w:trHeight w:val="270"/>
        </w:trPr>
        <w:tc>
          <w:tcPr>
            <w:tcW w:w="53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 Swap</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Notional amount</w:t>
            </w:r>
          </w:p>
        </w:tc>
        <w:tc>
          <w:tcPr>
            <w:tcW w:w="25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300,000</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fixed receive rates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4.81 %</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Weighted average variable Prime pay rates</w:t>
            </w:r>
          </w:p>
        </w:tc>
        <w:tc>
          <w:tcPr>
            <w:tcW w:w="2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7.32 %</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Weighted average maturity</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w w:val="99"/>
              </w:rPr>
              <w:t>5.35 years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 years</w:t>
            </w:r>
          </w:p>
        </w:tc>
      </w:tr>
      <w:tr>
        <w:trPr>
          <w:trHeight w:val="270"/>
        </w:trPr>
        <w:tc>
          <w:tcPr>
            <w:tcW w:w="53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aggregate fair value of the swaps</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Gross aggregate fair value of swap assets</w:t>
            </w:r>
          </w:p>
        </w:tc>
        <w:tc>
          <w:tcPr>
            <w:tcW w:w="2580" w:type="dxa"/>
            <w:vAlign w:val="bottom"/>
          </w:tcPr>
          <w:p>
            <w:pPr>
              <w:ind w:left="98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2,535</w:t>
            </w:r>
          </w:p>
        </w:tc>
      </w:tr>
      <w:tr>
        <w:trPr>
          <w:trHeight w:val="27"/>
        </w:trPr>
        <w:tc>
          <w:tcPr>
            <w:tcW w:w="53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aggregate fair value of swap liabilities</w:t>
            </w:r>
          </w:p>
        </w:tc>
        <w:tc>
          <w:tcPr>
            <w:tcW w:w="25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37,725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32,367</w:t>
            </w:r>
          </w:p>
        </w:tc>
      </w:tr>
      <w:tr>
        <w:trPr>
          <w:trHeight w:val="270"/>
        </w:trPr>
        <w:tc>
          <w:tcPr>
            <w:tcW w:w="53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carried in AOCI</w:t>
            </w:r>
          </w:p>
        </w:tc>
        <w:tc>
          <w:tcPr>
            <w:tcW w:w="2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Unrealized gains (losses) on cash flow hedges, net of tax</w:t>
            </w:r>
          </w:p>
        </w:tc>
        <w:tc>
          <w:tcPr>
            <w:tcW w:w="2580" w:type="dxa"/>
            <w:vAlign w:val="bottom"/>
          </w:tcPr>
          <w:p>
            <w:pPr>
              <w:ind w:left="980"/>
              <w:spacing w:after="0"/>
              <w:rPr>
                <w:sz w:val="20"/>
                <w:szCs w:val="20"/>
                <w:color w:val="auto"/>
              </w:rPr>
            </w:pPr>
            <w:r>
              <w:rPr>
                <w:rFonts w:ascii="Arial" w:cs="Arial" w:eastAsia="Arial" w:hAnsi="Arial"/>
                <w:sz w:val="18"/>
                <w:szCs w:val="18"/>
                <w:color w:val="auto"/>
              </w:rPr>
              <w:t>AOCI</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93"/>
              <w:spacing w:after="0"/>
              <w:rPr>
                <w:sz w:val="20"/>
                <w:szCs w:val="20"/>
                <w:color w:val="auto"/>
              </w:rPr>
            </w:pPr>
            <w:r>
              <w:rPr>
                <w:rFonts w:ascii="Arial" w:cs="Arial" w:eastAsia="Arial" w:hAnsi="Arial"/>
                <w:sz w:val="18"/>
                <w:szCs w:val="18"/>
                <w:color w:val="auto"/>
              </w:rPr>
              <w:t>(25,092)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(20,985)</w:t>
            </w: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Busey expects to reclassify unrealized gains and losses from OCI to interest income and interest expense as shown in the following table, during the next 12 months </w:t>
      </w:r>
      <w:r>
        <w:rPr>
          <w:rFonts w:ascii="Arial" w:cs="Arial" w:eastAsia="Arial" w:hAnsi="Arial"/>
          <w:sz w:val="18"/>
          <w:szCs w:val="18"/>
          <w:i w:val="1"/>
          <w:iCs w:val="1"/>
          <w:color w:val="auto"/>
        </w:rPr>
        <w:t>(dollars in thousands)</w:t>
      </w:r>
      <w:r>
        <w:rPr>
          <w:rFonts w:ascii="Arial" w:cs="Arial" w:eastAsia="Arial" w:hAnsi="Arial"/>
          <w:sz w:val="18"/>
          <w:szCs w:val="18"/>
          <w:color w:val="auto"/>
        </w:rPr>
        <w:t>. Amounts actually recognized could differ from these expectations due to changes in interest rates, hedge de-designations, and the addition of other hedges subsequent to September 30,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September 30, 2023</w:t>
            </w:r>
          </w:p>
        </w:tc>
        <w:tc>
          <w:tcPr>
            <w:tcW w:w="0" w:type="dxa"/>
            <w:vAlign w:val="bottom"/>
          </w:tcPr>
          <w:p>
            <w:pPr>
              <w:spacing w:after="0"/>
              <w:rPr>
                <w:sz w:val="1"/>
                <w:szCs w:val="1"/>
                <w:color w:val="auto"/>
              </w:rPr>
            </w:pPr>
          </w:p>
        </w:tc>
      </w:tr>
      <w:tr>
        <w:trPr>
          <w:trHeight w:val="39"/>
        </w:trPr>
        <w:tc>
          <w:tcPr>
            <w:tcW w:w="5580" w:type="dxa"/>
            <w:vAlign w:val="bottom"/>
            <w:tcBorders>
              <w:bottom w:val="single" w:sz="8" w:color="CCEEFF"/>
            </w:tcBorders>
            <w:gridSpan w:val="2"/>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3"/>
              </w:rPr>
              <w:t>Unrealized gains (losses) in OCI expected to be recognized in income</w:t>
            </w: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240"/>
              <w:spacing w:after="0"/>
              <w:rPr>
                <w:sz w:val="20"/>
                <w:szCs w:val="20"/>
                <w:color w:val="auto"/>
              </w:rPr>
            </w:pPr>
            <w:r>
              <w:rPr>
                <w:rFonts w:ascii="Arial" w:cs="Arial" w:eastAsia="Arial" w:hAnsi="Arial"/>
                <w:sz w:val="18"/>
                <w:szCs w:val="18"/>
                <w:color w:val="auto"/>
                <w:w w:val="90"/>
              </w:rPr>
              <w:t>Unrealized losses expected to be reclassified from OCI to interest income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836"/>
              <w:spacing w:after="0"/>
              <w:rPr>
                <w:sz w:val="20"/>
                <w:szCs w:val="20"/>
                <w:color w:val="auto"/>
              </w:rPr>
            </w:pPr>
            <w:r>
              <w:rPr>
                <w:rFonts w:ascii="Arial" w:cs="Arial" w:eastAsia="Arial" w:hAnsi="Arial"/>
                <w:sz w:val="18"/>
                <w:szCs w:val="18"/>
                <w:color w:val="auto"/>
                <w:w w:val="95"/>
              </w:rPr>
              <w:t>(922)</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0"/>
              </w:rPr>
              <w:t>Unrealized gains expected to be reclassified from OCI to interest expense</w:t>
            </w:r>
          </w:p>
        </w:tc>
        <w:tc>
          <w:tcPr>
            <w:tcW w:w="9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left="856"/>
              <w:spacing w:after="0"/>
              <w:rPr>
                <w:sz w:val="20"/>
                <w:szCs w:val="20"/>
                <w:color w:val="auto"/>
              </w:rPr>
            </w:pPr>
            <w:r>
              <w:rPr>
                <w:rFonts w:ascii="Arial" w:cs="Arial" w:eastAsia="Arial" w:hAnsi="Arial"/>
                <w:sz w:val="18"/>
                <w:szCs w:val="18"/>
                <w:color w:val="auto"/>
                <w:w w:val="86"/>
              </w:rPr>
              <w:t>481</w:t>
            </w:r>
          </w:p>
        </w:tc>
        <w:tc>
          <w:tcPr>
            <w:tcW w:w="0" w:type="dxa"/>
            <w:vAlign w:val="bottom"/>
          </w:tcPr>
          <w:p>
            <w:pPr>
              <w:spacing w:after="0"/>
              <w:rPr>
                <w:sz w:val="1"/>
                <w:szCs w:val="1"/>
                <w:color w:val="auto"/>
              </w:rPr>
            </w:pPr>
          </w:p>
        </w:tc>
      </w:tr>
      <w:tr>
        <w:trPr>
          <w:trHeight w:val="264"/>
        </w:trPr>
        <w:tc>
          <w:tcPr>
            <w:tcW w:w="6600" w:type="dxa"/>
            <w:vAlign w:val="bottom"/>
            <w:gridSpan w:val="4"/>
          </w:tcPr>
          <w:p>
            <w:pPr>
              <w:ind w:left="20"/>
              <w:spacing w:after="0"/>
              <w:rPr>
                <w:sz w:val="20"/>
                <w:szCs w:val="20"/>
                <w:color w:val="auto"/>
              </w:rPr>
            </w:pPr>
            <w:r>
              <w:rPr>
                <w:rFonts w:ascii="Arial" w:cs="Arial" w:eastAsia="Arial" w:hAnsi="Arial"/>
                <w:sz w:val="18"/>
                <w:szCs w:val="18"/>
                <w:color w:val="auto"/>
                <w:w w:val="96"/>
              </w:rPr>
              <w:t>Net unrealized gains (losses) in OCI expected to be recognized in net interest income</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center"/>
              <w:ind w:left="836"/>
              <w:spacing w:after="0"/>
              <w:rPr>
                <w:sz w:val="20"/>
                <w:szCs w:val="20"/>
                <w:color w:val="auto"/>
              </w:rPr>
            </w:pPr>
            <w:r>
              <w:rPr>
                <w:rFonts w:ascii="Arial" w:cs="Arial" w:eastAsia="Arial" w:hAnsi="Arial"/>
                <w:sz w:val="18"/>
                <w:szCs w:val="18"/>
                <w:color w:val="auto"/>
                <w:w w:val="95"/>
              </w:rPr>
              <w:t>(441)</w:t>
            </w:r>
          </w:p>
        </w:tc>
        <w:tc>
          <w:tcPr>
            <w:tcW w:w="0" w:type="dxa"/>
            <w:vAlign w:val="bottom"/>
          </w:tcPr>
          <w:p>
            <w:pPr>
              <w:spacing w:after="0"/>
              <w:rPr>
                <w:sz w:val="1"/>
                <w:szCs w:val="1"/>
                <w:color w:val="auto"/>
              </w:rPr>
            </w:pPr>
          </w:p>
        </w:tc>
      </w:tr>
      <w:tr>
        <w:trPr>
          <w:trHeight w:val="20"/>
        </w:trPr>
        <w:tc>
          <w:tcPr>
            <w:tcW w:w="8520" w:type="dxa"/>
            <w:vAlign w:val="bottom"/>
            <w:gridSpan w:val="8"/>
            <w:vMerge w:val="restart"/>
          </w:tcPr>
          <w:p>
            <w:pPr>
              <w:spacing w:after="0"/>
              <w:rPr>
                <w:sz w:val="20"/>
                <w:szCs w:val="20"/>
                <w:color w:val="auto"/>
              </w:rPr>
            </w:pPr>
            <w:r>
              <w:rPr>
                <w:rFonts w:ascii="Arial" w:cs="Arial" w:eastAsia="Arial" w:hAnsi="Arial"/>
                <w:sz w:val="18"/>
                <w:szCs w:val="18"/>
                <w:color w:val="auto"/>
                <w:w w:val="90"/>
              </w:rPr>
              <w:t xml:space="preserve">Interest expense recorded on these swap transactions was as follows for the periods presented </w:t>
            </w:r>
            <w:r>
              <w:rPr>
                <w:rFonts w:ascii="Arial" w:cs="Arial" w:eastAsia="Arial" w:hAnsi="Arial"/>
                <w:sz w:val="18"/>
                <w:szCs w:val="18"/>
                <w:i w:val="1"/>
                <w:iCs w:val="1"/>
                <w:color w:val="auto"/>
                <w:w w:val="90"/>
              </w:rPr>
              <w:t>(dollars in thousands)</w:t>
            </w:r>
            <w:r>
              <w:rPr>
                <w:rFonts w:ascii="Arial" w:cs="Arial" w:eastAsia="Arial" w:hAnsi="Arial"/>
                <w:sz w:val="18"/>
                <w:szCs w:val="18"/>
                <w:color w:val="auto"/>
                <w:w w:val="90"/>
              </w:rPr>
              <w:t>:</w:t>
            </w: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8520" w:type="dxa"/>
            <w:vAlign w:val="bottom"/>
            <w:gridSpan w:val="8"/>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040" w:type="dxa"/>
            <w:vAlign w:val="bottom"/>
          </w:tcPr>
          <w:p>
            <w:pPr>
              <w:spacing w:after="0"/>
              <w:rPr>
                <w:sz w:val="24"/>
                <w:szCs w:val="24"/>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24"/>
                <w:szCs w:val="24"/>
                <w:color w:val="auto"/>
              </w:rPr>
            </w:pPr>
          </w:p>
        </w:tc>
        <w:tc>
          <w:tcPr>
            <w:tcW w:w="272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39"/>
        </w:trPr>
        <w:tc>
          <w:tcPr>
            <w:tcW w:w="50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39"/>
        </w:trPr>
        <w:tc>
          <w:tcPr>
            <w:tcW w:w="504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on swap transactions</w:t>
            </w: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Increase (decrease) in interest income on swap transactions</w:t>
            </w:r>
          </w:p>
        </w:tc>
        <w:tc>
          <w:tcPr>
            <w:tcW w:w="540" w:type="dxa"/>
            <w:vAlign w:val="bottom"/>
          </w:tcPr>
          <w:p>
            <w:pPr>
              <w:jc w:val="right"/>
              <w:ind w:right="3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(2,771)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center"/>
              <w:ind w:left="477"/>
              <w:spacing w:after="0"/>
              <w:rPr>
                <w:sz w:val="20"/>
                <w:szCs w:val="20"/>
                <w:color w:val="auto"/>
              </w:rPr>
            </w:pPr>
            <w:r>
              <w:rPr>
                <w:rFonts w:ascii="Arial" w:cs="Arial" w:eastAsia="Arial" w:hAnsi="Arial"/>
                <w:sz w:val="18"/>
                <w:szCs w:val="18"/>
                <w:color w:val="auto"/>
                <w:w w:val="94"/>
              </w:rPr>
              <w:t>(7,500)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856"/>
              <w:spacing w:after="0"/>
              <w:rPr>
                <w:sz w:val="20"/>
                <w:szCs w:val="20"/>
                <w:color w:val="auto"/>
              </w:rPr>
            </w:pPr>
            <w:r>
              <w:rPr>
                <w:rFonts w:ascii="Arial" w:cs="Arial" w:eastAsia="Arial" w:hAnsi="Arial"/>
                <w:sz w:val="18"/>
                <w:szCs w:val="18"/>
                <w:color w:val="auto"/>
                <w:w w:val="86"/>
              </w:rPr>
              <w:t>947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(Increase) decrease in interest expense on swap transactions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497"/>
              <w:spacing w:after="0"/>
              <w:rPr>
                <w:sz w:val="20"/>
                <w:szCs w:val="20"/>
                <w:color w:val="auto"/>
              </w:rPr>
            </w:pPr>
            <w:r>
              <w:rPr>
                <w:rFonts w:ascii="Arial" w:cs="Arial" w:eastAsia="Arial" w:hAnsi="Arial"/>
                <w:sz w:val="18"/>
                <w:szCs w:val="18"/>
                <w:color w:val="auto"/>
                <w:w w:val="88"/>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left="836"/>
              <w:spacing w:after="0"/>
              <w:rPr>
                <w:sz w:val="20"/>
                <w:szCs w:val="20"/>
                <w:color w:val="auto"/>
              </w:rPr>
            </w:pPr>
            <w:r>
              <w:rPr>
                <w:rFonts w:ascii="Arial" w:cs="Arial" w:eastAsia="Arial" w:hAnsi="Arial"/>
                <w:sz w:val="18"/>
                <w:szCs w:val="18"/>
                <w:color w:val="auto"/>
                <w:w w:val="95"/>
              </w:rPr>
              <w:t>(250)</w:t>
            </w:r>
          </w:p>
        </w:tc>
        <w:tc>
          <w:tcPr>
            <w:tcW w:w="0" w:type="dxa"/>
            <w:vAlign w:val="bottom"/>
          </w:tcPr>
          <w:p>
            <w:pPr>
              <w:spacing w:after="0"/>
              <w:rPr>
                <w:sz w:val="1"/>
                <w:szCs w:val="1"/>
                <w:color w:val="auto"/>
              </w:rPr>
            </w:pP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w w:val="92"/>
              </w:rPr>
              <w:t>Net increase (decrease) in net interest income on swap transactions</w:t>
            </w: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477"/>
              <w:spacing w:after="0"/>
              <w:rPr>
                <w:sz w:val="20"/>
                <w:szCs w:val="20"/>
                <w:color w:val="auto"/>
              </w:rPr>
            </w:pPr>
            <w:r>
              <w:rPr>
                <w:rFonts w:ascii="Arial" w:cs="Arial" w:eastAsia="Arial" w:hAnsi="Arial"/>
                <w:sz w:val="18"/>
                <w:szCs w:val="18"/>
                <w:color w:val="auto"/>
                <w:w w:val="94"/>
              </w:rPr>
              <w:t>(6,232)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center"/>
              <w:ind w:left="856"/>
              <w:spacing w:after="0"/>
              <w:rPr>
                <w:sz w:val="20"/>
                <w:szCs w:val="20"/>
                <w:color w:val="auto"/>
              </w:rPr>
            </w:pPr>
            <w:r>
              <w:rPr>
                <w:rFonts w:ascii="Arial" w:cs="Arial" w:eastAsia="Arial" w:hAnsi="Arial"/>
                <w:sz w:val="18"/>
                <w:szCs w:val="18"/>
                <w:color w:val="auto"/>
                <w:w w:val="86"/>
              </w:rPr>
              <w:t>697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reflects the net gains (losses) relating to cash flow derivative instruments that were recorded in AOCI and the Consolidated Statements of Income (Unaudited) during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5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5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Unrealized gains (losses) on cash flow hedges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Net gain (loss) recognized in OCI, net of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(5,577)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(10,192)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(8,563)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(21,587)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6"/>
              </w:rPr>
              <w:t>(Gain) loss reclassified from OCI to interest income,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w w:val="94"/>
              </w:rPr>
              <w:t>(Gain) loss reclassified from OCI to interest expense, net of tax</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change in unrealized gains (losses) on cash flow hedges, net of</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8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Not Designated as Hedges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 Not Designated as Hedges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Busey may offer derivative contracts to its customers in connection with their risk management needs. Busey manages the risk associated with these contracts by entering into equal and offsetting derivative agreements with third-party dealers. These contracts support variable rate, commercial loan relationships totaling $628.3 million as of September 30, 2023, and $576.9 million as of December 31, 2022. These derivatives generally work together as an economic interest rate hedge, but Busey did not designate them for hedge accounting treatment. Consequently, changes in fair value of the corresponding derivative financial asset or liability are recorded as either a charge or credit to current earnings during the period in which the changes occurred.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Amounts and fair values of derivative assets and liabilities related to customer interest rate swaps recorded in the Consolidated Balance Sheets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4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of September 30, 2023</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ind w:left="720"/>
              <w:spacing w:after="0"/>
              <w:rPr>
                <w:sz w:val="20"/>
                <w:szCs w:val="20"/>
                <w:color w:val="auto"/>
              </w:rPr>
            </w:pPr>
            <w:r>
              <w:rPr>
                <w:rFonts w:ascii="Arial" w:cs="Arial" w:eastAsia="Arial" w:hAnsi="Arial"/>
                <w:sz w:val="14"/>
                <w:szCs w:val="14"/>
                <w:b w:val="1"/>
                <w:bCs w:val="1"/>
                <w:color w:val="auto"/>
                <w:w w:val="95"/>
              </w:rPr>
              <w:t>Derivative Asset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Derivative Liability</w:t>
            </w:r>
          </w:p>
        </w:tc>
        <w:tc>
          <w:tcPr>
            <w:tcW w:w="9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3"/>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520" w:type="dxa"/>
            <w:vAlign w:val="bottom"/>
          </w:tcPr>
          <w:p>
            <w:pPr>
              <w:spacing w:after="0"/>
              <w:rPr>
                <w:sz w:val="15"/>
                <w:szCs w:val="15"/>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560" w:type="dxa"/>
            <w:vAlign w:val="bottom"/>
          </w:tcPr>
          <w:p>
            <w:pPr>
              <w:spacing w:after="0"/>
              <w:rPr>
                <w:sz w:val="15"/>
                <w:szCs w:val="15"/>
                <w:color w:val="auto"/>
              </w:rPr>
            </w:pPr>
          </w:p>
        </w:tc>
        <w:tc>
          <w:tcPr>
            <w:tcW w:w="920" w:type="dxa"/>
            <w:vAlign w:val="bottom"/>
          </w:tcPr>
          <w:p>
            <w:pPr>
              <w:jc w:val="center"/>
              <w:ind w:right="497"/>
              <w:spacing w:after="0"/>
              <w:rPr>
                <w:sz w:val="20"/>
                <w:szCs w:val="20"/>
                <w:color w:val="auto"/>
              </w:rPr>
            </w:pPr>
            <w:r>
              <w:rPr>
                <w:rFonts w:ascii="Arial" w:cs="Arial" w:eastAsia="Arial" w:hAnsi="Arial"/>
                <w:sz w:val="14"/>
                <w:szCs w:val="14"/>
                <w:b w:val="1"/>
                <w:bCs w:val="1"/>
                <w:color w:val="auto"/>
              </w:rPr>
              <w:t>Fair</w:t>
            </w: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6"/>
                <w:szCs w:val="16"/>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center"/>
              <w:ind w:right="477"/>
              <w:spacing w:after="0"/>
              <w:rPr>
                <w:sz w:val="20"/>
                <w:szCs w:val="20"/>
                <w:color w:val="auto"/>
              </w:rPr>
            </w:pPr>
            <w:r>
              <w:rPr>
                <w:rFonts w:ascii="Arial" w:cs="Arial" w:eastAsia="Arial" w:hAnsi="Arial"/>
                <w:sz w:val="14"/>
                <w:szCs w:val="14"/>
                <w:b w:val="1"/>
                <w:bCs w:val="1"/>
                <w:color w:val="auto"/>
                <w:w w:val="96"/>
              </w:rPr>
              <w:t>Value</w:t>
            </w:r>
          </w:p>
        </w:tc>
      </w:tr>
      <w:tr>
        <w:trPr>
          <w:trHeight w:val="39"/>
        </w:trPr>
        <w:tc>
          <w:tcPr>
            <w:tcW w:w="5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jc w:val="center"/>
              <w:ind w:right="105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jc w:val="center"/>
              <w:ind w:right="1010"/>
              <w:spacing w:after="0"/>
              <w:rPr>
                <w:sz w:val="20"/>
                <w:szCs w:val="20"/>
                <w:color w:val="auto"/>
              </w:rPr>
            </w:pPr>
            <w:r>
              <w:rPr>
                <w:rFonts w:ascii="Arial" w:cs="Arial" w:eastAsia="Arial" w:hAnsi="Arial"/>
                <w:sz w:val="18"/>
                <w:szCs w:val="18"/>
                <w:color w:val="auto"/>
                <w:w w:val="91"/>
              </w:rPr>
              <w:t>Interest rate swaps – pay floating, receive fixed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9,320</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618,971</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44,914</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jc w:val="center"/>
              <w:ind w:right="1010"/>
              <w:spacing w:after="0"/>
              <w:rPr>
                <w:sz w:val="20"/>
                <w:szCs w:val="20"/>
                <w:color w:val="auto"/>
              </w:rPr>
            </w:pPr>
            <w:r>
              <w:rPr>
                <w:rFonts w:ascii="Arial" w:cs="Arial" w:eastAsia="Arial" w:hAnsi="Arial"/>
                <w:sz w:val="18"/>
                <w:szCs w:val="18"/>
                <w:color w:val="auto"/>
                <w:w w:val="91"/>
              </w:rPr>
              <w:t>Interest rate swaps – pay fixed, receive floating</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618,971</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rPr>
              <w:t>Total derivatives not designated as hedging instruments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628,291</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628,291</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45,013</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1"/>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of December 31, 2022</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ind w:left="720"/>
              <w:spacing w:after="0"/>
              <w:rPr>
                <w:sz w:val="20"/>
                <w:szCs w:val="20"/>
                <w:color w:val="auto"/>
              </w:rPr>
            </w:pPr>
            <w:r>
              <w:rPr>
                <w:rFonts w:ascii="Arial" w:cs="Arial" w:eastAsia="Arial" w:hAnsi="Arial"/>
                <w:sz w:val="14"/>
                <w:szCs w:val="14"/>
                <w:b w:val="1"/>
                <w:bCs w:val="1"/>
                <w:color w:val="auto"/>
                <w:w w:val="95"/>
              </w:rPr>
              <w:t>Derivative Asset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Derivative Liability</w:t>
            </w:r>
          </w:p>
        </w:tc>
        <w:tc>
          <w:tcPr>
            <w:tcW w:w="9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60"/>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Notional</w:t>
            </w:r>
          </w:p>
        </w:tc>
        <w:tc>
          <w:tcPr>
            <w:tcW w:w="520" w:type="dxa"/>
            <w:vAlign w:val="bottom"/>
          </w:tcPr>
          <w:p>
            <w:pPr>
              <w:spacing w:after="0"/>
              <w:rPr>
                <w:sz w:val="13"/>
                <w:szCs w:val="13"/>
                <w:color w:val="auto"/>
              </w:rPr>
            </w:pPr>
          </w:p>
        </w:tc>
        <w:tc>
          <w:tcPr>
            <w:tcW w:w="1060" w:type="dxa"/>
            <w:vAlign w:val="bottom"/>
            <w:gridSpan w:val="2"/>
          </w:tcPr>
          <w:p>
            <w:pPr>
              <w:jc w:val="center"/>
              <w:ind w:right="600"/>
              <w:spacing w:after="0" w:line="160"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300" w:type="dxa"/>
            <w:vAlign w:val="bottom"/>
            <w:gridSpan w:val="2"/>
          </w:tcPr>
          <w:p>
            <w:pPr>
              <w:ind w:left="200"/>
              <w:spacing w:after="0" w:line="160" w:lineRule="exact"/>
              <w:rPr>
                <w:sz w:val="20"/>
                <w:szCs w:val="20"/>
                <w:color w:val="auto"/>
              </w:rPr>
            </w:pPr>
            <w:r>
              <w:rPr>
                <w:rFonts w:ascii="Arial" w:cs="Arial" w:eastAsia="Arial" w:hAnsi="Arial"/>
                <w:sz w:val="14"/>
                <w:szCs w:val="14"/>
                <w:b w:val="1"/>
                <w:bCs w:val="1"/>
                <w:color w:val="auto"/>
              </w:rPr>
              <w:t>Notional</w:t>
            </w:r>
          </w:p>
        </w:tc>
        <w:tc>
          <w:tcPr>
            <w:tcW w:w="560" w:type="dxa"/>
            <w:vAlign w:val="bottom"/>
          </w:tcPr>
          <w:p>
            <w:pPr>
              <w:spacing w:after="0"/>
              <w:rPr>
                <w:sz w:val="13"/>
                <w:szCs w:val="13"/>
                <w:color w:val="auto"/>
              </w:rPr>
            </w:pPr>
          </w:p>
        </w:tc>
        <w:tc>
          <w:tcPr>
            <w:tcW w:w="920" w:type="dxa"/>
            <w:vAlign w:val="bottom"/>
          </w:tcPr>
          <w:p>
            <w:pPr>
              <w:jc w:val="center"/>
              <w:ind w:right="497"/>
              <w:spacing w:after="0" w:line="160" w:lineRule="exact"/>
              <w:rPr>
                <w:sz w:val="20"/>
                <w:szCs w:val="20"/>
                <w:color w:val="auto"/>
              </w:rPr>
            </w:pPr>
            <w:r>
              <w:rPr>
                <w:rFonts w:ascii="Arial" w:cs="Arial" w:eastAsia="Arial" w:hAnsi="Arial"/>
                <w:sz w:val="14"/>
                <w:szCs w:val="14"/>
                <w:b w:val="1"/>
                <w:bCs w:val="1"/>
                <w:color w:val="auto"/>
              </w:rPr>
              <w:t>Fair</w:t>
            </w: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6"/>
                <w:szCs w:val="16"/>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center"/>
              <w:ind w:right="477"/>
              <w:spacing w:after="0"/>
              <w:rPr>
                <w:sz w:val="20"/>
                <w:szCs w:val="20"/>
                <w:color w:val="auto"/>
              </w:rPr>
            </w:pPr>
            <w:r>
              <w:rPr>
                <w:rFonts w:ascii="Arial" w:cs="Arial" w:eastAsia="Arial" w:hAnsi="Arial"/>
                <w:sz w:val="14"/>
                <w:szCs w:val="14"/>
                <w:b w:val="1"/>
                <w:bCs w:val="1"/>
                <w:color w:val="auto"/>
                <w:w w:val="96"/>
              </w:rPr>
              <w:t>Value</w:t>
            </w:r>
          </w:p>
        </w:tc>
      </w:tr>
      <w:tr>
        <w:trPr>
          <w:trHeight w:val="52"/>
        </w:trPr>
        <w:tc>
          <w:tcPr>
            <w:tcW w:w="50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0"/>
        </w:trPr>
        <w:tc>
          <w:tcPr>
            <w:tcW w:w="5040" w:type="dxa"/>
            <w:vAlign w:val="bottom"/>
            <w:tcBorders>
              <w:bottom w:val="single" w:sz="8" w:color="CCEEFF"/>
            </w:tcBorders>
            <w:shd w:val="clear" w:color="auto" w:fill="CCEEFF"/>
          </w:tcPr>
          <w:p>
            <w:pPr>
              <w:jc w:val="center"/>
              <w:ind w:right="105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jc w:val="center"/>
              <w:ind w:right="1010"/>
              <w:spacing w:after="0"/>
              <w:rPr>
                <w:sz w:val="20"/>
                <w:szCs w:val="20"/>
                <w:color w:val="auto"/>
              </w:rPr>
            </w:pPr>
            <w:r>
              <w:rPr>
                <w:rFonts w:ascii="Arial" w:cs="Arial" w:eastAsia="Arial" w:hAnsi="Arial"/>
                <w:sz w:val="18"/>
                <w:szCs w:val="18"/>
                <w:color w:val="auto"/>
                <w:w w:val="91"/>
              </w:rPr>
              <w:t>Interest rate swaps – pay floating, receive fixed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48,728</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528,183</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39,685</w:t>
            </w: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jc w:val="center"/>
              <w:ind w:right="1010"/>
              <w:spacing w:after="0"/>
              <w:rPr>
                <w:sz w:val="20"/>
                <w:szCs w:val="20"/>
                <w:color w:val="auto"/>
              </w:rPr>
            </w:pPr>
            <w:r>
              <w:rPr>
                <w:rFonts w:ascii="Arial" w:cs="Arial" w:eastAsia="Arial" w:hAnsi="Arial"/>
                <w:sz w:val="18"/>
                <w:szCs w:val="18"/>
                <w:color w:val="auto"/>
                <w:w w:val="91"/>
              </w:rPr>
              <w:t>Interest rate swaps – pay fixed, receive floating</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528,183</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48,728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rPr>
              <w:t>Total derivatives not designated as hedging instruments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576,911</w:t>
            </w: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40,055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576,911</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40,055</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4"/>
        </w:trPr>
        <w:tc>
          <w:tcPr>
            <w:tcW w:w="5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Changes in fair value of these derivative assets and liabilities are recorded in noninterest expense in the Consolidated Statements of Income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58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Location</w:t>
            </w: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swaps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60"/>
              <w:spacing w:after="0"/>
              <w:rPr>
                <w:sz w:val="20"/>
                <w:szCs w:val="20"/>
                <w:color w:val="auto"/>
              </w:rPr>
            </w:pPr>
            <w:r>
              <w:rPr>
                <w:rFonts w:ascii="Arial" w:cs="Arial" w:eastAsia="Arial" w:hAnsi="Arial"/>
                <w:sz w:val="18"/>
                <w:szCs w:val="18"/>
                <w:color w:val="auto"/>
              </w:rPr>
              <w:t>Pay floating, receive fixed</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Noninterest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9,007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18,317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4,646</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21,792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Pay fixed, receive floating</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Noninterest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(21,792)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w w:val="94"/>
              </w:rPr>
              <w:t>Net change in fair value of interest rate swaps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Participation Agreements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manage the credit risk exposure related to customer-facing swaps, Busey entered into risk participation agreements in conjunction with loan participation arrangements with other financial institutions. Under these risk participation agreements, Busey purchased a portion of the credit exposure, paying an up-front fee, and will receive a payment from the counterparty if the loan customer defaults on its obligations.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Busey also entered into a risk participation agreement under which Busey sold a portion of its credit exposure, receiving an up-front fee, and will be required to make a payment to the counterparty if the loan customer defaults on its obligations.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notional amount of the risk participation agreements reflect Busey's pro-rata share of the derivative instrument, consistent with its share of the related participated loan. The risk participation agreements mature between 2024 and 2029, and are summarized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Risk participation agreements purchased</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Number of risk participation agreements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Notional amount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18,899</w:t>
            </w: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Risk participation agreements sold</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Number of risk participation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Notional amount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Forward Contracts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Busey entered into foreign currency exchange contracts to support the business requirements of its customers. Foreign currency contracts involve the exchange of one currency for another on a specified date and at a specified rate. These contracts are executed on behalf of Busey's customers and are used by customers to manage fluctuations in foreign exchange rates. Busey minimizes its exposure by entering into similar offsetting positions with other financial institutions. Busey is subject to the credit risk that another party will fail to perform. Amounts and fair values of derivative assets and liabilities related to foreign currency contracts recorded in the Consolidated Balance Sheets (Unaudited)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20" w:type="dxa"/>
            <w:vAlign w:val="bottom"/>
            <w:gridSpan w:val="5"/>
          </w:tcPr>
          <w:p>
            <w:pPr>
              <w:ind w:left="240"/>
              <w:spacing w:after="0"/>
              <w:rPr>
                <w:sz w:val="20"/>
                <w:szCs w:val="20"/>
                <w:color w:val="auto"/>
              </w:rPr>
            </w:pPr>
            <w:r>
              <w:rPr>
                <w:rFonts w:ascii="Arial" w:cs="Arial" w:eastAsia="Arial" w:hAnsi="Arial"/>
                <w:sz w:val="14"/>
                <w:szCs w:val="14"/>
                <w:b w:val="1"/>
                <w:bCs w:val="1"/>
                <w:color w:val="auto"/>
              </w:rPr>
              <w:t>As of September 30, 2023</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9"/>
        </w:trPr>
        <w:tc>
          <w:tcPr>
            <w:tcW w:w="50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Derivative Asset</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Derivative Liability</w:t>
            </w:r>
          </w:p>
        </w:tc>
        <w:tc>
          <w:tcPr>
            <w:tcW w:w="920" w:type="dxa"/>
            <w:vAlign w:val="bottom"/>
          </w:tcPr>
          <w:p>
            <w:pPr>
              <w:spacing w:after="0"/>
              <w:rPr>
                <w:sz w:val="16"/>
                <w:szCs w:val="16"/>
                <w:color w:val="auto"/>
              </w:rPr>
            </w:pPr>
          </w:p>
        </w:tc>
      </w:tr>
      <w:tr>
        <w:trPr>
          <w:trHeight w:val="39"/>
        </w:trPr>
        <w:tc>
          <w:tcPr>
            <w:tcW w:w="50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73"/>
        </w:trPr>
        <w:tc>
          <w:tcPr>
            <w:tcW w:w="5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520" w:type="dxa"/>
            <w:vAlign w:val="bottom"/>
          </w:tcPr>
          <w:p>
            <w:pPr>
              <w:spacing w:after="0"/>
              <w:rPr>
                <w:sz w:val="15"/>
                <w:szCs w:val="15"/>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560" w:type="dxa"/>
            <w:vAlign w:val="bottom"/>
          </w:tcPr>
          <w:p>
            <w:pPr>
              <w:spacing w:after="0"/>
              <w:rPr>
                <w:sz w:val="15"/>
                <w:szCs w:val="15"/>
                <w:color w:val="auto"/>
              </w:rPr>
            </w:pPr>
          </w:p>
        </w:tc>
        <w:tc>
          <w:tcPr>
            <w:tcW w:w="920" w:type="dxa"/>
            <w:vAlign w:val="bottom"/>
          </w:tcPr>
          <w:p>
            <w:pPr>
              <w:jc w:val="center"/>
              <w:ind w:right="457"/>
              <w:spacing w:after="0"/>
              <w:rPr>
                <w:sz w:val="20"/>
                <w:szCs w:val="20"/>
                <w:color w:val="auto"/>
              </w:rPr>
            </w:pPr>
            <w:r>
              <w:rPr>
                <w:rFonts w:ascii="Arial" w:cs="Arial" w:eastAsia="Arial" w:hAnsi="Arial"/>
                <w:sz w:val="14"/>
                <w:szCs w:val="14"/>
                <w:b w:val="1"/>
                <w:bCs w:val="1"/>
                <w:color w:val="auto"/>
              </w:rPr>
              <w:t>Fair</w:t>
            </w:r>
          </w:p>
        </w:tc>
      </w:tr>
      <w:tr>
        <w:trPr>
          <w:trHeight w:val="186"/>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6"/>
                <w:szCs w:val="16"/>
                <w:color w:val="auto"/>
              </w:rPr>
            </w:pPr>
          </w:p>
        </w:tc>
        <w:tc>
          <w:tcPr>
            <w:tcW w:w="10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6"/>
                <w:szCs w:val="16"/>
                <w:color w:val="auto"/>
              </w:rPr>
            </w:pPr>
          </w:p>
        </w:tc>
        <w:tc>
          <w:tcPr>
            <w:tcW w:w="920" w:type="dxa"/>
            <w:vAlign w:val="bottom"/>
          </w:tcPr>
          <w:p>
            <w:pPr>
              <w:jc w:val="center"/>
              <w:ind w:right="457"/>
              <w:spacing w:after="0"/>
              <w:rPr>
                <w:sz w:val="20"/>
                <w:szCs w:val="20"/>
                <w:color w:val="auto"/>
              </w:rPr>
            </w:pPr>
            <w:r>
              <w:rPr>
                <w:rFonts w:ascii="Arial" w:cs="Arial" w:eastAsia="Arial" w:hAnsi="Arial"/>
                <w:sz w:val="14"/>
                <w:szCs w:val="14"/>
                <w:b w:val="1"/>
                <w:bCs w:val="1"/>
                <w:color w:val="auto"/>
                <w:w w:val="90"/>
              </w:rPr>
              <w:t>Value</w:t>
            </w:r>
          </w:p>
        </w:tc>
      </w:tr>
      <w:tr>
        <w:trPr>
          <w:trHeight w:val="39"/>
        </w:trPr>
        <w:tc>
          <w:tcPr>
            <w:tcW w:w="50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forward contracts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260"/>
              <w:spacing w:after="0"/>
              <w:rPr>
                <w:sz w:val="20"/>
                <w:szCs w:val="20"/>
                <w:color w:val="auto"/>
              </w:rPr>
            </w:pPr>
            <w:r>
              <w:rPr>
                <w:rFonts w:ascii="Arial" w:cs="Arial" w:eastAsia="Arial" w:hAnsi="Arial"/>
                <w:sz w:val="18"/>
                <w:szCs w:val="18"/>
                <w:color w:val="auto"/>
              </w:rPr>
              <w:t>Foreign currency exchange forward contract (Buy)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497"/>
              <w:spacing w:after="0"/>
              <w:rPr>
                <w:sz w:val="20"/>
                <w:szCs w:val="20"/>
                <w:color w:val="auto"/>
              </w:rPr>
            </w:pPr>
            <w:r>
              <w:rPr>
                <w:rFonts w:ascii="Arial" w:cs="Arial" w:eastAsia="Arial" w:hAnsi="Arial"/>
                <w:sz w:val="18"/>
                <w:szCs w:val="18"/>
                <w:color w:val="auto"/>
                <w:w w:val="99"/>
              </w:rPr>
              <w:t>—</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currency exchange forward contract (Sell)</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497"/>
              <w:spacing w:after="0"/>
              <w:rPr>
                <w:sz w:val="20"/>
                <w:szCs w:val="20"/>
                <w:color w:val="auto"/>
              </w:rPr>
            </w:pPr>
            <w:r>
              <w:rPr>
                <w:rFonts w:ascii="Arial" w:cs="Arial" w:eastAsia="Arial" w:hAnsi="Arial"/>
                <w:sz w:val="18"/>
                <w:szCs w:val="18"/>
                <w:color w:val="auto"/>
                <w:w w:val="93"/>
              </w:rPr>
              <w:t>(48)</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Total foreign currency forward contracts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center"/>
              <w:ind w:left="497"/>
              <w:spacing w:after="0"/>
              <w:rPr>
                <w:sz w:val="20"/>
                <w:szCs w:val="20"/>
                <w:color w:val="auto"/>
              </w:rPr>
            </w:pPr>
            <w:r>
              <w:rPr>
                <w:rFonts w:ascii="Arial" w:cs="Arial" w:eastAsia="Arial" w:hAnsi="Arial"/>
                <w:sz w:val="18"/>
                <w:szCs w:val="18"/>
                <w:color w:val="auto"/>
                <w:w w:val="93"/>
              </w:rPr>
              <w:t>(48)</w:t>
            </w:r>
          </w:p>
        </w:tc>
      </w:tr>
      <w:tr>
        <w:trPr>
          <w:trHeight w:val="21"/>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 Derivatives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Lock Commitments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Interest rate lock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are carried at their fair values in other assets or other liabilities in the Consolidated Balance Sheets (Unaudited), with changes in the fair values of the corresponding derivative financial assets or liabilities recorded as either a charge or credit to current earnings during the period in which the changes occurred.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Sales Commitments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are carried at their fair values in other assets or other liabilities in the Consolidated Balance Sheets (Unaudited). While such</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Amounts and fair values of mortgage banking derivatives included in the Consolidated Balance Sheets (Unaudited) are summarized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rPr>
              <w:t>As of September 30, 2023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1060" w:type="dxa"/>
            <w:vAlign w:val="bottom"/>
          </w:tcPr>
          <w:p>
            <w:pPr>
              <w:jc w:val="right"/>
              <w:ind w:right="116"/>
              <w:spacing w:after="0"/>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Notional</w:t>
            </w:r>
          </w:p>
        </w:tc>
        <w:tc>
          <w:tcPr>
            <w:tcW w:w="340" w:type="dxa"/>
            <w:vAlign w:val="bottom"/>
          </w:tcPr>
          <w:p>
            <w:pPr>
              <w:spacing w:after="0"/>
              <w:rPr>
                <w:sz w:val="15"/>
                <w:szCs w:val="15"/>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1580" w:type="dxa"/>
            <w:vAlign w:val="bottom"/>
            <w:gridSpan w:val="2"/>
          </w:tcPr>
          <w:p>
            <w:pPr>
              <w:ind w:left="460"/>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jc w:val="right"/>
              <w:ind w:right="76"/>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6"/>
                <w:szCs w:val="16"/>
                <w:color w:val="auto"/>
              </w:rPr>
            </w:pPr>
          </w:p>
        </w:tc>
        <w:tc>
          <w:tcPr>
            <w:tcW w:w="1140" w:type="dxa"/>
            <w:vAlign w:val="bottom"/>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with positive fair value</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Arial" w:cs="Arial" w:eastAsia="Arial" w:hAnsi="Arial"/>
                <w:sz w:val="18"/>
                <w:szCs w:val="18"/>
                <w:color w:val="auto"/>
              </w:rPr>
              <w:t>Interest rate lock commitments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1,517</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Forward sales commitments</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8"/>
                <w:szCs w:val="18"/>
                <w:color w:val="auto"/>
                <w:w w:val="91"/>
              </w:rPr>
              <w:t>Mortgage banking derivatives recorded in other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18"/>
                <w:szCs w:val="18"/>
                <w:color w:val="auto"/>
              </w:rPr>
            </w:pPr>
          </w:p>
        </w:tc>
        <w:tc>
          <w:tcPr>
            <w:tcW w:w="1060" w:type="dxa"/>
            <w:vAlign w:val="bottom"/>
            <w:tcBorders>
              <w:top w:val="single" w:sz="8" w:color="auto"/>
            </w:tcBorders>
            <w:vMerge w:val="restart"/>
          </w:tcPr>
          <w:p>
            <w:pPr>
              <w:jc w:val="right"/>
              <w:ind w:right="8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18"/>
                <w:szCs w:val="18"/>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5"/>
        </w:trPr>
        <w:tc>
          <w:tcPr>
            <w:tcW w:w="3500" w:type="dxa"/>
            <w:vAlign w:val="bottom"/>
          </w:tcPr>
          <w:p>
            <w:pPr>
              <w:ind w:left="20"/>
              <w:spacing w:after="0"/>
              <w:rPr>
                <w:sz w:val="20"/>
                <w:szCs w:val="20"/>
                <w:color w:val="auto"/>
              </w:rPr>
            </w:pPr>
            <w:r>
              <w:rPr>
                <w:rFonts w:ascii="Arial" w:cs="Arial" w:eastAsia="Arial" w:hAnsi="Arial"/>
                <w:sz w:val="18"/>
                <w:szCs w:val="18"/>
                <w:color w:val="auto"/>
              </w:rPr>
              <w:t>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Derivatives with negative fair value</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rate lock commitments</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Arial" w:cs="Arial" w:eastAsia="Arial" w:hAnsi="Arial"/>
                <w:sz w:val="18"/>
                <w:szCs w:val="18"/>
                <w:color w:val="auto"/>
              </w:rPr>
              <w:t>Forward sales commitments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Mortgage banking derivatives recorded in other</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8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4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Net gains (losses) relating to these derivative instruments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5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Location</w:t>
            </w: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260"/>
              <w:spacing w:after="0"/>
              <w:rPr>
                <w:sz w:val="20"/>
                <w:szCs w:val="20"/>
                <w:color w:val="auto"/>
              </w:rPr>
            </w:pPr>
            <w:r>
              <w:rPr>
                <w:rFonts w:ascii="Arial" w:cs="Arial" w:eastAsia="Arial" w:hAnsi="Arial"/>
                <w:sz w:val="18"/>
                <w:szCs w:val="18"/>
                <w:color w:val="auto"/>
              </w:rPr>
              <w:t>Interest rate lock commitments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Mortgage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797"/>
              <w:spacing w:after="0"/>
              <w:rPr>
                <w:sz w:val="20"/>
                <w:szCs w:val="20"/>
                <w:color w:val="auto"/>
              </w:rPr>
            </w:pPr>
            <w:r>
              <w:rPr>
                <w:rFonts w:ascii="Arial" w:cs="Arial" w:eastAsia="Arial" w:hAnsi="Arial"/>
                <w:sz w:val="18"/>
                <w:szCs w:val="18"/>
                <w:color w:val="auto"/>
                <w:w w:val="93"/>
              </w:rPr>
              <w:t>(16)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615"/>
              <w:spacing w:after="0"/>
              <w:rPr>
                <w:sz w:val="20"/>
                <w:szCs w:val="20"/>
                <w:color w:val="auto"/>
              </w:rPr>
            </w:pPr>
            <w:r>
              <w:rPr>
                <w:rFonts w:ascii="Arial" w:cs="Arial" w:eastAsia="Arial" w:hAnsi="Arial"/>
                <w:sz w:val="18"/>
                <w:szCs w:val="18"/>
                <w:color w:val="auto"/>
                <w:w w:val="90"/>
              </w:rPr>
              <w:t>(111)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737"/>
              <w:spacing w:after="0"/>
              <w:rPr>
                <w:sz w:val="20"/>
                <w:szCs w:val="20"/>
                <w:color w:val="auto"/>
              </w:rPr>
            </w:pPr>
            <w:r>
              <w:rPr>
                <w:rFonts w:ascii="Arial" w:cs="Arial" w:eastAsia="Arial" w:hAnsi="Arial"/>
                <w:sz w:val="18"/>
                <w:szCs w:val="18"/>
                <w:color w:val="auto"/>
                <w:w w:val="93"/>
              </w:rPr>
              <w:t>(28)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Forward sales commitments</w:t>
            </w:r>
          </w:p>
        </w:tc>
        <w:tc>
          <w:tcPr>
            <w:tcW w:w="1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Mortgage revenue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left="837"/>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635"/>
              <w:spacing w:after="0"/>
              <w:rPr>
                <w:sz w:val="20"/>
                <w:szCs w:val="20"/>
                <w:color w:val="auto"/>
              </w:rPr>
            </w:pPr>
            <w:r>
              <w:rPr>
                <w:rFonts w:ascii="Arial" w:cs="Arial" w:eastAsia="Arial" w:hAnsi="Arial"/>
                <w:sz w:val="18"/>
                <w:szCs w:val="18"/>
                <w:color w:val="auto"/>
                <w:w w:val="93"/>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777"/>
              <w:spacing w:after="0"/>
              <w:rPr>
                <w:sz w:val="20"/>
                <w:szCs w:val="20"/>
                <w:color w:val="auto"/>
              </w:rPr>
            </w:pPr>
            <w:r>
              <w:rPr>
                <w:rFonts w:ascii="Arial" w:cs="Arial" w:eastAsia="Arial" w:hAnsi="Arial"/>
                <w:sz w:val="18"/>
                <w:szCs w:val="18"/>
                <w:color w:val="auto"/>
                <w:w w:val="89"/>
              </w:rPr>
              <w:t>92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Net gains (losses)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center"/>
              <w:ind w:left="837"/>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center"/>
              <w:ind w:left="635"/>
              <w:spacing w:after="0"/>
              <w:rPr>
                <w:sz w:val="20"/>
                <w:szCs w:val="20"/>
                <w:color w:val="auto"/>
              </w:rPr>
            </w:pPr>
            <w:r>
              <w:rPr>
                <w:rFonts w:ascii="Arial" w:cs="Arial" w:eastAsia="Arial" w:hAnsi="Arial"/>
                <w:sz w:val="18"/>
                <w:szCs w:val="18"/>
                <w:color w:val="auto"/>
                <w:w w:val="93"/>
              </w:rPr>
              <w:t>184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center"/>
              <w:ind w:left="777"/>
              <w:spacing w:after="0"/>
              <w:rPr>
                <w:sz w:val="20"/>
                <w:szCs w:val="20"/>
                <w:color w:val="auto"/>
              </w:rPr>
            </w:pPr>
            <w:r>
              <w:rPr>
                <w:rFonts w:ascii="Arial" w:cs="Arial" w:eastAsia="Arial" w:hAnsi="Arial"/>
                <w:sz w:val="18"/>
                <w:szCs w:val="18"/>
                <w:color w:val="auto"/>
                <w:w w:val="89"/>
              </w:rPr>
              <w:t>64</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 xml:space="preserve">“Fair Value Measurement” </w:t>
      </w:r>
      <w:r>
        <w:rPr>
          <w:rFonts w:ascii="Arial" w:cs="Arial" w:eastAsia="Arial" w:hAnsi="Arial"/>
          <w:sz w:val="17"/>
          <w:szCs w:val="17"/>
          <w:color w:val="auto"/>
        </w:rPr>
        <w:t>establishes a fair value hierarchy for valuation inputs that gives the highest priority to quoted prices in active markets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assets or liabilities and the lowest priority to unobservable inputs. The fair value hierarchy is as follows:</w:t>
      </w:r>
    </w:p>
    <w:p>
      <w:pPr>
        <w:spacing w:after="0" w:line="144" w:lineRule="exact"/>
        <w:rPr>
          <w:sz w:val="20"/>
          <w:szCs w:val="20"/>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—Unadjusted quoted prices in active markets for identical assets or liabilities that the Company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29"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Level 2 Inputs</w:t>
      </w:r>
      <w:r>
        <w:rPr>
          <w:rFonts w:ascii="Arial" w:cs="Arial" w:eastAsia="Arial" w:hAnsi="Arial"/>
          <w:sz w:val="16"/>
          <w:szCs w:val="16"/>
          <w:color w:val="auto"/>
        </w:rPr>
        <w:t>—Inputs other than quoted prices included in Level 1 that are observable for the asset or liability, either directly or indirectly.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1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—Unobservable inputs for determining the fair values of assets or liabilities that reflect the Company’s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assets or liabilities.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Financial Liabilities Measured at Fair Value on a Recurring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Securities Available for Sale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Debt securities classified as available for sale are reported at fair value utilizing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4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Equity securities are reported at fair value utilizing Level 1 or Level 2 inputs. Fair value measurements of mutual funds, when held, are determined using unadjusted quoted prices in active markets for identical assets at the measurement date and are classified as Level 1. Fair value measurements of stock utilize quoted prices for identical or similar assets in markets that are not active and are classified as Level 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Assets and Derivative Liabilities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derivative assets and derivative liabilities are reported at fair value utilizing Level 2 or Level 3 inputs. Fair values of derivative assets and liabilities are determined based on prices that are obtained from a third-party which uses observable market inputs and, with the exception of our risk participation agreements, are classified as Level 2. Due to the significance of unobservable inputs, derivative assets related to our risk participation agreements are classified as Level 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financial assets and financial liabilities measured at fair value on a recurring basis as of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December 31, 2022, segregated by the level of the valuation inputs within the fair value hierarchy utilized to measure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rPr>
              <w:t>As of September 30,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3"/>
        </w:trPr>
        <w:tc>
          <w:tcPr>
            <w:tcW w:w="5040" w:type="dxa"/>
            <w:vAlign w:val="bottom"/>
          </w:tcPr>
          <w:p>
            <w:pPr>
              <w:spacing w:after="0"/>
              <w:rPr>
                <w:sz w:val="15"/>
                <w:szCs w:val="15"/>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Level 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Level 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5040" w:type="dxa"/>
            <w:vAlign w:val="bottom"/>
          </w:tcPr>
          <w:p>
            <w:pPr>
              <w:spacing w:after="0"/>
              <w:rPr>
                <w:sz w:val="16"/>
                <w:szCs w:val="16"/>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50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available for sale:</w:t>
            </w: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50,130</w:t>
            </w:r>
          </w:p>
        </w:tc>
        <w:tc>
          <w:tcPr>
            <w:tcW w:w="80" w:type="dxa"/>
            <w:vAlign w:val="bottom"/>
          </w:tcPr>
          <w:p>
            <w:pPr>
              <w:spacing w:after="0"/>
              <w:rPr>
                <w:sz w:val="21"/>
                <w:szCs w:val="21"/>
                <w:color w:val="auto"/>
              </w:rPr>
            </w:pP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50,130</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Obligations of U.S. government corporations and agencies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9,819</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9,819</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226,797</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226,797</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Asset-backed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479,448</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479,448</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Commercial mortgage-backed securities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100,300</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100,300</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Residential mortgage-backed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1,088,796</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1,088,796</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227,551</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227,551</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47,027</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47,034</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82,814</w:t>
            </w:r>
          </w:p>
        </w:tc>
      </w:tr>
      <w:tr>
        <w:trPr>
          <w:trHeight w:val="528"/>
        </w:trPr>
        <w:tc>
          <w:tcPr>
            <w:tcW w:w="5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3"/>
          </w:tcPr>
          <w:p>
            <w:pPr>
              <w:jc w:val="right"/>
              <w:ind w:right="302"/>
              <w:spacing w:after="0"/>
              <w:rPr>
                <w:sz w:val="20"/>
                <w:szCs w:val="20"/>
                <w:color w:val="auto"/>
              </w:rPr>
            </w:pPr>
            <w:r>
              <w:rPr>
                <w:rFonts w:ascii="Arial" w:cs="Arial" w:eastAsia="Arial" w:hAnsi="Arial"/>
                <w:sz w:val="14"/>
                <w:szCs w:val="14"/>
                <w:b w:val="1"/>
                <w:bCs w:val="1"/>
                <w:color w:val="auto"/>
              </w:rPr>
              <w:t>As of December 31, 2022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
        </w:trPr>
        <w:tc>
          <w:tcPr>
            <w:tcW w:w="50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3"/>
        </w:trPr>
        <w:tc>
          <w:tcPr>
            <w:tcW w:w="5040" w:type="dxa"/>
            <w:vAlign w:val="bottom"/>
          </w:tcPr>
          <w:p>
            <w:pPr>
              <w:spacing w:after="0"/>
              <w:rPr>
                <w:sz w:val="15"/>
                <w:szCs w:val="15"/>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Level 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2</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2"/>
              </w:rPr>
              <w:t>Level 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5040" w:type="dxa"/>
            <w:vAlign w:val="bottom"/>
          </w:tcPr>
          <w:p>
            <w:pPr>
              <w:spacing w:after="0"/>
              <w:rPr>
                <w:sz w:val="16"/>
                <w:szCs w:val="16"/>
                <w:color w:val="auto"/>
              </w:rPr>
            </w:pP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1100" w:type="dxa"/>
            <w:vAlign w:val="bottom"/>
          </w:tcPr>
          <w:p>
            <w:pPr>
              <w:jc w:val="center"/>
              <w:ind w:left="30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50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available for sale:</w:t>
            </w: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114,061</w:t>
            </w:r>
          </w:p>
        </w:tc>
        <w:tc>
          <w:tcPr>
            <w:tcW w:w="80" w:type="dxa"/>
            <w:vAlign w:val="bottom"/>
          </w:tcPr>
          <w:p>
            <w:pPr>
              <w:spacing w:after="0"/>
              <w:rPr>
                <w:sz w:val="21"/>
                <w:szCs w:val="21"/>
                <w:color w:val="auto"/>
              </w:rPr>
            </w:pPr>
          </w:p>
        </w:tc>
        <w:tc>
          <w:tcPr>
            <w:tcW w:w="1100" w:type="dxa"/>
            <w:vAlign w:val="bottom"/>
          </w:tcPr>
          <w:p>
            <w:pPr>
              <w:jc w:val="right"/>
              <w:ind w:right="90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114,061</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Obligations of U.S. government corporations and agencies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257,512</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257,512</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Asset-backed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469,875</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469,875</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Commercial mortgage-backed securities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108,394</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108,394</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Residential mortgage-backed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1,243,256</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1,243,256</w:t>
            </w: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248,516</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248,516</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11,535</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42,607</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42,612</w:t>
            </w:r>
          </w:p>
        </w:tc>
      </w:tr>
      <w:tr>
        <w:trPr>
          <w:trHeight w:val="27"/>
        </w:trPr>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72,462</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72,462</w:t>
            </w:r>
          </w:p>
        </w:tc>
      </w:tr>
      <w:tr>
        <w:trPr>
          <w:trHeight w:val="27"/>
        </w:trPr>
        <w:tc>
          <w:tcPr>
            <w:tcW w:w="50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Evaluated Individually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Busey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OREO and Other Repossessed Assets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Non-financial assets measured at fair value, upon initial recognition or subsequent impairment, include OREO and other repossessed assets. OREO properties and other repossessed assets are measured using a combination of observable inputs, including recent appraisals, and unobservable inputs. Due to the significance of unobservable inputs, the fair values of all OREO and other repossessed assets have been classified as Level 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Property Held for Sale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 property held for sale represents certain banking center office buildings which Busey has closed and consolidated with other existing banking centers. Bank property held for sale is measured at the lower of amortized cost or fair value less estimated costs to sell. Fair values were based upon discounted appraisals or real estate listing prices. Due to the significance of unobservable inputs, fair values of all bank property held for sale have been classified as Level 3.</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As of September 30, 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50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3"/>
        </w:trPr>
        <w:tc>
          <w:tcPr>
            <w:tcW w:w="5060" w:type="dxa"/>
            <w:vAlign w:val="bottom"/>
          </w:tcPr>
          <w:p>
            <w:pPr>
              <w:spacing w:after="0"/>
              <w:rPr>
                <w:sz w:val="15"/>
                <w:szCs w:val="15"/>
                <w:color w:val="auto"/>
              </w:rPr>
            </w:pPr>
          </w:p>
        </w:tc>
        <w:tc>
          <w:tcPr>
            <w:tcW w:w="1080" w:type="dxa"/>
            <w:vAlign w:val="bottom"/>
          </w:tcPr>
          <w:p>
            <w:pPr>
              <w:jc w:val="center"/>
              <w:ind w:left="322"/>
              <w:spacing w:after="0"/>
              <w:rPr>
                <w:sz w:val="20"/>
                <w:szCs w:val="20"/>
                <w:color w:val="auto"/>
              </w:rPr>
            </w:pPr>
            <w:r>
              <w:rPr>
                <w:rFonts w:ascii="Arial" w:cs="Arial" w:eastAsia="Arial" w:hAnsi="Arial"/>
                <w:sz w:val="14"/>
                <w:szCs w:val="14"/>
                <w:b w:val="1"/>
                <w:bCs w:val="1"/>
                <w:color w:val="auto"/>
                <w:w w:val="92"/>
              </w:rPr>
              <w:t>Level 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92"/>
              </w:rPr>
              <w:t>Level 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left="422"/>
              <w:spacing w:after="0"/>
              <w:rPr>
                <w:sz w:val="20"/>
                <w:szCs w:val="20"/>
                <w:color w:val="auto"/>
              </w:rPr>
            </w:pPr>
            <w:r>
              <w:rPr>
                <w:rFonts w:ascii="Arial" w:cs="Arial" w:eastAsia="Arial" w:hAnsi="Arial"/>
                <w:sz w:val="14"/>
                <w:szCs w:val="14"/>
                <w:b w:val="1"/>
                <w:bCs w:val="1"/>
                <w:color w:val="auto"/>
                <w:w w:val="92"/>
              </w:rPr>
              <w:t>Level 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5060" w:type="dxa"/>
            <w:vAlign w:val="bottom"/>
          </w:tcPr>
          <w:p>
            <w:pPr>
              <w:spacing w:after="0"/>
              <w:rPr>
                <w:sz w:val="16"/>
                <w:szCs w:val="16"/>
                <w:color w:val="auto"/>
              </w:rPr>
            </w:pPr>
          </w:p>
        </w:tc>
        <w:tc>
          <w:tcPr>
            <w:tcW w:w="1080" w:type="dxa"/>
            <w:vAlign w:val="bottom"/>
          </w:tcPr>
          <w:p>
            <w:pPr>
              <w:jc w:val="center"/>
              <w:ind w:left="32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left="422"/>
              <w:spacing w:after="0"/>
              <w:rPr>
                <w:sz w:val="20"/>
                <w:szCs w:val="20"/>
                <w:color w:val="auto"/>
              </w:rPr>
            </w:pPr>
            <w:r>
              <w:rPr>
                <w:rFonts w:ascii="Arial" w:cs="Arial" w:eastAsia="Arial" w:hAnsi="Arial"/>
                <w:sz w:val="14"/>
                <w:szCs w:val="14"/>
                <w:b w:val="1"/>
                <w:bCs w:val="1"/>
                <w:color w:val="auto"/>
                <w:w w:val="95"/>
              </w:rPr>
              <w:t>Inputs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50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 allowance</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08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4,286</w:t>
            </w:r>
          </w:p>
        </w:tc>
      </w:tr>
      <w:tr>
        <w:trPr>
          <w:trHeight w:val="555"/>
        </w:trPr>
        <w:tc>
          <w:tcPr>
            <w:tcW w:w="5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As of December 31, 2022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
        </w:trPr>
        <w:tc>
          <w:tcPr>
            <w:tcW w:w="50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3"/>
        </w:trPr>
        <w:tc>
          <w:tcPr>
            <w:tcW w:w="5060" w:type="dxa"/>
            <w:vAlign w:val="bottom"/>
          </w:tcPr>
          <w:p>
            <w:pPr>
              <w:spacing w:after="0"/>
              <w:rPr>
                <w:sz w:val="15"/>
                <w:szCs w:val="15"/>
                <w:color w:val="auto"/>
              </w:rPr>
            </w:pPr>
          </w:p>
        </w:tc>
        <w:tc>
          <w:tcPr>
            <w:tcW w:w="1080" w:type="dxa"/>
            <w:vAlign w:val="bottom"/>
          </w:tcPr>
          <w:p>
            <w:pPr>
              <w:jc w:val="center"/>
              <w:ind w:left="322"/>
              <w:spacing w:after="0"/>
              <w:rPr>
                <w:sz w:val="20"/>
                <w:szCs w:val="20"/>
                <w:color w:val="auto"/>
              </w:rPr>
            </w:pPr>
            <w:r>
              <w:rPr>
                <w:rFonts w:ascii="Arial" w:cs="Arial" w:eastAsia="Arial" w:hAnsi="Arial"/>
                <w:sz w:val="14"/>
                <w:szCs w:val="14"/>
                <w:b w:val="1"/>
                <w:bCs w:val="1"/>
                <w:color w:val="auto"/>
                <w:w w:val="92"/>
              </w:rPr>
              <w:t>Level 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92"/>
              </w:rPr>
              <w:t>Level 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center"/>
              <w:ind w:left="422"/>
              <w:spacing w:after="0"/>
              <w:rPr>
                <w:sz w:val="20"/>
                <w:szCs w:val="20"/>
                <w:color w:val="auto"/>
              </w:rPr>
            </w:pPr>
            <w:r>
              <w:rPr>
                <w:rFonts w:ascii="Arial" w:cs="Arial" w:eastAsia="Arial" w:hAnsi="Arial"/>
                <w:sz w:val="14"/>
                <w:szCs w:val="14"/>
                <w:b w:val="1"/>
                <w:bCs w:val="1"/>
                <w:color w:val="auto"/>
                <w:w w:val="92"/>
              </w:rPr>
              <w:t>Level 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Total</w:t>
            </w:r>
          </w:p>
        </w:tc>
      </w:tr>
      <w:tr>
        <w:trPr>
          <w:trHeight w:val="186"/>
        </w:trPr>
        <w:tc>
          <w:tcPr>
            <w:tcW w:w="5060" w:type="dxa"/>
            <w:vAlign w:val="bottom"/>
          </w:tcPr>
          <w:p>
            <w:pPr>
              <w:spacing w:after="0"/>
              <w:rPr>
                <w:sz w:val="16"/>
                <w:szCs w:val="16"/>
                <w:color w:val="auto"/>
              </w:rPr>
            </w:pPr>
          </w:p>
        </w:tc>
        <w:tc>
          <w:tcPr>
            <w:tcW w:w="1080" w:type="dxa"/>
            <w:vAlign w:val="bottom"/>
          </w:tcPr>
          <w:p>
            <w:pPr>
              <w:jc w:val="center"/>
              <w:ind w:left="322"/>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left="422"/>
              <w:spacing w:after="0"/>
              <w:rPr>
                <w:sz w:val="20"/>
                <w:szCs w:val="20"/>
                <w:color w:val="auto"/>
              </w:rPr>
            </w:pPr>
            <w:r>
              <w:rPr>
                <w:rFonts w:ascii="Arial" w:cs="Arial" w:eastAsia="Arial" w:hAnsi="Arial"/>
                <w:sz w:val="14"/>
                <w:szCs w:val="14"/>
                <w:b w:val="1"/>
                <w:bCs w:val="1"/>
                <w:color w:val="auto"/>
                <w:w w:val="95"/>
              </w:rPr>
              <w:t>Inputs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50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 allowance</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080" w:type="dxa"/>
            <w:vAlign w:val="bottom"/>
          </w:tcPr>
          <w:p>
            <w:pPr>
              <w:spacing w:after="0"/>
              <w:rPr>
                <w:sz w:val="21"/>
                <w:szCs w:val="21"/>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7,923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7,923</w:t>
            </w: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gridSpan w:val="4"/>
          </w:tcPr>
          <w:p>
            <w:pPr>
              <w:ind w:left="1680"/>
              <w:spacing w:after="0"/>
              <w:rPr>
                <w:sz w:val="20"/>
                <w:szCs w:val="20"/>
                <w:color w:val="auto"/>
              </w:rPr>
            </w:pPr>
            <w:r>
              <w:rPr>
                <w:rFonts w:ascii="Arial" w:cs="Arial" w:eastAsia="Arial" w:hAnsi="Arial"/>
                <w:sz w:val="14"/>
                <w:szCs w:val="14"/>
                <w:b w:val="1"/>
                <w:bCs w:val="1"/>
                <w:color w:val="auto"/>
              </w:rPr>
              <w:t>As of September 30, 2023</w:t>
            </w:r>
          </w:p>
        </w:tc>
        <w:tc>
          <w:tcPr>
            <w:tcW w:w="1940" w:type="dxa"/>
            <w:vAlign w:val="bottom"/>
          </w:tcPr>
          <w:p>
            <w:pPr>
              <w:spacing w:after="0"/>
              <w:rPr>
                <w:sz w:val="16"/>
                <w:szCs w:val="16"/>
                <w:color w:val="auto"/>
              </w:rPr>
            </w:pPr>
          </w:p>
        </w:tc>
      </w:tr>
      <w:tr>
        <w:trPr>
          <w:trHeight w:val="39"/>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173"/>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Valuation</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Unobservable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186"/>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Techniques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Input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r>
      <w:tr>
        <w:trPr>
          <w:trHeight w:val="39"/>
        </w:trPr>
        <w:tc>
          <w:tcPr>
            <w:tcW w:w="3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Appraisal of collateral</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 to -100.0%</w:t>
            </w:r>
          </w:p>
        </w:tc>
      </w:tr>
      <w:tr>
        <w:trPr>
          <w:trHeight w:val="25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(-34.0)%</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19"/>
                <w:szCs w:val="19"/>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Appraisal of collateral or real</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-6.2% to -64.9%</w:t>
            </w:r>
          </w:p>
        </w:tc>
      </w:tr>
      <w:tr>
        <w:trPr>
          <w:trHeight w:val="230"/>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estate listing 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(-38.4)%</w:t>
            </w:r>
          </w:p>
        </w:tc>
      </w:tr>
      <w:tr>
        <w:trPr>
          <w:trHeight w:val="555"/>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4"/>
          </w:tcPr>
          <w:p>
            <w:pPr>
              <w:ind w:left="1700"/>
              <w:spacing w:after="0"/>
              <w:rPr>
                <w:sz w:val="20"/>
                <w:szCs w:val="20"/>
                <w:color w:val="auto"/>
              </w:rPr>
            </w:pPr>
            <w:r>
              <w:rPr>
                <w:rFonts w:ascii="Arial" w:cs="Arial" w:eastAsia="Arial" w:hAnsi="Arial"/>
                <w:sz w:val="14"/>
                <w:szCs w:val="14"/>
                <w:b w:val="1"/>
                <w:bCs w:val="1"/>
                <w:color w:val="auto"/>
              </w:rPr>
              <w:t>As of December 31, 2022</w:t>
            </w:r>
          </w:p>
        </w:tc>
        <w:tc>
          <w:tcPr>
            <w:tcW w:w="1940" w:type="dxa"/>
            <w:vAlign w:val="bottom"/>
          </w:tcPr>
          <w:p>
            <w:pPr>
              <w:spacing w:after="0"/>
              <w:rPr>
                <w:sz w:val="24"/>
                <w:szCs w:val="24"/>
                <w:color w:val="auto"/>
              </w:rPr>
            </w:pPr>
          </w:p>
        </w:tc>
      </w:tr>
      <w:tr>
        <w:trPr>
          <w:trHeight w:val="39"/>
        </w:trPr>
        <w:tc>
          <w:tcPr>
            <w:tcW w:w="3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160"/>
        </w:trPr>
        <w:tc>
          <w:tcPr>
            <w:tcW w:w="3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5"/>
              </w:rPr>
              <w:t>Valuation</w:t>
            </w:r>
          </w:p>
        </w:tc>
        <w:tc>
          <w:tcPr>
            <w:tcW w:w="158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2"/>
              </w:rPr>
              <w:t>Unobservable</w:t>
            </w:r>
          </w:p>
        </w:tc>
        <w:tc>
          <w:tcPr>
            <w:tcW w:w="19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3"/>
              </w:rPr>
              <w:t>Range</w:t>
            </w:r>
          </w:p>
        </w:tc>
      </w:tr>
      <w:tr>
        <w:trPr>
          <w:trHeight w:val="200"/>
        </w:trPr>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Techniques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Input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r>
      <w:tr>
        <w:trPr>
          <w:trHeight w:val="39"/>
        </w:trPr>
        <w:tc>
          <w:tcPr>
            <w:tcW w:w="38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Appraisal of collateral</w:t>
            </w:r>
          </w:p>
        </w:tc>
        <w:tc>
          <w:tcPr>
            <w:tcW w:w="15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-22.7% to -100.0%</w:t>
            </w:r>
          </w:p>
        </w:tc>
      </w:tr>
      <w:tr>
        <w:trPr>
          <w:trHeight w:val="25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(-45.7)%</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19"/>
                <w:szCs w:val="19"/>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Appraisal of collateral or real</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Appraisal</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-0.7% to -70.1%</w:t>
            </w:r>
          </w:p>
        </w:tc>
      </w:tr>
      <w:tr>
        <w:trPr>
          <w:trHeight w:val="230"/>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estate listing 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(-35.1)%</w:t>
            </w:r>
          </w:p>
        </w:tc>
      </w:tr>
      <w:tr>
        <w:trPr>
          <w:trHeight w:val="918"/>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jc w:val="right"/>
              <w:ind w:right="1838"/>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04"/>
        </w:trPr>
        <w:tc>
          <w:tcPr>
            <w:tcW w:w="3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Financial Liabilities That Are Not Carried at Fair Value</w:t>
      </w:r>
    </w:p>
    <w:p>
      <w:pPr>
        <w:spacing w:after="0" w:line="18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Estimated fair values of financial instruments that are not carried at fair value in Busey’s Consolidated Balance Sheets (Unaudited),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460"/>
              <w:spacing w:after="0"/>
              <w:rPr>
                <w:sz w:val="20"/>
                <w:szCs w:val="20"/>
                <w:color w:val="auto"/>
              </w:rPr>
            </w:pPr>
            <w:r>
              <w:rPr>
                <w:rFonts w:ascii="Arial" w:cs="Arial" w:eastAsia="Arial" w:hAnsi="Arial"/>
                <w:sz w:val="14"/>
                <w:szCs w:val="14"/>
                <w:b w:val="1"/>
                <w:bCs w:val="1"/>
                <w:color w:val="auto"/>
              </w:rPr>
              <w:t>As of September 30, 2023</w:t>
            </w:r>
          </w:p>
        </w:tc>
        <w:tc>
          <w:tcPr>
            <w:tcW w:w="280" w:type="dxa"/>
            <w:vAlign w:val="bottom"/>
          </w:tcPr>
          <w:p>
            <w:pPr>
              <w:spacing w:after="0"/>
              <w:rPr>
                <w:sz w:val="16"/>
                <w:szCs w:val="16"/>
                <w:color w:val="auto"/>
              </w:rPr>
            </w:pPr>
          </w:p>
        </w:tc>
        <w:tc>
          <w:tcPr>
            <w:tcW w:w="27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As of December 31, 2022</w:t>
            </w:r>
          </w:p>
        </w:tc>
      </w:tr>
      <w:tr>
        <w:trPr>
          <w:trHeight w:val="39"/>
        </w:trPr>
        <w:tc>
          <w:tcPr>
            <w:tcW w:w="50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3"/>
        </w:trPr>
        <w:tc>
          <w:tcPr>
            <w:tcW w:w="5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Fair</w:t>
            </w:r>
          </w:p>
        </w:tc>
      </w:tr>
      <w:tr>
        <w:trPr>
          <w:trHeight w:val="186"/>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140" w:type="dxa"/>
            <w:vAlign w:val="bottom"/>
          </w:tcPr>
          <w:p>
            <w:pPr>
              <w:jc w:val="right"/>
              <w:ind w:right="472"/>
              <w:spacing w:after="0"/>
              <w:rPr>
                <w:sz w:val="20"/>
                <w:szCs w:val="20"/>
                <w:color w:val="auto"/>
              </w:rPr>
            </w:pPr>
            <w:r>
              <w:rPr>
                <w:rFonts w:ascii="Arial" w:cs="Arial" w:eastAsia="Arial" w:hAnsi="Arial"/>
                <w:sz w:val="14"/>
                <w:szCs w:val="14"/>
                <w:b w:val="1"/>
                <w:bCs w:val="1"/>
                <w:color w:val="auto"/>
              </w:rPr>
              <w:t>Value</w:t>
            </w:r>
          </w:p>
        </w:tc>
      </w:tr>
      <w:tr>
        <w:trPr>
          <w:trHeight w:val="39"/>
        </w:trPr>
        <w:tc>
          <w:tcPr>
            <w:tcW w:w="50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Level 1 inputs: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227,164</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Level 2 inputs: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Debt securities held to maturity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785,295</w:t>
            </w:r>
          </w:p>
        </w:tc>
      </w:tr>
      <w:tr>
        <w:trPr>
          <w:trHeight w:val="243"/>
        </w:trPr>
        <w:tc>
          <w:tcPr>
            <w:tcW w:w="5020" w:type="dxa"/>
            <w:vAlign w:val="bottom"/>
          </w:tcPr>
          <w:p>
            <w:pPr>
              <w:ind w:left="520"/>
              <w:spacing w:after="0"/>
              <w:rPr>
                <w:sz w:val="20"/>
                <w:szCs w:val="20"/>
                <w:color w:val="auto"/>
              </w:rPr>
            </w:pPr>
            <w:r>
              <w:rPr>
                <w:rFonts w:ascii="Arial" w:cs="Arial" w:eastAsia="Arial" w:hAnsi="Arial"/>
                <w:sz w:val="18"/>
                <w:szCs w:val="18"/>
                <w:color w:val="auto"/>
              </w:rPr>
              <w:t>Loans held for sale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Accrued interest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43,372</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Level 3 inputs: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Portfolio loans,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7,241,479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7,634,094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7,320,422</w:t>
            </w:r>
          </w:p>
        </w:tc>
      </w:tr>
      <w:tr>
        <w:trPr>
          <w:trHeight w:val="243"/>
        </w:trPr>
        <w:tc>
          <w:tcPr>
            <w:tcW w:w="5020" w:type="dxa"/>
            <w:vAlign w:val="bottom"/>
          </w:tcPr>
          <w:p>
            <w:pPr>
              <w:ind w:left="520"/>
              <w:spacing w:after="0"/>
              <w:rPr>
                <w:sz w:val="20"/>
                <w:szCs w:val="20"/>
                <w:color w:val="auto"/>
              </w:rPr>
            </w:pPr>
            <w:r>
              <w:rPr>
                <w:rFonts w:ascii="Arial" w:cs="Arial" w:eastAsia="Arial" w:hAnsi="Arial"/>
                <w:sz w:val="18"/>
                <w:szCs w:val="18"/>
                <w:color w:val="auto"/>
              </w:rPr>
              <w:t>Mortgage servicing rights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18,284</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servicing rights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r>
      <w:tr>
        <w:trPr>
          <w:trHeight w:val="256"/>
        </w:trPr>
        <w:tc>
          <w:tcPr>
            <w:tcW w:w="5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Level 2 inputs: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Time deposits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1,666,652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830,596</w:t>
            </w:r>
          </w:p>
        </w:tc>
      </w:tr>
      <w:tr>
        <w:trPr>
          <w:trHeight w:val="243"/>
        </w:trPr>
        <w:tc>
          <w:tcPr>
            <w:tcW w:w="5020" w:type="dxa"/>
            <w:vAlign w:val="bottom"/>
          </w:tcPr>
          <w:p>
            <w:pPr>
              <w:ind w:left="520"/>
              <w:spacing w:after="0"/>
              <w:rPr>
                <w:sz w:val="20"/>
                <w:szCs w:val="20"/>
                <w:color w:val="auto"/>
              </w:rPr>
            </w:pPr>
            <w:r>
              <w:rPr>
                <w:rFonts w:ascii="Arial" w:cs="Arial" w:eastAsia="Arial" w:hAnsi="Arial"/>
                <w:sz w:val="18"/>
                <w:szCs w:val="18"/>
                <w:color w:val="auto"/>
              </w:rPr>
              <w:t>Securities sold under agreements to repurchase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183,702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183,702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229,806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229,806</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351,085</w:t>
            </w:r>
          </w:p>
        </w:tc>
      </w:tr>
      <w:tr>
        <w:trPr>
          <w:trHeight w:val="243"/>
        </w:trPr>
        <w:tc>
          <w:tcPr>
            <w:tcW w:w="5020" w:type="dxa"/>
            <w:vAlign w:val="bottom"/>
          </w:tcPr>
          <w:p>
            <w:pPr>
              <w:ind w:left="5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30,052</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Junior subordinated debt owed to unconsolidated trusts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59,111</w:t>
            </w:r>
          </w:p>
        </w:tc>
      </w:tr>
      <w:tr>
        <w:trPr>
          <w:trHeight w:val="243"/>
        </w:trPr>
        <w:tc>
          <w:tcPr>
            <w:tcW w:w="5020" w:type="dxa"/>
            <w:vAlign w:val="bottom"/>
          </w:tcPr>
          <w:p>
            <w:pPr>
              <w:ind w:left="520"/>
              <w:spacing w:after="0"/>
              <w:rPr>
                <w:sz w:val="20"/>
                <w:szCs w:val="20"/>
                <w:color w:val="auto"/>
              </w:rPr>
            </w:pPr>
            <w:r>
              <w:rPr>
                <w:rFonts w:ascii="Arial" w:cs="Arial" w:eastAsia="Arial" w:hAnsi="Arial"/>
                <w:sz w:val="18"/>
                <w:szCs w:val="18"/>
                <w:color w:val="auto"/>
              </w:rPr>
              <w:t>Accrued interest payable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3,978</w:t>
            </w:r>
          </w:p>
        </w:tc>
      </w:tr>
      <w:tr>
        <w:trPr>
          <w:trHeight w:val="27"/>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Level 3 inputs: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520"/>
              <w:spacing w:after="0"/>
              <w:rPr>
                <w:sz w:val="20"/>
                <w:szCs w:val="20"/>
                <w:color w:val="auto"/>
              </w:rPr>
            </w:pPr>
            <w:r>
              <w:rPr>
                <w:rFonts w:ascii="Arial" w:cs="Arial" w:eastAsia="Arial" w:hAnsi="Arial"/>
                <w:sz w:val="18"/>
                <w:szCs w:val="18"/>
                <w:color w:val="auto"/>
              </w:rPr>
              <w:t>Subordinated notes, net of unamortized issuance costs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198,812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222,038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208,562</w:t>
            </w:r>
          </w:p>
        </w:tc>
      </w:tr>
      <w:tr>
        <w:trPr>
          <w:trHeight w:val="743"/>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69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0"/>
        </w:trPr>
        <w:tc>
          <w:tcPr>
            <w:tcW w:w="5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Common Share</w:t>
      </w:r>
    </w:p>
    <w:p>
      <w:pPr>
        <w:spacing w:after="0" w:line="18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Busey’s outstanding stock options and warrants were exercised, stock units were vested, and ESPP shares were issued.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39"/>
        </w:trPr>
        <w:tc>
          <w:tcPr>
            <w:tcW w:w="50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Weighted average number of common shares outstanding, basic</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55,486,700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55,349,547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55,441,980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55,399,424</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Dilutive effect of common stock equivalents: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1,749</w:t>
            </w: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 awards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661,173</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PSU awards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37,393</w:t>
            </w: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DSU awards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14,275</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ESPP</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8,136</w:t>
            </w:r>
          </w:p>
        </w:tc>
      </w:tr>
      <w:tr>
        <w:trPr>
          <w:trHeight w:val="27"/>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Weighted average number of common shares outstanding, diluted</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56,315,492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56,073,164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56,230,624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56,123,756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Average shares that were excluded from the computation of diluted earnings per common share because their effect would have been anti-dilutive are summarized in the table below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50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14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Anti-dilutive common stock equivalents</w:t>
            </w: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21,926</w:t>
            </w:r>
          </w:p>
        </w:tc>
        <w:tc>
          <w:tcPr>
            <w:tcW w:w="8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22,219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10,389</w:t>
            </w: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 awards</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51,883</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PSU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85,074</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160,391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137,918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226,771</w:t>
            </w: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anti-dilutive common stock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160,391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212,731</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289,043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040" w:type="dxa"/>
            <w:vAlign w:val="bottom"/>
          </w:tcPr>
          <w:p>
            <w:pPr>
              <w:spacing w:after="0"/>
              <w:rPr>
                <w:sz w:val="24"/>
                <w:szCs w:val="24"/>
                <w:color w:val="auto"/>
              </w:rPr>
            </w:pPr>
          </w:p>
        </w:tc>
        <w:tc>
          <w:tcPr>
            <w:tcW w:w="1480" w:type="dxa"/>
            <w:vAlign w:val="bottom"/>
          </w:tcPr>
          <w:p>
            <w:pPr>
              <w:jc w:val="right"/>
              <w:ind w:right="715"/>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04"/>
        </w:trPr>
        <w:tc>
          <w:tcPr>
            <w:tcW w:w="50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tables present changes in AOCI by component, net of tax, for the periods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September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of Tax</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6"/>
                <w:szCs w:val="16"/>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auto"/>
              </w:rPr>
              <w:t>Net of Tax</w:t>
            </w:r>
          </w:p>
        </w:tc>
      </w:tr>
      <w:tr>
        <w:trPr>
          <w:trHeight w:val="39"/>
        </w:trPr>
        <w:tc>
          <w:tcPr>
            <w:tcW w:w="3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5"/>
        </w:trPr>
        <w:tc>
          <w:tcPr>
            <w:tcW w:w="3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5"/>
              </w:rPr>
              <w:t>Unrealized/Unrecognized gains (losses) on debt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1"/>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securities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(335,359)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95,591</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(239,768)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(277,310)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79,047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(198,263)</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Unrealized holding gains (losses) on debt securities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 for sale, net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(69,306)</w:t>
            </w: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Amounts reclassified from AOCI, net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Amortization of unrecognized losses on securities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transferred to held to maturity</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36"/>
        </w:trPr>
        <w:tc>
          <w:tcPr>
            <w:tcW w:w="39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(371,546)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105,908</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(372,367)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(266,225)</w:t>
            </w:r>
          </w:p>
        </w:tc>
      </w:tr>
      <w:tr>
        <w:trPr>
          <w:trHeight w:val="27"/>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w w:val="97"/>
              </w:rPr>
              <w:t>Unrealized gains (losses) on cash flow hedges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(12,844)</w:t>
            </w: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rPr>
              <w:t>Unrealized holding gains (losses) on cash flow</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hedges, net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(10,192)</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 net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10,001</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(22,770)</w:t>
            </w:r>
          </w:p>
        </w:tc>
      </w:tr>
      <w:tr>
        <w:trPr>
          <w:trHeight w:val="27"/>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3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0"/>
        </w:trPr>
        <w:tc>
          <w:tcPr>
            <w:tcW w:w="3940" w:type="dxa"/>
            <w:vAlign w:val="bottom"/>
          </w:tcPr>
          <w:p>
            <w:pPr>
              <w:ind w:left="20"/>
              <w:spacing w:after="0"/>
              <w:rPr>
                <w:sz w:val="20"/>
                <w:szCs w:val="20"/>
                <w:color w:val="auto"/>
              </w:rPr>
            </w:pPr>
            <w:r>
              <w:rPr>
                <w:rFonts w:ascii="Arial" w:cs="Arial" w:eastAsia="Arial" w:hAnsi="Arial"/>
                <w:sz w:val="18"/>
                <w:szCs w:val="18"/>
                <w:color w:val="auto"/>
              </w:rPr>
              <w:t>Total AOCI</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(406,639)</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115,909</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(290,730)</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(404,213)</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115,218</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(288,995)</w:t>
            </w: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8"/>
        </w:trPr>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13"/>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0"/>
        </w:trPr>
        <w:tc>
          <w:tcPr>
            <w:tcW w:w="3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9"/>
        </w:trPr>
        <w:tc>
          <w:tcPr>
            <w:tcW w:w="39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4"/>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of Tax</w:t>
            </w: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Before Tax</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Tax Effect</w:t>
            </w:r>
          </w:p>
        </w:tc>
        <w:tc>
          <w:tcPr>
            <w:tcW w:w="180" w:type="dxa"/>
            <w:vAlign w:val="bottom"/>
          </w:tcPr>
          <w:p>
            <w:pPr>
              <w:spacing w:after="0"/>
              <w:rPr>
                <w:sz w:val="16"/>
                <w:szCs w:val="16"/>
                <w:color w:val="auto"/>
              </w:rPr>
            </w:pPr>
          </w:p>
        </w:tc>
        <w:tc>
          <w:tcPr>
            <w:tcW w:w="960" w:type="dxa"/>
            <w:vAlign w:val="bottom"/>
          </w:tcPr>
          <w:p>
            <w:pPr>
              <w:jc w:val="right"/>
              <w:ind w:right="172"/>
              <w:spacing w:after="0"/>
              <w:rPr>
                <w:sz w:val="20"/>
                <w:szCs w:val="20"/>
                <w:color w:val="auto"/>
              </w:rPr>
            </w:pPr>
            <w:r>
              <w:rPr>
                <w:rFonts w:ascii="Arial" w:cs="Arial" w:eastAsia="Arial" w:hAnsi="Arial"/>
                <w:sz w:val="14"/>
                <w:szCs w:val="14"/>
                <w:b w:val="1"/>
                <w:bCs w:val="1"/>
                <w:color w:val="auto"/>
              </w:rPr>
              <w:t>Net of Tax</w:t>
            </w:r>
          </w:p>
        </w:tc>
      </w:tr>
      <w:tr>
        <w:trPr>
          <w:trHeight w:val="39"/>
        </w:trPr>
        <w:tc>
          <w:tcPr>
            <w:tcW w:w="3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5"/>
        </w:trPr>
        <w:tc>
          <w:tcPr>
            <w:tcW w:w="3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5"/>
              </w:rPr>
              <w:t>Unrealized/Unrecognized gains (losses) on debt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1"/>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securities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(352,878)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100,585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(252,293)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(23,073)</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holding gains (losses) on debt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securities available for sale, net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(211,988)</w:t>
            </w:r>
          </w:p>
        </w:tc>
      </w:tr>
      <w:tr>
        <w:trPr>
          <w:trHeight w:val="229"/>
        </w:trPr>
        <w:tc>
          <w:tcPr>
            <w:tcW w:w="3940" w:type="dxa"/>
            <w:vAlign w:val="bottom"/>
          </w:tcPr>
          <w:p>
            <w:pPr>
              <w:ind w:left="260"/>
              <w:spacing w:after="0"/>
              <w:rPr>
                <w:sz w:val="20"/>
                <w:szCs w:val="20"/>
                <w:color w:val="auto"/>
              </w:rPr>
            </w:pPr>
            <w:r>
              <w:rPr>
                <w:rFonts w:ascii="Arial" w:cs="Arial" w:eastAsia="Arial" w:hAnsi="Arial"/>
                <w:sz w:val="18"/>
                <w:szCs w:val="18"/>
                <w:color w:val="auto"/>
                <w:w w:val="90"/>
              </w:rPr>
              <w:t>Unrecognized losses on debt securities transferred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to held to maturity from available for sale</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(34,644)</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Amounts reclassified from AOCI,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940" w:type="dxa"/>
            <w:vAlign w:val="bottom"/>
          </w:tcPr>
          <w:p>
            <w:pPr>
              <w:ind w:left="260"/>
              <w:spacing w:after="0"/>
              <w:rPr>
                <w:sz w:val="20"/>
                <w:szCs w:val="20"/>
                <w:color w:val="auto"/>
              </w:rPr>
            </w:pPr>
            <w:r>
              <w:rPr>
                <w:rFonts w:ascii="Arial" w:cs="Arial" w:eastAsia="Arial" w:hAnsi="Arial"/>
                <w:sz w:val="18"/>
                <w:szCs w:val="18"/>
                <w:color w:val="auto"/>
                <w:w w:val="92"/>
              </w:rPr>
              <w:t>Amortization of unrecognized losses on securities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transferred to held to maturity</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7"/>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(266,225)</w:t>
            </w:r>
          </w:p>
        </w:tc>
      </w:tr>
      <w:tr>
        <w:trPr>
          <w:trHeight w:val="250"/>
        </w:trPr>
        <w:tc>
          <w:tcPr>
            <w:tcW w:w="39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7"/>
              </w:rPr>
              <w:t>Unrealized gains (losses)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8,365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(20,985)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Unrealized holding gains (losses) on cash flow</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hedges, net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(21,587)</w:t>
            </w:r>
          </w:p>
        </w:tc>
      </w:tr>
      <w:tr>
        <w:trPr>
          <w:trHeight w:val="243"/>
        </w:trPr>
        <w:tc>
          <w:tcPr>
            <w:tcW w:w="3940" w:type="dxa"/>
            <w:vAlign w:val="bottom"/>
          </w:tcPr>
          <w:p>
            <w:pPr>
              <w:ind w:left="260"/>
              <w:spacing w:after="0"/>
              <w:rPr>
                <w:sz w:val="20"/>
                <w:szCs w:val="20"/>
                <w:color w:val="auto"/>
              </w:rPr>
            </w:pPr>
            <w:r>
              <w:rPr>
                <w:rFonts w:ascii="Arial" w:cs="Arial" w:eastAsia="Arial" w:hAnsi="Arial"/>
                <w:sz w:val="18"/>
                <w:szCs w:val="18"/>
                <w:color w:val="auto"/>
              </w:rPr>
              <w:t>Amounts reclassified from AOCI, net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(22,770)</w:t>
            </w:r>
          </w:p>
        </w:tc>
      </w:tr>
      <w:tr>
        <w:trPr>
          <w:trHeight w:val="250"/>
        </w:trPr>
        <w:tc>
          <w:tcPr>
            <w:tcW w:w="39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9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AOCI</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(406,639)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115,909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(404,213)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Operating Segments and Related Information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Busey has three reportable operating segments: Banking, FirsTech, and Wealth Management. Busey’s three operating segments are strategic business units that are separately managed, as they offer different products and services and have different marketing strategies.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Banking Operating Segment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Banking operating segment provides a full range of banking services to individual and corporate customers through First Busey Corporation’s wholly-owned bank subsidiary, Busey Bank, with 58 banking centers in Illinois; the St. Louis, Missouri, metropolitan area; southwest Florida; and Indianapolis, Indiana.</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commercial real estate, real estate construction, and agricultural loans, as well as commercial depository services such as cash management.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Wealth Management Operating Segment</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FirsTech Operating Segment</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w:t>
      </w:r>
    </w:p>
    <w:p>
      <w:pPr>
        <w:spacing w:after="0" w:line="1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FirsTech's client base represents a diverse set of industries, with a higher concentration in highly regulated industries, such as financial institutions, utility, insurance, and telecommunications industries.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Financial Information</w:t>
      </w:r>
    </w:p>
    <w:p>
      <w:pPr>
        <w:spacing w:after="0" w:line="18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The segment financial information provided below has been derived from information used by management to monitor and manage Busey’s financial performance. The accounting policies of the three operating segments are the same as those described in the summary of significant accounting policies in “</w:t>
      </w:r>
      <w:hyperlink r:id="rId91">
        <w:r>
          <w:rPr>
            <w:rFonts w:ascii="Arial" w:cs="Arial" w:eastAsia="Arial" w:hAnsi="Arial"/>
            <w:sz w:val="18"/>
            <w:szCs w:val="18"/>
            <w:i w:val="1"/>
            <w:iCs w:val="1"/>
            <w:u w:val="single" w:color="auto"/>
            <w:color w:val="0000FF"/>
          </w:rPr>
          <w:t>Note 1. Significant Accounting Policies</w:t>
        </w:r>
      </w:hyperlink>
      <w:r>
        <w:rPr>
          <w:rFonts w:ascii="Arial" w:cs="Arial" w:eastAsia="Arial" w:hAnsi="Arial"/>
          <w:sz w:val="18"/>
          <w:szCs w:val="18"/>
          <w:color w:val="auto"/>
        </w:rPr>
        <w:t xml:space="preserve">” in </w:t>
      </w:r>
      <w:hyperlink r:id="rId26">
        <w:r>
          <w:rPr>
            <w:rFonts w:ascii="Arial" w:cs="Arial" w:eastAsia="Arial" w:hAnsi="Arial"/>
            <w:sz w:val="18"/>
            <w:szCs w:val="18"/>
            <w:u w:val="single" w:color="auto"/>
            <w:color w:val="0000FF"/>
          </w:rPr>
          <w:t>Busey’s 2022 Annual Report</w:t>
        </w:r>
      </w:hyperlink>
      <w:r>
        <w:rPr>
          <w:rFonts w:ascii="Arial" w:cs="Arial" w:eastAsia="Arial" w:hAnsi="Arial"/>
          <w:sz w:val="18"/>
          <w:szCs w:val="18"/>
          <w:color w:val="auto"/>
        </w:rPr>
        <w:t>. The Company accounts for intersegment revenue and transfers at current market value.</w:t>
      </w:r>
    </w:p>
    <w:p>
      <w:pPr>
        <w:spacing w:after="0" w:line="16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Following is a summary of selected financial information for the Company’s operating segments. The “other” category included in the tables below consists of the parent company, First Busey Risk Management, and the elimination of intercompany transactions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16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3"/>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As of</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As of</w:t>
            </w:r>
          </w:p>
        </w:tc>
        <w:tc>
          <w:tcPr>
            <w:tcW w:w="116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60"/>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30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138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3"/>
                <w:szCs w:val="13"/>
                <w:color w:val="auto"/>
              </w:rPr>
            </w:pPr>
          </w:p>
        </w:tc>
        <w:tc>
          <w:tcPr>
            <w:tcW w:w="1160" w:type="dxa"/>
            <w:vAlign w:val="bottom"/>
          </w:tcPr>
          <w:p>
            <w:pPr>
              <w:jc w:val="right"/>
              <w:ind w:right="235"/>
              <w:spacing w:after="0" w:line="160" w:lineRule="exact"/>
              <w:rPr>
                <w:sz w:val="20"/>
                <w:szCs w:val="20"/>
                <w:color w:val="auto"/>
              </w:rPr>
            </w:pPr>
            <w:r>
              <w:rPr>
                <w:rFonts w:ascii="Arial" w:cs="Arial" w:eastAsia="Arial" w:hAnsi="Arial"/>
                <w:sz w:val="14"/>
                <w:szCs w:val="14"/>
                <w:b w:val="1"/>
                <w:bCs w:val="1"/>
                <w:color w:val="auto"/>
                <w:w w:val="90"/>
              </w:rPr>
              <w:t>December 31,</w:t>
            </w:r>
          </w:p>
        </w:tc>
      </w:tr>
      <w:tr>
        <w:trPr>
          <w:trHeight w:val="186"/>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53"/>
        </w:trPr>
        <w:tc>
          <w:tcPr>
            <w:tcW w:w="50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segment</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294,773</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294,773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12,104,706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12,199,960</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84,082</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FirsTech</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8,992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48,715</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Consolidated 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317,873</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12,258,250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12,336,677</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85"/>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17"/>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4"/>
        </w:trPr>
        <w:tc>
          <w:tcPr>
            <w:tcW w:w="5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Banking</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81,794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90,916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254,394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244,820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FirsTech</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(4,017)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(12,581)</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interest income</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77,791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232,289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Banking</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11,983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13,559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34,716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42,827</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14,350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42,425</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FirsTech</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5,665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16,333</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r>
      <w:tr>
        <w:trPr>
          <w:trHeight w:val="264"/>
        </w:trPr>
        <w:tc>
          <w:tcPr>
            <w:tcW w:w="5040" w:type="dxa"/>
            <w:vAlign w:val="bottom"/>
          </w:tcPr>
          <w:p>
            <w:pPr>
              <w:ind w:left="20"/>
              <w:spacing w:after="0"/>
              <w:rPr>
                <w:sz w:val="20"/>
                <w:szCs w:val="20"/>
                <w:color w:val="auto"/>
              </w:rPr>
            </w:pPr>
            <w:r>
              <w:rPr>
                <w:rFonts w:ascii="Arial" w:cs="Arial" w:eastAsia="Arial" w:hAnsi="Arial"/>
                <w:sz w:val="18"/>
                <w:szCs w:val="18"/>
                <w:color w:val="auto"/>
              </w:rPr>
              <w:t>Total noninterest income</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31,008</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97,724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55,172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165,220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8,059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23,533</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FirsTech</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6,850</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noninterest expense</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70,945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210,204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Banking</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38,241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46,838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123,852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118,663</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18,892</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FirsTech</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(7,476)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(23,292)</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Total income before income taxes</w:t>
            </w:r>
          </w:p>
        </w:tc>
        <w:tc>
          <w:tcPr>
            <w:tcW w:w="9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37,490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120,689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116,045</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31,189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94,032</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Wealth Management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14,688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FirsTech</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(5,621)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(16,096)</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income</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30,666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5040" w:type="dxa"/>
            <w:vAlign w:val="bottom"/>
          </w:tcPr>
          <w:p>
            <w:pPr>
              <w:spacing w:after="0"/>
              <w:rPr>
                <w:sz w:val="24"/>
                <w:szCs w:val="24"/>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4"/>
        </w:trPr>
        <w:tc>
          <w:tcPr>
            <w:tcW w:w="50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1040" w:type="dxa"/>
            <w:vAlign w:val="bottom"/>
            <w:gridSpan w:val="22"/>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40" w:type="dxa"/>
            <w:vAlign w:val="bottom"/>
            <w:gridSpan w:val="20"/>
          </w:tcPr>
          <w:p>
            <w:pPr>
              <w:jc w:val="center"/>
              <w:ind w:right="40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1040" w:type="dxa"/>
            <w:vAlign w:val="bottom"/>
            <w:gridSpan w:val="22"/>
          </w:tcPr>
          <w:p>
            <w:pPr>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9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6"/>
              </w:rPr>
              <w:t>OVERVIEW</w:t>
            </w:r>
          </w:p>
        </w:tc>
        <w:tc>
          <w:tcPr>
            <w:tcW w:w="10060" w:type="dxa"/>
            <w:vAlign w:val="bottom"/>
            <w:gridSpan w:val="19"/>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11020" w:type="dxa"/>
            <w:vAlign w:val="bottom"/>
            <w:gridSpan w:val="21"/>
          </w:tcPr>
          <w:p>
            <w:pPr>
              <w:spacing w:after="0"/>
              <w:rPr>
                <w:sz w:val="20"/>
                <w:szCs w:val="20"/>
                <w:color w:val="auto"/>
              </w:rPr>
            </w:pPr>
            <w:r>
              <w:rPr>
                <w:rFonts w:ascii="Arial" w:cs="Arial" w:eastAsia="Arial" w:hAnsi="Arial"/>
                <w:sz w:val="18"/>
                <w:szCs w:val="18"/>
                <w:color w:val="0000FF"/>
              </w:rPr>
              <w:t>OPERATING PERFORMANCE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Key Performance Metrics</w:t>
            </w:r>
          </w:p>
        </w:tc>
        <w:tc>
          <w:tcPr>
            <w:tcW w:w="8600" w:type="dxa"/>
            <w:vAlign w:val="bottom"/>
            <w:gridSpan w:val="8"/>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Banking Center Markets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60</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9"/>
              </w:rPr>
              <w:t>Net Interest Income</w:t>
            </w:r>
          </w:p>
        </w:tc>
        <w:tc>
          <w:tcPr>
            <w:tcW w:w="380" w:type="dxa"/>
            <w:vAlign w:val="bottom"/>
            <w:tcBorders>
              <w:top w:val="single" w:sz="8" w:color="0000FF"/>
            </w:tcBorders>
            <w:gridSpan w:val="3"/>
          </w:tcPr>
          <w:p>
            <w:pPr>
              <w:spacing w:after="0"/>
              <w:rPr>
                <w:sz w:val="21"/>
                <w:szCs w:val="21"/>
                <w:color w:val="auto"/>
              </w:rPr>
            </w:pPr>
          </w:p>
        </w:tc>
        <w:tc>
          <w:tcPr>
            <w:tcW w:w="8640" w:type="dxa"/>
            <w:vAlign w:val="bottom"/>
            <w:gridSpan w:val="9"/>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60</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Noninterest Income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7"/>
              </w:rPr>
              <w:t>Noninterest Expense</w:t>
            </w:r>
          </w:p>
        </w:tc>
        <w:tc>
          <w:tcPr>
            <w:tcW w:w="8960" w:type="dxa"/>
            <w:vAlign w:val="bottom"/>
            <w:gridSpan w:val="10"/>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68</w:t>
            </w:r>
          </w:p>
        </w:tc>
        <w:tc>
          <w:tcPr>
            <w:tcW w:w="20" w:type="dxa"/>
            <w:vAlign w:val="bottom"/>
          </w:tcPr>
          <w:p>
            <w:pPr>
              <w:spacing w:after="0"/>
              <w:rPr>
                <w:sz w:val="21"/>
                <w:szCs w:val="21"/>
                <w:color w:val="auto"/>
              </w:rPr>
            </w:pPr>
          </w:p>
        </w:tc>
      </w:tr>
      <w:tr>
        <w:trPr>
          <w:trHeight w:val="520"/>
        </w:trPr>
        <w:tc>
          <w:tcPr>
            <w:tcW w:w="20" w:type="dxa"/>
            <w:vAlign w:val="bottom"/>
          </w:tcPr>
          <w:p>
            <w:pPr>
              <w:spacing w:after="0"/>
              <w:rPr>
                <w:sz w:val="24"/>
                <w:szCs w:val="24"/>
                <w:color w:val="auto"/>
              </w:rPr>
            </w:pPr>
          </w:p>
        </w:tc>
        <w:tc>
          <w:tcPr>
            <w:tcW w:w="20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FINANCIAL CONDITION</w:t>
            </w:r>
          </w:p>
        </w:tc>
        <w:tc>
          <w:tcPr>
            <w:tcW w:w="9000" w:type="dxa"/>
            <w:vAlign w:val="bottom"/>
            <w:gridSpan w:val="11"/>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Balance Sheet</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Portfolio Loans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71</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Deposits</w:t>
            </w:r>
          </w:p>
        </w:tc>
        <w:tc>
          <w:tcPr>
            <w:tcW w:w="9340" w:type="dxa"/>
            <w:vAlign w:val="bottom"/>
            <w:gridSpan w:val="15"/>
          </w:tcPr>
          <w:p>
            <w:pPr>
              <w:spacing w:after="0"/>
              <w:rPr>
                <w:sz w:val="21"/>
                <w:szCs w:val="21"/>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76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Liquidity</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76</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3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Off-Balance Sheet Arrangements</w:t>
            </w:r>
          </w:p>
        </w:tc>
        <w:tc>
          <w:tcPr>
            <w:tcW w:w="806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77</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Capital Resources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78</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020" w:type="dxa"/>
            <w:vAlign w:val="bottom"/>
            <w:gridSpan w:val="21"/>
          </w:tcPr>
          <w:p>
            <w:pPr>
              <w:spacing w:after="0"/>
              <w:rPr>
                <w:sz w:val="20"/>
                <w:szCs w:val="20"/>
                <w:color w:val="auto"/>
              </w:rPr>
            </w:pPr>
            <w:r>
              <w:rPr>
                <w:rFonts w:ascii="Arial" w:cs="Arial" w:eastAsia="Arial" w:hAnsi="Arial"/>
                <w:sz w:val="18"/>
                <w:szCs w:val="18"/>
                <w:color w:val="0000FF"/>
              </w:rPr>
              <w:t>NON-GAAP FINANCIAL INFORMATION</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79</w:t>
            </w:r>
          </w:p>
        </w:tc>
        <w:tc>
          <w:tcPr>
            <w:tcW w:w="2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324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FORWARD LOOKING STATEMENTS</w:t>
            </w:r>
          </w:p>
        </w:tc>
        <w:tc>
          <w:tcPr>
            <w:tcW w:w="7780" w:type="dxa"/>
            <w:vAlign w:val="bottom"/>
            <w:gridSpan w:val="3"/>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87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1020" w:type="dxa"/>
            <w:vAlign w:val="bottom"/>
            <w:gridSpan w:val="21"/>
          </w:tcPr>
          <w:p>
            <w:pPr>
              <w:spacing w:after="0"/>
              <w:rPr>
                <w:sz w:val="20"/>
                <w:szCs w:val="20"/>
                <w:color w:val="auto"/>
              </w:rPr>
            </w:pPr>
            <w:r>
              <w:rPr>
                <w:rFonts w:ascii="Arial" w:cs="Arial" w:eastAsia="Arial" w:hAnsi="Arial"/>
                <w:sz w:val="18"/>
                <w:szCs w:val="18"/>
                <w:color w:val="0000FF"/>
              </w:rPr>
              <w:t>CRITICAL ACCOUNTING ESTIMATES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9"/>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Fair Value of Debt Securities Available for Sale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87</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9"/>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Fair Value of Assets Acquired and Liabilities Assumed in Business Combinations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Goodwill</w:t>
            </w:r>
          </w:p>
        </w:tc>
        <w:tc>
          <w:tcPr>
            <w:tcW w:w="5180" w:type="dxa"/>
            <w:vAlign w:val="bottom"/>
            <w:tcBorders>
              <w:top w:val="single" w:sz="8" w:color="0000FF"/>
            </w:tcBorders>
            <w:gridSpan w:val="16"/>
          </w:tcPr>
          <w:p>
            <w:pPr>
              <w:spacing w:after="0"/>
              <w:rPr>
                <w:sz w:val="21"/>
                <w:szCs w:val="21"/>
                <w:color w:val="auto"/>
              </w:rPr>
            </w:pPr>
          </w:p>
        </w:tc>
        <w:tc>
          <w:tcPr>
            <w:tcW w:w="4580" w:type="dxa"/>
            <w:vAlign w:val="bottom"/>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89</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8400" w:type="dxa"/>
            <w:vAlign w:val="bottom"/>
            <w:gridSpan w:val="7"/>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440" w:type="dxa"/>
            <w:vAlign w:val="bottom"/>
            <w:gridSpan w:val="20"/>
          </w:tcPr>
          <w:p>
            <w:pPr>
              <w:spacing w:after="0"/>
              <w:rPr>
                <w:sz w:val="20"/>
                <w:szCs w:val="20"/>
                <w:color w:val="auto"/>
              </w:rPr>
            </w:pPr>
            <w:r>
              <w:rPr>
                <w:rFonts w:ascii="Arial" w:cs="Arial" w:eastAsia="Arial" w:hAnsi="Arial"/>
                <w:sz w:val="18"/>
                <w:szCs w:val="18"/>
                <w:color w:val="0000FF"/>
              </w:rPr>
              <w:t>Allowance for Credit Losses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89</w:t>
            </w:r>
          </w:p>
        </w:tc>
        <w:tc>
          <w:tcPr>
            <w:tcW w:w="20" w:type="dxa"/>
            <w:vAlign w:val="bottom"/>
          </w:tcPr>
          <w:p>
            <w:pPr>
              <w:spacing w:after="0"/>
              <w:rPr>
                <w:sz w:val="21"/>
                <w:szCs w:val="21"/>
                <w:color w:val="auto"/>
              </w:rPr>
            </w:pPr>
          </w:p>
        </w:tc>
      </w:tr>
      <w:tr>
        <w:trPr>
          <w:trHeight w:val="952"/>
        </w:trPr>
        <w:tc>
          <w:tcPr>
            <w:tcW w:w="600" w:type="dxa"/>
            <w:vAlign w:val="bottom"/>
            <w:gridSpan w:val="2"/>
          </w:tcPr>
          <w:p>
            <w:pPr>
              <w:spacing w:after="0"/>
              <w:rPr>
                <w:sz w:val="24"/>
                <w:szCs w:val="24"/>
                <w:color w:val="auto"/>
              </w:rPr>
            </w:pPr>
          </w:p>
        </w:tc>
        <w:tc>
          <w:tcPr>
            <w:tcW w:w="2040" w:type="dxa"/>
            <w:vAlign w:val="bottom"/>
            <w:tcBorders>
              <w:top w:val="single" w:sz="8" w:color="0000FF"/>
            </w:tcBorders>
            <w:gridSpan w:val="13"/>
          </w:tcPr>
          <w:p>
            <w:pPr>
              <w:spacing w:after="0"/>
              <w:rPr>
                <w:sz w:val="24"/>
                <w:szCs w:val="24"/>
                <w:color w:val="auto"/>
              </w:rPr>
            </w:pPr>
          </w:p>
        </w:tc>
        <w:tc>
          <w:tcPr>
            <w:tcW w:w="3820" w:type="dxa"/>
            <w:vAlign w:val="bottom"/>
            <w:gridSpan w:val="6"/>
          </w:tcPr>
          <w:p>
            <w:pPr>
              <w:jc w:val="right"/>
              <w:ind w:right="740"/>
              <w:spacing w:after="0"/>
              <w:rPr>
                <w:sz w:val="20"/>
                <w:szCs w:val="20"/>
                <w:color w:val="auto"/>
              </w:rPr>
            </w:pPr>
            <w:r>
              <w:rPr>
                <w:rFonts w:ascii="Arial" w:cs="Arial" w:eastAsia="Arial" w:hAnsi="Arial"/>
                <w:sz w:val="18"/>
                <w:szCs w:val="18"/>
                <w:color w:val="auto"/>
              </w:rPr>
              <w:t>57</w:t>
            </w:r>
          </w:p>
        </w:tc>
        <w:tc>
          <w:tcPr>
            <w:tcW w:w="45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Busey Corporation is a $12.3 billion financial holding company headquartered in Champaign, Illinois. Our common stock is traded on The Nasdaq Global Select Market under the symbol “BUSE.”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three operating segments provide a full range of banking, wealth management, and payment technology solutions through our subsidiaries, Busey Bank and FirsTech, in Illinois; the St. Louis, Missouri metropolitan area; southwest Florida; and Indianapolis, Indiana.</w:t>
      </w:r>
    </w:p>
    <w:p>
      <w:pPr>
        <w:spacing w:after="0" w:line="143" w:lineRule="exact"/>
        <w:rPr>
          <w:sz w:val="20"/>
          <w:szCs w:val="20"/>
          <w:color w:val="auto"/>
        </w:rPr>
      </w:pPr>
    </w:p>
    <w:p>
      <w:pPr>
        <w:jc w:val="both"/>
        <w:spacing w:after="0" w:line="286" w:lineRule="auto"/>
        <w:rPr>
          <w:rFonts w:ascii="Arial" w:cs="Arial" w:eastAsia="Arial" w:hAnsi="Arial"/>
          <w:sz w:val="17"/>
          <w:szCs w:val="17"/>
          <w:color w:val="0000FF"/>
        </w:rPr>
      </w:pPr>
      <w:r>
        <w:rPr>
          <w:rFonts w:ascii="Arial" w:cs="Arial" w:eastAsia="Arial" w:hAnsi="Arial"/>
          <w:sz w:val="17"/>
          <w:szCs w:val="17"/>
          <w:color w:val="auto"/>
        </w:rPr>
        <w:t xml:space="preserve">The following discussion and analysis are intended to assist readers in understanding Busey’s financial condition and results of operations during the three and nine months ended September 30, 2023, and should be read in conjunction with our </w:t>
      </w:r>
      <w:r>
        <w:rPr>
          <w:rFonts w:ascii="Arial" w:cs="Arial" w:eastAsia="Arial" w:hAnsi="Arial"/>
          <w:sz w:val="17"/>
          <w:szCs w:val="17"/>
          <w:u w:val="single" w:color="auto"/>
          <w:color w:val="0000FF"/>
        </w:rPr>
        <w:t>Consolidated Financial Statements (unaudited)</w:t>
      </w:r>
      <w:r>
        <w:rPr>
          <w:rFonts w:ascii="Arial" w:cs="Arial" w:eastAsia="Arial" w:hAnsi="Arial"/>
          <w:sz w:val="17"/>
          <w:szCs w:val="17"/>
          <w:color w:val="auto"/>
        </w:rPr>
        <w:t xml:space="preserve"> and the related </w:t>
      </w:r>
      <w:r>
        <w:rPr>
          <w:rFonts w:ascii="Arial" w:cs="Arial" w:eastAsia="Arial" w:hAnsi="Arial"/>
          <w:sz w:val="17"/>
          <w:szCs w:val="17"/>
          <w:u w:val="single" w:color="auto"/>
          <w:color w:val="0000FF"/>
        </w:rPr>
        <w:t>Notes to the Consolidated Financial Statements (unaudited)</w:t>
      </w:r>
      <w:r>
        <w:rPr>
          <w:rFonts w:ascii="Arial" w:cs="Arial" w:eastAsia="Arial" w:hAnsi="Arial"/>
          <w:sz w:val="17"/>
          <w:szCs w:val="17"/>
          <w:color w:val="0000FF"/>
        </w:rPr>
        <w:t xml:space="preserve"> </w:t>
      </w:r>
      <w:r>
        <w:rPr>
          <w:rFonts w:ascii="Arial" w:cs="Arial" w:eastAsia="Arial" w:hAnsi="Arial"/>
          <w:sz w:val="17"/>
          <w:szCs w:val="17"/>
          <w:color w:val="000000"/>
        </w:rPr>
        <w:t>included in this Quarterly Report, as well as</w:t>
      </w:r>
      <w:r>
        <w:rPr>
          <w:rFonts w:ascii="Arial" w:cs="Arial" w:eastAsia="Arial" w:hAnsi="Arial"/>
          <w:sz w:val="17"/>
          <w:szCs w:val="17"/>
          <w:color w:val="0000FF"/>
        </w:rPr>
        <w:t xml:space="preserve"> </w:t>
      </w:r>
      <w:hyperlink r:id="rId26">
        <w:r>
          <w:rPr>
            <w:rFonts w:ascii="Arial" w:cs="Arial" w:eastAsia="Arial" w:hAnsi="Arial"/>
            <w:sz w:val="17"/>
            <w:szCs w:val="17"/>
            <w:u w:val="single" w:color="auto"/>
            <w:color w:val="0000FF"/>
          </w:rPr>
          <w:t>our 2022 Annual Report</w:t>
        </w:r>
      </w:hyperlink>
      <w:r>
        <w:rPr>
          <w:rFonts w:ascii="Arial" w:cs="Arial" w:eastAsia="Arial" w:hAnsi="Arial"/>
          <w:sz w:val="17"/>
          <w:szCs w:val="17"/>
          <w:color w:val="000000"/>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Busey’s Conservative Banking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Busey’s financial strength is built on a long-term conservative operating approach. That focus will not change now or in the future.</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quality of our core deposit franchise is a critical value driver of our institution, and we have seen relative stability in our deposit franchise. Busey remains substantially core deposit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funded, with robust liquidity and significant market share in the communities we serve. As of September 30, 2023, our loan to deposit ratio was 76.0% and core deposits represented 96.6% of total deposits. Furthermore, we have sufficient on- and off-balance sheet liquidity to manage deposit fluctuations and the liquidity needs of our customers.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credit performance reflects our highly diversified, conservatively underwritten loan portfolio, which has been originated predominantly to established customers with tenured relationships with our Company. Our approach to lending and our underwriting standards are designed to emphasize relationship banking rather than transactional banking. In addition, as a matter of both policy and practice, we limit concentration exposures in any particular loan segment. As a result, asset quality remains strong by both Busey’s historical and current industry trends.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Busey’s conservative banking strategy is reflected in the strength of our capital base. We strive to consistently maintain capital ratios well in excess of thresholds required to be designated as well capitalized by applicable regulatory guidelines, thereby ensuring financial strength and flexibility across economic and operating cycles. At September 30, 2023, our leverage ratio of Tier 1 capital to average assets was 10.1%, our common equity Tier 1 capital to risk weighted assets ratio was 12.5%, and our total capital to risk weighted assets ratio was 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9" w:lineRule="exact"/>
        <w:rPr>
          <w:sz w:val="20"/>
          <w:szCs w:val="20"/>
          <w:color w:val="auto"/>
        </w:rPr>
      </w:pPr>
    </w:p>
    <w:p>
      <w:pPr>
        <w:ind w:firstLine="8"/>
        <w:spacing w:after="0" w:line="201" w:lineRule="auto"/>
        <w:tabs>
          <w:tab w:leader="none" w:pos="103"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 xml:space="preserve">Core deposits is 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Metrics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Operating performance metrics presented in the table below have been derived from information used by management to monitor and manage Busey’s financial performance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960" w:type="dxa"/>
            <w:vAlign w:val="bottom"/>
          </w:tcPr>
          <w:p>
            <w:pPr>
              <w:spacing w:after="0"/>
              <w:rPr>
                <w:sz w:val="3"/>
                <w:szCs w:val="3"/>
                <w:color w:val="auto"/>
              </w:rPr>
            </w:pPr>
          </w:p>
        </w:tc>
        <w:tc>
          <w:tcPr>
            <w:tcW w:w="37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9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39"/>
        </w:trPr>
        <w:tc>
          <w:tcPr>
            <w:tcW w:w="960" w:type="dxa"/>
            <w:vAlign w:val="bottom"/>
            <w:tcBorders>
              <w:bottom w:val="single" w:sz="8" w:color="CCEEFF"/>
            </w:tcBorders>
          </w:tcPr>
          <w:p>
            <w:pPr>
              <w:spacing w:after="0"/>
              <w:rPr>
                <w:sz w:val="3"/>
                <w:szCs w:val="3"/>
                <w:color w:val="auto"/>
              </w:rPr>
            </w:pPr>
          </w:p>
        </w:tc>
        <w:tc>
          <w:tcPr>
            <w:tcW w:w="37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30,666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35,661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96,816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93,924</w:t>
            </w: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tcPr>
          <w:p>
            <w:pPr>
              <w:ind w:left="160"/>
              <w:spacing w:after="0"/>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30,730</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36,435</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96,889</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95,620</w:t>
            </w:r>
          </w:p>
        </w:tc>
      </w:tr>
      <w:tr>
        <w:trPr>
          <w:trHeight w:val="270"/>
        </w:trPr>
        <w:tc>
          <w:tcPr>
            <w:tcW w:w="9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43"/>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tcPr>
          <w:p>
            <w:pPr>
              <w:ind w:left="16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1.67</w:t>
            </w:r>
          </w:p>
        </w:tc>
      </w:tr>
      <w:tr>
        <w:trPr>
          <w:trHeight w:val="27"/>
        </w:trPr>
        <w:tc>
          <w:tcPr>
            <w:tcW w:w="9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common share</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w:t>
            </w:r>
          </w:p>
        </w:tc>
      </w:tr>
      <w:tr>
        <w:trPr>
          <w:trHeight w:val="270"/>
        </w:trPr>
        <w:tc>
          <w:tcPr>
            <w:tcW w:w="9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on average assets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tcPr>
          <w:p>
            <w:pPr>
              <w:ind w:left="160"/>
              <w:spacing w:after="0"/>
              <w:rPr>
                <w:sz w:val="20"/>
                <w:szCs w:val="20"/>
                <w:color w:val="auto"/>
              </w:rPr>
            </w:pPr>
            <w:r>
              <w:rPr>
                <w:rFonts w:ascii="Arial" w:cs="Arial" w:eastAsia="Arial" w:hAnsi="Arial"/>
                <w:sz w:val="18"/>
                <w:szCs w:val="18"/>
                <w:color w:val="auto"/>
              </w:rPr>
              <w:t>Return on average assets</w:t>
            </w:r>
            <w:r>
              <w:rPr>
                <w:rFonts w:ascii="Arial" w:cs="Arial" w:eastAsia="Arial" w:hAnsi="Arial"/>
                <w:sz w:val="23"/>
                <w:szCs w:val="23"/>
                <w:color w:val="auto"/>
                <w:vertAlign w:val="superscript"/>
              </w:rPr>
              <w:t>1, 2</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70"/>
        </w:trPr>
        <w:tc>
          <w:tcPr>
            <w:tcW w:w="9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tcPr>
          <w:p>
            <w:pPr>
              <w:ind w:left="160"/>
              <w:spacing w:after="0"/>
              <w:rPr>
                <w:sz w:val="20"/>
                <w:szCs w:val="20"/>
                <w:color w:val="auto"/>
              </w:rPr>
            </w:pPr>
            <w:r>
              <w:rPr>
                <w:rFonts w:ascii="Arial" w:cs="Arial" w:eastAsia="Arial" w:hAnsi="Arial"/>
                <w:sz w:val="18"/>
                <w:szCs w:val="18"/>
                <w:color w:val="auto"/>
                <w:w w:val="96"/>
              </w:rPr>
              <w:t>Return on average tangible common equity</w:t>
            </w:r>
            <w:r>
              <w:rPr>
                <w:rFonts w:ascii="Arial" w:cs="Arial" w:eastAsia="Arial" w:hAnsi="Arial"/>
                <w:sz w:val="23"/>
                <w:szCs w:val="23"/>
                <w:color w:val="auto"/>
                <w:w w:val="96"/>
                <w:vertAlign w:val="superscript"/>
              </w:rPr>
              <w:t>1, 2</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14.31 %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17.41 %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15.50 %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14.81 %</w:t>
            </w: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Return on average tangible common equity</w:t>
            </w:r>
            <w:r>
              <w:rPr>
                <w:rFonts w:ascii="Arial" w:cs="Arial" w:eastAsia="Arial" w:hAnsi="Arial"/>
                <w:sz w:val="23"/>
                <w:szCs w:val="23"/>
                <w:color w:val="auto"/>
                <w:w w:val="96"/>
                <w:vertAlign w:val="superscript"/>
              </w:rPr>
              <w:t>1, 2</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15.08 %</w:t>
            </w:r>
          </w:p>
        </w:tc>
      </w:tr>
      <w:tr>
        <w:trPr>
          <w:trHeight w:val="270"/>
        </w:trPr>
        <w:tc>
          <w:tcPr>
            <w:tcW w:w="9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Pre-provision net revenue</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38,139</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46,498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125,593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122,133</w:t>
            </w: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tcPr>
          <w:p>
            <w:pPr>
              <w:ind w:left="160"/>
              <w:spacing w:after="0"/>
              <w:rPr>
                <w:sz w:val="20"/>
                <w:szCs w:val="20"/>
                <w:color w:val="auto"/>
              </w:rPr>
            </w:pPr>
            <w:r>
              <w:rPr>
                <w:rFonts w:ascii="Arial" w:cs="Arial" w:eastAsia="Arial" w:hAnsi="Arial"/>
                <w:sz w:val="18"/>
                <w:szCs w:val="18"/>
                <w:color w:val="auto"/>
              </w:rPr>
              <w:t>Pre-provision net revenue</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40,491</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48,800</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132,067</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129,421</w:t>
            </w:r>
          </w:p>
        </w:tc>
      </w:tr>
      <w:tr>
        <w:trPr>
          <w:trHeight w:val="270"/>
        </w:trPr>
        <w:tc>
          <w:tcPr>
            <w:tcW w:w="9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Reported:</w:t>
            </w:r>
          </w:p>
        </w:tc>
        <w:tc>
          <w:tcPr>
            <w:tcW w:w="3760" w:type="dxa"/>
            <w:vAlign w:val="bottom"/>
          </w:tcPr>
          <w:p>
            <w:pPr>
              <w:ind w:left="160"/>
              <w:spacing w:after="0"/>
              <w:rPr>
                <w:sz w:val="20"/>
                <w:szCs w:val="20"/>
                <w:color w:val="auto"/>
              </w:rPr>
            </w:pPr>
            <w:r>
              <w:rPr>
                <w:rFonts w:ascii="Arial" w:cs="Arial" w:eastAsia="Arial" w:hAnsi="Arial"/>
                <w:sz w:val="18"/>
                <w:szCs w:val="18"/>
                <w:color w:val="auto"/>
                <w:w w:val="94"/>
              </w:rPr>
              <w:t>Pre-provision net revenue to average assets</w:t>
            </w:r>
            <w:r>
              <w:rPr>
                <w:rFonts w:ascii="Arial" w:cs="Arial" w:eastAsia="Arial" w:hAnsi="Arial"/>
                <w:sz w:val="23"/>
                <w:szCs w:val="23"/>
                <w:color w:val="auto"/>
                <w:w w:val="94"/>
                <w:vertAlign w:val="superscript"/>
              </w:rPr>
              <w:t>1, 2</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w:t>
            </w: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Pre-provision net revenue to average assets</w:t>
            </w:r>
            <w:r>
              <w:rPr>
                <w:rFonts w:ascii="Arial" w:cs="Arial" w:eastAsia="Arial" w:hAnsi="Arial"/>
                <w:sz w:val="23"/>
                <w:szCs w:val="23"/>
                <w:color w:val="auto"/>
                <w:w w:val="94"/>
                <w:vertAlign w:val="superscript"/>
              </w:rPr>
              <w:t>1, 2</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340" w:hanging="202"/>
        <w:spacing w:after="0" w:line="261" w:lineRule="auto"/>
        <w:tabs>
          <w:tab w:leader="none" w:pos="335"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 and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320" w:hanging="182"/>
        <w:spacing w:after="0"/>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Annualized measure.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Non-Operating Expenses and Non-GAAP Measures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Busey views certain non-operating items, including acquisition-related and restructuring charges, as adjustments to net income reported under GAAP. Non-operating pretax adjustments were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costs</w:t>
            </w:r>
          </w:p>
        </w:tc>
        <w:tc>
          <w:tcPr>
            <w:tcW w:w="10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70"/>
        </w:trPr>
        <w:tc>
          <w:tcPr>
            <w:tcW w:w="5040" w:type="dxa"/>
            <w:vAlign w:val="bottom"/>
          </w:tcPr>
          <w:p>
            <w:pPr>
              <w:ind w:left="260"/>
              <w:spacing w:after="0"/>
              <w:rPr>
                <w:sz w:val="20"/>
                <w:szCs w:val="20"/>
                <w:color w:val="auto"/>
              </w:rPr>
            </w:pPr>
            <w:r>
              <w:rPr>
                <w:rFonts w:ascii="Arial" w:cs="Arial" w:eastAsia="Arial" w:hAnsi="Arial"/>
                <w:sz w:val="18"/>
                <w:szCs w:val="18"/>
                <w:color w:val="auto"/>
              </w:rPr>
              <w:t>Acquisition related expenses</w:t>
            </w:r>
            <w:r>
              <w:rPr>
                <w:rFonts w:ascii="Arial" w:cs="Arial" w:eastAsia="Arial" w:hAnsi="Arial"/>
                <w:sz w:val="23"/>
                <w:szCs w:val="23"/>
                <w:color w:val="auto"/>
                <w:vertAlign w:val="superscript"/>
              </w:rPr>
              <w:t>1</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3"/>
                <w:szCs w:val="23"/>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70"/>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Restructuring charges</w:t>
            </w:r>
            <w:r>
              <w:rPr>
                <w:rFonts w:ascii="Arial" w:cs="Arial" w:eastAsia="Arial" w:hAnsi="Arial"/>
                <w:sz w:val="23"/>
                <w:szCs w:val="23"/>
                <w:color w:val="auto"/>
                <w:vertAlign w:val="superscript"/>
              </w:rPr>
              <w:t>2</w:t>
            </w:r>
          </w:p>
        </w:tc>
        <w:tc>
          <w:tcPr>
            <w:tcW w:w="10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953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63"/>
        </w:trPr>
        <w:tc>
          <w:tcPr>
            <w:tcW w:w="5040" w:type="dxa"/>
            <w:vAlign w:val="bottom"/>
          </w:tcPr>
          <w:p>
            <w:pPr>
              <w:ind w:left="20"/>
              <w:spacing w:after="0"/>
              <w:rPr>
                <w:sz w:val="20"/>
                <w:szCs w:val="20"/>
                <w:color w:val="auto"/>
              </w:rPr>
            </w:pPr>
            <w:r>
              <w:rPr>
                <w:rFonts w:ascii="Arial" w:cs="Arial" w:eastAsia="Arial" w:hAnsi="Arial"/>
                <w:sz w:val="18"/>
                <w:szCs w:val="18"/>
                <w:color w:val="auto"/>
              </w:rPr>
              <w:t>Total non-operating costs</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957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w:t>
            </w:r>
          </w:p>
        </w:tc>
      </w:tr>
      <w:tr>
        <w:trPr>
          <w:trHeight w:val="20"/>
        </w:trPr>
        <w:tc>
          <w:tcPr>
            <w:tcW w:w="5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Acquisition expenses related to completed acquisitions and exploratory due diligence.</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Restructuring charges related to previously disclosed restructuring and efficiency plans.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 reconciliation of non-GAAP measures, which Busey believes facilitates the assessment of its financial results and peer comparability, is included in tabular form in this Quarterly Report. See </w:t>
      </w:r>
      <w:r>
        <w:rPr>
          <w:rFonts w:ascii="Arial" w:cs="Arial" w:eastAsia="Arial" w:hAnsi="Arial"/>
          <w:sz w:val="18"/>
          <w:szCs w:val="18"/>
          <w:i w:val="1"/>
          <w:iCs w:val="1"/>
          <w:u w:val="single" w:color="auto"/>
          <w:color w:val="0000FF"/>
        </w:rPr>
        <w:t>“Item 2. Management’s Discussion and Analysis—Non-GAAP Financial Information.”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Center Markets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Busey Bank serves the Illinois banking market with 46 banking centers.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Ten of our banking centers in Illinois are located within the Chicago Metropolitan Statistical Area, and 12 of our banking centers in Illinois are located within the St. Louis Metropolitan Statistical Area.</w:t>
      </w:r>
    </w:p>
    <w:p>
      <w:pPr>
        <w:spacing w:after="0" w:line="13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Busey Bank has eight banking centers in Missouri.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Busey Bank has three banking centers in southwest Florida, an area which has experienced strong population growth, job growth, and an expanded housing market, as well as the benefits of a tourism and winter resort economy.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due in part to it serving as the headquarters of many large corporations.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Average Balance Sheets and Interest Rates (Unaudited)</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The following tables show our unaudited Consolidated Average Balance Sheets </w:t>
      </w:r>
      <w:r>
        <w:rPr>
          <w:rFonts w:ascii="Arial" w:cs="Arial" w:eastAsia="Arial" w:hAnsi="Arial"/>
          <w:sz w:val="18"/>
          <w:szCs w:val="18"/>
          <w:i w:val="1"/>
          <w:iCs w:val="1"/>
          <w:color w:val="auto"/>
        </w:rPr>
        <w:t>(dollars in thousands)</w:t>
      </w:r>
      <w:r>
        <w:rPr>
          <w:rFonts w:ascii="Arial" w:cs="Arial" w:eastAsia="Arial" w:hAnsi="Arial"/>
          <w:sz w:val="18"/>
          <w:szCs w:val="18"/>
          <w:color w:val="auto"/>
        </w:rPr>
        <w:t>, and details the major categories of assets and liabilities, the interest income earned on interest-earning assets, the interest expense paid for interest-bearing liabilities, and the related interest yields for the periods shown. Average information is provided on a daily average basis.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w w:val="99"/>
              </w:rPr>
              <w:t>Three Months Ended 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Income/</w:t>
            </w: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228"/>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Expense</w:t>
            </w: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89"/>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Interest-bearing bank deposits and federal funds sold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132,856</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1,591</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4.75 %</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207,917</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2.07 %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60"/>
              <w:spacing w:after="0"/>
              <w:rPr>
                <w:sz w:val="20"/>
                <w:szCs w:val="20"/>
                <w:color w:val="auto"/>
              </w:rPr>
            </w:pPr>
            <w:r>
              <w:rPr>
                <w:rFonts w:ascii="Arial" w:cs="Arial" w:eastAsia="Arial" w:hAnsi="Arial"/>
                <w:sz w:val="14"/>
                <w:szCs w:val="14"/>
                <w:color w:val="auto"/>
              </w:rPr>
              <w:t>U.S. Government obligations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64,904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0.83 %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174,357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0.61 %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9"/>
                <w:szCs w:val="9"/>
                <w:color w:val="auto"/>
              </w:rPr>
              <w:t>1</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234,158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1,654</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284,069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0" w:type="dxa"/>
            <w:vAlign w:val="bottom"/>
          </w:tcPr>
          <w:p>
            <w:pPr>
              <w:spacing w:after="0"/>
              <w:rPr>
                <w:sz w:val="1"/>
                <w:szCs w:val="1"/>
                <w:color w:val="auto"/>
              </w:rPr>
            </w:pPr>
          </w:p>
        </w:tc>
      </w:tr>
      <w:tr>
        <w:trPr>
          <w:trHeight w:val="191"/>
        </w:trPr>
        <w:tc>
          <w:tcPr>
            <w:tcW w:w="3800" w:type="dxa"/>
            <w:vAlign w:val="bottom"/>
          </w:tcPr>
          <w:p>
            <w:pPr>
              <w:ind w:left="260"/>
              <w:spacing w:after="0"/>
              <w:rPr>
                <w:sz w:val="20"/>
                <w:szCs w:val="20"/>
                <w:color w:val="auto"/>
              </w:rPr>
            </w:pPr>
            <w:r>
              <w:rPr>
                <w:rFonts w:ascii="Arial" w:cs="Arial" w:eastAsia="Arial" w:hAnsi="Arial"/>
                <w:sz w:val="14"/>
                <w:szCs w:val="14"/>
                <w:color w:val="auto"/>
              </w:rPr>
              <w:t>Other securities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2,849,697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19,627</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2.73 %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3,209,327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16,298</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2.01 %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5.01 %</w:t>
            </w: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Portfolio loans</w:t>
            </w:r>
            <w:r>
              <w:rPr>
                <w:rFonts w:ascii="Arial" w:cs="Arial" w:eastAsia="Arial" w:hAnsi="Arial"/>
                <w:sz w:val="9"/>
                <w:szCs w:val="9"/>
                <w:color w:val="auto"/>
              </w:rPr>
              <w:t>1, 2</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7,834,285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100,178</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5.07 %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7,617,918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76,355</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3.98 %</w:t>
            </w:r>
          </w:p>
        </w:tc>
        <w:tc>
          <w:tcPr>
            <w:tcW w:w="0" w:type="dxa"/>
            <w:vAlign w:val="bottom"/>
          </w:tcPr>
          <w:p>
            <w:pPr>
              <w:spacing w:after="0"/>
              <w:rPr>
                <w:sz w:val="1"/>
                <w:szCs w:val="1"/>
                <w:color w:val="auto"/>
              </w:rPr>
            </w:pPr>
          </w:p>
        </w:tc>
      </w:tr>
      <w:tr>
        <w:trPr>
          <w:trHeight w:val="39"/>
        </w:trPr>
        <w:tc>
          <w:tcPr>
            <w:tcW w:w="38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9"/>
                <w:szCs w:val="9"/>
                <w:color w:val="auto"/>
              </w:rPr>
              <w:t>1, 3</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11,118,167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123,222</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11,497,783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95,958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119,874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123,480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Premises and equipment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122,955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130,367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ACL</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(93,070)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934,857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869,245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12,202,783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12,531,856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Interest-bearing transaction deposits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2,818,124</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12,443</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1.75 %</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2,880,802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1,582</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0.22 %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Savings and money market deposits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2,828,673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11,108</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3,311,327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0.13 %</w:t>
            </w: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1,570,666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13,517</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3.41 %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800,996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0.46 %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 funds purchased and repurchase agreements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190,112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1,327</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233,032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0.78 %</w:t>
            </w: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Borrowings</w:t>
            </w:r>
            <w:r>
              <w:rPr>
                <w:rFonts w:ascii="Arial" w:cs="Arial" w:eastAsia="Arial" w:hAnsi="Arial"/>
                <w:sz w:val="9"/>
                <w:szCs w:val="9"/>
                <w:color w:val="auto"/>
              </w:rPr>
              <w:t>4</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384,864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5,492</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5.66 %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307,255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5.55 %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Junior subordinated debt issued to unconsolidated trusts</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71,916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991</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5.47 %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4.35 %</w:t>
            </w: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Arial" w:cs="Arial" w:eastAsia="Arial" w:hAnsi="Arial"/>
                <w:sz w:val="14"/>
                <w:szCs w:val="14"/>
                <w:color w:val="auto"/>
              </w:rPr>
              <w:t>Total interest-bearing liabilities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7,864,355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44,878</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2.26 %</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7,605,148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9,110</w:t>
            </w:r>
          </w:p>
        </w:tc>
        <w:tc>
          <w:tcPr>
            <w:tcW w:w="1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0.48 %</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3800" w:type="dxa"/>
            <w:vAlign w:val="bottom"/>
          </w:tcPr>
          <w:p>
            <w:pPr>
              <w:ind w:left="20"/>
              <w:spacing w:after="0"/>
              <w:rPr>
                <w:sz w:val="20"/>
                <w:szCs w:val="20"/>
                <w:color w:val="auto"/>
              </w:rPr>
            </w:pPr>
            <w:r>
              <w:rPr>
                <w:rFonts w:ascii="Arial" w:cs="Arial" w:eastAsia="Arial" w:hAnsi="Arial"/>
                <w:sz w:val="14"/>
                <w:szCs w:val="14"/>
                <w:color w:val="auto"/>
              </w:rPr>
              <w:t>Net interest spread</w:t>
            </w:r>
            <w:r>
              <w:rPr>
                <w:rFonts w:ascii="Arial" w:cs="Arial" w:eastAsia="Arial" w:hAnsi="Arial"/>
                <w:sz w:val="9"/>
                <w:szCs w:val="9"/>
                <w:color w:val="auto"/>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2.83 %</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Noninterest-bearing deposits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2,925,244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3,583,693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204,777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161,567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1,208,407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1,181,448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12,202,783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12,531,856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 / earning assets</w:t>
            </w:r>
            <w:r>
              <w:rPr>
                <w:rFonts w:ascii="Arial" w:cs="Arial" w:eastAsia="Arial" w:hAnsi="Arial"/>
                <w:sz w:val="9"/>
                <w:szCs w:val="9"/>
                <w:color w:val="auto"/>
              </w:rPr>
              <w:t>1, 3</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11,118,167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123,222</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4.40 %</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11,497,783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95,958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3.31 %</w:t>
            </w: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Interest expense / earning assets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11,118,167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44,878</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1.60 %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11,497,783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9,110</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0.31 %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9"/>
                <w:szCs w:val="9"/>
                <w:color w:val="auto"/>
              </w:rPr>
              <w:t>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78,344</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86,848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3.00 %</w:t>
            </w:r>
          </w:p>
        </w:tc>
        <w:tc>
          <w:tcPr>
            <w:tcW w:w="0" w:type="dxa"/>
            <w:vAlign w:val="bottom"/>
          </w:tcPr>
          <w:p>
            <w:pPr>
              <w:spacing w:after="0"/>
              <w:rPr>
                <w:sz w:val="1"/>
                <w:szCs w:val="1"/>
                <w:color w:val="auto"/>
              </w:rPr>
            </w:pPr>
          </w:p>
        </w:tc>
      </w:tr>
      <w:tr>
        <w:trPr>
          <w:trHeight w:val="27"/>
        </w:trPr>
        <w:tc>
          <w:tcPr>
            <w:tcW w:w="38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w:t>
            </w: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38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202"/>
        <w:spacing w:after="0" w:line="255" w:lineRule="auto"/>
        <w:tabs>
          <w:tab w:leader="none" w:pos="335"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On a tax-equivalent basis and assuming a federal income tax rate of 21.0%.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320" w:hanging="18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Non-accrual loans have been included in average portfolio loans.</w:t>
      </w:r>
    </w:p>
    <w:p>
      <w:pPr>
        <w:spacing w:after="0" w:line="9" w:lineRule="exact"/>
        <w:rPr>
          <w:rFonts w:ascii="Arial" w:cs="Arial" w:eastAsia="Arial" w:hAnsi="Arial"/>
          <w:sz w:val="14"/>
          <w:szCs w:val="14"/>
          <w:color w:val="auto"/>
        </w:rPr>
      </w:pPr>
    </w:p>
    <w:p>
      <w:pPr>
        <w:ind w:left="320" w:hanging="18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Interest income includes tax-equivalent adjustments of $0.6 million and $0.5 million for the three months ended September 30, 2023, and 2022, respectively.</w:t>
      </w:r>
    </w:p>
    <w:p>
      <w:pPr>
        <w:spacing w:after="0" w:line="14" w:lineRule="exact"/>
        <w:rPr>
          <w:rFonts w:ascii="Arial" w:cs="Arial" w:eastAsia="Arial" w:hAnsi="Arial"/>
          <w:sz w:val="14"/>
          <w:szCs w:val="14"/>
          <w:color w:val="auto"/>
        </w:rPr>
      </w:pPr>
    </w:p>
    <w:p>
      <w:pPr>
        <w:ind w:left="320" w:hanging="18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short-term and long-term borrowings. Interest expense includes non-usage fees on a revolving loan.</w:t>
      </w:r>
    </w:p>
    <w:p>
      <w:pPr>
        <w:spacing w:after="0" w:line="14" w:lineRule="exact"/>
        <w:rPr>
          <w:rFonts w:ascii="Arial" w:cs="Arial" w:eastAsia="Arial" w:hAnsi="Arial"/>
          <w:sz w:val="14"/>
          <w:szCs w:val="14"/>
          <w:color w:val="auto"/>
        </w:rPr>
      </w:pPr>
    </w:p>
    <w:p>
      <w:pPr>
        <w:ind w:left="320" w:hanging="18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Annualized.</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102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Income/</w:t>
            </w:r>
          </w:p>
        </w:tc>
        <w:tc>
          <w:tcPr>
            <w:tcW w:w="124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102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Income/</w:t>
            </w:r>
          </w:p>
        </w:tc>
        <w:tc>
          <w:tcPr>
            <w:tcW w:w="1220" w:type="dxa"/>
            <w:vAlign w:val="bottom"/>
          </w:tcPr>
          <w:p>
            <w:pPr>
              <w:jc w:val="right"/>
              <w:ind w:right="368"/>
              <w:spacing w:after="0" w:line="160"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Expense</w:t>
            </w: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53"/>
        </w:trPr>
        <w:tc>
          <w:tcPr>
            <w:tcW w:w="38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Interest-bearing bank deposits and federal funds sold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119,393</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3,890</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4.36 %</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331,664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1,720</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0.69 %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securities: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60"/>
              <w:spacing w:after="0"/>
              <w:rPr>
                <w:sz w:val="20"/>
                <w:szCs w:val="20"/>
                <w:color w:val="auto"/>
              </w:rPr>
            </w:pPr>
            <w:r>
              <w:rPr>
                <w:rFonts w:ascii="Arial" w:cs="Arial" w:eastAsia="Arial" w:hAnsi="Arial"/>
                <w:sz w:val="14"/>
                <w:szCs w:val="14"/>
                <w:color w:val="auto"/>
              </w:rPr>
              <w:t>U.S. Government obligations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91,468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478</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0.70 %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186,493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0.60 %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5,123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0" w:type="dxa"/>
            <w:vAlign w:val="bottom"/>
          </w:tcPr>
          <w:p>
            <w:pPr>
              <w:spacing w:after="0"/>
              <w:rPr>
                <w:sz w:val="1"/>
                <w:szCs w:val="1"/>
                <w:color w:val="auto"/>
              </w:rPr>
            </w:pPr>
          </w:p>
        </w:tc>
      </w:tr>
      <w:tr>
        <w:trPr>
          <w:trHeight w:val="190"/>
        </w:trPr>
        <w:tc>
          <w:tcPr>
            <w:tcW w:w="3800" w:type="dxa"/>
            <w:vAlign w:val="bottom"/>
          </w:tcPr>
          <w:p>
            <w:pPr>
              <w:ind w:left="180"/>
              <w:spacing w:after="0"/>
              <w:rPr>
                <w:sz w:val="20"/>
                <w:szCs w:val="20"/>
                <w:color w:val="auto"/>
              </w:rPr>
            </w:pPr>
            <w:r>
              <w:rPr>
                <w:rFonts w:ascii="Arial" w:cs="Arial" w:eastAsia="Arial" w:hAnsi="Arial"/>
                <w:sz w:val="14"/>
                <w:szCs w:val="14"/>
                <w:color w:val="auto"/>
              </w:rPr>
              <w:t>Other securities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2,918,447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57,327</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2.63 %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3,345,611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43,913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3.52 %</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Portfolio loans</w:t>
            </w:r>
            <w:r>
              <w:rPr>
                <w:rFonts w:ascii="Arial" w:cs="Arial" w:eastAsia="Arial" w:hAnsi="Arial"/>
                <w:sz w:val="18"/>
                <w:szCs w:val="18"/>
                <w:color w:val="auto"/>
                <w:vertAlign w:val="superscript"/>
              </w:rPr>
              <w:t>1, 2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7,767,378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285,441</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7,387,582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203,338</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3.68 %</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1, 3</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11,142,780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352,345</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11,550,887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255,737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2.96 %</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117,977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123,881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Premises and equipment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125,069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132,977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ACL</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(92,912)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(88,744)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932,318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828,815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12,225,232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12,547,816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Interest-bearing transaction deposits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2,745,757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28,930</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1.41 %</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2,742,105</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0.12 %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Savings and money market deposits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2,847,211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22,777</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3,399,782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1,293,309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26,869</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2.78 %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855,219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3,079</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0.48 %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 funds purchased and repurchase agreements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207,014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3,772</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2.44 %</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246,481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0.36 %</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Arial" w:cs="Arial" w:eastAsia="Arial" w:hAnsi="Arial"/>
                <w:sz w:val="14"/>
                <w:szCs w:val="14"/>
                <w:color w:val="auto"/>
              </w:rPr>
              <w:t>Borrowings</w:t>
            </w:r>
            <w:r>
              <w:rPr>
                <w:rFonts w:ascii="Arial" w:cs="Arial" w:eastAsia="Arial" w:hAnsi="Arial"/>
                <w:sz w:val="18"/>
                <w:szCs w:val="18"/>
                <w:color w:val="auto"/>
                <w:vertAlign w:val="superscript"/>
              </w:rPr>
              <w:t>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583,056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23,158</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296,034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11,165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5.04 %</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Junior subordinated debt issued to unconsolidated trusts</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71,871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2,849</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5.30 %</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2,148</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4.01 %</w:t>
            </w:r>
          </w:p>
        </w:tc>
        <w:tc>
          <w:tcPr>
            <w:tcW w:w="0" w:type="dxa"/>
            <w:vAlign w:val="bottom"/>
          </w:tcPr>
          <w:p>
            <w:pPr>
              <w:spacing w:after="0"/>
              <w:rPr>
                <w:sz w:val="1"/>
                <w:szCs w:val="1"/>
                <w:color w:val="auto"/>
              </w:rPr>
            </w:pPr>
          </w:p>
        </w:tc>
      </w:tr>
      <w:tr>
        <w:trPr>
          <w:trHeight w:val="217"/>
        </w:trPr>
        <w:tc>
          <w:tcPr>
            <w:tcW w:w="3800" w:type="dxa"/>
            <w:vAlign w:val="bottom"/>
          </w:tcPr>
          <w:p>
            <w:pPr>
              <w:ind w:left="20"/>
              <w:spacing w:after="0"/>
              <w:rPr>
                <w:sz w:val="20"/>
                <w:szCs w:val="20"/>
                <w:color w:val="auto"/>
              </w:rPr>
            </w:pPr>
            <w:r>
              <w:rPr>
                <w:rFonts w:ascii="Arial" w:cs="Arial" w:eastAsia="Arial" w:hAnsi="Arial"/>
                <w:sz w:val="14"/>
                <w:szCs w:val="14"/>
                <w:color w:val="auto"/>
              </w:rPr>
              <w:t>Total interest-bearing liabilities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7,748,218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108,355</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1.87 %</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7,611,314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21,813</w:t>
            </w:r>
          </w:p>
        </w:tc>
        <w:tc>
          <w:tcPr>
            <w:tcW w:w="1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0.38 %</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2.58 %</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Noninterest-bearing deposits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3,082,884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3,569,562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198,272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147,295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1,195,858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1,219,645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8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12,225,232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12,547,816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 earning assets</w:t>
            </w:r>
            <w:r>
              <w:rPr>
                <w:rFonts w:ascii="Arial" w:cs="Arial" w:eastAsia="Arial" w:hAnsi="Arial"/>
                <w:sz w:val="18"/>
                <w:szCs w:val="18"/>
                <w:color w:val="auto"/>
                <w:vertAlign w:val="superscript"/>
              </w:rPr>
              <w:t>1, 3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11,142,780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352,345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4.23 %</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11,550,887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255,737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2.96 %</w:t>
            </w:r>
          </w:p>
        </w:tc>
        <w:tc>
          <w:tcPr>
            <w:tcW w:w="0" w:type="dxa"/>
            <w:vAlign w:val="bottom"/>
          </w:tcPr>
          <w:p>
            <w:pPr>
              <w:spacing w:after="0"/>
              <w:rPr>
                <w:sz w:val="1"/>
                <w:szCs w:val="1"/>
                <w:color w:val="auto"/>
              </w:rPr>
            </w:pPr>
          </w:p>
        </w:tc>
      </w:tr>
      <w:tr>
        <w:trPr>
          <w:trHeight w:val="190"/>
        </w:trPr>
        <w:tc>
          <w:tcPr>
            <w:tcW w:w="3800" w:type="dxa"/>
            <w:vAlign w:val="bottom"/>
          </w:tcPr>
          <w:p>
            <w:pPr>
              <w:ind w:left="20"/>
              <w:spacing w:after="0"/>
              <w:rPr>
                <w:sz w:val="20"/>
                <w:szCs w:val="20"/>
                <w:color w:val="auto"/>
              </w:rPr>
            </w:pPr>
            <w:r>
              <w:rPr>
                <w:rFonts w:ascii="Arial" w:cs="Arial" w:eastAsia="Arial" w:hAnsi="Arial"/>
                <w:sz w:val="14"/>
                <w:szCs w:val="14"/>
                <w:color w:val="auto"/>
              </w:rPr>
              <w:t>Interest expense / earning assets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11,142,780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108,355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11,550,887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21,813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0.25 %</w:t>
            </w:r>
          </w:p>
        </w:tc>
        <w:tc>
          <w:tcPr>
            <w:tcW w:w="0" w:type="dxa"/>
            <w:vAlign w:val="bottom"/>
          </w:tcPr>
          <w:p>
            <w:pPr>
              <w:spacing w:after="0"/>
              <w:rPr>
                <w:sz w:val="1"/>
                <w:szCs w:val="1"/>
                <w:color w:val="auto"/>
              </w:rPr>
            </w:pPr>
          </w:p>
        </w:tc>
      </w:tr>
      <w:tr>
        <w:trPr>
          <w:trHeight w:val="39"/>
        </w:trPr>
        <w:tc>
          <w:tcPr>
            <w:tcW w:w="3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243,990</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233,924</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2.71 %</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w:t>
            </w: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202"/>
        <w:spacing w:after="0" w:line="261" w:lineRule="auto"/>
        <w:tabs>
          <w:tab w:leader="none" w:pos="335"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On a tax-equivalent basis and assuming a federal income tax rate of 21.0%.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320" w:hanging="18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Non-accrual loans have been included in average portfolio loans.</w:t>
      </w:r>
    </w:p>
    <w:p>
      <w:pPr>
        <w:spacing w:after="0" w:line="14" w:lineRule="exact"/>
        <w:rPr>
          <w:rFonts w:ascii="Arial" w:cs="Arial" w:eastAsia="Arial" w:hAnsi="Arial"/>
          <w:sz w:val="14"/>
          <w:szCs w:val="14"/>
          <w:color w:val="auto"/>
        </w:rPr>
      </w:pPr>
    </w:p>
    <w:p>
      <w:pPr>
        <w:ind w:left="320" w:hanging="18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Interest income includes tax-equivalent adjustments of $1.7 million and $1.6 million for the nine months ended September 30, 2023, and 2022, respectively.</w:t>
      </w:r>
    </w:p>
    <w:p>
      <w:pPr>
        <w:spacing w:after="0" w:line="6" w:lineRule="exact"/>
        <w:rPr>
          <w:rFonts w:ascii="Arial" w:cs="Arial" w:eastAsia="Arial" w:hAnsi="Arial"/>
          <w:sz w:val="14"/>
          <w:szCs w:val="14"/>
          <w:color w:val="auto"/>
        </w:rPr>
      </w:pPr>
    </w:p>
    <w:p>
      <w:pPr>
        <w:ind w:left="320" w:hanging="18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short-term and long-term borrowings. Interest expense includes non-usage fees on a revolving loan.</w:t>
      </w:r>
    </w:p>
    <w:p>
      <w:pPr>
        <w:spacing w:after="0" w:line="9" w:lineRule="exact"/>
        <w:rPr>
          <w:rFonts w:ascii="Arial" w:cs="Arial" w:eastAsia="Arial" w:hAnsi="Arial"/>
          <w:sz w:val="14"/>
          <w:szCs w:val="14"/>
          <w:color w:val="auto"/>
        </w:rPr>
      </w:pPr>
    </w:p>
    <w:p>
      <w:pPr>
        <w:ind w:left="320" w:hanging="18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Notable changes in average assets and average liabilities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Three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interest-earning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11,118,167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11,497,783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Average interest-bearing liabilities</w:t>
            </w:r>
          </w:p>
        </w:tc>
        <w:tc>
          <w:tcPr>
            <w:tcW w:w="32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7,864,355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7,605,148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center"/>
              <w:ind w:left="312"/>
              <w:spacing w:after="0"/>
              <w:rPr>
                <w:sz w:val="20"/>
                <w:szCs w:val="20"/>
                <w:color w:val="auto"/>
              </w:rPr>
            </w:pPr>
            <w:r>
              <w:rPr>
                <w:rFonts w:ascii="Arial" w:cs="Arial" w:eastAsia="Arial" w:hAnsi="Arial"/>
                <w:sz w:val="18"/>
                <w:szCs w:val="18"/>
                <w:color w:val="auto"/>
                <w:w w:val="89"/>
              </w:rPr>
              <w:t>259,207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noninterest-bearing deposits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2,925,244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3,583,693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average deposits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10,142,707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10,576,818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(434,111)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Total average liabilities</w:t>
            </w:r>
          </w:p>
        </w:tc>
        <w:tc>
          <w:tcPr>
            <w:tcW w:w="32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10,994,376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11,350,408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(356,032)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Average noninterest-bearing deposits as a percent of total</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average deposits</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(510) bps</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average deposits as a percent of total average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(90) bps</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14"/>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Nine Months Ended September 30,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interest-earning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11,142,780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11,550,887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Average interest-bearing liabilities</w:t>
            </w:r>
          </w:p>
        </w:tc>
        <w:tc>
          <w:tcPr>
            <w:tcW w:w="32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7,748,218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7,611,314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center"/>
              <w:ind w:left="312"/>
              <w:spacing w:after="0"/>
              <w:rPr>
                <w:sz w:val="20"/>
                <w:szCs w:val="20"/>
                <w:color w:val="auto"/>
              </w:rPr>
            </w:pPr>
            <w:r>
              <w:rPr>
                <w:rFonts w:ascii="Arial" w:cs="Arial" w:eastAsia="Arial" w:hAnsi="Arial"/>
                <w:sz w:val="18"/>
                <w:szCs w:val="18"/>
                <w:color w:val="auto"/>
                <w:w w:val="89"/>
              </w:rPr>
              <w:t>136,904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noninterest-bearing deposits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3,082,884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3,569,562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(486,678)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average deposits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9,969,161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10,566,668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Total average liabilities</w:t>
            </w:r>
          </w:p>
        </w:tc>
        <w:tc>
          <w:tcPr>
            <w:tcW w:w="320" w:type="dxa"/>
            <w:vAlign w:val="bottom"/>
          </w:tcPr>
          <w:p>
            <w:pPr>
              <w:spacing w:after="0"/>
              <w:rPr>
                <w:sz w:val="21"/>
                <w:szCs w:val="21"/>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11,029,374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11,328,171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(298,797)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Average noninterest-bearing deposits as a percent of total</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average deposits</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(290) bps</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average deposits as a percent of total average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90.4 %</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(290) bps</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554"/>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net interest income and net interest margin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5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60"/>
              <w:spacing w:after="0"/>
              <w:rPr>
                <w:sz w:val="20"/>
                <w:szCs w:val="20"/>
                <w:color w:val="auto"/>
              </w:rPr>
            </w:pPr>
            <w:r>
              <w:rPr>
                <w:rFonts w:ascii="Arial" w:cs="Arial" w:eastAsia="Arial" w:hAnsi="Arial"/>
                <w:sz w:val="18"/>
                <w:szCs w:val="18"/>
                <w:color w:val="auto"/>
              </w:rPr>
              <w:t>Interest income, on a tax-equivalent basis</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123,222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95,958</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27,264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(44,878)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(9,110)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Arial" w:cs="Arial" w:eastAsia="Arial" w:hAnsi="Arial"/>
                <w:sz w:val="18"/>
                <w:szCs w:val="18"/>
                <w:color w:val="auto"/>
              </w:rPr>
              <w:t>Net interest income, on a tax-equivalent basis</w:t>
            </w:r>
            <w:r>
              <w:rPr>
                <w:rFonts w:ascii="Arial" w:cs="Arial" w:eastAsia="Arial" w:hAnsi="Arial"/>
                <w:sz w:val="23"/>
                <w:szCs w:val="23"/>
                <w:color w:val="auto"/>
                <w:vertAlign w:val="superscript"/>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78,344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86,848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780" w:type="dxa"/>
            <w:vAlign w:val="bottom"/>
          </w:tcPr>
          <w:p>
            <w:pPr>
              <w:ind w:left="20"/>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23"/>
                <w:szCs w:val="23"/>
                <w:color w:val="auto"/>
                <w:vertAlign w:val="superscript"/>
              </w:rPr>
              <w:t>1, 2</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 bps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Nine Months Ended September 30,</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5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260"/>
              <w:spacing w:after="0"/>
              <w:rPr>
                <w:sz w:val="20"/>
                <w:szCs w:val="20"/>
                <w:color w:val="auto"/>
              </w:rPr>
            </w:pPr>
            <w:r>
              <w:rPr>
                <w:rFonts w:ascii="Arial" w:cs="Arial" w:eastAsia="Arial" w:hAnsi="Arial"/>
                <w:sz w:val="18"/>
                <w:szCs w:val="18"/>
                <w:color w:val="auto"/>
              </w:rPr>
              <w:t>Interest income, on a tax-equivalent basis</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352,345</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255,737</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96,608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(108,355)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(21,813)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(86,542)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63"/>
        </w:trPr>
        <w:tc>
          <w:tcPr>
            <w:tcW w:w="4780" w:type="dxa"/>
            <w:vAlign w:val="bottom"/>
          </w:tcPr>
          <w:p>
            <w:pPr>
              <w:ind w:left="20"/>
              <w:spacing w:after="0"/>
              <w:rPr>
                <w:sz w:val="20"/>
                <w:szCs w:val="20"/>
                <w:color w:val="auto"/>
              </w:rPr>
            </w:pPr>
            <w:r>
              <w:rPr>
                <w:rFonts w:ascii="Arial" w:cs="Arial" w:eastAsia="Arial" w:hAnsi="Arial"/>
                <w:sz w:val="18"/>
                <w:szCs w:val="18"/>
                <w:color w:val="auto"/>
              </w:rPr>
              <w:t>Net interest income, on a tax-equivalent basis</w:t>
            </w:r>
            <w:r>
              <w:rPr>
                <w:rFonts w:ascii="Arial" w:cs="Arial" w:eastAsia="Arial" w:hAnsi="Arial"/>
                <w:sz w:val="23"/>
                <w:szCs w:val="23"/>
                <w:color w:val="auto"/>
                <w:vertAlign w:val="superscript"/>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243,990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233,924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4780" w:type="dxa"/>
            <w:vAlign w:val="bottom"/>
          </w:tcPr>
          <w:p>
            <w:pPr>
              <w:ind w:left="20"/>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23"/>
                <w:szCs w:val="23"/>
                <w:color w:val="auto"/>
                <w:vertAlign w:val="superscript"/>
              </w:rPr>
              <w:t>1, 2</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2.93 %</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 bps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20"/>
                <w:szCs w:val="20"/>
                <w:color w:val="auto"/>
              </w:rPr>
            </w:pPr>
            <w:r>
              <w:rPr>
                <w:rFonts w:ascii="Arial" w:cs="Arial" w:eastAsia="Arial" w:hAnsi="Arial"/>
                <w:sz w:val="14"/>
                <w:szCs w:val="14"/>
                <w:color w:val="auto"/>
              </w:rPr>
              <w:t>___________________________________________</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202"/>
        <w:spacing w:after="0" w:line="261" w:lineRule="auto"/>
        <w:tabs>
          <w:tab w:leader="none" w:pos="335"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Assuming a federal income tax rate of 21.0%.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320" w:hanging="18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Net interest income expressed as a percentage of average earning assets, stated on a tax-equivalent basis.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FOMC raised rates by 25 basis points during the third quarter of 2023, and by a total of 525 basis points since the onset of the current FOMC tightening cycle that began in the first quarter of 2022. Rising rates initially have a positive impact on net interest margin, as assets, in particular commercial loans, reprice more quickly and to a greater extent than liabilities. As deposit and funding costs increase in response to the tightening rate cycle, and we experience deposit migration into higher cost offerings and funding alternatives, some of the net interest margin expansion is reversed.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spread represents the difference between the average rate earned on earning assets and the average rate paid on interest-bearing liabilities, and is presented in the table below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2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2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47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4"/>
        </w:trPr>
        <w:tc>
          <w:tcPr>
            <w:tcW w:w="5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5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r>
      <w:tr>
        <w:trPr>
          <w:trHeight w:val="39"/>
        </w:trPr>
        <w:tc>
          <w:tcPr>
            <w:tcW w:w="47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63"/>
        </w:trPr>
        <w:tc>
          <w:tcPr>
            <w:tcW w:w="5660" w:type="dxa"/>
            <w:vAlign w:val="bottom"/>
            <w:gridSpan w:val="2"/>
            <w:shd w:val="clear" w:color="auto" w:fill="CCEEFF"/>
          </w:tcPr>
          <w:p>
            <w:pPr>
              <w:jc w:val="right"/>
              <w:ind w:right="4148"/>
              <w:spacing w:after="0"/>
              <w:rPr>
                <w:sz w:val="20"/>
                <w:szCs w:val="20"/>
                <w:color w:val="auto"/>
              </w:rPr>
            </w:pPr>
            <w:r>
              <w:rPr>
                <w:rFonts w:ascii="Arial" w:cs="Arial" w:eastAsia="Arial" w:hAnsi="Arial"/>
                <w:sz w:val="18"/>
                <w:szCs w:val="18"/>
                <w:color w:val="auto"/>
                <w:w w:val="88"/>
              </w:rPr>
              <w:t>Net interest spread</w:t>
            </w:r>
            <w:r>
              <w:rPr>
                <w:rFonts w:ascii="Arial" w:cs="Arial" w:eastAsia="Arial" w:hAnsi="Arial"/>
                <w:sz w:val="23"/>
                <w:szCs w:val="23"/>
                <w:color w:val="auto"/>
                <w:w w:val="88"/>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2.13 %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Calculated on a tax-equivalent basis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net interest margin discussion above is based upon the results and average balances for the three and nine months ended September 30, 2023, and 2022. Annualized net interest margins for the quarterly periods indicated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gridSpan w:val="2"/>
          </w:tcPr>
          <w:p>
            <w:pPr>
              <w:ind w:left="8600"/>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Arial" w:cs="Arial" w:eastAsia="Arial" w:hAnsi="Arial"/>
                <w:sz w:val="14"/>
                <w:szCs w:val="14"/>
                <w:b w:val="1"/>
                <w:bCs w:val="1"/>
                <w:color w:val="auto"/>
              </w:rPr>
              <w:t>2022</w:t>
            </w:r>
          </w:p>
        </w:tc>
      </w:tr>
      <w:tr>
        <w:trPr>
          <w:trHeight w:val="39"/>
        </w:trPr>
        <w:tc>
          <w:tcPr>
            <w:tcW w:w="79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3.13 %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2.86 %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2.68 %</w:t>
            </w: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2.80 %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3.00 %</w:t>
            </w:r>
          </w:p>
        </w:tc>
      </w:tr>
      <w:tr>
        <w:trPr>
          <w:trHeight w:val="243"/>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3.24 %</w:t>
            </w:r>
          </w:p>
        </w:tc>
      </w:tr>
    </w:tbl>
    <w:p>
      <w:pPr>
        <w:spacing w:after="0" w:line="283"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w:t>
      </w:r>
      <w:hyperlink r:id="rId106">
        <w:r>
          <w:rPr>
            <w:rFonts w:ascii="Arial" w:cs="Arial" w:eastAsia="Arial" w:hAnsi="Arial"/>
            <w:sz w:val="18"/>
            <w:szCs w:val="18"/>
            <w:u w:val="single" w:color="auto"/>
            <w:color w:val="0000FF"/>
          </w:rPr>
          <w:t>Notes to Consolidated Financial Statements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 </w:t>
      </w:r>
      <w:hyperlink r:id="rId26">
        <w:r>
          <w:rPr>
            <w:rFonts w:ascii="Arial" w:cs="Arial" w:eastAsia="Arial" w:hAnsi="Arial"/>
            <w:sz w:val="18"/>
            <w:szCs w:val="18"/>
            <w:u w:val="single" w:color="auto"/>
            <w:color w:val="0000FF"/>
          </w:rPr>
          <w:t>Busey’s 2022 Annual Report</w:t>
        </w:r>
      </w:hyperlink>
      <w:r>
        <w:rPr>
          <w:rFonts w:ascii="Arial" w:cs="Arial" w:eastAsia="Arial" w:hAnsi="Arial"/>
          <w:sz w:val="18"/>
          <w:szCs w:val="18"/>
          <w:color w:val="auto"/>
        </w:rPr>
        <w:t>.</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noninterest income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1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6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Wealth management and payment technology income:</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Wealth management fees</w:t>
            </w:r>
          </w:p>
        </w:tc>
        <w:tc>
          <w:tcPr>
            <w:tcW w:w="88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14,235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43"/>
        </w:trPr>
        <w:tc>
          <w:tcPr>
            <w:tcW w:w="4980" w:type="dxa"/>
            <w:vAlign w:val="bottom"/>
          </w:tcPr>
          <w:p>
            <w:pPr>
              <w:ind w:left="520"/>
              <w:spacing w:after="0"/>
              <w:rPr>
                <w:sz w:val="20"/>
                <w:szCs w:val="20"/>
                <w:color w:val="auto"/>
              </w:rPr>
            </w:pPr>
            <w:r>
              <w:rPr>
                <w:rFonts w:ascii="Arial" w:cs="Arial" w:eastAsia="Arial" w:hAnsi="Arial"/>
                <w:sz w:val="18"/>
                <w:szCs w:val="18"/>
                <w:color w:val="auto"/>
              </w:rPr>
              <w:t>Payment technology solutions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Combined, wealth management fees and payment technology</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solutions</w:t>
            </w: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19,461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Fees for customer services</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Mortgage revenue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on bank owned life insurance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Securities income:</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520"/>
              <w:spacing w:after="0"/>
              <w:rPr>
                <w:sz w:val="20"/>
                <w:szCs w:val="20"/>
                <w:color w:val="auto"/>
              </w:rPr>
            </w:pPr>
            <w:r>
              <w:rPr>
                <w:rFonts w:ascii="Arial" w:cs="Arial" w:eastAsia="Arial" w:hAnsi="Arial"/>
                <w:sz w:val="18"/>
                <w:szCs w:val="18"/>
                <w:color w:val="auto"/>
              </w:rPr>
              <w:t>Realized net gains (losses) on securities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55.4 %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1"/>
              </w:rPr>
              <w:t>Unrealized net gains (losses) recognized on equity securities</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37"/>
        </w:trPr>
        <w:tc>
          <w:tcPr>
            <w:tcW w:w="4980" w:type="dxa"/>
            <w:vAlign w:val="bottom"/>
          </w:tcPr>
          <w:p>
            <w:pPr>
              <w:ind w:left="260"/>
              <w:spacing w:after="0"/>
              <w:rPr>
                <w:sz w:val="20"/>
                <w:szCs w:val="20"/>
                <w:color w:val="auto"/>
              </w:rPr>
            </w:pPr>
            <w:r>
              <w:rPr>
                <w:rFonts w:ascii="Arial" w:cs="Arial" w:eastAsia="Arial" w:hAnsi="Arial"/>
                <w:sz w:val="18"/>
                <w:szCs w:val="18"/>
                <w:color w:val="auto"/>
              </w:rPr>
              <w:t>Net securities gains (losses)</w:t>
            </w: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(7225.0)%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noninterest income</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31,008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8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9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40640</wp:posOffset>
            </wp:positionV>
            <wp:extent cx="19284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0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39"/>
        </w:trPr>
        <w:tc>
          <w:tcPr>
            <w:tcW w:w="49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w w:val="91"/>
              </w:rPr>
              <w:t>Wealth management and payment technology solutions income: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Wealth management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940" w:type="dxa"/>
            <w:vAlign w:val="bottom"/>
          </w:tcPr>
          <w:p>
            <w:pPr>
              <w:ind w:left="520"/>
              <w:spacing w:after="0"/>
              <w:rPr>
                <w:sz w:val="20"/>
                <w:szCs w:val="20"/>
                <w:color w:val="auto"/>
              </w:rPr>
            </w:pPr>
            <w:r>
              <w:rPr>
                <w:rFonts w:ascii="Arial" w:cs="Arial" w:eastAsia="Arial" w:hAnsi="Arial"/>
                <w:sz w:val="18"/>
                <w:szCs w:val="18"/>
                <w:color w:val="auto"/>
              </w:rPr>
              <w:t>Payment technology solutions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09"/>
        </w:trPr>
        <w:tc>
          <w:tcPr>
            <w:tcW w:w="49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Combined, wealth management fees and payment technology</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7"/>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solutions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70"/>
        </w:trPr>
        <w:tc>
          <w:tcPr>
            <w:tcW w:w="4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Fees for customer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Mortgage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7"/>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on bank owned life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35.6 %</w:t>
            </w:r>
          </w:p>
        </w:tc>
      </w:tr>
      <w:tr>
        <w:trPr>
          <w:trHeight w:val="270"/>
        </w:trPr>
        <w:tc>
          <w:tcPr>
            <w:tcW w:w="4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Securities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520"/>
              <w:spacing w:after="0"/>
              <w:rPr>
                <w:sz w:val="20"/>
                <w:szCs w:val="20"/>
                <w:color w:val="auto"/>
              </w:rPr>
            </w:pPr>
            <w:r>
              <w:rPr>
                <w:rFonts w:ascii="Arial" w:cs="Arial" w:eastAsia="Arial" w:hAnsi="Arial"/>
                <w:sz w:val="18"/>
                <w:szCs w:val="18"/>
                <w:color w:val="auto"/>
              </w:rPr>
              <w:t>Realized net gains (losses) on securities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(498.1)%</w:t>
            </w:r>
          </w:p>
        </w:tc>
      </w:tr>
      <w:tr>
        <w:trPr>
          <w:trHeight w:val="27"/>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0"/>
              </w:rPr>
              <w:t>Unrealized net gains (losses) recognized on equity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7"/>
        </w:trPr>
        <w:tc>
          <w:tcPr>
            <w:tcW w:w="4940" w:type="dxa"/>
            <w:vAlign w:val="bottom"/>
          </w:tcPr>
          <w:p>
            <w:pPr>
              <w:ind w:left="260"/>
              <w:spacing w:after="0"/>
              <w:rPr>
                <w:sz w:val="20"/>
                <w:szCs w:val="20"/>
                <w:color w:val="auto"/>
              </w:rPr>
            </w:pPr>
            <w:r>
              <w:rPr>
                <w:rFonts w:ascii="Arial" w:cs="Arial" w:eastAsia="Arial" w:hAnsi="Arial"/>
                <w:sz w:val="18"/>
                <w:szCs w:val="18"/>
                <w:color w:val="auto"/>
              </w:rPr>
              <w:t>Net securities gains (losses)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8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noninterest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under care as of period end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11,547,697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10,748,756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798,941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4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noninterest income was $31.0 million for the three months ended September 30, 2023, an increase of 0.2% from the comparable period in 2022, and was $90.9 million for the nine months ended September 30, 2023, a decrease of 7.0% from the comparable period in 2022. Combined, revenues from wealth management fees and payment technology solutions represented 62.8% and 65.3% of Busey’s noninterest income for the three and nine months ended September 30, 2023, respectively, providing a complement to spread-based revenue from traditional banking activities. On a combined basis, revenue from these two critical operating areas was $19.5 million for the three months ended September 30, 2023, a 10.6% increase from the comparable period in 2022, and was $59.4 million for the nine months ended September 30, 2023, a 3.3% increase from the comparable period in 2022.</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Wealth management fees were $14.2 million for the three months ended September 30, 2023, a 13.8% increase from the comparable period in 2022, and were $43.6 million for the nine months ended September 30, 2023, a 2.8% increase from the comparable period for 2022. Busey’s Wealth Management division ended the third quarter of 2023 with $11.5 billion in assets under care, an increase of 7.4% compared to the balance on September 30, 2022. Our portfolio management team continues to produce solid results in the face of volatile markets.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technology solutions revenue relates to our payment processing company, FirsTech. Payment technology solutions revenue was $5.2 million for the three months ended September 30, 2023, a 2.9% increase from the comparable period in 2022, and was $15.8 million for the nine months ended September 30, 2023, a 4.8% increase from the comparable period in 2022. Increased merchant processing, lockbox processing, and online bill payment income drove the increases, which were partially offset by reductions in agent and programming income.</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Fees for customer services were $7.5 million for the three months ended September 30, 2023, a 1.6% decrease from the comparable period in 2022, and were $21.6 million for the nine months ended September 30, 2023, a 17.5% decrease from the comparable period in 2022. Beginning on July 1, 2022, we became subject to the Durbin Amendment of the Dodd-Frank Act. The Durbin Amendment required the Federal Reserve to establish a maximum permissible interchange fee for many types of debit transactions, which resulted in a reduction in fee income. Year-over-year declines are attributable primarily to the impact of the Durbin Amendment and modifications implemented to overdraft and non-sufficient funds fee structures.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Mortgage revenue was $0.3 million for the three months ended September 30, 2023, a 29.0% decrease from the comparable period in 2022, and was $0.9 million for the nine months ended September 30, 2023, a 48.7% decrease from the comparable period in 2022. Decreases primarily resulted from declines in mortgage origination and sold-loan mortgage volume. General economic conditions and interest rate volatility may impact fees in future quarters.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on bank owned life insurance was $1.0 million for the three months ended September 30, 2023, a 4.5% increase from the comparable period in 2022, and was $3.7 million for the nine months ended September 30, 2023, a 35.6% increase from the comparable period in 2022. Year to date increases resulted from $0.8 million earnings on death proceeds and a $0.2 million increase in the cash surrender value of the insurance policies.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securities losses were $0.3 million for the three months ended September 30, 2023, compared to an insignificant amount of net securities gains during the three months ended September 30, 2022. Losses for the three months ended September 30, 2023, were comprised primarily of unrealized net losses recognized on equity securities. Net securities losses were $3.0 million for the nine months ended September 30, 2023, a 27.4% increase from the comparable period in 2022, and were comprised of $0.2 million of realized net losses on securities and $2.8 million of unrealized net losses recognized on equity securities.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was $3.0 million for the three months ended September 30, 2023, a 30.1% decrease from the comparable period in 2022, and was $8.3 million for the nine months ended September 30, 2023, a 30.7% decrease from the comparable period in 2022. Primary drivers of the fluctuation in other income during the three and nine months ended September 30, 2023, included lower income recognized on venture capital investments, reduced gains on commercial loan sales, and declines in swap origination fees, partially offset by increased dividend income on FHLB stock. In addition, gains on fixed asset disposals were lower for the nine months ended September 30,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noninterest expense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39,677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39,762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5,930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Premises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Net occupancy expense of premises</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4,594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4,705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Furniture and equipment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1,799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9"/>
        </w:trPr>
        <w:tc>
          <w:tcPr>
            <w:tcW w:w="4800" w:type="dxa"/>
            <w:vAlign w:val="bottom"/>
          </w:tcPr>
          <w:p>
            <w:pPr>
              <w:ind w:left="180"/>
              <w:spacing w:after="0"/>
              <w:rPr>
                <w:sz w:val="20"/>
                <w:szCs w:val="20"/>
                <w:color w:val="auto"/>
              </w:rPr>
            </w:pPr>
            <w:r>
              <w:rPr>
                <w:rFonts w:ascii="Arial" w:cs="Arial" w:eastAsia="Arial" w:hAnsi="Arial"/>
                <w:sz w:val="18"/>
                <w:szCs w:val="18"/>
                <w:color w:val="auto"/>
                <w:w w:val="94"/>
              </w:rPr>
              <w:t>Combined, net occupancy expense of premises and furniture</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and equipment expenses</w:t>
            </w:r>
          </w:p>
        </w:tc>
        <w:tc>
          <w:tcPr>
            <w:tcW w:w="32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6,232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6,504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2,871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Interchange expense</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1,574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FDIC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882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67.2 %</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11,748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12,117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noninterest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70,945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70,736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6,824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8,477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3080" w:type="dxa"/>
            <w:vAlign w:val="bottom"/>
          </w:tcPr>
          <w:p>
            <w:pPr>
              <w:jc w:val="right"/>
              <w:ind w:right="490"/>
              <w:spacing w:after="0"/>
              <w:rPr>
                <w:sz w:val="20"/>
                <w:szCs w:val="20"/>
                <w:color w:val="auto"/>
              </w:rPr>
            </w:pPr>
            <w:r>
              <w:rPr>
                <w:rFonts w:ascii="Arial" w:cs="Arial" w:eastAsia="Arial" w:hAnsi="Arial"/>
                <w:sz w:val="18"/>
                <w:szCs w:val="18"/>
                <w:color w:val="auto"/>
              </w:rPr>
              <w:t>18.2 %</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19.2 %</w:t>
            </w:r>
          </w:p>
        </w:tc>
        <w:tc>
          <w:tcPr>
            <w:tcW w:w="2780" w:type="dxa"/>
            <w:vAlign w:val="bottom"/>
          </w:tcPr>
          <w:p>
            <w:pPr>
              <w:jc w:val="right"/>
              <w:ind w:right="1590"/>
              <w:spacing w:after="0"/>
              <w:rPr>
                <w:sz w:val="20"/>
                <w:szCs w:val="20"/>
                <w:color w:val="auto"/>
              </w:rPr>
            </w:pPr>
            <w:r>
              <w:rPr>
                <w:rFonts w:ascii="Arial" w:cs="Arial" w:eastAsia="Arial" w:hAnsi="Arial"/>
                <w:sz w:val="18"/>
                <w:szCs w:val="18"/>
                <w:color w:val="auto"/>
              </w:rPr>
              <w:t>(100) bps</w:t>
            </w:r>
          </w:p>
        </w:tc>
      </w:tr>
      <w:tr>
        <w:trPr>
          <w:trHeight w:val="27"/>
        </w:trPr>
        <w:tc>
          <w:tcPr>
            <w:tcW w:w="38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70"/>
        </w:trPr>
        <w:tc>
          <w:tcPr>
            <w:tcW w:w="386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780" w:type="dxa"/>
            <w:vAlign w:val="bottom"/>
            <w:shd w:val="clear" w:color="auto" w:fill="CCEEFF"/>
          </w:tcPr>
          <w:p>
            <w:pPr>
              <w:spacing w:after="0"/>
              <w:rPr>
                <w:sz w:val="23"/>
                <w:szCs w:val="23"/>
                <w:color w:val="auto"/>
              </w:rPr>
            </w:pP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Efficiency ratio</w:t>
            </w:r>
            <w:r>
              <w:rPr>
                <w:rFonts w:ascii="Arial" w:cs="Arial" w:eastAsia="Arial" w:hAnsi="Arial"/>
                <w:sz w:val="23"/>
                <w:szCs w:val="23"/>
                <w:color w:val="auto"/>
                <w:vertAlign w:val="superscript"/>
              </w:rPr>
              <w:t>1</w:t>
            </w:r>
          </w:p>
        </w:tc>
        <w:tc>
          <w:tcPr>
            <w:tcW w:w="3080" w:type="dxa"/>
            <w:vAlign w:val="bottom"/>
          </w:tcPr>
          <w:p>
            <w:pPr>
              <w:jc w:val="right"/>
              <w:ind w:right="490"/>
              <w:spacing w:after="0"/>
              <w:rPr>
                <w:sz w:val="20"/>
                <w:szCs w:val="20"/>
                <w:color w:val="auto"/>
              </w:rPr>
            </w:pPr>
            <w:r>
              <w:rPr>
                <w:rFonts w:ascii="Arial" w:cs="Arial" w:eastAsia="Arial" w:hAnsi="Arial"/>
                <w:sz w:val="18"/>
                <w:szCs w:val="18"/>
                <w:color w:val="auto"/>
              </w:rPr>
              <w:t>62.4 %</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57.6 %</w:t>
            </w:r>
          </w:p>
        </w:tc>
        <w:tc>
          <w:tcPr>
            <w:tcW w:w="2780" w:type="dxa"/>
            <w:vAlign w:val="bottom"/>
          </w:tcPr>
          <w:p>
            <w:pPr>
              <w:jc w:val="right"/>
              <w:ind w:right="1590"/>
              <w:spacing w:after="0"/>
              <w:rPr>
                <w:sz w:val="20"/>
                <w:szCs w:val="20"/>
                <w:color w:val="auto"/>
              </w:rPr>
            </w:pPr>
            <w:r>
              <w:rPr>
                <w:rFonts w:ascii="Arial" w:cs="Arial" w:eastAsia="Arial" w:hAnsi="Arial"/>
                <w:sz w:val="18"/>
                <w:szCs w:val="18"/>
                <w:color w:val="auto"/>
              </w:rPr>
              <w:t>480 bps</w:t>
            </w: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efficiency ratio</w:t>
            </w:r>
            <w:r>
              <w:rPr>
                <w:rFonts w:ascii="Arial" w:cs="Arial" w:eastAsia="Arial" w:hAnsi="Arial"/>
                <w:sz w:val="23"/>
                <w:szCs w:val="23"/>
                <w:color w:val="auto"/>
                <w:vertAlign w:val="superscript"/>
              </w:rPr>
              <w:t>1</w:t>
            </w:r>
          </w:p>
        </w:tc>
        <w:tc>
          <w:tcPr>
            <w:tcW w:w="3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62.3 %</w:t>
            </w:r>
          </w:p>
        </w:tc>
        <w:tc>
          <w:tcPr>
            <w:tcW w:w="1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56.8 %</w:t>
            </w:r>
          </w:p>
        </w:tc>
        <w:tc>
          <w:tcPr>
            <w:tcW w:w="278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rPr>
              <w:t>550 bps</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340" w:right="20" w:hanging="202"/>
        <w:spacing w:after="0" w:line="283" w:lineRule="auto"/>
        <w:tabs>
          <w:tab w:leader="none" w:pos="335"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financial GAAP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3"/>
                <w:szCs w:val="3"/>
                <w:color w:val="auto"/>
              </w:rPr>
            </w:pPr>
          </w:p>
        </w:tc>
        <w:tc>
          <w:tcPr>
            <w:tcW w:w="15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119,867</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117,226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Data processing</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17,472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Premises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Net occupancy expense of premises</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13,896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14,492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Furniture and equipment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5,065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5,874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9"/>
        </w:trPr>
        <w:tc>
          <w:tcPr>
            <w:tcW w:w="4820" w:type="dxa"/>
            <w:vAlign w:val="bottom"/>
          </w:tcPr>
          <w:p>
            <w:pPr>
              <w:ind w:left="180"/>
              <w:spacing w:after="0"/>
              <w:rPr>
                <w:sz w:val="20"/>
                <w:szCs w:val="20"/>
                <w:color w:val="auto"/>
              </w:rPr>
            </w:pPr>
            <w:r>
              <w:rPr>
                <w:rFonts w:ascii="Arial" w:cs="Arial" w:eastAsia="Arial" w:hAnsi="Arial"/>
                <w:sz w:val="18"/>
                <w:szCs w:val="18"/>
                <w:color w:val="auto"/>
                <w:w w:val="95"/>
              </w:rPr>
              <w:t>Combined, net occupancy expense of premises and furniture</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and equipment expenses</w:t>
            </w:r>
          </w:p>
        </w:tc>
        <w:tc>
          <w:tcPr>
            <w:tcW w:w="320" w:type="dxa"/>
            <w:vAlign w:val="bottom"/>
          </w:tcPr>
          <w:p>
            <w:pPr>
              <w:spacing w:after="0"/>
              <w:rPr>
                <w:sz w:val="20"/>
                <w:szCs w:val="20"/>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18,961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20,366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4,573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4,693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7,953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Interchange expense</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5,509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FDIC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4,483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31,735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35,572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noninterest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210,553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210,204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23,873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22,121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300" w:type="dxa"/>
            <w:vAlign w:val="bottom"/>
          </w:tcPr>
          <w:p>
            <w:pPr>
              <w:jc w:val="right"/>
              <w:ind w:right="490"/>
              <w:spacing w:after="0"/>
              <w:rPr>
                <w:sz w:val="20"/>
                <w:szCs w:val="20"/>
                <w:color w:val="auto"/>
              </w:rPr>
            </w:pPr>
            <w:r>
              <w:rPr>
                <w:rFonts w:ascii="Arial" w:cs="Arial" w:eastAsia="Arial" w:hAnsi="Arial"/>
                <w:sz w:val="18"/>
                <w:szCs w:val="18"/>
                <w:color w:val="auto"/>
              </w:rPr>
              <w:t>19.8 %</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19.1 %</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70 bps</w:t>
            </w:r>
          </w:p>
        </w:tc>
        <w:tc>
          <w:tcPr>
            <w:tcW w:w="110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66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70"/>
        </w:trPr>
        <w:tc>
          <w:tcPr>
            <w:tcW w:w="4660" w:type="dxa"/>
            <w:vAlign w:val="bottom"/>
          </w:tcPr>
          <w:p>
            <w:pPr>
              <w:ind w:left="20"/>
              <w:spacing w:after="0"/>
              <w:rPr>
                <w:sz w:val="20"/>
                <w:szCs w:val="20"/>
                <w:color w:val="auto"/>
              </w:rPr>
            </w:pPr>
            <w:r>
              <w:rPr>
                <w:rFonts w:ascii="Arial" w:cs="Arial" w:eastAsia="Arial" w:hAnsi="Arial"/>
                <w:sz w:val="18"/>
                <w:szCs w:val="18"/>
                <w:color w:val="auto"/>
              </w:rPr>
              <w:t>Efficiency ratio</w:t>
            </w:r>
            <w:r>
              <w:rPr>
                <w:rFonts w:ascii="Arial" w:cs="Arial" w:eastAsia="Arial" w:hAnsi="Arial"/>
                <w:sz w:val="23"/>
                <w:szCs w:val="23"/>
                <w:color w:val="auto"/>
                <w:vertAlign w:val="superscript"/>
              </w:rPr>
              <w:t>1</w:t>
            </w:r>
          </w:p>
        </w:tc>
        <w:tc>
          <w:tcPr>
            <w:tcW w:w="2300" w:type="dxa"/>
            <w:vAlign w:val="bottom"/>
          </w:tcPr>
          <w:p>
            <w:pPr>
              <w:jc w:val="right"/>
              <w:ind w:right="490"/>
              <w:spacing w:after="0"/>
              <w:rPr>
                <w:sz w:val="20"/>
                <w:szCs w:val="20"/>
                <w:color w:val="auto"/>
              </w:rPr>
            </w:pPr>
            <w:r>
              <w:rPr>
                <w:rFonts w:ascii="Arial" w:cs="Arial" w:eastAsia="Arial" w:hAnsi="Arial"/>
                <w:sz w:val="18"/>
                <w:szCs w:val="18"/>
                <w:color w:val="auto"/>
              </w:rPr>
              <w:t>60.0 %</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60.3 %</w:t>
            </w:r>
          </w:p>
        </w:tc>
        <w:tc>
          <w:tcPr>
            <w:tcW w:w="1640" w:type="dxa"/>
            <w:vAlign w:val="bottom"/>
          </w:tcPr>
          <w:p>
            <w:pPr>
              <w:jc w:val="right"/>
              <w:ind w:right="490"/>
              <w:spacing w:after="0"/>
              <w:rPr>
                <w:sz w:val="20"/>
                <w:szCs w:val="20"/>
                <w:color w:val="auto"/>
              </w:rPr>
            </w:pPr>
            <w:r>
              <w:rPr>
                <w:rFonts w:ascii="Arial" w:cs="Arial" w:eastAsia="Arial" w:hAnsi="Arial"/>
                <w:sz w:val="18"/>
                <w:szCs w:val="18"/>
                <w:color w:val="auto"/>
              </w:rPr>
              <w:t>(30) bps</w:t>
            </w:r>
          </w:p>
        </w:tc>
        <w:tc>
          <w:tcPr>
            <w:tcW w:w="1100" w:type="dxa"/>
            <w:vAlign w:val="bottom"/>
          </w:tcPr>
          <w:p>
            <w:pPr>
              <w:spacing w:after="0"/>
              <w:rPr>
                <w:sz w:val="23"/>
                <w:szCs w:val="23"/>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efficiency ratio</w:t>
            </w:r>
            <w:r>
              <w:rPr>
                <w:rFonts w:ascii="Arial" w:cs="Arial" w:eastAsia="Arial" w:hAnsi="Arial"/>
                <w:sz w:val="23"/>
                <w:szCs w:val="23"/>
                <w:color w:val="auto"/>
                <w:vertAlign w:val="superscript"/>
              </w:rPr>
              <w:t>1</w:t>
            </w:r>
          </w:p>
        </w:tc>
        <w:tc>
          <w:tcPr>
            <w:tcW w:w="2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60.0 %</w:t>
            </w:r>
          </w:p>
        </w:tc>
        <w:tc>
          <w:tcPr>
            <w:tcW w:w="15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59.7 %</w:t>
            </w:r>
          </w:p>
        </w:tc>
        <w:tc>
          <w:tcPr>
            <w:tcW w:w="1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30 bps</w:t>
            </w:r>
          </w:p>
        </w:tc>
        <w:tc>
          <w:tcPr>
            <w:tcW w:w="1100" w:type="dxa"/>
            <w:vAlign w:val="bottom"/>
            <w:shd w:val="clear" w:color="auto" w:fill="CCEEFF"/>
          </w:tcPr>
          <w:p>
            <w:pPr>
              <w:spacing w:after="0"/>
              <w:rPr>
                <w:sz w:val="23"/>
                <w:szCs w:val="23"/>
                <w:color w:val="auto"/>
              </w:rPr>
            </w:pPr>
          </w:p>
        </w:tc>
      </w:tr>
      <w:tr>
        <w:trPr>
          <w:trHeight w:val="270"/>
        </w:trPr>
        <w:tc>
          <w:tcPr>
            <w:tcW w:w="46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Full-time equivalent associates as of period-end</w:t>
            </w:r>
          </w:p>
        </w:tc>
        <w:tc>
          <w:tcPr>
            <w:tcW w:w="23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1,484</w:t>
            </w:r>
          </w:p>
        </w:tc>
        <w:tc>
          <w:tcPr>
            <w:tcW w:w="1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1,513</w:t>
            </w:r>
          </w:p>
        </w:tc>
        <w:tc>
          <w:tcPr>
            <w:tcW w:w="16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5"/>
        </w:trPr>
        <w:tc>
          <w:tcPr>
            <w:tcW w:w="4660" w:type="dxa"/>
            <w:vAlign w:val="bottom"/>
          </w:tcPr>
          <w:p>
            <w:pPr>
              <w:spacing w:after="0"/>
              <w:rPr>
                <w:sz w:val="20"/>
                <w:szCs w:val="20"/>
                <w:color w:val="auto"/>
              </w:rPr>
            </w:pPr>
            <w:r>
              <w:rPr>
                <w:rFonts w:ascii="Arial" w:cs="Arial" w:eastAsia="Arial" w:hAnsi="Arial"/>
                <w:sz w:val="14"/>
                <w:szCs w:val="14"/>
                <w:color w:val="auto"/>
              </w:rPr>
              <w:t>___________________________________________</w:t>
            </w:r>
          </w:p>
        </w:tc>
        <w:tc>
          <w:tcPr>
            <w:tcW w:w="2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ind w:left="340" w:right="20" w:hanging="202"/>
        <w:spacing w:after="0" w:line="283" w:lineRule="auto"/>
        <w:tabs>
          <w:tab w:leader="none" w:pos="335"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financial GAAP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noninterest expense was $70.9 million for the three months ended September 30, 2023, a 0.3% increase from the comparable period in 2022, and was $210.6 million for the nine months ended September 30, 2023, a 0.2% increase from the comparable period in 2022. During a time of decades-high inflation, we have effectively managed our noninterest expense, and have been purposeful in our efforts to rationalize our expense base given our economic outlook and our view on the future of banking.</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Salaries, wages, and employee benefits were $39.7 million for the three months ended September 30, 2023, a 0.2% decrease from the comparable period in 2022, and were $119.9 million for the nine months ended September 30, 2023, a 2.3% increase from the comparable period in 2022. Our total associate base consisted of 1,484 full-time equivalents as of September 30, 2023, compared to 1,513 at September 30, 2022. Current trends continue to reflect a competitive labor market, maintaining pressure on costs related to attracting and maintaining our skilled workforce.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Data processing expense was $5.9 million for the three months ended September 30, 2023, a 8.9% increase from the comparable period in 2022, and was $17.5 million for the nine months ended September 30, 2023, a 10.6% increase from the comparable period in 2022. Increases were primarily attributable to Company-wide investments in technology enhancements, as well as inflation-driven price increases.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Combined, net occupancy expense of premises and furniture and equipment expense totaled $6.2 million for the three months ended September 30, 2023, a 4.2% decrease from the comparable period in 2022, and $19.0 million for the nine months ended September 30, 2023, a 6.9% decrease from the comparable period in 2022. Decreases were primarily attributable to declines in depreciation expense, lease costs, and taxes.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Professional fees were $1.5 million for the three months ended September 30, 2023, a 2.3% decrease from the comparable period in 2022. The decrease was primarily attributable to reduced consulting fees during the quarter, partially offset by increased legal and payroll service fees. Professional fees were $4.6 million for the nine months ended September 30, 2023, a 2.6% decrease from the comparable period in 2022. The decrease was primarily attributable to a recapture of legal expenses related to the payoff of a large classified asset in the second quarter of 2023, partially offset by increases in payroll service and audit fees.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intangible assets was $2.6 million for the three months ended September 30, 2023, an 11.0% decrease from the comparable period in 2022, and $8.0 million for the nine months ended September 30, 2023, a 10.0% decrease from the comparable period for 2022, due to the use of an accelerated amortization methodology.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Interchange expense was $1.8 million for the three months ended September 30, 2023, a 13.5% increase from the comparable period in 2022, and was $5.5 million for the nine months ended September 30, 2023, a 19.6% increase from the comparable period in 2022. Fluctuations in interchange expense were primarily the result of increased payment and volume activity at FirsTech.</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FDIC insurance expense was $1.5 million for the three months ended September 30, 2023, a 67.2% increase from the comparable period in 2022, and $4.5 million for the nine months ended September 30, 2023, a 44.2% increase from the comparable period in 2022. Increases were the result of an FDIC final rule to increase the initial base deposit insurance assessment rate applicable to all depository institutions by two basis points beginning in 2023.</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was $11.7 million for the three months ended September 30, 2023, a 3.0% decrease from the comparable period in 2022, and was $31.7 million for the nine months ended September 30, 2023, a 10.8% decrease from the comparable period in 2022. Decreases were across multiple expense categories as a result of expense discipline.</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efficiency ratio</w:t>
      </w:r>
      <w:r>
        <w:rPr>
          <w:rFonts w:ascii="Arial" w:cs="Arial" w:eastAsia="Arial" w:hAnsi="Arial"/>
          <w:sz w:val="22"/>
          <w:szCs w:val="22"/>
          <w:color w:val="auto"/>
          <w:vertAlign w:val="superscript"/>
        </w:rPr>
        <w:t>2</w:t>
      </w:r>
      <w:r>
        <w:rPr>
          <w:rFonts w:ascii="Arial" w:cs="Arial" w:eastAsia="Arial" w:hAnsi="Arial"/>
          <w:sz w:val="17"/>
          <w:szCs w:val="17"/>
          <w:color w:val="auto"/>
        </w:rPr>
        <w:t>, which is a measure commonly used by management and the banking industry, measures the amount of expense incurred to generate a dollar of revenue. Our efficiency ratio was 62.4% for the three months ended September 30, 2023, compared to 57.6% for the same period in 2022, and was 60.0% for the nine months ended September 30, 2023, compared to 60.3% for the same period in 2022.</w:t>
      </w:r>
    </w:p>
    <w:p>
      <w:pPr>
        <w:spacing w:after="0" w:line="16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adjusted efficiency ratio</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62.3% for the three months ended September 30, 2023, compared to 56.8% for the same period in 2022, and was 60.0% for the nine months ended September 30, 2023, compared to 59.7% for the same period in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income tax rates of 18.2% and 19.8% for the three and nine months ended September 30, 2023, respectively, were lower than the combined federal and state statutory rate of approximately 28.0% due to tax exempt interest income, such as municipal bond interest and bank owned life insurance income, and investments in various tax credits. We continue to monitor evolving federal and state tax legislation and its potential impact on operations on an ongoing basis. As of September 30, 2023, we were not under examination by any tax authority; however, we have received an inquiry from the State of Illinois regarding our prior franchise tax filings. In the event the Company is required to amend our prior franchise tax filings, we could incur additional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14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71" w:lineRule="exact"/>
        <w:rPr>
          <w:sz w:val="20"/>
          <w:szCs w:val="20"/>
          <w:color w:val="auto"/>
        </w:rPr>
      </w:pPr>
    </w:p>
    <w:p>
      <w:pPr>
        <w:ind w:firstLine="8"/>
        <w:spacing w:after="0" w:line="201" w:lineRule="auto"/>
        <w:tabs>
          <w:tab w:leader="none" w:pos="103" w:val="left"/>
        </w:tabs>
        <w:numPr>
          <w:ilvl w:val="0"/>
          <w:numId w:val="23"/>
        </w:numPr>
        <w:rPr>
          <w:rFonts w:ascii="Arial" w:cs="Arial" w:eastAsia="Arial" w:hAnsi="Arial"/>
          <w:sz w:val="23"/>
          <w:szCs w:val="23"/>
          <w:color w:val="auto"/>
          <w:vertAlign w:val="superscript"/>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GAAP financial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EE"/>
        </w:rPr>
        <w:t>Item 2. Management’s Discussion and Analysis—Non-GAAP Financial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in this Quarterly Report.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Changes in significant items included in our Consolidated Balance Sheets (Unaudited) are summarized as follows as of each of the dates indicated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
        </w:trPr>
        <w:tc>
          <w:tcPr>
            <w:tcW w:w="49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173"/>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6"/>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0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39"/>
        </w:trPr>
        <w:tc>
          <w:tcPr>
            <w:tcW w:w="49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Debt securities available for sale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2,182,841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2,461,393</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(278,552)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 held to maturity</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918,312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Portfolio loans, net of ACL</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7,764,450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7,634,094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130,356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12,258,250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12,336,677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(78,427)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Noninterest-bearing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3,393,666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(475,092)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940" w:type="dxa"/>
            <w:vAlign w:val="bottom"/>
          </w:tcPr>
          <w:p>
            <w:pPr>
              <w:ind w:left="360"/>
              <w:spacing w:after="0"/>
              <w:rPr>
                <w:sz w:val="20"/>
                <w:szCs w:val="20"/>
                <w:color w:val="auto"/>
              </w:rPr>
            </w:pPr>
            <w:r>
              <w:rPr>
                <w:rFonts w:ascii="Arial" w:cs="Arial" w:eastAsia="Arial" w:hAnsi="Arial"/>
                <w:sz w:val="18"/>
                <w:szCs w:val="18"/>
                <w:color w:val="auto"/>
              </w:rPr>
              <w:t>Interest-bearing</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7,413,788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6,677,614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736,174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11.0 %</w:t>
            </w:r>
          </w:p>
        </w:tc>
      </w:tr>
      <w:tr>
        <w:trPr>
          <w:trHeight w:val="27"/>
        </w:trPr>
        <w:tc>
          <w:tcPr>
            <w:tcW w:w="4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10,332,362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10,071,280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261,082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183,702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229,806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(46,104)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(339,054)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Subordinated notes, net of unamortized issuance costs</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222,666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222,038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4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11,068,092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11,190,700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(122,608)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1,145,977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4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While not specifically limited, we attempt to focus our lending on short to intermediate-term (0-10 years) loans in geographic areas within 125 miles of our lending offices. Loans originated outside of these areas are generally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Busey Bank maintains a well-diversified loan portfolio and, as a matter of policy and practice, limits concentration exposure in any particular loan segment.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Corporation and its subsidiaries, are reviewed for compliance with regulatory guidelines.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spacing w:after="0" w:line="143"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Busey Bank’s lending activities can be summarized into two primary categories: commercial and retail. Lending is further classified into five primary areas: commercial loans, commercial real estate loans, real estate construction loans, retail real estate loans, and retail other loans. A description of each of the five primary areas can be found in </w:t>
      </w:r>
      <w:hyperlink r:id="rId26">
        <w:r>
          <w:rPr>
            <w:rFonts w:ascii="Arial" w:cs="Arial" w:eastAsia="Arial" w:hAnsi="Arial"/>
            <w:sz w:val="18"/>
            <w:szCs w:val="18"/>
            <w:u w:val="single" w:color="auto"/>
            <w:color w:val="0000FF"/>
          </w:rPr>
          <w:t>Busey’s 2022 Annual Report</w:t>
        </w:r>
      </w:hyperlink>
      <w:r>
        <w:rPr>
          <w:rFonts w:ascii="Arial" w:cs="Arial" w:eastAsia="Arial" w:hAnsi="Arial"/>
          <w:sz w:val="18"/>
          <w:szCs w:val="18"/>
          <w:color w:val="auto"/>
        </w:rPr>
        <w:t>. A significant majority of our portfolio lending activity occurs in the Illinois and Missouri markets, with the remainder in the Florida and Indiana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Geographic distributions of portfolio loans, based on originations, by category and class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2023</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Illinois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Missouri</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Florida</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Indiana</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loans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1,486,278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384,978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26,368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45,825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1,943,449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169,016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3,353,753</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318,865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59,477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58,715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527,598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4,074,373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1,168,199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273,556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5,824,800</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1,278,795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79,607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1,715,445</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315,915</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retail loans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1,590,121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80,952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2,031,360</w:t>
            </w: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5,664,494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1,398,473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354,508</w:t>
            </w:r>
          </w:p>
        </w:tc>
        <w:tc>
          <w:tcPr>
            <w:tcW w:w="80" w:type="dxa"/>
            <w:vAlign w:val="bottom"/>
          </w:tcPr>
          <w:p>
            <w:pPr>
              <w:spacing w:after="0"/>
              <w:rPr>
                <w:sz w:val="22"/>
                <w:szCs w:val="22"/>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7,856,160</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(91,710)</w:t>
            </w: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Portfolio loans, net of ACL</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7,764,450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December 31, 2022</w:t>
            </w: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Illinois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Missouri</w:t>
            </w: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Florida</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Indiana</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loans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1,401,165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466,904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52,925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53,160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1,974,154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3,261,873</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326,154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131,782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530,469</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3,908,086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1,279,218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305,076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274,116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5,766,496</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1,657,082</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302,124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retail loans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1,549,788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72,620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1,959,206</w:t>
            </w: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5,457,874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1,491,831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429,261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346,736</w:t>
            </w:r>
          </w:p>
        </w:tc>
        <w:tc>
          <w:tcPr>
            <w:tcW w:w="80" w:type="dxa"/>
            <w:vAlign w:val="bottom"/>
          </w:tcPr>
          <w:p>
            <w:pPr>
              <w:spacing w:after="0"/>
              <w:rPr>
                <w:sz w:val="22"/>
                <w:szCs w:val="22"/>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7,725,702</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(91,608)</w:t>
            </w: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8"/>
                <w:szCs w:val="18"/>
                <w:color w:val="auto"/>
              </w:rPr>
              <w:t>Portfolio loans, net of ACL</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7,634,094</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vMerge w:val="restart"/>
          </w:tcPr>
          <w:p>
            <w:pPr>
              <w:ind w:left="1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Busey generated $130.5 million, or 1.7%, in net loan growth during the nine months ended September 30, 2023. Reported loan growth figures over that period have been dampened by a $146.6 million decline in line utilization, consistent with trends seen across the industry, as well as a $47.5 million reduction in classified assets achieved by Busey over the same period. Changes in portfolio loan balances were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
        </w:trPr>
        <w:tc>
          <w:tcPr>
            <w:tcW w:w="4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160"/>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36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0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39"/>
        </w:trPr>
        <w:tc>
          <w:tcPr>
            <w:tcW w:w="4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3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loans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1,943,449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1,974,154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(30,705)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3,353,753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91,880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527,598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530,469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5,824,800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5,766,496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13,791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retail loans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2,031,360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1,959,206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72,154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7,856,160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7,725,702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130,458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4"/>
        </w:trPr>
        <w:tc>
          <w:tcPr>
            <w:tcW w:w="4940" w:type="dxa"/>
            <w:vAlign w:val="bottom"/>
          </w:tcPr>
          <w:p>
            <w:pPr>
              <w:ind w:left="20"/>
              <w:spacing w:after="0"/>
              <w:rPr>
                <w:sz w:val="20"/>
                <w:szCs w:val="20"/>
                <w:color w:val="auto"/>
              </w:rPr>
            </w:pPr>
            <w:r>
              <w:rPr>
                <w:rFonts w:ascii="Arial" w:cs="Arial" w:eastAsia="Arial" w:hAnsi="Arial"/>
                <w:sz w:val="18"/>
                <w:szCs w:val="18"/>
                <w:color w:val="auto"/>
              </w:rPr>
              <w:t>Portfolio loans, net of ACL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7,764,450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7,634,094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Excluding the amortized cost of PPP loans, changes in commercial loan balances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9"/>
        </w:trPr>
        <w:tc>
          <w:tcPr>
            <w:tcW w:w="49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160"/>
        </w:trPr>
        <w:tc>
          <w:tcPr>
            <w:tcW w:w="4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36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86"/>
        </w:trPr>
        <w:tc>
          <w:tcPr>
            <w:tcW w:w="4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60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39"/>
        </w:trPr>
        <w:tc>
          <w:tcPr>
            <w:tcW w:w="49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5,766,496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Less: PPP loans amortized cost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29.2 %</w:t>
            </w:r>
          </w:p>
        </w:tc>
      </w:tr>
      <w:tr>
        <w:trPr>
          <w:trHeight w:val="27"/>
        </w:trPr>
        <w:tc>
          <w:tcPr>
            <w:tcW w:w="4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8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loan balances, excluding PPP loans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5,824,202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5,765,651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has been our practice, we remain steadfast in our conservative approach to underwriting and disciplined approach to pricing, particularly given our outlook for the economy in the coming quarters. This posture will continue to impact loan growth, which we expect to remain modest over the next several quarters.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and Provision for Credit Losses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ACL is a significant estimate in our unaudited consolidated financial statements,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collectability as of the evaluation date. The ACL is established through the provision for credit loss expense charged to income. Provision expenses were recorded as follows for each of the periods indicated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100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r>
      <w:tr>
        <w:trPr>
          <w:trHeight w:val="27"/>
        </w:trPr>
        <w:tc>
          <w:tcPr>
            <w:tcW w:w="5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ACL and the ratio of ACL to portfolio loan balances is presented below by loan category and class,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auto"/>
                <w:w w:val="97"/>
              </w:rPr>
              <w:t>As of September 30, 2023</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As of December 31, 2022</w:t>
            </w:r>
          </w:p>
        </w:tc>
        <w:tc>
          <w:tcPr>
            <w:tcW w:w="1420" w:type="dxa"/>
            <w:vAlign w:val="bottom"/>
          </w:tcPr>
          <w:p>
            <w:pPr>
              <w:spacing w:after="0"/>
              <w:rPr>
                <w:sz w:val="16"/>
                <w:szCs w:val="16"/>
                <w:color w:val="auto"/>
              </w:rPr>
            </w:pPr>
          </w:p>
        </w:tc>
      </w:tr>
      <w:tr>
        <w:trPr>
          <w:trHeight w:val="39"/>
        </w:trPr>
        <w:tc>
          <w:tcPr>
            <w:tcW w:w="19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Ratio of ACL to</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201"/>
              <w:spacing w:after="0"/>
              <w:rPr>
                <w:sz w:val="20"/>
                <w:szCs w:val="20"/>
                <w:color w:val="auto"/>
              </w:rPr>
            </w:pPr>
            <w:r>
              <w:rPr>
                <w:rFonts w:ascii="Arial" w:cs="Arial" w:eastAsia="Arial" w:hAnsi="Arial"/>
                <w:sz w:val="14"/>
                <w:szCs w:val="14"/>
                <w:b w:val="1"/>
                <w:bCs w:val="1"/>
                <w:color w:val="auto"/>
              </w:rPr>
              <w:t>Ratio of ACL to</w:t>
            </w:r>
          </w:p>
        </w:tc>
      </w:tr>
      <w:tr>
        <w:trPr>
          <w:trHeight w:val="186"/>
        </w:trPr>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7"/>
              </w:rPr>
              <w:t>Portfolio Loans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3"/>
          </w:tcPr>
          <w:p>
            <w:pPr>
              <w:ind w:left="220"/>
              <w:spacing w:after="0"/>
              <w:rPr>
                <w:sz w:val="20"/>
                <w:szCs w:val="20"/>
                <w:color w:val="auto"/>
              </w:rPr>
            </w:pPr>
            <w:r>
              <w:rPr>
                <w:rFonts w:ascii="Arial" w:cs="Arial" w:eastAsia="Arial" w:hAnsi="Arial"/>
                <w:sz w:val="14"/>
                <w:szCs w:val="14"/>
                <w:b w:val="1"/>
                <w:bCs w:val="1"/>
                <w:color w:val="auto"/>
              </w:rPr>
              <w:t>ACL</w:t>
            </w: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Portfolio Loans</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Portfolio Loans</w:t>
            </w:r>
          </w:p>
        </w:tc>
        <w:tc>
          <w:tcPr>
            <w:tcW w:w="340" w:type="dxa"/>
            <w:vAlign w:val="bottom"/>
          </w:tcPr>
          <w:p>
            <w:pPr>
              <w:spacing w:after="0"/>
              <w:rPr>
                <w:sz w:val="16"/>
                <w:szCs w:val="16"/>
                <w:color w:val="auto"/>
              </w:rPr>
            </w:pPr>
          </w:p>
        </w:tc>
        <w:tc>
          <w:tcPr>
            <w:tcW w:w="1340" w:type="dxa"/>
            <w:vAlign w:val="bottom"/>
            <w:gridSpan w:val="3"/>
          </w:tcPr>
          <w:p>
            <w:pPr>
              <w:ind w:left="240"/>
              <w:spacing w:after="0"/>
              <w:rPr>
                <w:sz w:val="20"/>
                <w:szCs w:val="20"/>
                <w:color w:val="auto"/>
              </w:rPr>
            </w:pPr>
            <w:r>
              <w:rPr>
                <w:rFonts w:ascii="Arial" w:cs="Arial" w:eastAsia="Arial" w:hAnsi="Arial"/>
                <w:sz w:val="14"/>
                <w:szCs w:val="14"/>
                <w:b w:val="1"/>
                <w:bCs w:val="1"/>
                <w:color w:val="auto"/>
              </w:rPr>
              <w:t>ACL</w:t>
            </w:r>
          </w:p>
        </w:tc>
        <w:tc>
          <w:tcPr>
            <w:tcW w:w="1420" w:type="dxa"/>
            <w:vAlign w:val="bottom"/>
          </w:tcPr>
          <w:p>
            <w:pPr>
              <w:jc w:val="right"/>
              <w:ind w:right="221"/>
              <w:spacing w:after="0"/>
              <w:rPr>
                <w:sz w:val="20"/>
                <w:szCs w:val="20"/>
                <w:color w:val="auto"/>
              </w:rPr>
            </w:pPr>
            <w:r>
              <w:rPr>
                <w:rFonts w:ascii="Arial" w:cs="Arial" w:eastAsia="Arial" w:hAnsi="Arial"/>
                <w:sz w:val="14"/>
                <w:szCs w:val="14"/>
                <w:b w:val="1"/>
                <w:bCs w:val="1"/>
                <w:color w:val="auto"/>
              </w:rPr>
              <w:t>Portfolio Loans</w:t>
            </w:r>
          </w:p>
        </w:tc>
      </w:tr>
      <w:tr>
        <w:trPr>
          <w:trHeight w:val="39"/>
        </w:trPr>
        <w:tc>
          <w:tcPr>
            <w:tcW w:w="19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3"/>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Commercial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60"/>
        </w:trPr>
        <w:tc>
          <w:tcPr>
            <w:tcW w:w="192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1,943,449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22,633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1.16 %</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1,974,154</w:t>
            </w:r>
          </w:p>
        </w:tc>
        <w:tc>
          <w:tcPr>
            <w:tcW w:w="8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23,860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1.21 %</w:t>
            </w:r>
          </w:p>
        </w:tc>
      </w:tr>
      <w:tr>
        <w:trPr>
          <w:trHeight w:val="280"/>
        </w:trPr>
        <w:tc>
          <w:tcPr>
            <w:tcW w:w="1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3,353,753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3,261,873</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263"/>
        </w:trPr>
        <w:tc>
          <w:tcPr>
            <w:tcW w:w="1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Real estate construction</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527,598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0.99 %</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530,469</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1.22 %</w:t>
            </w:r>
          </w:p>
        </w:tc>
      </w:tr>
      <w:tr>
        <w:trPr>
          <w:trHeight w:val="270"/>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commercial</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5,824,800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5,766,496</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13"/>
        </w:trPr>
        <w:tc>
          <w:tcPr>
            <w:tcW w:w="1920" w:type="dxa"/>
            <w:vAlign w:val="bottom"/>
          </w:tcPr>
          <w:p>
            <w:pPr>
              <w:ind w:left="20"/>
              <w:spacing w:after="0"/>
              <w:rPr>
                <w:sz w:val="20"/>
                <w:szCs w:val="20"/>
                <w:color w:val="auto"/>
              </w:rPr>
            </w:pPr>
            <w:r>
              <w:rPr>
                <w:rFonts w:ascii="Arial" w:cs="Arial" w:eastAsia="Arial" w:hAnsi="Arial"/>
                <w:sz w:val="16"/>
                <w:szCs w:val="16"/>
                <w:b w:val="1"/>
                <w:bCs w:val="1"/>
                <w:color w:val="auto"/>
              </w:rPr>
              <w:t>Retail</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0"/>
        </w:trPr>
        <w:tc>
          <w:tcPr>
            <w:tcW w:w="1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Retail real estate</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1,715,445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1,657,082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r>
      <w:tr>
        <w:trPr>
          <w:trHeight w:val="263"/>
        </w:trPr>
        <w:tc>
          <w:tcPr>
            <w:tcW w:w="1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Retail other</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1.22 %</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302,124</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1.59 %</w:t>
            </w:r>
          </w:p>
        </w:tc>
      </w:tr>
      <w:tr>
        <w:trPr>
          <w:trHeight w:val="264"/>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retail</w:t>
            </w: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2,031,360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1,959,206</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270"/>
        </w:trPr>
        <w:tc>
          <w:tcPr>
            <w:tcW w:w="192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7,856,160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91,710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1.17 %</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7,725,702</w:t>
            </w:r>
          </w:p>
        </w:tc>
        <w:tc>
          <w:tcPr>
            <w:tcW w:w="8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91,608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20"/>
        </w:trPr>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2023,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prepayment speeds, credit performance trends, portfolio duration, and other factors.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Non-Performing Loans and Non-Performing Assets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sets forth information concerning non-performing loans and performing restructured loans, as of each of the dates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
        </w:trPr>
        <w:tc>
          <w:tcPr>
            <w:tcW w:w="47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173"/>
        </w:trPr>
        <w:tc>
          <w:tcPr>
            <w:tcW w:w="4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6"/>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39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6"/>
                <w:szCs w:val="16"/>
                <w:color w:val="auto"/>
              </w:rPr>
            </w:pPr>
          </w:p>
        </w:tc>
        <w:tc>
          <w:tcPr>
            <w:tcW w:w="156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39"/>
        </w:trPr>
        <w:tc>
          <w:tcPr>
            <w:tcW w:w="47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Portfolio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7,856,160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7,725,702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130,458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Loans 30 – 89 days past due</w:t>
            </w:r>
          </w:p>
        </w:tc>
        <w:tc>
          <w:tcPr>
            <w:tcW w:w="22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6,548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12,258,250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12,336,677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(78,427)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4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Non-performing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40"/>
              <w:spacing w:after="0"/>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Non-accrual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15,067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4780" w:type="dxa"/>
            <w:vAlign w:val="bottom"/>
          </w:tcPr>
          <w:p>
            <w:pPr>
              <w:ind w:left="460"/>
              <w:spacing w:after="0"/>
              <w:rPr>
                <w:sz w:val="20"/>
                <w:szCs w:val="20"/>
                <w:color w:val="auto"/>
              </w:rPr>
            </w:pPr>
            <w:r>
              <w:rPr>
                <w:rFonts w:ascii="Arial" w:cs="Arial" w:eastAsia="Arial" w:hAnsi="Arial"/>
                <w:sz w:val="18"/>
                <w:szCs w:val="18"/>
                <w:color w:val="auto"/>
              </w:rPr>
              <w:t>Loans 90+ days past due and still accruing</w:t>
            </w:r>
          </w:p>
        </w:tc>
        <w:tc>
          <w:tcPr>
            <w:tcW w:w="22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non-performing loans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15,740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4780" w:type="dxa"/>
            <w:vAlign w:val="bottom"/>
          </w:tcPr>
          <w:p>
            <w:pPr>
              <w:ind w:left="240"/>
              <w:spacing w:after="0"/>
              <w:rPr>
                <w:sz w:val="20"/>
                <w:szCs w:val="20"/>
                <w:color w:val="auto"/>
              </w:rPr>
            </w:pPr>
            <w:r>
              <w:rPr>
                <w:rFonts w:ascii="Arial" w:cs="Arial" w:eastAsia="Arial" w:hAnsi="Arial"/>
                <w:sz w:val="18"/>
                <w:szCs w:val="18"/>
                <w:color w:val="auto"/>
              </w:rPr>
              <w:t>OREO and other repossessed assets</w:t>
            </w:r>
          </w:p>
        </w:tc>
        <w:tc>
          <w:tcPr>
            <w:tcW w:w="22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(88.7)%</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non-performing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16,590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Substandard (excludes 90+ days past due)</w:t>
            </w:r>
          </w:p>
        </w:tc>
        <w:tc>
          <w:tcPr>
            <w:tcW w:w="22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47,518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90,489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(42,971)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59,621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107,079</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r>
        <w:trPr>
          <w:trHeight w:val="217"/>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91,710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91,608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Bank Tier 1 Capital</w:t>
            </w:r>
          </w:p>
        </w:tc>
        <w:tc>
          <w:tcPr>
            <w:tcW w:w="220" w:type="dxa"/>
            <w:vAlign w:val="bottom"/>
          </w:tcPr>
          <w:p>
            <w:pPr>
              <w:spacing w:after="0"/>
              <w:rPr>
                <w:sz w:val="21"/>
                <w:szCs w:val="21"/>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1,356,565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1,306,716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49,849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Ratios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to portfolio loans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bps</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ACL to non-accrual loans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811.74 %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608.00 %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20,374 bps</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ACL to non-performing loans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763.80 %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582.01 %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18,179 bps</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ACL to non-performing assets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757.75 %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552.19 %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20,556 bps</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Non-accrual loans to portfolio loans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bps</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Non-performing loans to portfolio loans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0.20 %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 bps</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Non-performing assets to 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0.13 %</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bps</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w w:val="96"/>
              </w:rPr>
              <w:t>Non-performing assets to portfolio loans and OREO and other</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repossessed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0.21 %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 bps</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Classified assets to Bank Tier 1 Capital and ACL</w:t>
            </w: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7.66 %</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bps</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
        </w:trPr>
        <w:tc>
          <w:tcPr>
            <w:tcW w:w="4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 quality remains strong by both historical and current industry trends, and our operating mandate and focus have been on emphasizing credit quality over asset growth. Non-performing loan balances decreased by 23.7% to $12.0 million as of September 30, 2023, compared to $15.7 million as of December 31, 2022. We saw a 44.3% decline in classified assets from $107.1 million as of December 31, 2022 to $59.6 million as of September 30, 2023. Classified assets represented 4.1% of the Busey Bank’s Tier 1 Capital and reserves at September 30, 2023, down from 7.7% at December 31, 2022. Continued disciplined credit management resulted in non-performing loans as a percentage of portfolio loans of 0.15% as of September 30, 2023, compared to 0.20% as of December 31, 2022. Meanwhile, non-performing assets declined to 0.10% of total assets at September 30, 2023, from 0.13% at December 31, 2022. Our allowance for credit losses provided 757.7% coverage of our non-performing assets at September 30, 2023, up from 552.2% at December 31, 2022.</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Asset quality metrics remain dependent upon market-specific economic conditions, and specific measures may fluctuate from period to period. If economic conditions were to deteriorate, we would expect the credit quality of our loan portfolio to decline and loan defaults to increase.</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Potential Problem Loans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Potential problem loans are loans classified as substandard which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decreased to $47.5 million as of September 30, 2023, compared to $89.2 million as of December 31, 2022. Management continues to monitor these loans and anticipates that restructurings, guarantees, additional collateral, or other planned actions will result in full repayment of the debts. As of September 30, 2023, management identified no other loans that represent or result from trends or uncertainties which would be expected to materially impact future operating results, liquidity, or capital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Modifications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alleviate some of the financial hardships faced as a result of COVID-19, Busey offered a Financial Relief Program to qualifying customers. The program included options for short-term loan payment deferrals and certain fee waivers. We had no commercial or retail loans remaining in the program as of September 30, 2023. In comparison, we had eight payment deferred commercial loans totaling $20.6 million that were on interest-only payment terms, and one payment deferred retail loans totaling $0.1 million as of December 31,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Total deposits increased by 2.6% to $10.3 billion as of September 30, 2023, compared to $10.1 billion as of December 31, 2022. Growth in our deposit base coupled with cash flows from our securities portfolio allows us to fund loan growth while limiting our reliance on higher cost wholesale funding alternatives. We focus on deepening our relationships with customers to maintain and protect our strong core deposit</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franchise. As of September 30, 2023, our average customer tenure was 16.4 years for retail customers and 12.3 years for commercial customers. Core deposits include non-brokered transaction accounts, money market and savings deposit accounts, and time deposits of $250,000 or less. Core deposits represented 96.6% of total deposits as of September 30, 2023, compared to 98.8% as of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 Average liquid assets are summarized in the table below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4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r>
      <w:tr>
        <w:trPr>
          <w:trHeight w:val="39"/>
        </w:trPr>
        <w:tc>
          <w:tcPr>
            <w:tcW w:w="4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liquid assets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119,874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123,480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117,977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123,881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Interest-bearing bank deposits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132,856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207,917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119,393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331,664</w:t>
            </w:r>
          </w:p>
        </w:tc>
      </w:tr>
      <w:tr>
        <w:trPr>
          <w:trHeight w:val="264"/>
        </w:trPr>
        <w:tc>
          <w:tcPr>
            <w:tcW w:w="4700" w:type="dxa"/>
            <w:vAlign w:val="bottom"/>
          </w:tcPr>
          <w:p>
            <w:pPr>
              <w:ind w:left="20"/>
              <w:spacing w:after="0"/>
              <w:rPr>
                <w:sz w:val="20"/>
                <w:szCs w:val="20"/>
                <w:color w:val="auto"/>
              </w:rPr>
            </w:pPr>
            <w:r>
              <w:rPr>
                <w:rFonts w:ascii="Arial" w:cs="Arial" w:eastAsia="Arial" w:hAnsi="Arial"/>
                <w:sz w:val="18"/>
                <w:szCs w:val="18"/>
                <w:color w:val="auto"/>
              </w:rPr>
              <w:t>Total average liquid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252,730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331,397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rPr>
              <w:t>237,370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455,545</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Average liquid assets as a percent of average total assets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714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firstLine="8"/>
        <w:spacing w:after="0" w:line="201" w:lineRule="auto"/>
        <w:tabs>
          <w:tab w:leader="none" w:pos="103" w:val="left"/>
        </w:tabs>
        <w:numPr>
          <w:ilvl w:val="0"/>
          <w:numId w:val="24"/>
        </w:numPr>
        <w:rPr>
          <w:rFonts w:ascii="Arial" w:cs="Arial" w:eastAsia="Arial" w:hAnsi="Arial"/>
          <w:sz w:val="23"/>
          <w:szCs w:val="23"/>
          <w:color w:val="auto"/>
          <w:vertAlign w:val="superscript"/>
        </w:rPr>
      </w:pPr>
      <w:r>
        <w:rPr>
          <w:rFonts w:ascii="Arial" w:cs="Arial" w:eastAsia="Arial" w:hAnsi="Arial"/>
          <w:sz w:val="14"/>
          <w:szCs w:val="14"/>
          <w:color w:val="auto"/>
        </w:rPr>
        <w:t xml:space="preserve">Core deposits is 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Cash and unencumbered securities on our Consolidated Balance Sheets (Unaudited)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39"/>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unencumbered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337,919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227,164</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Debt securities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2,461,393</w:t>
            </w: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Debt securities available for sale pledged as collateral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(621,740)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(746,675)</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unencumbered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1,899,020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1,941,882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Busey’s primary sources of funds consist of deposits, investment maturities and sales, loan principal repayments, and capital funds. Additional liquidity is provided by the ability to borrow from the FHLB, the Federal Reserve, and our revolving credit facility, as summarized in the table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6"/>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borrowing capacity available from:</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FHLB</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1,785,012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1,765,388</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 Reserve Bank</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659,680</w:t>
            </w:r>
          </w:p>
        </w:tc>
      </w:tr>
      <w:tr>
        <w:trPr>
          <w:trHeight w:val="243"/>
        </w:trPr>
        <w:tc>
          <w:tcPr>
            <w:tcW w:w="8180" w:type="dxa"/>
            <w:vAlign w:val="bottom"/>
          </w:tcPr>
          <w:p>
            <w:pPr>
              <w:ind w:left="260"/>
              <w:spacing w:after="0"/>
              <w:rPr>
                <w:sz w:val="20"/>
                <w:szCs w:val="20"/>
                <w:color w:val="auto"/>
              </w:rPr>
            </w:pPr>
            <w:r>
              <w:rPr>
                <w:rFonts w:ascii="Arial" w:cs="Arial" w:eastAsia="Arial" w:hAnsi="Arial"/>
                <w:sz w:val="18"/>
                <w:szCs w:val="18"/>
                <w:color w:val="auto"/>
              </w:rPr>
              <w:t>Federal funds purchased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482,500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482,500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Revolving credit facility</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Additional borrowing capacity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3,017,710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2,947,568</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Further, the company could utilize brokered deposits as additional sources of liquidity, as needed.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our outstanding commitments and reserves for unfunded commitments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494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60"/>
        </w:trPr>
        <w:tc>
          <w:tcPr>
            <w:tcW w:w="49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9"/>
              <w:spacing w:after="0" w:line="160" w:lineRule="exact"/>
              <w:rPr>
                <w:sz w:val="20"/>
                <w:szCs w:val="20"/>
                <w:color w:val="auto"/>
              </w:rPr>
            </w:pPr>
            <w:r>
              <w:rPr>
                <w:rFonts w:ascii="Arial" w:cs="Arial" w:eastAsia="Arial" w:hAnsi="Arial"/>
                <w:sz w:val="14"/>
                <w:szCs w:val="14"/>
                <w:b w:val="1"/>
                <w:bCs w:val="1"/>
                <w:color w:val="auto"/>
              </w:rPr>
              <w:t>December 31,</w:t>
            </w:r>
          </w:p>
        </w:tc>
      </w:tr>
      <w:tr>
        <w:trPr>
          <w:trHeight w:val="186"/>
        </w:trPr>
        <w:tc>
          <w:tcPr>
            <w:tcW w:w="49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53"/>
        </w:trPr>
        <w:tc>
          <w:tcPr>
            <w:tcW w:w="4940" w:type="dxa"/>
            <w:vAlign w:val="bottom"/>
            <w:tcBorders>
              <w:bottom w:val="single" w:sz="8" w:color="CCEEFF"/>
            </w:tcBorders>
          </w:tcPr>
          <w:p>
            <w:pPr>
              <w:spacing w:after="0"/>
              <w:rPr>
                <w:sz w:val="4"/>
                <w:szCs w:val="4"/>
                <w:color w:val="auto"/>
              </w:rPr>
            </w:pPr>
          </w:p>
        </w:tc>
        <w:tc>
          <w:tcPr>
            <w:tcW w:w="32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loan commitments and standby letters of credit</w:t>
            </w:r>
          </w:p>
        </w:tc>
        <w:tc>
          <w:tcPr>
            <w:tcW w:w="3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2,167,785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2,024,777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Reserve for unfunded commitments</w:t>
            </w: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6,601</w:t>
            </w:r>
          </w:p>
        </w:tc>
      </w:tr>
      <w:tr>
        <w:trPr>
          <w:trHeight w:val="918"/>
        </w:trPr>
        <w:tc>
          <w:tcPr>
            <w:tcW w:w="4940" w:type="dxa"/>
            <w:vAlign w:val="bottom"/>
          </w:tcPr>
          <w:p>
            <w:pPr>
              <w:spacing w:after="0"/>
              <w:rPr>
                <w:sz w:val="24"/>
                <w:szCs w:val="24"/>
                <w:color w:val="auto"/>
              </w:rPr>
            </w:pPr>
          </w:p>
        </w:tc>
        <w:tc>
          <w:tcPr>
            <w:tcW w:w="3240" w:type="dxa"/>
            <w:vAlign w:val="bottom"/>
          </w:tcPr>
          <w:p>
            <w:pPr>
              <w:jc w:val="right"/>
              <w:ind w:right="237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4"/>
        </w:trPr>
        <w:tc>
          <w:tcPr>
            <w:tcW w:w="49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summarizes our provision for unfunded commitments expenses (releases)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39"/>
        </w:trPr>
        <w:tc>
          <w:tcPr>
            <w:tcW w:w="50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1060" w:type="dxa"/>
            <w:vAlign w:val="bottom"/>
          </w:tcPr>
          <w:p>
            <w:pPr>
              <w:jc w:val="right"/>
              <w:ind w:right="102"/>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39"/>
        </w:trPr>
        <w:tc>
          <w:tcPr>
            <w:tcW w:w="50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unfunded commitments expense (release)</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50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we will have sufficient funds available to meet current loan commitments, including loan applications received and in process prior to the issuance of firm commitments.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September 30, 2023:</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Minimum Capital</w:t>
            </w:r>
          </w:p>
        </w:tc>
        <w:tc>
          <w:tcPr>
            <w:tcW w:w="3260" w:type="dxa"/>
            <w:vAlign w:val="bottom"/>
            <w:gridSpan w:val="3"/>
          </w:tcPr>
          <w:p>
            <w:pPr>
              <w:jc w:val="right"/>
              <w:ind w:right="756"/>
              <w:spacing w:after="0"/>
              <w:rPr>
                <w:sz w:val="20"/>
                <w:szCs w:val="20"/>
                <w:color w:val="auto"/>
              </w:rPr>
            </w:pPr>
            <w:r>
              <w:rPr>
                <w:rFonts w:ascii="Arial" w:cs="Arial" w:eastAsia="Arial" w:hAnsi="Arial"/>
                <w:sz w:val="14"/>
                <w:szCs w:val="14"/>
                <w:b w:val="1"/>
                <w:bCs w:val="1"/>
                <w:color w:val="auto"/>
              </w:rPr>
              <w:t>As of September 30, 2023</w:t>
            </w:r>
          </w:p>
        </w:tc>
        <w:tc>
          <w:tcPr>
            <w:tcW w:w="0" w:type="dxa"/>
            <w:vAlign w:val="bottom"/>
          </w:tcPr>
          <w:p>
            <w:pPr>
              <w:spacing w:after="0"/>
              <w:rPr>
                <w:sz w:val="1"/>
                <w:szCs w:val="1"/>
                <w:color w:val="auto"/>
              </w:rPr>
            </w:pPr>
          </w:p>
        </w:tc>
      </w:tr>
      <w:tr>
        <w:trPr>
          <w:trHeight w:val="39"/>
        </w:trPr>
        <w:tc>
          <w:tcPr>
            <w:tcW w:w="62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280" w:type="dxa"/>
            <w:vAlign w:val="bottom"/>
          </w:tcPr>
          <w:p>
            <w:pPr>
              <w:spacing w:after="0"/>
              <w:rPr>
                <w:sz w:val="13"/>
                <w:szCs w:val="13"/>
                <w:color w:val="auto"/>
              </w:rPr>
            </w:pPr>
          </w:p>
        </w:tc>
        <w:tc>
          <w:tcPr>
            <w:tcW w:w="170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4"/>
              </w:rPr>
              <w:t>Requirements with</w:t>
            </w:r>
          </w:p>
        </w:tc>
        <w:tc>
          <w:tcPr>
            <w:tcW w:w="168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8"/>
              </w:rPr>
              <w:t>First</w:t>
            </w:r>
          </w:p>
        </w:tc>
        <w:tc>
          <w:tcPr>
            <w:tcW w:w="1580" w:type="dxa"/>
            <w:vAlign w:val="bottom"/>
          </w:tcPr>
          <w:p>
            <w:pPr>
              <w:jc w:val="right"/>
              <w:ind w:right="516"/>
              <w:spacing w:after="0" w:line="160" w:lineRule="exact"/>
              <w:rPr>
                <w:sz w:val="20"/>
                <w:szCs w:val="20"/>
                <w:color w:val="auto"/>
              </w:rPr>
            </w:pPr>
            <w:r>
              <w:rPr>
                <w:rFonts w:ascii="Arial" w:cs="Arial" w:eastAsia="Arial" w:hAnsi="Arial"/>
                <w:sz w:val="14"/>
                <w:szCs w:val="14"/>
                <w:b w:val="1"/>
                <w:bCs w:val="1"/>
                <w:color w:val="auto"/>
              </w:rPr>
              <w:t>Busey</w:t>
            </w:r>
          </w:p>
        </w:tc>
        <w:tc>
          <w:tcPr>
            <w:tcW w:w="0" w:type="dxa"/>
            <w:vAlign w:val="bottom"/>
          </w:tcPr>
          <w:p>
            <w:pPr>
              <w:spacing w:after="0"/>
              <w:rPr>
                <w:sz w:val="1"/>
                <w:szCs w:val="1"/>
                <w:color w:val="auto"/>
              </w:rPr>
            </w:pPr>
          </w:p>
        </w:tc>
      </w:tr>
      <w:tr>
        <w:trPr>
          <w:trHeight w:val="200"/>
        </w:trPr>
        <w:tc>
          <w:tcPr>
            <w:tcW w:w="628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 Buffer</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Busey</w:t>
            </w:r>
          </w:p>
        </w:tc>
        <w:tc>
          <w:tcPr>
            <w:tcW w:w="1580" w:type="dxa"/>
            <w:vAlign w:val="bottom"/>
          </w:tcPr>
          <w:p>
            <w:pPr>
              <w:jc w:val="right"/>
              <w:ind w:right="536"/>
              <w:spacing w:after="0"/>
              <w:rPr>
                <w:sz w:val="20"/>
                <w:szCs w:val="20"/>
                <w:color w:val="auto"/>
              </w:rPr>
            </w:pPr>
            <w:r>
              <w:rPr>
                <w:rFonts w:ascii="Arial" w:cs="Arial" w:eastAsia="Arial" w:hAnsi="Arial"/>
                <w:sz w:val="14"/>
                <w:szCs w:val="14"/>
                <w:b w:val="1"/>
                <w:bCs w:val="1"/>
                <w:color w:val="auto"/>
              </w:rPr>
              <w:t>Bank</w:t>
            </w:r>
          </w:p>
        </w:tc>
        <w:tc>
          <w:tcPr>
            <w:tcW w:w="0" w:type="dxa"/>
            <w:vAlign w:val="bottom"/>
          </w:tcPr>
          <w:p>
            <w:pPr>
              <w:spacing w:after="0"/>
              <w:rPr>
                <w:sz w:val="1"/>
                <w:szCs w:val="1"/>
                <w:color w:val="auto"/>
              </w:rPr>
            </w:pPr>
          </w:p>
        </w:tc>
      </w:tr>
      <w:tr>
        <w:trPr>
          <w:trHeight w:val="39"/>
        </w:trPr>
        <w:tc>
          <w:tcPr>
            <w:tcW w:w="62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Equity Tier 1 Capital to Risk Weighted Assets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14.89 %</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Tier 1 Capital to Risk Weighted Assets</w:t>
            </w:r>
          </w:p>
        </w:tc>
        <w:tc>
          <w:tcPr>
            <w:tcW w:w="1620" w:type="dxa"/>
            <w:vAlign w:val="bottom"/>
          </w:tcPr>
          <w:p>
            <w:pPr>
              <w:jc w:val="right"/>
              <w:spacing w:after="0"/>
              <w:rPr>
                <w:sz w:val="20"/>
                <w:szCs w:val="20"/>
                <w:color w:val="auto"/>
              </w:rPr>
            </w:pPr>
            <w:r>
              <w:rPr>
                <w:rFonts w:ascii="Arial" w:cs="Arial" w:eastAsia="Arial" w:hAnsi="Arial"/>
                <w:sz w:val="18"/>
                <w:szCs w:val="18"/>
                <w:color w:val="auto"/>
              </w:rPr>
              <w:t>8.50 %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14.89 %</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to Risk Weighted Assets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15.81 %</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Leverage Ratio of Tier 1 Capital to Average Assets</w:t>
            </w:r>
          </w:p>
        </w:tc>
        <w:tc>
          <w:tcPr>
            <w:tcW w:w="1620" w:type="dxa"/>
            <w:vAlign w:val="bottom"/>
          </w:tcPr>
          <w:p>
            <w:pPr>
              <w:jc w:val="right"/>
              <w:spacing w:after="0"/>
              <w:rPr>
                <w:sz w:val="20"/>
                <w:szCs w:val="20"/>
                <w:color w:val="auto"/>
              </w:rPr>
            </w:pPr>
            <w:r>
              <w:rPr>
                <w:rFonts w:ascii="Arial" w:cs="Arial" w:eastAsia="Arial" w:hAnsi="Arial"/>
                <w:sz w:val="18"/>
                <w:szCs w:val="18"/>
                <w:color w:val="auto"/>
              </w:rPr>
              <w:t>6.50 %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11.26 %</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discussion of capital resources and requirements, see </w:t>
      </w:r>
      <w:r>
        <w:rPr>
          <w:rFonts w:ascii="Arial" w:cs="Arial" w:eastAsia="Arial" w:hAnsi="Arial"/>
          <w:sz w:val="18"/>
          <w:szCs w:val="18"/>
          <w:i w:val="1"/>
          <w:iCs w:val="1"/>
          <w:color w:val="0000FF"/>
        </w:rPr>
        <w:t>“Note 7: Regulatory Capital.”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Quarterly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We believe the adjusted measures are useful for investors and management to understand the effects of certain non-core and non-recurring noninterest items and provide additional perspective on our performance over time.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 listing of Busey's non-GAAP financial measures and ratios are shown in the table below, together with the related GAAP financial measures.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ind w:left="1020"/>
              <w:spacing w:after="0"/>
              <w:rPr>
                <w:sz w:val="20"/>
                <w:szCs w:val="20"/>
                <w:color w:val="auto"/>
              </w:rPr>
            </w:pPr>
            <w:r>
              <w:rPr>
                <w:rFonts w:ascii="Arial" w:cs="Arial" w:eastAsia="Arial" w:hAnsi="Arial"/>
                <w:sz w:val="14"/>
                <w:szCs w:val="14"/>
                <w:b w:val="1"/>
                <w:bCs w:val="1"/>
                <w:color w:val="auto"/>
              </w:rPr>
              <w:t>GAAP Financial Measures</w:t>
            </w:r>
          </w:p>
        </w:tc>
        <w:tc>
          <w:tcPr>
            <w:tcW w:w="100" w:type="dxa"/>
            <w:vAlign w:val="bottom"/>
          </w:tcPr>
          <w:p>
            <w:pPr>
              <w:spacing w:after="0"/>
              <w:rPr>
                <w:sz w:val="16"/>
                <w:szCs w:val="16"/>
                <w:color w:val="auto"/>
              </w:rPr>
            </w:pPr>
          </w:p>
        </w:tc>
        <w:tc>
          <w:tcPr>
            <w:tcW w:w="3780" w:type="dxa"/>
            <w:vAlign w:val="bottom"/>
            <w:gridSpan w:val="2"/>
          </w:tcPr>
          <w:p>
            <w:pPr>
              <w:ind w:left="620"/>
              <w:spacing w:after="0"/>
              <w:rPr>
                <w:sz w:val="20"/>
                <w:szCs w:val="20"/>
                <w:color w:val="auto"/>
              </w:rPr>
            </w:pPr>
            <w:r>
              <w:rPr>
                <w:rFonts w:ascii="Arial" w:cs="Arial" w:eastAsia="Arial" w:hAnsi="Arial"/>
                <w:sz w:val="14"/>
                <w:szCs w:val="14"/>
                <w:b w:val="1"/>
                <w:bCs w:val="1"/>
                <w:color w:val="auto"/>
              </w:rPr>
              <w:t>Related Non-GAAP Financial Measures</w:t>
            </w:r>
          </w:p>
        </w:tc>
        <w:tc>
          <w:tcPr>
            <w:tcW w:w="3680" w:type="dxa"/>
            <w:vAlign w:val="bottom"/>
          </w:tcPr>
          <w:p>
            <w:pPr>
              <w:ind w:left="1020"/>
              <w:spacing w:after="0"/>
              <w:rPr>
                <w:sz w:val="20"/>
                <w:szCs w:val="20"/>
                <w:color w:val="auto"/>
              </w:rPr>
            </w:pPr>
            <w:r>
              <w:rPr>
                <w:rFonts w:ascii="Arial" w:cs="Arial" w:eastAsia="Arial" w:hAnsi="Arial"/>
                <w:sz w:val="14"/>
                <w:szCs w:val="14"/>
                <w:b w:val="1"/>
                <w:bCs w:val="1"/>
                <w:color w:val="auto"/>
              </w:rPr>
              <w:t>Related Non-GAAP Ratios</w:t>
            </w:r>
          </w:p>
        </w:tc>
        <w:tc>
          <w:tcPr>
            <w:tcW w:w="0" w:type="dxa"/>
            <w:vAlign w:val="bottom"/>
          </w:tcPr>
          <w:p>
            <w:pPr>
              <w:spacing w:after="0"/>
              <w:rPr>
                <w:sz w:val="1"/>
                <w:szCs w:val="1"/>
                <w:color w:val="auto"/>
              </w:rPr>
            </w:pPr>
          </w:p>
        </w:tc>
      </w:tr>
      <w:tr>
        <w:trPr>
          <w:trHeight w:val="39"/>
        </w:trPr>
        <w:tc>
          <w:tcPr>
            <w:tcW w:w="3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EEFF"/>
          </w:tcPr>
          <w:p>
            <w:pPr>
              <w:spacing w:after="0"/>
              <w:rPr>
                <w:sz w:val="23"/>
                <w:szCs w:val="23"/>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Pre-provision net revenue</w:t>
            </w: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Pre-provision net revenue to average assets</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noninterest income</w:t>
            </w:r>
          </w:p>
        </w:tc>
        <w:tc>
          <w:tcPr>
            <w:tcW w:w="100" w:type="dxa"/>
            <w:vAlign w:val="bottom"/>
            <w:tcBorders>
              <w:bottom w:val="single" w:sz="8" w:color="CCEEFF"/>
            </w:tcBorders>
            <w:shd w:val="clear" w:color="auto" w:fill="CCEEFF"/>
          </w:tcPr>
          <w:p>
            <w:pPr>
              <w:spacing w:after="0"/>
              <w:rPr>
                <w:sz w:val="16"/>
                <w:szCs w:val="16"/>
                <w:color w:val="auto"/>
              </w:rPr>
            </w:pPr>
          </w:p>
        </w:tc>
        <w:tc>
          <w:tcPr>
            <w:tcW w:w="3680" w:type="dxa"/>
            <w:vAlign w:val="bottom"/>
            <w:tcBorders>
              <w:bottom w:val="single" w:sz="8" w:color="6D6D6D"/>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80" w:type="dxa"/>
            <w:vAlign w:val="bottom"/>
            <w:tcBorders>
              <w:bottom w:val="single" w:sz="8" w:color="6D6D6D"/>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security gains and losses</w:t>
            </w:r>
          </w:p>
        </w:tc>
        <w:tc>
          <w:tcPr>
            <w:tcW w:w="100" w:type="dxa"/>
            <w:vAlign w:val="bottom"/>
            <w:shd w:val="clear" w:color="auto" w:fill="CCEEFF"/>
          </w:tcPr>
          <w:p>
            <w:pPr>
              <w:spacing w:after="0"/>
              <w:rPr>
                <w:sz w:val="12"/>
                <w:szCs w:val="12"/>
                <w:color w:val="auto"/>
              </w:rPr>
            </w:pP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Adjusted pre-provision net revenue</w:t>
            </w: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Adjusted pre-provision net revenue to average assets</w:t>
            </w:r>
          </w:p>
        </w:tc>
        <w:tc>
          <w:tcPr>
            <w:tcW w:w="0" w:type="dxa"/>
            <w:vAlign w:val="bottom"/>
          </w:tcPr>
          <w:p>
            <w:pPr>
              <w:spacing w:after="0"/>
              <w:rPr>
                <w:sz w:val="1"/>
                <w:szCs w:val="1"/>
                <w:color w:val="auto"/>
              </w:rPr>
            </w:pPr>
          </w:p>
        </w:tc>
      </w:tr>
      <w:tr>
        <w:trPr>
          <w:trHeight w:val="18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noninterest expense</w:t>
            </w:r>
          </w:p>
        </w:tc>
        <w:tc>
          <w:tcPr>
            <w:tcW w:w="100" w:type="dxa"/>
            <w:vAlign w:val="bottom"/>
            <w:shd w:val="clear" w:color="auto" w:fill="CCEEFF"/>
          </w:tcPr>
          <w:p>
            <w:pPr>
              <w:spacing w:after="0"/>
              <w:rPr>
                <w:sz w:val="15"/>
                <w:szCs w:val="15"/>
                <w:color w:val="auto"/>
              </w:rPr>
            </w:pPr>
          </w:p>
        </w:tc>
        <w:tc>
          <w:tcPr>
            <w:tcW w:w="3780" w:type="dxa"/>
            <w:vAlign w:val="bottom"/>
            <w:gridSpan w:val="2"/>
            <w:vMerge w:val="continue"/>
            <w:shd w:val="clear" w:color="auto" w:fill="CCEEFF"/>
          </w:tcPr>
          <w:p>
            <w:pPr>
              <w:spacing w:after="0"/>
              <w:rPr>
                <w:sz w:val="15"/>
                <w:szCs w:val="15"/>
                <w:color w:val="auto"/>
              </w:rPr>
            </w:pPr>
          </w:p>
        </w:tc>
        <w:tc>
          <w:tcPr>
            <w:tcW w:w="3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651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15175" cy="651510"/>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4"/>
          <w:szCs w:val="14"/>
          <w:color w:val="auto"/>
        </w:rPr>
        <w:t>Net income</w:t>
      </w:r>
      <w:r>
        <w:rPr>
          <w:sz w:val="20"/>
          <w:szCs w:val="20"/>
          <w:color w:val="auto"/>
        </w:rPr>
        <w:tab/>
      </w:r>
      <w:r>
        <w:rPr>
          <w:rFonts w:ascii="Arial" w:cs="Arial" w:eastAsia="Arial" w:hAnsi="Arial"/>
          <w:sz w:val="13"/>
          <w:szCs w:val="13"/>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15175" cy="6172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151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3760" w:val="left"/>
        </w:tabs>
        <w:rPr>
          <w:sz w:val="20"/>
          <w:szCs w:val="20"/>
          <w:color w:val="auto"/>
        </w:rPr>
      </w:pPr>
      <w:r>
        <w:rPr>
          <w:rFonts w:ascii="Arial" w:cs="Arial" w:eastAsia="Arial" w:hAnsi="Arial"/>
          <w:sz w:val="14"/>
          <w:szCs w:val="14"/>
          <w:color w:val="auto"/>
        </w:rPr>
        <w:t>Average common equity</w:t>
      </w:r>
      <w:r>
        <w:rPr>
          <w:sz w:val="20"/>
          <w:szCs w:val="20"/>
          <w:color w:val="auto"/>
        </w:rPr>
        <w:tab/>
      </w:r>
      <w:r>
        <w:rPr>
          <w:rFonts w:ascii="Arial" w:cs="Arial" w:eastAsia="Arial" w:hAnsi="Arial"/>
          <w:sz w:val="13"/>
          <w:szCs w:val="13"/>
          <w:color w:val="auto"/>
        </w:rPr>
        <w:t>Average tangible common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15175" cy="342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15175" cy="34290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right"/>
        <w:ind w:right="1060"/>
        <w:spacing w:after="0"/>
        <w:rPr>
          <w:sz w:val="20"/>
          <w:szCs w:val="20"/>
          <w:color w:val="auto"/>
        </w:rPr>
      </w:pPr>
      <w:r>
        <w:rPr>
          <w:rFonts w:ascii="Arial" w:cs="Arial" w:eastAsia="Arial" w:hAnsi="Arial"/>
          <w:sz w:val="13"/>
          <w:szCs w:val="13"/>
          <w:color w:val="auto"/>
        </w:rPr>
        <w:t>Tax-equivalent net interest income</w:t>
      </w:r>
    </w:p>
    <w:p>
      <w:pPr>
        <w:ind w:left="20"/>
        <w:spacing w:after="0" w:line="221" w:lineRule="auto"/>
        <w:rPr>
          <w:sz w:val="20"/>
          <w:szCs w:val="20"/>
          <w:color w:val="auto"/>
        </w:rPr>
      </w:pPr>
      <w:r>
        <w:rPr>
          <w:rFonts w:ascii="Arial" w:cs="Arial" w:eastAsia="Arial" w:hAnsi="Arial"/>
          <w:sz w:val="14"/>
          <w:szCs w:val="14"/>
          <w:color w:val="auto"/>
        </w:rPr>
        <w:t>Net interest income</w:t>
      </w:r>
    </w:p>
    <w:p>
      <w:pPr>
        <w:ind w:left="3780"/>
        <w:spacing w:after="0"/>
        <w:rPr>
          <w:sz w:val="20"/>
          <w:szCs w:val="20"/>
          <w:color w:val="auto"/>
        </w:rPr>
      </w:pPr>
      <w:r>
        <w:rPr>
          <w:rFonts w:ascii="Arial" w:cs="Arial" w:eastAsia="Arial" w:hAnsi="Arial"/>
          <w:sz w:val="14"/>
          <w:szCs w:val="14"/>
          <w:color w:val="auto"/>
        </w:rPr>
        <w:t>Adjusted net interest income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Adjusted diluted earnings per share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Adjusted return on average assets</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Adjusted return on average tangible common equity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Return on average tangible common equity</w:t>
      </w:r>
    </w:p>
    <w:p>
      <w:pPr>
        <w:spacing w:after="0" w:line="339" w:lineRule="exact"/>
        <w:rPr>
          <w:sz w:val="20"/>
          <w:szCs w:val="20"/>
          <w:color w:val="auto"/>
        </w:rPr>
      </w:pPr>
    </w:p>
    <w:p>
      <w:pPr>
        <w:spacing w:after="0"/>
        <w:rPr>
          <w:sz w:val="20"/>
          <w:szCs w:val="20"/>
          <w:color w:val="auto"/>
        </w:rPr>
      </w:pPr>
      <w:r>
        <w:rPr>
          <w:rFonts w:ascii="Arial" w:cs="Arial" w:eastAsia="Arial" w:hAnsi="Arial"/>
          <w:sz w:val="13"/>
          <w:szCs w:val="13"/>
          <w:color w:val="auto"/>
        </w:rPr>
        <w:t>Adjusted return on average tangible common equity</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Net interest margin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Adjusted net interest margin</w:t>
      </w:r>
    </w:p>
    <w:p>
      <w:pPr>
        <w:spacing w:after="0" w:line="211" w:lineRule="exact"/>
        <w:rPr>
          <w:sz w:val="20"/>
          <w:szCs w:val="20"/>
          <w:color w:val="auto"/>
        </w:rPr>
      </w:pPr>
    </w:p>
    <w:p>
      <w:pPr>
        <w:sectPr>
          <w:pgSz w:w="11900" w:h="16838" w:orient="portrait"/>
          <w:cols w:equalWidth="0" w:num="2">
            <w:col w:w="6840" w:space="720"/>
            <w:col w:w="3680"/>
          </w:cols>
          <w:pgMar w:left="320" w:top="301" w:right="339" w:bottom="1440" w:gutter="0" w:footer="0" w:header="0"/>
          <w:type w:val="continuous"/>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Efficiency ratio</w:t>
            </w:r>
          </w:p>
        </w:tc>
        <w:tc>
          <w:tcPr>
            <w:tcW w:w="0" w:type="dxa"/>
            <w:vAlign w:val="bottom"/>
          </w:tcPr>
          <w:p>
            <w:pPr>
              <w:spacing w:after="0"/>
              <w:rPr>
                <w:sz w:val="1"/>
                <w:szCs w:val="1"/>
                <w:color w:val="auto"/>
              </w:rPr>
            </w:pPr>
          </w:p>
        </w:tc>
      </w:tr>
      <w:tr>
        <w:trPr>
          <w:trHeight w:val="66"/>
        </w:trPr>
        <w:tc>
          <w:tcPr>
            <w:tcW w:w="36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80" w:type="dxa"/>
            <w:vAlign w:val="bottom"/>
            <w:tcBorders>
              <w:bottom w:val="single" w:sz="8" w:color="6D6D6D"/>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noninterest income</w:t>
            </w:r>
          </w:p>
        </w:tc>
        <w:tc>
          <w:tcPr>
            <w:tcW w:w="10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Tax-equivalent revenue</w:t>
            </w:r>
          </w:p>
        </w:tc>
        <w:tc>
          <w:tcPr>
            <w:tcW w:w="100" w:type="dxa"/>
            <w:vAlign w:val="bottom"/>
            <w:shd w:val="clear" w:color="auto" w:fill="CCEEFF"/>
          </w:tcPr>
          <w:p>
            <w:pPr>
              <w:spacing w:after="0"/>
              <w:rPr>
                <w:sz w:val="15"/>
                <w:szCs w:val="15"/>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efficiency ratio</w:t>
            </w:r>
          </w:p>
        </w:tc>
        <w:tc>
          <w:tcPr>
            <w:tcW w:w="0" w:type="dxa"/>
            <w:vAlign w:val="bottom"/>
          </w:tcPr>
          <w:p>
            <w:pPr>
              <w:spacing w:after="0"/>
              <w:rPr>
                <w:sz w:val="1"/>
                <w:szCs w:val="1"/>
                <w:color w:val="auto"/>
              </w:rPr>
            </w:pPr>
          </w:p>
        </w:tc>
      </w:tr>
      <w:tr>
        <w:trPr>
          <w:trHeight w:val="73"/>
        </w:trPr>
        <w:tc>
          <w:tcPr>
            <w:tcW w:w="366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Net security gains and losses</w:t>
            </w:r>
          </w:p>
        </w:tc>
        <w:tc>
          <w:tcPr>
            <w:tcW w:w="100" w:type="dxa"/>
            <w:vAlign w:val="bottom"/>
            <w:tcBorders>
              <w:bottom w:val="single" w:sz="8" w:color="CCEEFF"/>
            </w:tcBorders>
            <w:shd w:val="clear" w:color="auto" w:fill="CCEEFF"/>
          </w:tcPr>
          <w:p>
            <w:pPr>
              <w:spacing w:after="0"/>
              <w:rPr>
                <w:sz w:val="6"/>
                <w:szCs w:val="6"/>
                <w:color w:val="auto"/>
              </w:rPr>
            </w:pPr>
          </w:p>
        </w:tc>
        <w:tc>
          <w:tcPr>
            <w:tcW w:w="36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680" w:type="dxa"/>
            <w:vAlign w:val="bottom"/>
            <w:tcBorders>
              <w:bottom w:val="single" w:sz="8" w:color="6D6D6D"/>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Adjusted core efficiency ratio</w:t>
            </w:r>
          </w:p>
        </w:tc>
        <w:tc>
          <w:tcPr>
            <w:tcW w:w="0" w:type="dxa"/>
            <w:vAlign w:val="bottom"/>
          </w:tcPr>
          <w:p>
            <w:pPr>
              <w:spacing w:after="0"/>
              <w:rPr>
                <w:sz w:val="1"/>
                <w:szCs w:val="1"/>
                <w:color w:val="auto"/>
              </w:rPr>
            </w:pPr>
          </w:p>
        </w:tc>
      </w:tr>
      <w:tr>
        <w:trPr>
          <w:trHeight w:val="141"/>
        </w:trPr>
        <w:tc>
          <w:tcPr>
            <w:tcW w:w="3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6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expense excluding amortization of intangible</w:t>
            </w:r>
          </w:p>
        </w:tc>
        <w:tc>
          <w:tcPr>
            <w:tcW w:w="100" w:type="dxa"/>
            <w:vAlign w:val="bottom"/>
            <w:shd w:val="clear" w:color="auto" w:fill="CCEEFF"/>
          </w:tcPr>
          <w:p>
            <w:pPr>
              <w:spacing w:after="0"/>
              <w:rPr>
                <w:sz w:val="18"/>
                <w:szCs w:val="18"/>
                <w:color w:val="auto"/>
              </w:rPr>
            </w:pP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Efficiency ratio</w:t>
            </w:r>
          </w:p>
        </w:tc>
        <w:tc>
          <w:tcPr>
            <w:tcW w:w="0" w:type="dxa"/>
            <w:vAlign w:val="bottom"/>
          </w:tcPr>
          <w:p>
            <w:pPr>
              <w:spacing w:after="0"/>
              <w:rPr>
                <w:sz w:val="1"/>
                <w:szCs w:val="1"/>
                <w:color w:val="auto"/>
              </w:rPr>
            </w:pPr>
          </w:p>
        </w:tc>
      </w:tr>
      <w:tr>
        <w:trPr>
          <w:trHeight w:val="101"/>
        </w:trPr>
        <w:tc>
          <w:tcPr>
            <w:tcW w:w="3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8"/>
                <w:szCs w:val="8"/>
                <w:color w:val="auto"/>
              </w:rPr>
            </w:pPr>
          </w:p>
        </w:tc>
        <w:tc>
          <w:tcPr>
            <w:tcW w:w="3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noninterest expense</w:t>
            </w:r>
          </w:p>
        </w:tc>
        <w:tc>
          <w:tcPr>
            <w:tcW w:w="100" w:type="dxa"/>
            <w:vAlign w:val="bottom"/>
            <w:shd w:val="clear" w:color="auto" w:fill="CCEEFF"/>
          </w:tcPr>
          <w:p>
            <w:pPr>
              <w:spacing w:after="0"/>
              <w:rPr>
                <w:sz w:val="7"/>
                <w:szCs w:val="7"/>
                <w:color w:val="auto"/>
              </w:rPr>
            </w:pPr>
          </w:p>
        </w:tc>
        <w:tc>
          <w:tcPr>
            <w:tcW w:w="36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80" w:type="dxa"/>
            <w:vAlign w:val="bottom"/>
            <w:tcBorders>
              <w:bottom w:val="single" w:sz="8" w:color="6D6D6D"/>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80" w:type="dxa"/>
            <w:vAlign w:val="bottom"/>
            <w:tcBorders>
              <w:bottom w:val="single" w:sz="8" w:color="6D6D6D"/>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noninterest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efficiency ratio</w:t>
            </w:r>
          </w:p>
        </w:tc>
        <w:tc>
          <w:tcPr>
            <w:tcW w:w="0" w:type="dxa"/>
            <w:vAlign w:val="bottom"/>
          </w:tcPr>
          <w:p>
            <w:pPr>
              <w:spacing w:after="0"/>
              <w:rPr>
                <w:sz w:val="1"/>
                <w:szCs w:val="1"/>
                <w:color w:val="auto"/>
              </w:rPr>
            </w:pPr>
          </w:p>
        </w:tc>
      </w:tr>
      <w:tr>
        <w:trPr>
          <w:trHeight w:val="230"/>
        </w:trPr>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80" w:type="dxa"/>
            <w:vAlign w:val="bottom"/>
            <w:tcBorders>
              <w:top w:val="single" w:sz="8" w:color="6D6D6D"/>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core expense</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80" w:type="dxa"/>
            <w:vAlign w:val="bottom"/>
            <w:tcBorders>
              <w:top w:val="single" w:sz="8" w:color="6D6D6D"/>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core efficiency ratio</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noninterest expense</w:t>
            </w:r>
          </w:p>
        </w:tc>
        <w:tc>
          <w:tcPr>
            <w:tcW w:w="10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Noninterest expense, excluding non-operating adjustments</w:t>
            </w:r>
          </w:p>
        </w:tc>
        <w:tc>
          <w:tcPr>
            <w:tcW w:w="10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4"/>
                <w:szCs w:val="14"/>
                <w:color w:val="auto"/>
              </w:rPr>
            </w:pP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Tangible assets</w:t>
            </w:r>
          </w:p>
        </w:tc>
        <w:tc>
          <w:tcPr>
            <w:tcW w:w="100" w:type="dxa"/>
            <w:vAlign w:val="bottom"/>
            <w:shd w:val="clear" w:color="auto" w:fill="CCEEFF"/>
          </w:tcPr>
          <w:p>
            <w:pPr>
              <w:spacing w:after="0"/>
              <w:rPr>
                <w:sz w:val="14"/>
                <w:szCs w:val="14"/>
                <w:color w:val="auto"/>
              </w:rPr>
            </w:pP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Tangible common equity to tangible assets</w:t>
            </w:r>
          </w:p>
        </w:tc>
        <w:tc>
          <w:tcPr>
            <w:tcW w:w="0" w:type="dxa"/>
            <w:vAlign w:val="bottom"/>
          </w:tcPr>
          <w:p>
            <w:pPr>
              <w:spacing w:after="0"/>
              <w:rPr>
                <w:sz w:val="1"/>
                <w:szCs w:val="1"/>
                <w:color w:val="auto"/>
              </w:rPr>
            </w:pPr>
          </w:p>
        </w:tc>
      </w:tr>
      <w:tr>
        <w:trPr>
          <w:trHeight w:val="101"/>
        </w:trPr>
        <w:tc>
          <w:tcPr>
            <w:tcW w:w="3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Goodwill and other intangible assets, net</w:t>
            </w:r>
          </w:p>
        </w:tc>
        <w:tc>
          <w:tcPr>
            <w:tcW w:w="100" w:type="dxa"/>
            <w:vAlign w:val="bottom"/>
            <w:shd w:val="clear" w:color="auto" w:fill="CCEEFF"/>
          </w:tcPr>
          <w:p>
            <w:pPr>
              <w:spacing w:after="0"/>
              <w:rPr>
                <w:sz w:val="8"/>
                <w:szCs w:val="8"/>
                <w:color w:val="auto"/>
              </w:rPr>
            </w:pPr>
          </w:p>
        </w:tc>
        <w:tc>
          <w:tcPr>
            <w:tcW w:w="3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6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6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6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3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spacing w:after="0"/>
              <w:rPr>
                <w:sz w:val="24"/>
                <w:szCs w:val="24"/>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Tangible common equity</w:t>
            </w:r>
          </w:p>
        </w:tc>
        <w:tc>
          <w:tcPr>
            <w:tcW w:w="100" w:type="dxa"/>
            <w:vAlign w:val="bottom"/>
            <w:shd w:val="clear" w:color="auto" w:fill="CCEEFF"/>
          </w:tcPr>
          <w:p>
            <w:pPr>
              <w:spacing w:after="0"/>
              <w:rPr>
                <w:sz w:val="24"/>
                <w:szCs w:val="24"/>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Tangible common equity to tangible assets</w:t>
            </w:r>
          </w:p>
        </w:tc>
        <w:tc>
          <w:tcPr>
            <w:tcW w:w="0" w:type="dxa"/>
            <w:vAlign w:val="bottom"/>
          </w:tcPr>
          <w:p>
            <w:pPr>
              <w:spacing w:after="0"/>
              <w:rPr>
                <w:sz w:val="1"/>
                <w:szCs w:val="1"/>
                <w:color w:val="auto"/>
              </w:rPr>
            </w:pPr>
          </w:p>
        </w:tc>
      </w:tr>
      <w:tr>
        <w:trPr>
          <w:trHeight w:val="174"/>
        </w:trPr>
        <w:tc>
          <w:tcPr>
            <w:tcW w:w="36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6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Goodwill and other intangible assets, net</w:t>
            </w:r>
          </w:p>
        </w:tc>
        <w:tc>
          <w:tcPr>
            <w:tcW w:w="100" w:type="dxa"/>
            <w:vAlign w:val="bottom"/>
            <w:tcBorders>
              <w:top w:val="single" w:sz="8" w:color="CCEEFF"/>
            </w:tcBorders>
            <w:shd w:val="clear" w:color="auto" w:fill="CCEEFF"/>
          </w:tcPr>
          <w:p>
            <w:pPr>
              <w:spacing w:after="0"/>
              <w:rPr>
                <w:sz w:val="11"/>
                <w:szCs w:val="11"/>
                <w:color w:val="auto"/>
              </w:rPr>
            </w:pPr>
          </w:p>
        </w:tc>
        <w:tc>
          <w:tcPr>
            <w:tcW w:w="3680" w:type="dxa"/>
            <w:vAlign w:val="bottom"/>
            <w:tcBorders>
              <w:top w:val="single" w:sz="8" w:color="6D6D6D"/>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Tangible book value</w:t>
            </w:r>
          </w:p>
        </w:tc>
        <w:tc>
          <w:tcPr>
            <w:tcW w:w="100" w:type="dxa"/>
            <w:vAlign w:val="bottom"/>
            <w:tcBorders>
              <w:top w:val="single" w:sz="8" w:color="CCEEFF"/>
            </w:tcBorders>
            <w:shd w:val="clear" w:color="auto" w:fill="CCEEFF"/>
          </w:tcPr>
          <w:p>
            <w:pPr>
              <w:spacing w:after="0"/>
              <w:rPr>
                <w:sz w:val="11"/>
                <w:szCs w:val="11"/>
                <w:color w:val="auto"/>
              </w:rPr>
            </w:pPr>
          </w:p>
        </w:tc>
        <w:tc>
          <w:tcPr>
            <w:tcW w:w="3680" w:type="dxa"/>
            <w:vAlign w:val="bottom"/>
            <w:tcBorders>
              <w:top w:val="single" w:sz="8" w:color="6D6D6D"/>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Tangible book value per common share</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Portfolio loans</w:t>
            </w:r>
          </w:p>
        </w:tc>
        <w:tc>
          <w:tcPr>
            <w:tcW w:w="100" w:type="dxa"/>
            <w:vAlign w:val="bottom"/>
            <w:shd w:val="clear" w:color="auto" w:fill="CCEEFF"/>
          </w:tcPr>
          <w:p>
            <w:pPr>
              <w:spacing w:after="0"/>
              <w:rPr>
                <w:sz w:val="17"/>
                <w:szCs w:val="17"/>
                <w:color w:val="auto"/>
              </w:rPr>
            </w:pP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Core loans</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Core loans to portfolio loans</w:t>
            </w:r>
          </w:p>
        </w:tc>
        <w:tc>
          <w:tcPr>
            <w:tcW w:w="0" w:type="dxa"/>
            <w:vAlign w:val="bottom"/>
          </w:tcPr>
          <w:p>
            <w:pPr>
              <w:spacing w:after="0"/>
              <w:rPr>
                <w:sz w:val="1"/>
                <w:szCs w:val="1"/>
                <w:color w:val="auto"/>
              </w:rPr>
            </w:pPr>
          </w:p>
        </w:tc>
      </w:tr>
      <w:tr>
        <w:trPr>
          <w:trHeight w:val="66"/>
        </w:trPr>
        <w:tc>
          <w:tcPr>
            <w:tcW w:w="36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80" w:type="dxa"/>
            <w:vAlign w:val="bottom"/>
            <w:tcBorders>
              <w:bottom w:val="single" w:sz="8" w:color="6D6D6D"/>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36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Core loans to core deposits</w:t>
            </w:r>
          </w:p>
        </w:tc>
        <w:tc>
          <w:tcPr>
            <w:tcW w:w="0" w:type="dxa"/>
            <w:vAlign w:val="bottom"/>
          </w:tcPr>
          <w:p>
            <w:pPr>
              <w:spacing w:after="0"/>
              <w:rPr>
                <w:sz w:val="1"/>
                <w:szCs w:val="1"/>
                <w:color w:val="auto"/>
              </w:rPr>
            </w:pPr>
          </w:p>
        </w:tc>
      </w:tr>
      <w:tr>
        <w:trPr>
          <w:trHeight w:val="181"/>
        </w:trPr>
        <w:tc>
          <w:tcPr>
            <w:tcW w:w="3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deposits</w:t>
            </w:r>
          </w:p>
        </w:tc>
        <w:tc>
          <w:tcPr>
            <w:tcW w:w="100" w:type="dxa"/>
            <w:vAlign w:val="bottom"/>
            <w:shd w:val="clear" w:color="auto" w:fill="CCEEFF"/>
          </w:tcPr>
          <w:p>
            <w:pPr>
              <w:spacing w:after="0"/>
              <w:rPr>
                <w:sz w:val="17"/>
                <w:szCs w:val="17"/>
                <w:color w:val="auto"/>
              </w:rPr>
            </w:pP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Core deposits</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Core deposits to total deposits</w:t>
            </w:r>
          </w:p>
        </w:tc>
        <w:tc>
          <w:tcPr>
            <w:tcW w:w="0" w:type="dxa"/>
            <w:vAlign w:val="bottom"/>
          </w:tcPr>
          <w:p>
            <w:pPr>
              <w:spacing w:after="0"/>
              <w:rPr>
                <w:sz w:val="1"/>
                <w:szCs w:val="1"/>
                <w:color w:val="auto"/>
              </w:rPr>
            </w:pPr>
          </w:p>
        </w:tc>
      </w:tr>
      <w:tr>
        <w:trPr>
          <w:trHeight w:val="66"/>
        </w:trPr>
        <w:tc>
          <w:tcPr>
            <w:tcW w:w="36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80" w:type="dxa"/>
            <w:vAlign w:val="bottom"/>
            <w:tcBorders>
              <w:bottom w:val="single" w:sz="8" w:color="6D6D6D"/>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36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Core loans to core deposits</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non-GAAP financial measures to what management believes to be the most directly comparable GAAP financial measures appears below.</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Pre-Provision Net Revenue, Adjusted Pre-Provision Net Revenue,</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Pre-Provision Net Revenue to Average Assets, and</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Adjusted Pre-Provision Net Revenue to Average Assets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39"/>
        </w:trPr>
        <w:tc>
          <w:tcPr>
            <w:tcW w:w="374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PRE-PROVISION NET REVENUE</w:t>
            </w:r>
          </w:p>
        </w:tc>
        <w:tc>
          <w:tcPr>
            <w:tcW w:w="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260"/>
              <w:spacing w:after="0"/>
              <w:rPr>
                <w:sz w:val="20"/>
                <w:szCs w:val="20"/>
                <w:color w:val="auto"/>
              </w:rPr>
            </w:pPr>
            <w:r>
              <w:rPr>
                <w:rFonts w:ascii="Arial" w:cs="Arial" w:eastAsia="Arial" w:hAnsi="Arial"/>
                <w:sz w:val="18"/>
                <w:szCs w:val="18"/>
                <w:b w:val="1"/>
                <w:bCs w:val="1"/>
                <w:color w:val="auto"/>
              </w:rPr>
              <w:t>Net interest income</w:t>
            </w:r>
          </w:p>
        </w:tc>
        <w:tc>
          <w:tcPr>
            <w:tcW w:w="9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77,791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86,305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242,318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232,289</w:t>
            </w:r>
          </w:p>
        </w:tc>
      </w:tr>
      <w:tr>
        <w:trPr>
          <w:trHeight w:val="27"/>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noninterest income</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30,933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90,868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97,724</w:t>
            </w:r>
          </w:p>
        </w:tc>
      </w:tr>
      <w:tr>
        <w:trPr>
          <w:trHeight w:val="243"/>
        </w:trPr>
        <w:tc>
          <w:tcPr>
            <w:tcW w:w="3740" w:type="dxa"/>
            <w:vAlign w:val="bottom"/>
          </w:tcPr>
          <w:p>
            <w:pPr>
              <w:ind w:left="260"/>
              <w:spacing w:after="0"/>
              <w:rPr>
                <w:sz w:val="20"/>
                <w:szCs w:val="20"/>
                <w:color w:val="auto"/>
              </w:rPr>
            </w:pPr>
            <w:r>
              <w:rPr>
                <w:rFonts w:ascii="Arial" w:cs="Arial" w:eastAsia="Arial" w:hAnsi="Arial"/>
                <w:sz w:val="18"/>
                <w:szCs w:val="18"/>
                <w:b w:val="1"/>
                <w:bCs w:val="1"/>
                <w:color w:val="auto"/>
              </w:rPr>
              <w:t>Net security (gains) losses</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2,324</w:t>
            </w:r>
          </w:p>
        </w:tc>
      </w:tr>
      <w:tr>
        <w:trPr>
          <w:trHeight w:val="27"/>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noninterest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(70,945)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(70,736)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(210,553)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(210,204)</w:t>
            </w: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Pre-provision net revenue</w:t>
            </w:r>
          </w:p>
        </w:tc>
        <w:tc>
          <w:tcPr>
            <w:tcW w:w="9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38,139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46,498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125,593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122,133</w:t>
            </w:r>
          </w:p>
        </w:tc>
      </w:tr>
      <w:tr>
        <w:trPr>
          <w:trHeight w:val="27"/>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260"/>
              <w:spacing w:after="0"/>
              <w:rPr>
                <w:sz w:val="20"/>
                <w:szCs w:val="20"/>
                <w:color w:val="auto"/>
              </w:rPr>
            </w:pPr>
            <w:r>
              <w:rPr>
                <w:rFonts w:ascii="Arial" w:cs="Arial" w:eastAsia="Arial" w:hAnsi="Arial"/>
                <w:sz w:val="18"/>
                <w:szCs w:val="18"/>
                <w:color w:val="auto"/>
                <w:w w:val="97"/>
              </w:rPr>
              <w:t>Acquisition and other restructuring expenses</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2,095</w:t>
            </w:r>
          </w:p>
        </w:tc>
      </w:tr>
      <w:tr>
        <w:trPr>
          <w:trHeight w:val="27"/>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 for unfunded commitments</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525</w:t>
            </w:r>
          </w:p>
        </w:tc>
      </w:tr>
      <w:tr>
        <w:trPr>
          <w:trHeight w:val="243"/>
        </w:trPr>
        <w:tc>
          <w:tcPr>
            <w:tcW w:w="3740" w:type="dxa"/>
            <w:vAlign w:val="bottom"/>
          </w:tcPr>
          <w:p>
            <w:pPr>
              <w:ind w:left="260"/>
              <w:spacing w:after="0"/>
              <w:rPr>
                <w:sz w:val="20"/>
                <w:szCs w:val="20"/>
                <w:color w:val="auto"/>
              </w:rPr>
            </w:pPr>
            <w:r>
              <w:rPr>
                <w:rFonts w:ascii="Arial" w:cs="Arial" w:eastAsia="Arial" w:hAnsi="Arial"/>
                <w:sz w:val="18"/>
                <w:szCs w:val="18"/>
                <w:color w:val="auto"/>
              </w:rPr>
              <w:t>Amortization of New Markets Tax Credits</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4,668</w:t>
            </w:r>
          </w:p>
        </w:tc>
      </w:tr>
      <w:tr>
        <w:trPr>
          <w:trHeight w:val="27"/>
        </w:trPr>
        <w:tc>
          <w:tcPr>
            <w:tcW w:w="37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pre-provision net revenue</w:t>
            </w:r>
          </w:p>
        </w:tc>
        <w:tc>
          <w:tcPr>
            <w:tcW w:w="9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40,491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48,800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132,067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129,421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Pre-provision net revenue, annualized</w:t>
            </w:r>
          </w:p>
        </w:tc>
        <w:tc>
          <w:tcPr>
            <w:tcW w:w="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151,312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184,476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167,917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163,291</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w w:val="98"/>
              </w:rPr>
              <w:t>Adjusted pre-provision net revenue, annualized</w:t>
            </w:r>
          </w:p>
        </w:tc>
        <w:tc>
          <w:tcPr>
            <w:tcW w:w="920" w:type="dxa"/>
            <w:vAlign w:val="bottom"/>
          </w:tcPr>
          <w:p>
            <w:pPr>
              <w:ind w:left="260"/>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160,644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193,609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176,573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173,035</w:t>
            </w:r>
          </w:p>
        </w:tc>
      </w:tr>
      <w:tr>
        <w:trPr>
          <w:trHeight w:val="27"/>
        </w:trPr>
        <w:tc>
          <w:tcPr>
            <w:tcW w:w="3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total assets</w:t>
            </w:r>
          </w:p>
        </w:tc>
        <w:tc>
          <w:tcPr>
            <w:tcW w:w="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12,202,783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12,531,856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12,225,232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12,547,816</w:t>
            </w:r>
          </w:p>
        </w:tc>
      </w:tr>
      <w:tr>
        <w:trPr>
          <w:trHeight w:val="270"/>
        </w:trPr>
        <w:tc>
          <w:tcPr>
            <w:tcW w:w="3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 xml:space="preserve">Reported: </w:t>
            </w:r>
            <w:r>
              <w:rPr>
                <w:rFonts w:ascii="Arial" w:cs="Arial" w:eastAsia="Arial" w:hAnsi="Arial"/>
                <w:sz w:val="18"/>
                <w:szCs w:val="18"/>
                <w:color w:val="auto"/>
                <w:w w:val="95"/>
              </w:rPr>
              <w:t>Pre-provision net revenue to average</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3"/>
        </w:trPr>
        <w:tc>
          <w:tcPr>
            <w:tcW w:w="374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assets</w:t>
            </w:r>
            <w:r>
              <w:rPr>
                <w:rFonts w:ascii="Arial" w:cs="Arial" w:eastAsia="Arial" w:hAnsi="Arial"/>
                <w:sz w:val="23"/>
                <w:szCs w:val="23"/>
                <w:color w:val="auto"/>
                <w:vertAlign w:val="superscript"/>
              </w:rPr>
              <w:t>1</w:t>
            </w:r>
          </w:p>
        </w:tc>
        <w:tc>
          <w:tcPr>
            <w:tcW w:w="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w w:val="96"/>
              </w:rPr>
              <w:t xml:space="preserve">Adjusted: </w:t>
            </w:r>
            <w:r>
              <w:rPr>
                <w:rFonts w:ascii="Arial" w:cs="Arial" w:eastAsia="Arial" w:hAnsi="Arial"/>
                <w:sz w:val="18"/>
                <w:szCs w:val="18"/>
                <w:color w:val="auto"/>
                <w:w w:val="96"/>
              </w:rPr>
              <w:t>Pre-provision net revenue to average</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04"/>
        </w:trPr>
        <w:tc>
          <w:tcPr>
            <w:tcW w:w="3740" w:type="dxa"/>
            <w:vAlign w:val="bottom"/>
          </w:tcPr>
          <w:p>
            <w:pPr>
              <w:ind w:left="20"/>
              <w:spacing w:after="0"/>
              <w:rPr>
                <w:sz w:val="20"/>
                <w:szCs w:val="20"/>
                <w:color w:val="auto"/>
              </w:rPr>
            </w:pPr>
            <w:r>
              <w:rPr>
                <w:rFonts w:ascii="Arial" w:cs="Arial" w:eastAsia="Arial" w:hAnsi="Arial"/>
                <w:sz w:val="18"/>
                <w:szCs w:val="18"/>
                <w:color w:val="auto"/>
              </w:rPr>
              <w:t>assets</w:t>
            </w:r>
            <w:r>
              <w:rPr>
                <w:rFonts w:ascii="Arial" w:cs="Arial" w:eastAsia="Arial" w:hAnsi="Arial"/>
                <w:sz w:val="23"/>
                <w:szCs w:val="23"/>
                <w:color w:val="auto"/>
                <w:vertAlign w:val="superscript"/>
              </w:rPr>
              <w:t>1</w:t>
            </w:r>
          </w:p>
        </w:tc>
        <w:tc>
          <w:tcPr>
            <w:tcW w:w="920" w:type="dxa"/>
            <w:vAlign w:val="bottom"/>
          </w:tcPr>
          <w:p>
            <w:pPr>
              <w:ind w:left="260"/>
              <w:spacing w:after="0"/>
              <w:rPr>
                <w:sz w:val="20"/>
                <w:szCs w:val="20"/>
                <w:color w:val="auto"/>
              </w:rPr>
            </w:pPr>
            <w:r>
              <w:rPr>
                <w:rFonts w:ascii="Arial" w:cs="Arial" w:eastAsia="Arial" w:hAnsi="Arial"/>
                <w:sz w:val="18"/>
                <w:szCs w:val="18"/>
                <w:color w:val="auto"/>
              </w:rPr>
              <w:t>[b÷c]</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1.38 %</w:t>
            </w:r>
          </w:p>
        </w:tc>
      </w:tr>
    </w:tbl>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Annualized measure.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333" w:lineRule="exact"/>
        <w:rPr>
          <w:sz w:val="20"/>
          <w:szCs w:val="20"/>
          <w:color w:val="auto"/>
        </w:rPr>
      </w:pPr>
    </w:p>
    <w:p>
      <w:pPr>
        <w:jc w:val="center"/>
        <w:ind w:left="340" w:right="520"/>
        <w:spacing w:after="0" w:line="300" w:lineRule="auto"/>
        <w:rPr>
          <w:sz w:val="20"/>
          <w:szCs w:val="20"/>
          <w:color w:val="auto"/>
        </w:rPr>
      </w:pPr>
      <w:r>
        <w:rPr>
          <w:rFonts w:ascii="Arial" w:cs="Arial" w:eastAsia="Arial" w:hAnsi="Arial"/>
          <w:sz w:val="17"/>
          <w:szCs w:val="17"/>
          <w:b w:val="1"/>
          <w:bCs w:val="1"/>
          <w:color w:val="auto"/>
        </w:rPr>
        <w:t>Adjusted Net Income, Adjusted Diluted Earnings Per Share, Adjusted Return on Average Assets, Average Tangible Common Equity, Return on Average Tangible Common Equity, and Adjusted Return on Average Tangible Common Equity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3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3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39"/>
        </w:trPr>
        <w:tc>
          <w:tcPr>
            <w:tcW w:w="39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5"/>
        </w:trPr>
        <w:tc>
          <w:tcPr>
            <w:tcW w:w="3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 ADJUSTED FOR NON-</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1"/>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ITEMS</w:t>
            </w:r>
          </w:p>
        </w:tc>
        <w:tc>
          <w:tcPr>
            <w:tcW w:w="7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ind w:left="60"/>
              <w:spacing w:after="0"/>
              <w:rPr>
                <w:sz w:val="20"/>
                <w:szCs w:val="20"/>
                <w:color w:val="auto"/>
              </w:rPr>
            </w:pPr>
            <w:r>
              <w:rPr>
                <w:rFonts w:ascii="Arial" w:cs="Arial" w:eastAsia="Arial" w:hAnsi="Arial"/>
                <w:sz w:val="18"/>
                <w:szCs w:val="18"/>
                <w:color w:val="auto"/>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30,666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35,661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96,816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93,924</w:t>
            </w: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adjustments:</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Acquisition expenses:</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Salaries, wages, and employee benefits</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587</w:t>
            </w:r>
          </w:p>
        </w:tc>
      </w:tr>
      <w:tr>
        <w:trPr>
          <w:trHeight w:val="243"/>
        </w:trPr>
        <w:tc>
          <w:tcPr>
            <w:tcW w:w="3960" w:type="dxa"/>
            <w:vAlign w:val="bottom"/>
          </w:tcPr>
          <w:p>
            <w:pPr>
              <w:ind w:left="500"/>
              <w:spacing w:after="0"/>
              <w:rPr>
                <w:sz w:val="20"/>
                <w:szCs w:val="20"/>
                <w:color w:val="auto"/>
              </w:rPr>
            </w:pPr>
            <w:r>
              <w:rPr>
                <w:rFonts w:ascii="Arial" w:cs="Arial" w:eastAsia="Arial" w:hAnsi="Arial"/>
                <w:sz w:val="18"/>
                <w:szCs w:val="18"/>
                <w:color w:val="auto"/>
              </w:rPr>
              <w:t>Data processing</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214</w:t>
            </w: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Professional fees, occupancy, and other</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242</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Other restructuring expenses:</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leases or fixed asset impairment</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976</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Professional fees, occupancy, and other</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76</w:t>
            </w: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Related tax benefit</w:t>
            </w:r>
            <w:r>
              <w:rPr>
                <w:rFonts w:ascii="Arial" w:cs="Arial" w:eastAsia="Arial" w:hAnsi="Arial"/>
                <w:sz w:val="23"/>
                <w:szCs w:val="23"/>
                <w:color w:val="auto"/>
                <w:vertAlign w:val="superscript"/>
              </w:rPr>
              <w:t>1</w:t>
            </w:r>
          </w:p>
        </w:tc>
        <w:tc>
          <w:tcPr>
            <w:tcW w:w="7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(399)</w:t>
            </w:r>
          </w:p>
        </w:tc>
      </w:tr>
      <w:tr>
        <w:trPr>
          <w:trHeight w:val="263"/>
        </w:trPr>
        <w:tc>
          <w:tcPr>
            <w:tcW w:w="396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700" w:type="dxa"/>
            <w:vAlign w:val="bottom"/>
          </w:tcPr>
          <w:p>
            <w:pPr>
              <w:ind w:left="6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30,730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36,435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96,889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95,620</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9"/>
        </w:trPr>
        <w:tc>
          <w:tcPr>
            <w:tcW w:w="39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average common shares outstanding</w:t>
            </w:r>
          </w:p>
        </w:tc>
        <w:tc>
          <w:tcPr>
            <w:tcW w:w="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56,315,492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56,073,164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56,230,624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56,123,756</w:t>
            </w:r>
          </w:p>
        </w:tc>
      </w:tr>
      <w:tr>
        <w:trPr>
          <w:trHeight w:val="162"/>
        </w:trPr>
        <w:tc>
          <w:tcPr>
            <w:tcW w:w="3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Diluted earnings per share</w:t>
            </w:r>
          </w:p>
        </w:tc>
        <w:tc>
          <w:tcPr>
            <w:tcW w:w="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1.67</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Diluted earnings per share</w:t>
            </w:r>
          </w:p>
        </w:tc>
        <w:tc>
          <w:tcPr>
            <w:tcW w:w="700" w:type="dxa"/>
            <w:vAlign w:val="bottom"/>
          </w:tcPr>
          <w:p>
            <w:pPr>
              <w:ind w:left="60"/>
              <w:spacing w:after="0"/>
              <w:rPr>
                <w:sz w:val="20"/>
                <w:szCs w:val="20"/>
                <w:color w:val="auto"/>
              </w:rPr>
            </w:pPr>
            <w:r>
              <w:rPr>
                <w:rFonts w:ascii="Arial" w:cs="Arial" w:eastAsia="Arial" w:hAnsi="Arial"/>
                <w:sz w:val="18"/>
                <w:szCs w:val="18"/>
                <w:color w:val="auto"/>
              </w:rPr>
              <w:t>[b÷c]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1.70</w:t>
            </w: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2"/>
        </w:trPr>
        <w:tc>
          <w:tcPr>
            <w:tcW w:w="39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RETURN ON AVERAGE ASSETS</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annualized</w:t>
            </w:r>
          </w:p>
        </w:tc>
        <w:tc>
          <w:tcPr>
            <w:tcW w:w="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121,664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141,481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129,443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125,576</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Adjusted net income, annualized</w:t>
            </w:r>
          </w:p>
        </w:tc>
        <w:tc>
          <w:tcPr>
            <w:tcW w:w="700" w:type="dxa"/>
            <w:vAlign w:val="bottom"/>
          </w:tcPr>
          <w:p>
            <w:pPr>
              <w:ind w:left="60"/>
              <w:spacing w:after="0"/>
              <w:rPr>
                <w:sz w:val="20"/>
                <w:szCs w:val="20"/>
                <w:color w:val="auto"/>
              </w:rPr>
            </w:pPr>
            <w:r>
              <w:rPr>
                <w:rFonts w:ascii="Arial" w:cs="Arial" w:eastAsia="Arial" w:hAnsi="Arial"/>
                <w:sz w:val="18"/>
                <w:szCs w:val="18"/>
                <w:color w:val="auto"/>
              </w:rPr>
              <w:t>[e]</w:t>
            </w:r>
          </w:p>
        </w:tc>
        <w:tc>
          <w:tcPr>
            <w:tcW w:w="300" w:type="dxa"/>
            <w:vAlign w:val="bottom"/>
          </w:tcPr>
          <w:p>
            <w:pPr>
              <w:spacing w:after="0"/>
              <w:rPr>
                <w:sz w:val="21"/>
                <w:szCs w:val="21"/>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121,918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144,552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129,540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127,844</w:t>
            </w: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total assets</w:t>
            </w:r>
          </w:p>
        </w:tc>
        <w:tc>
          <w:tcPr>
            <w:tcW w:w="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12,202,783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12,531,856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12,225,232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12,547,816</w:t>
            </w:r>
          </w:p>
        </w:tc>
      </w:tr>
      <w:tr>
        <w:trPr>
          <w:trHeight w:val="162"/>
        </w:trPr>
        <w:tc>
          <w:tcPr>
            <w:tcW w:w="3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Return on average assets</w:t>
            </w:r>
            <w:r>
              <w:rPr>
                <w:rFonts w:ascii="Arial" w:cs="Arial" w:eastAsia="Arial" w:hAnsi="Arial"/>
                <w:sz w:val="23"/>
                <w:szCs w:val="23"/>
                <w:color w:val="auto"/>
                <w:vertAlign w:val="superscript"/>
              </w:rPr>
              <w:t>2</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[d÷f]</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Return on average assets</w:t>
            </w:r>
            <w:r>
              <w:rPr>
                <w:rFonts w:ascii="Arial" w:cs="Arial" w:eastAsia="Arial" w:hAnsi="Arial"/>
                <w:sz w:val="23"/>
                <w:szCs w:val="23"/>
                <w:color w:val="auto"/>
                <w:vertAlign w:val="superscript"/>
              </w:rPr>
              <w:t>2</w:t>
            </w:r>
          </w:p>
        </w:tc>
        <w:tc>
          <w:tcPr>
            <w:tcW w:w="700" w:type="dxa"/>
            <w:vAlign w:val="bottom"/>
          </w:tcPr>
          <w:p>
            <w:pPr>
              <w:ind w:left="60"/>
              <w:spacing w:after="0"/>
              <w:rPr>
                <w:sz w:val="20"/>
                <w:szCs w:val="20"/>
                <w:color w:val="auto"/>
              </w:rPr>
            </w:pPr>
            <w:r>
              <w:rPr>
                <w:rFonts w:ascii="Arial" w:cs="Arial" w:eastAsia="Arial" w:hAnsi="Arial"/>
                <w:sz w:val="18"/>
                <w:szCs w:val="18"/>
                <w:color w:val="auto"/>
              </w:rPr>
              <w:t>[e÷f]</w:t>
            </w:r>
          </w:p>
        </w:tc>
        <w:tc>
          <w:tcPr>
            <w:tcW w:w="3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162"/>
        </w:trPr>
        <w:tc>
          <w:tcPr>
            <w:tcW w:w="39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25"/>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RETURN ON AVERAGE TANGIBLE COMMON</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common equity</w:t>
            </w:r>
          </w:p>
        </w:tc>
        <w:tc>
          <w:tcPr>
            <w:tcW w:w="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1,208,407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1,181,448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1,195,858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1,219,645</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w w:val="93"/>
              </w:rPr>
              <w:t>Average goodwill and other intangible assets, net</w:t>
            </w: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(358,025)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(368,981)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(360,654)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(371,873)</w:t>
            </w:r>
          </w:p>
        </w:tc>
      </w:tr>
      <w:tr>
        <w:trPr>
          <w:trHeight w:val="27"/>
        </w:trPr>
        <w:tc>
          <w:tcPr>
            <w:tcW w:w="39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tangible common equity</w:t>
            </w:r>
          </w:p>
        </w:tc>
        <w:tc>
          <w:tcPr>
            <w:tcW w:w="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850,382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812,467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835,204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847,772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Return on average tangible common</w:t>
            </w: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96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equity</w:t>
            </w:r>
            <w:r>
              <w:rPr>
                <w:rFonts w:ascii="Arial" w:cs="Arial" w:eastAsia="Arial" w:hAnsi="Arial"/>
                <w:sz w:val="23"/>
                <w:szCs w:val="23"/>
                <w:color w:val="auto"/>
                <w:vertAlign w:val="superscript"/>
              </w:rPr>
              <w:t>2</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[d÷g]</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14.81 %</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Return on average tangible common</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3"/>
        </w:trPr>
        <w:tc>
          <w:tcPr>
            <w:tcW w:w="3960" w:type="dxa"/>
            <w:vAlign w:val="bottom"/>
          </w:tcPr>
          <w:p>
            <w:pPr>
              <w:ind w:left="180"/>
              <w:spacing w:after="0"/>
              <w:rPr>
                <w:sz w:val="20"/>
                <w:szCs w:val="20"/>
                <w:color w:val="auto"/>
              </w:rPr>
            </w:pPr>
            <w:r>
              <w:rPr>
                <w:rFonts w:ascii="Arial" w:cs="Arial" w:eastAsia="Arial" w:hAnsi="Arial"/>
                <w:sz w:val="18"/>
                <w:szCs w:val="18"/>
                <w:color w:val="auto"/>
              </w:rPr>
              <w:t>equity</w:t>
            </w:r>
            <w:r>
              <w:rPr>
                <w:rFonts w:ascii="Arial" w:cs="Arial" w:eastAsia="Arial" w:hAnsi="Arial"/>
                <w:sz w:val="23"/>
                <w:szCs w:val="23"/>
                <w:color w:val="auto"/>
                <w:vertAlign w:val="superscript"/>
              </w:rPr>
              <w:t>2</w:t>
            </w:r>
          </w:p>
        </w:tc>
        <w:tc>
          <w:tcPr>
            <w:tcW w:w="700" w:type="dxa"/>
            <w:vAlign w:val="bottom"/>
          </w:tcPr>
          <w:p>
            <w:pPr>
              <w:ind w:left="60"/>
              <w:spacing w:after="0"/>
              <w:rPr>
                <w:sz w:val="20"/>
                <w:szCs w:val="20"/>
                <w:color w:val="auto"/>
              </w:rPr>
            </w:pPr>
            <w:r>
              <w:rPr>
                <w:rFonts w:ascii="Arial" w:cs="Arial" w:eastAsia="Arial" w:hAnsi="Arial"/>
                <w:sz w:val="18"/>
                <w:szCs w:val="18"/>
                <w:color w:val="auto"/>
              </w:rPr>
              <w:t>[e÷g]</w:t>
            </w:r>
          </w:p>
        </w:tc>
        <w:tc>
          <w:tcPr>
            <w:tcW w:w="3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14.34 %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17.79 %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15.51 %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15.08 %</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jc w:val="both"/>
        <w:ind w:left="340" w:hanging="202"/>
        <w:spacing w:after="0" w:line="254" w:lineRule="auto"/>
        <w:tabs>
          <w:tab w:leader="none" w:pos="335"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year-to-date tax benefits were calculated by multiplying year-to-date acquisition expenses and other restructuring expenses by the effective tax rates for the year-to-date periods. The annual effective tax rates used in this calculation were 19.8% for the nine months ended September 30, 2023, and 19.1% for the nine months ended September 30, 2022. Quarterly tax benefits were calculated as the year-to-date amounts less the sum of amounts applied to previous quarters.</w:t>
      </w:r>
    </w:p>
    <w:p>
      <w:pPr>
        <w:spacing w:after="0" w:line="1" w:lineRule="exact"/>
        <w:rPr>
          <w:rFonts w:ascii="Arial" w:cs="Arial" w:eastAsia="Arial" w:hAnsi="Arial"/>
          <w:sz w:val="14"/>
          <w:szCs w:val="14"/>
          <w:color w:val="auto"/>
        </w:rPr>
      </w:pPr>
    </w:p>
    <w:p>
      <w:pPr>
        <w:ind w:left="320" w:hanging="18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Annualized measure.</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Net Interest Income and Adjusted Net Interest Margin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3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4"/>
        </w:trPr>
        <w:tc>
          <w:tcPr>
            <w:tcW w:w="3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39"/>
        </w:trPr>
        <w:tc>
          <w:tcPr>
            <w:tcW w:w="392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77,791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86,305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242,318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232,289</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Tax-equivalent adjustment</w:t>
            </w:r>
            <w:r>
              <w:rPr>
                <w:rFonts w:ascii="Arial" w:cs="Arial" w:eastAsia="Arial" w:hAnsi="Arial"/>
                <w:sz w:val="23"/>
                <w:szCs w:val="23"/>
                <w:color w:val="auto"/>
                <w:vertAlign w:val="superscript"/>
              </w:rPr>
              <w:t>1</w:t>
            </w:r>
          </w:p>
        </w:tc>
        <w:tc>
          <w:tcPr>
            <w:tcW w:w="7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1,635</w:t>
            </w:r>
          </w:p>
        </w:tc>
      </w:tr>
      <w:tr>
        <w:trPr>
          <w:trHeight w:val="237"/>
        </w:trPr>
        <w:tc>
          <w:tcPr>
            <w:tcW w:w="3920" w:type="dxa"/>
            <w:vAlign w:val="bottom"/>
          </w:tcPr>
          <w:p>
            <w:pPr>
              <w:ind w:left="260"/>
              <w:spacing w:after="0"/>
              <w:rPr>
                <w:sz w:val="20"/>
                <w:szCs w:val="20"/>
                <w:color w:val="auto"/>
              </w:rPr>
            </w:pPr>
            <w:r>
              <w:rPr>
                <w:rFonts w:ascii="Arial" w:cs="Arial" w:eastAsia="Arial" w:hAnsi="Arial"/>
                <w:sz w:val="18"/>
                <w:szCs w:val="18"/>
                <w:color w:val="auto"/>
              </w:rPr>
              <w:t>Tax-equivalent net interest income</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78,344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86,848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243,990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233,924</w:t>
            </w:r>
          </w:p>
        </w:tc>
      </w:tr>
      <w:tr>
        <w:trPr>
          <w:trHeight w:val="27"/>
        </w:trPr>
        <w:tc>
          <w:tcPr>
            <w:tcW w:w="3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3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Purchase accounting accretion related to business</w:t>
            </w: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3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combinations</w:t>
            </w:r>
          </w:p>
        </w:tc>
        <w:tc>
          <w:tcPr>
            <w:tcW w:w="7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(1,093)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(2,588)</w:t>
            </w:r>
          </w:p>
        </w:tc>
      </w:tr>
      <w:tr>
        <w:trPr>
          <w:trHeight w:val="263"/>
        </w:trPr>
        <w:tc>
          <w:tcPr>
            <w:tcW w:w="3920" w:type="dxa"/>
            <w:vAlign w:val="bottom"/>
          </w:tcPr>
          <w:p>
            <w:pPr>
              <w:ind w:left="20"/>
              <w:spacing w:after="0"/>
              <w:rPr>
                <w:sz w:val="20"/>
                <w:szCs w:val="20"/>
                <w:color w:val="auto"/>
              </w:rPr>
            </w:pPr>
            <w:r>
              <w:rPr>
                <w:rFonts w:ascii="Arial" w:cs="Arial" w:eastAsia="Arial" w:hAnsi="Arial"/>
                <w:sz w:val="18"/>
                <w:szCs w:val="18"/>
                <w:color w:val="auto"/>
              </w:rPr>
              <w:t>Adjusted net interest income</w:t>
            </w:r>
          </w:p>
        </w:tc>
        <w:tc>
          <w:tcPr>
            <w:tcW w:w="7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78,067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86,018</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242,897</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231,336</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39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Tax-equivalent net interest income, annualized</w:t>
            </w:r>
          </w:p>
        </w:tc>
        <w:tc>
          <w:tcPr>
            <w:tcW w:w="740" w:type="dxa"/>
            <w:vAlign w:val="bottom"/>
          </w:tcPr>
          <w:p>
            <w:pPr>
              <w:ind w:left="80"/>
              <w:spacing w:after="0"/>
              <w:rPr>
                <w:sz w:val="20"/>
                <w:szCs w:val="20"/>
                <w:color w:val="auto"/>
              </w:rPr>
            </w:pPr>
            <w:r>
              <w:rPr>
                <w:rFonts w:ascii="Arial" w:cs="Arial" w:eastAsia="Arial" w:hAnsi="Arial"/>
                <w:sz w:val="18"/>
                <w:szCs w:val="18"/>
                <w:color w:val="auto"/>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310,821</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344,560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326,214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312,756</w:t>
            </w:r>
          </w:p>
        </w:tc>
      </w:tr>
      <w:tr>
        <w:trPr>
          <w:trHeight w:val="27"/>
        </w:trPr>
        <w:tc>
          <w:tcPr>
            <w:tcW w:w="3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interest income, annualized</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309,722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341,267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324,752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309,295</w:t>
            </w: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Average interest-earning assets</w:t>
            </w:r>
          </w:p>
        </w:tc>
        <w:tc>
          <w:tcPr>
            <w:tcW w:w="740" w:type="dxa"/>
            <w:vAlign w:val="bottom"/>
          </w:tcPr>
          <w:p>
            <w:pPr>
              <w:ind w:left="80"/>
              <w:spacing w:after="0"/>
              <w:rPr>
                <w:sz w:val="20"/>
                <w:szCs w:val="20"/>
                <w:color w:val="auto"/>
              </w:rPr>
            </w:pPr>
            <w:r>
              <w:rPr>
                <w:rFonts w:ascii="Arial" w:cs="Arial" w:eastAsia="Arial" w:hAnsi="Arial"/>
                <w:sz w:val="18"/>
                <w:szCs w:val="18"/>
                <w:color w:val="auto"/>
              </w:rPr>
              <w:t>[c]</w:t>
            </w:r>
          </w:p>
        </w:tc>
        <w:tc>
          <w:tcPr>
            <w:tcW w:w="32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11,118,167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11,497,783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11,142,780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11,550,887</w:t>
            </w:r>
          </w:p>
        </w:tc>
      </w:tr>
      <w:tr>
        <w:trPr>
          <w:trHeight w:val="27"/>
        </w:trPr>
        <w:tc>
          <w:tcPr>
            <w:tcW w:w="3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9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Net interest margin</w:t>
            </w:r>
            <w:r>
              <w:rPr>
                <w:rFonts w:ascii="Arial" w:cs="Arial" w:eastAsia="Arial" w:hAnsi="Arial"/>
                <w:sz w:val="23"/>
                <w:szCs w:val="23"/>
                <w:color w:val="auto"/>
                <w:vertAlign w:val="superscript"/>
              </w:rPr>
              <w:t>2</w:t>
            </w:r>
          </w:p>
        </w:tc>
        <w:tc>
          <w:tcPr>
            <w:tcW w:w="1880" w:type="dxa"/>
            <w:vAlign w:val="bottom"/>
          </w:tcPr>
          <w:p>
            <w:pPr>
              <w:ind w:left="840"/>
              <w:spacing w:after="0"/>
              <w:rPr>
                <w:sz w:val="20"/>
                <w:szCs w:val="20"/>
                <w:color w:val="auto"/>
              </w:rPr>
            </w:pPr>
            <w:r>
              <w:rPr>
                <w:rFonts w:ascii="Arial" w:cs="Arial" w:eastAsia="Arial" w:hAnsi="Arial"/>
                <w:sz w:val="18"/>
                <w:szCs w:val="18"/>
                <w:color w:val="auto"/>
              </w:rPr>
              <w:t>[a÷c]</w:t>
            </w:r>
          </w:p>
        </w:tc>
        <w:tc>
          <w:tcPr>
            <w:tcW w:w="1740" w:type="dxa"/>
            <w:vAlign w:val="bottom"/>
          </w:tcPr>
          <w:p>
            <w:pPr>
              <w:jc w:val="right"/>
              <w:ind w:right="470"/>
              <w:spacing w:after="0"/>
              <w:rPr>
                <w:sz w:val="20"/>
                <w:szCs w:val="20"/>
                <w:color w:val="auto"/>
              </w:rPr>
            </w:pPr>
            <w:r>
              <w:rPr>
                <w:rFonts w:ascii="Arial" w:cs="Arial" w:eastAsia="Arial" w:hAnsi="Arial"/>
                <w:sz w:val="18"/>
                <w:szCs w:val="18"/>
                <w:color w:val="auto"/>
              </w:rPr>
              <w:t>2.80 %</w:t>
            </w:r>
          </w:p>
        </w:tc>
        <w:tc>
          <w:tcPr>
            <w:tcW w:w="1660" w:type="dxa"/>
            <w:vAlign w:val="bottom"/>
          </w:tcPr>
          <w:p>
            <w:pPr>
              <w:jc w:val="right"/>
              <w:ind w:right="470"/>
              <w:spacing w:after="0"/>
              <w:rPr>
                <w:sz w:val="20"/>
                <w:szCs w:val="20"/>
                <w:color w:val="auto"/>
              </w:rPr>
            </w:pPr>
            <w:r>
              <w:rPr>
                <w:rFonts w:ascii="Arial" w:cs="Arial" w:eastAsia="Arial" w:hAnsi="Arial"/>
                <w:sz w:val="18"/>
                <w:szCs w:val="18"/>
                <w:color w:val="auto"/>
              </w:rPr>
              <w:t>3.00 %</w:t>
            </w:r>
          </w:p>
        </w:tc>
        <w:tc>
          <w:tcPr>
            <w:tcW w:w="1660" w:type="dxa"/>
            <w:vAlign w:val="bottom"/>
          </w:tcPr>
          <w:p>
            <w:pPr>
              <w:jc w:val="right"/>
              <w:ind w:right="470"/>
              <w:spacing w:after="0"/>
              <w:rPr>
                <w:sz w:val="20"/>
                <w:szCs w:val="20"/>
                <w:color w:val="auto"/>
              </w:rPr>
            </w:pPr>
            <w:r>
              <w:rPr>
                <w:rFonts w:ascii="Arial" w:cs="Arial" w:eastAsia="Arial" w:hAnsi="Arial"/>
                <w:sz w:val="18"/>
                <w:szCs w:val="18"/>
                <w:color w:val="auto"/>
              </w:rPr>
              <w:t>2.93 %</w:t>
            </w:r>
          </w:p>
        </w:tc>
        <w:tc>
          <w:tcPr>
            <w:tcW w:w="1120" w:type="dxa"/>
            <w:vAlign w:val="bottom"/>
          </w:tcPr>
          <w:p>
            <w:pPr>
              <w:jc w:val="right"/>
              <w:spacing w:after="0"/>
              <w:rPr>
                <w:sz w:val="20"/>
                <w:szCs w:val="20"/>
                <w:color w:val="auto"/>
              </w:rPr>
            </w:pPr>
            <w:r>
              <w:rPr>
                <w:rFonts w:ascii="Arial" w:cs="Arial" w:eastAsia="Arial" w:hAnsi="Arial"/>
                <w:sz w:val="18"/>
                <w:szCs w:val="18"/>
                <w:color w:val="auto"/>
              </w:rPr>
              <w:t>2.71 %</w:t>
            </w:r>
          </w:p>
        </w:tc>
      </w:tr>
      <w:tr>
        <w:trPr>
          <w:trHeight w:val="27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Net interest margin</w:t>
            </w:r>
            <w:r>
              <w:rPr>
                <w:rFonts w:ascii="Arial" w:cs="Arial" w:eastAsia="Arial" w:hAnsi="Arial"/>
                <w:sz w:val="23"/>
                <w:szCs w:val="23"/>
                <w:color w:val="auto"/>
                <w:vertAlign w:val="superscript"/>
              </w:rPr>
              <w:t>2</w:t>
            </w:r>
          </w:p>
        </w:tc>
        <w:tc>
          <w:tcPr>
            <w:tcW w:w="18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[b÷c]</w:t>
            </w:r>
          </w:p>
        </w:tc>
        <w:tc>
          <w:tcPr>
            <w:tcW w:w="17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2.79 %</w:t>
            </w:r>
          </w:p>
        </w:tc>
        <w:tc>
          <w:tcPr>
            <w:tcW w:w="1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2.97 %</w:t>
            </w:r>
          </w:p>
        </w:tc>
        <w:tc>
          <w:tcPr>
            <w:tcW w:w="1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2.91 %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320" w:hanging="18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tax-equivalent adjustments were calculated using an estimated federal income tax rate of 21%, applied to non-taxable interest income on investments and loans.</w:t>
      </w:r>
    </w:p>
    <w:p>
      <w:pPr>
        <w:spacing w:after="0" w:line="14" w:lineRule="exact"/>
        <w:rPr>
          <w:rFonts w:ascii="Arial" w:cs="Arial" w:eastAsia="Arial" w:hAnsi="Arial"/>
          <w:sz w:val="14"/>
          <w:szCs w:val="14"/>
          <w:color w:val="auto"/>
        </w:rPr>
      </w:pPr>
    </w:p>
    <w:p>
      <w:pPr>
        <w:ind w:left="320" w:hanging="18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Annualized measure.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34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Noninterest Expense Excluding Amortization of Intangible Assets, Adjusted Noninterest Expense,</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Adjusted Core Expense, Noninterest Expense Excluding Non-operating Adjustments,</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Efficiency Ratio, Adjusted Efficiency Ratio, and Adjusted Core Efficiency Ratio</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3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4"/>
        </w:trPr>
        <w:tc>
          <w:tcPr>
            <w:tcW w:w="3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2022</w:t>
            </w:r>
          </w:p>
        </w:tc>
      </w:tr>
      <w:tr>
        <w:trPr>
          <w:trHeight w:val="39"/>
        </w:trPr>
        <w:tc>
          <w:tcPr>
            <w:tcW w:w="39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77,791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86,305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242,318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232,289</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Non-GAAP adjustments: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Tax-equivalent adjustment</w:t>
            </w:r>
            <w:r>
              <w:rPr>
                <w:rFonts w:ascii="Arial" w:cs="Arial" w:eastAsia="Arial" w:hAnsi="Arial"/>
                <w:sz w:val="23"/>
                <w:szCs w:val="23"/>
                <w:color w:val="auto"/>
                <w:vertAlign w:val="superscript"/>
              </w:rPr>
              <w:t>1</w:t>
            </w: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1,635</w:t>
            </w: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Tax-equivalent net interest income</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78,344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86,848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243,990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233,924</w:t>
            </w:r>
          </w:p>
        </w:tc>
      </w:tr>
      <w:tr>
        <w:trPr>
          <w:trHeight w:val="27"/>
        </w:trPr>
        <w:tc>
          <w:tcPr>
            <w:tcW w:w="39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39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Total noninterest income</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31,008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30,933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90,868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97,724</w:t>
            </w:r>
          </w:p>
        </w:tc>
      </w:tr>
      <w:tr>
        <w:trPr>
          <w:trHeight w:val="27"/>
        </w:trPr>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ind w:left="240"/>
              <w:spacing w:after="0"/>
              <w:rPr>
                <w:sz w:val="20"/>
                <w:szCs w:val="20"/>
                <w:color w:val="auto"/>
              </w:rPr>
            </w:pPr>
            <w:r>
              <w:rPr>
                <w:rFonts w:ascii="Arial" w:cs="Arial" w:eastAsia="Arial" w:hAnsi="Arial"/>
                <w:sz w:val="18"/>
                <w:szCs w:val="18"/>
                <w:color w:val="auto"/>
              </w:rPr>
              <w:t>Net security (gains) losses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2,324</w:t>
            </w:r>
          </w:p>
        </w:tc>
      </w:tr>
      <w:tr>
        <w:trPr>
          <w:trHeight w:val="27"/>
        </w:trPr>
        <w:tc>
          <w:tcPr>
            <w:tcW w:w="39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1"/>
              </w:rPr>
              <w:t>Noninterest income excluding net securities gains and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losses</w:t>
            </w:r>
          </w:p>
        </w:tc>
        <w:tc>
          <w:tcPr>
            <w:tcW w:w="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31,293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30,929</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93,828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100,048</w:t>
            </w:r>
          </w:p>
        </w:tc>
      </w:tr>
      <w:tr>
        <w:trPr>
          <w:trHeight w:val="250"/>
        </w:trPr>
        <w:tc>
          <w:tcPr>
            <w:tcW w:w="3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r>
      <w:tr>
        <w:trPr>
          <w:trHeight w:val="295"/>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Tax-equivalent revenue</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109,637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117,777</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337,818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333,972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noninterest expense</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70,945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70,736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210,553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210,204</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Non-GAAP adjustments: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intangible assets</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(2,871)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(8,833)</w:t>
            </w:r>
          </w:p>
        </w:tc>
      </w:tr>
      <w:tr>
        <w:trPr>
          <w:trHeight w:val="209"/>
        </w:trPr>
        <w:tc>
          <w:tcPr>
            <w:tcW w:w="3960" w:type="dxa"/>
            <w:vAlign w:val="bottom"/>
          </w:tcPr>
          <w:p>
            <w:pPr>
              <w:ind w:left="240"/>
              <w:spacing w:after="0"/>
              <w:rPr>
                <w:sz w:val="20"/>
                <w:szCs w:val="20"/>
                <w:color w:val="auto"/>
              </w:rPr>
            </w:pPr>
            <w:r>
              <w:rPr>
                <w:rFonts w:ascii="Arial" w:cs="Arial" w:eastAsia="Arial" w:hAnsi="Arial"/>
                <w:sz w:val="18"/>
                <w:szCs w:val="18"/>
                <w:color w:val="auto"/>
                <w:w w:val="98"/>
              </w:rPr>
              <w:t>Non-interest expense excluding amortization of</w:t>
            </w:r>
          </w:p>
        </w:tc>
        <w:tc>
          <w:tcPr>
            <w:tcW w:w="7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30"/>
        </w:trPr>
        <w:tc>
          <w:tcPr>
            <w:tcW w:w="396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740" w:type="dxa"/>
            <w:vAlign w:val="bottom"/>
          </w:tcPr>
          <w:p>
            <w:pPr>
              <w:ind w:left="80"/>
              <w:spacing w:after="0"/>
              <w:rPr>
                <w:sz w:val="20"/>
                <w:szCs w:val="20"/>
                <w:color w:val="auto"/>
              </w:rPr>
            </w:pPr>
            <w:r>
              <w:rPr>
                <w:rFonts w:ascii="Arial" w:cs="Arial" w:eastAsia="Arial" w:hAnsi="Arial"/>
                <w:sz w:val="18"/>
                <w:szCs w:val="18"/>
                <w:color w:val="auto"/>
              </w:rPr>
              <w:t>[c]</w:t>
            </w:r>
          </w:p>
        </w:tc>
        <w:tc>
          <w:tcPr>
            <w:tcW w:w="30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68,390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67,865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202,600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201,371</w:t>
            </w:r>
          </w:p>
        </w:tc>
      </w:tr>
      <w:tr>
        <w:trPr>
          <w:trHeight w:val="27"/>
        </w:trPr>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Non-operating adjustments:</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ind w:left="420"/>
              <w:spacing w:after="0"/>
              <w:rPr>
                <w:sz w:val="20"/>
                <w:szCs w:val="20"/>
                <w:color w:val="auto"/>
              </w:rPr>
            </w:pPr>
            <w:r>
              <w:rPr>
                <w:rFonts w:ascii="Arial" w:cs="Arial" w:eastAsia="Arial" w:hAnsi="Arial"/>
                <w:sz w:val="18"/>
                <w:szCs w:val="18"/>
                <w:color w:val="auto"/>
              </w:rPr>
              <w:t>Salaries, wages, and employee benefits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(587)</w:t>
            </w:r>
          </w:p>
        </w:tc>
      </w:tr>
      <w:tr>
        <w:trPr>
          <w:trHeight w:val="27"/>
        </w:trPr>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Data processing</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(214)</w:t>
            </w:r>
          </w:p>
        </w:tc>
      </w:tr>
      <w:tr>
        <w:trPr>
          <w:trHeight w:val="243"/>
        </w:trPr>
        <w:tc>
          <w:tcPr>
            <w:tcW w:w="3960" w:type="dxa"/>
            <w:vAlign w:val="bottom"/>
          </w:tcPr>
          <w:p>
            <w:pPr>
              <w:ind w:left="420"/>
              <w:spacing w:after="0"/>
              <w:rPr>
                <w:sz w:val="20"/>
                <w:szCs w:val="20"/>
                <w:color w:val="auto"/>
              </w:rPr>
            </w:pPr>
            <w:r>
              <w:rPr>
                <w:rFonts w:ascii="Arial" w:cs="Arial" w:eastAsia="Arial" w:hAnsi="Arial"/>
                <w:sz w:val="18"/>
                <w:szCs w:val="18"/>
                <w:color w:val="auto"/>
              </w:rPr>
              <w:t>Lease or fixed asset impairment</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(976)</w:t>
            </w:r>
          </w:p>
        </w:tc>
      </w:tr>
      <w:tr>
        <w:trPr>
          <w:trHeight w:val="27"/>
        </w:trPr>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Professional fees and other</w:t>
            </w:r>
          </w:p>
        </w:tc>
        <w:tc>
          <w:tcPr>
            <w:tcW w:w="7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(318)</w:t>
            </w:r>
          </w:p>
        </w:tc>
      </w:tr>
      <w:tr>
        <w:trPr>
          <w:trHeight w:val="237"/>
        </w:trPr>
        <w:tc>
          <w:tcPr>
            <w:tcW w:w="3960" w:type="dxa"/>
            <w:vAlign w:val="bottom"/>
          </w:tcPr>
          <w:p>
            <w:pPr>
              <w:spacing w:after="0"/>
              <w:rPr>
                <w:sz w:val="20"/>
                <w:szCs w:val="20"/>
                <w:color w:val="auto"/>
              </w:rPr>
            </w:pPr>
            <w:r>
              <w:rPr>
                <w:rFonts w:ascii="Arial" w:cs="Arial" w:eastAsia="Arial" w:hAnsi="Arial"/>
                <w:sz w:val="18"/>
                <w:szCs w:val="18"/>
                <w:color w:val="auto"/>
              </w:rPr>
              <w:t>Adjusted noninterest expense</w:t>
            </w:r>
          </w:p>
        </w:tc>
        <w:tc>
          <w:tcPr>
            <w:tcW w:w="740" w:type="dxa"/>
            <w:vAlign w:val="bottom"/>
          </w:tcPr>
          <w:p>
            <w:pPr>
              <w:ind w:left="80"/>
              <w:spacing w:after="0"/>
              <w:rPr>
                <w:sz w:val="20"/>
                <w:szCs w:val="20"/>
                <w:color w:val="auto"/>
              </w:rPr>
            </w:pPr>
            <w:r>
              <w:rPr>
                <w:rFonts w:ascii="Arial" w:cs="Arial" w:eastAsia="Arial" w:hAnsi="Arial"/>
                <w:sz w:val="18"/>
                <w:szCs w:val="18"/>
                <w:color w:val="auto"/>
              </w:rPr>
              <w:t>[f]</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68,311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66,908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202,509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199,276</w:t>
            </w:r>
          </w:p>
        </w:tc>
      </w:tr>
      <w:tr>
        <w:trPr>
          <w:trHeight w:val="27"/>
        </w:trPr>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Provision for unfunded commitments</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(525)</w:t>
            </w:r>
          </w:p>
        </w:tc>
      </w:tr>
      <w:tr>
        <w:trPr>
          <w:trHeight w:val="243"/>
        </w:trPr>
        <w:tc>
          <w:tcPr>
            <w:tcW w:w="3960" w:type="dxa"/>
            <w:vAlign w:val="bottom"/>
          </w:tcPr>
          <w:p>
            <w:pPr>
              <w:ind w:left="420"/>
              <w:spacing w:after="0"/>
              <w:rPr>
                <w:sz w:val="20"/>
                <w:szCs w:val="20"/>
                <w:color w:val="auto"/>
              </w:rPr>
            </w:pPr>
            <w:r>
              <w:rPr>
                <w:rFonts w:ascii="Arial" w:cs="Arial" w:eastAsia="Arial" w:hAnsi="Arial"/>
                <w:sz w:val="18"/>
                <w:szCs w:val="18"/>
                <w:color w:val="auto"/>
              </w:rPr>
              <w:t>Amortization of New Markets Tax Credits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(1,665)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(4,668)</w:t>
            </w:r>
          </w:p>
        </w:tc>
      </w:tr>
      <w:tr>
        <w:trPr>
          <w:trHeight w:val="27"/>
        </w:trPr>
        <w:tc>
          <w:tcPr>
            <w:tcW w:w="39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core expense</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66,038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65,563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196,126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194,083</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 excluding non-operating</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[f-b]</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70,866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69,779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210,462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208,109</w:t>
            </w:r>
          </w:p>
        </w:tc>
      </w:tr>
      <w:tr>
        <w:trPr>
          <w:trHeight w:val="270"/>
        </w:trPr>
        <w:tc>
          <w:tcPr>
            <w:tcW w:w="3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Efficiency ratio</w:t>
            </w:r>
          </w:p>
        </w:tc>
        <w:tc>
          <w:tcPr>
            <w:tcW w:w="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62.38 %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57.62 %</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59.97 %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60.30 %</w:t>
            </w:r>
          </w:p>
        </w:tc>
      </w:tr>
      <w:tr>
        <w:trPr>
          <w:trHeight w:val="243"/>
        </w:trPr>
        <w:tc>
          <w:tcPr>
            <w:tcW w:w="3960" w:type="dxa"/>
            <w:vAlign w:val="bottom"/>
          </w:tcPr>
          <w:p>
            <w:pPr>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Efficiency ratio</w:t>
            </w:r>
          </w:p>
        </w:tc>
        <w:tc>
          <w:tcPr>
            <w:tcW w:w="740" w:type="dxa"/>
            <w:vAlign w:val="bottom"/>
          </w:tcPr>
          <w:p>
            <w:pPr>
              <w:ind w:left="80"/>
              <w:spacing w:after="0"/>
              <w:rPr>
                <w:sz w:val="20"/>
                <w:szCs w:val="20"/>
                <w:color w:val="auto"/>
              </w:rPr>
            </w:pPr>
            <w:r>
              <w:rPr>
                <w:rFonts w:ascii="Arial" w:cs="Arial" w:eastAsia="Arial" w:hAnsi="Arial"/>
                <w:sz w:val="18"/>
                <w:szCs w:val="18"/>
                <w:color w:val="auto"/>
              </w:rPr>
              <w:t>[f÷a]</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56.81 %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59.67 %</w:t>
            </w:r>
          </w:p>
        </w:tc>
      </w:tr>
      <w:tr>
        <w:trPr>
          <w:trHeight w:val="27"/>
        </w:trPr>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Core efficiency ratio</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[g÷a]</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55.67 %</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58.11 %</w:t>
            </w:r>
          </w:p>
        </w:tc>
      </w:tr>
      <w:tr>
        <w:trPr>
          <w:trHeight w:val="27"/>
        </w:trPr>
        <w:tc>
          <w:tcPr>
            <w:tcW w:w="39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 The tax-equivalent adjustments were calculated using an estimated federal income tax rate of 21%, applied to non-taxable interest income on investments and loans.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Tangible Book Value and Tangible Book Value Per Common Share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410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41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41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2022</w:t>
            </w:r>
          </w:p>
        </w:tc>
      </w:tr>
      <w:tr>
        <w:trPr>
          <w:trHeight w:val="26"/>
        </w:trPr>
        <w:tc>
          <w:tcPr>
            <w:tcW w:w="410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1,145,977</w:t>
            </w:r>
          </w:p>
        </w:tc>
      </w:tr>
      <w:tr>
        <w:trPr>
          <w:trHeight w:val="243"/>
        </w:trPr>
        <w:tc>
          <w:tcPr>
            <w:tcW w:w="4100" w:type="dxa"/>
            <w:vAlign w:val="bottom"/>
          </w:tcPr>
          <w:p>
            <w:pPr>
              <w:ind w:left="260"/>
              <w:spacing w:after="0"/>
              <w:rPr>
                <w:sz w:val="20"/>
                <w:szCs w:val="20"/>
                <w:color w:val="auto"/>
              </w:rPr>
            </w:pPr>
            <w:r>
              <w:rPr>
                <w:rFonts w:ascii="Arial" w:cs="Arial" w:eastAsia="Arial" w:hAnsi="Arial"/>
                <w:sz w:val="18"/>
                <w:szCs w:val="18"/>
                <w:color w:val="auto"/>
              </w:rPr>
              <w:t>Goodwill and other intangible assets, net</w:t>
            </w: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(356,343)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(364,296)</w:t>
            </w:r>
          </w:p>
        </w:tc>
      </w:tr>
      <w:tr>
        <w:trPr>
          <w:trHeight w:val="27"/>
        </w:trPr>
        <w:tc>
          <w:tcPr>
            <w:tcW w:w="410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book value</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833,815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781,681</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number of common shares outstanding</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55,342,017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55,279,124</w:t>
            </w:r>
          </w:p>
        </w:tc>
      </w:tr>
      <w:tr>
        <w:trPr>
          <w:trHeight w:val="270"/>
        </w:trPr>
        <w:tc>
          <w:tcPr>
            <w:tcW w:w="41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book value per common share</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[a÷b]</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r>
      <w:tr>
        <w:trPr>
          <w:trHeight w:val="540"/>
        </w:trPr>
        <w:tc>
          <w:tcPr>
            <w:tcW w:w="9760" w:type="dxa"/>
            <w:vAlign w:val="bottom"/>
            <w:gridSpan w:val="5"/>
          </w:tcPr>
          <w:p>
            <w:pPr>
              <w:ind w:left="2080"/>
              <w:spacing w:after="0"/>
              <w:rPr>
                <w:sz w:val="20"/>
                <w:szCs w:val="20"/>
                <w:color w:val="auto"/>
              </w:rPr>
            </w:pPr>
            <w:r>
              <w:rPr>
                <w:rFonts w:ascii="Arial" w:cs="Arial" w:eastAsia="Arial" w:hAnsi="Arial"/>
                <w:sz w:val="18"/>
                <w:szCs w:val="18"/>
                <w:b w:val="1"/>
                <w:bCs w:val="1"/>
                <w:color w:val="auto"/>
                <w:w w:val="96"/>
              </w:rPr>
              <w:t>Tangible Assets, Tangible Common Equity, and Tangible Common Equity to Tangible Assets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4100" w:type="dxa"/>
            <w:vAlign w:val="bottom"/>
          </w:tcPr>
          <w:p>
            <w:pPr>
              <w:spacing w:after="0"/>
              <w:rPr>
                <w:sz w:val="23"/>
                <w:szCs w:val="23"/>
                <w:color w:val="auto"/>
              </w:rPr>
            </w:pPr>
          </w:p>
        </w:tc>
        <w:tc>
          <w:tcPr>
            <w:tcW w:w="4080" w:type="dxa"/>
            <w:vAlign w:val="bottom"/>
          </w:tcPr>
          <w:p>
            <w:pPr>
              <w:ind w:left="7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487"/>
        </w:trPr>
        <w:tc>
          <w:tcPr>
            <w:tcW w:w="4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24"/>
                <w:szCs w:val="24"/>
                <w:color w:val="auto"/>
              </w:rPr>
            </w:pPr>
          </w:p>
        </w:tc>
      </w:tr>
      <w:tr>
        <w:trPr>
          <w:trHeight w:val="39"/>
        </w:trPr>
        <w:tc>
          <w:tcPr>
            <w:tcW w:w="410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41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5"/>
                <w:szCs w:val="15"/>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41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2022</w:t>
            </w:r>
          </w:p>
        </w:tc>
      </w:tr>
      <w:tr>
        <w:trPr>
          <w:trHeight w:val="26"/>
        </w:trPr>
        <w:tc>
          <w:tcPr>
            <w:tcW w:w="410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12,258,250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12,336,677</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Goodwill and other intangible assets, net</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(364,296)</w:t>
            </w:r>
          </w:p>
        </w:tc>
      </w:tr>
      <w:tr>
        <w:trPr>
          <w:trHeight w:val="270"/>
        </w:trPr>
        <w:tc>
          <w:tcPr>
            <w:tcW w:w="4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Tax effect of other intangible assets</w:t>
            </w:r>
            <w:r>
              <w:rPr>
                <w:rFonts w:ascii="Arial" w:cs="Arial" w:eastAsia="Arial" w:hAnsi="Arial"/>
                <w:sz w:val="23"/>
                <w:szCs w:val="23"/>
                <w:color w:val="auto"/>
                <w:vertAlign w:val="superscript"/>
              </w:rPr>
              <w:t>1</w:t>
            </w:r>
          </w:p>
        </w:tc>
        <w:tc>
          <w:tcPr>
            <w:tcW w:w="40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w:t>
            </w:r>
          </w:p>
        </w:tc>
      </w:tr>
      <w:tr>
        <w:trPr>
          <w:trHeight w:val="28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assets</w:t>
            </w:r>
            <w:r>
              <w:rPr>
                <w:rFonts w:ascii="Arial" w:cs="Arial" w:eastAsia="Arial" w:hAnsi="Arial"/>
                <w:sz w:val="23"/>
                <w:szCs w:val="23"/>
                <w:color w:val="auto"/>
                <w:vertAlign w:val="superscript"/>
              </w:rPr>
              <w:t>2</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11,909,261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11,981,228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1,145,977</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Goodwill and other intangible assets, net</w:t>
            </w:r>
          </w:p>
        </w:tc>
        <w:tc>
          <w:tcPr>
            <w:tcW w:w="4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(364,296)</w:t>
            </w:r>
          </w:p>
        </w:tc>
      </w:tr>
      <w:tr>
        <w:trPr>
          <w:trHeight w:val="270"/>
        </w:trPr>
        <w:tc>
          <w:tcPr>
            <w:tcW w:w="4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Tax effect of other intangible assets</w:t>
            </w:r>
            <w:r>
              <w:rPr>
                <w:rFonts w:ascii="Arial" w:cs="Arial" w:eastAsia="Arial" w:hAnsi="Arial"/>
                <w:sz w:val="23"/>
                <w:szCs w:val="23"/>
                <w:color w:val="auto"/>
                <w:vertAlign w:val="superscript"/>
              </w:rPr>
              <w:t>1</w:t>
            </w:r>
          </w:p>
        </w:tc>
        <w:tc>
          <w:tcPr>
            <w:tcW w:w="40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8,847</w:t>
            </w:r>
          </w:p>
        </w:tc>
      </w:tr>
      <w:tr>
        <w:trPr>
          <w:trHeight w:val="28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common equity</w:t>
            </w:r>
            <w:r>
              <w:rPr>
                <w:rFonts w:ascii="Arial" w:cs="Arial" w:eastAsia="Arial" w:hAnsi="Arial"/>
                <w:sz w:val="23"/>
                <w:szCs w:val="23"/>
                <w:color w:val="auto"/>
                <w:vertAlign w:val="superscript"/>
              </w:rPr>
              <w:t>2</w:t>
            </w:r>
          </w:p>
        </w:tc>
        <w:tc>
          <w:tcPr>
            <w:tcW w:w="4080" w:type="dxa"/>
            <w:vAlign w:val="bottom"/>
            <w:tcBorders>
              <w:bottom w:val="single" w:sz="8" w:color="CCEEFF"/>
            </w:tcBorders>
            <w:shd w:val="clear" w:color="auto" w:fill="CCEEFF"/>
          </w:tcPr>
          <w:p>
            <w:pPr>
              <w:ind w:left="3400"/>
              <w:spacing w:after="0"/>
              <w:rPr>
                <w:sz w:val="20"/>
                <w:szCs w:val="20"/>
                <w:color w:val="auto"/>
              </w:rPr>
            </w:pPr>
            <w:r>
              <w:rPr>
                <w:rFonts w:ascii="Arial" w:cs="Arial" w:eastAsia="Arial" w:hAnsi="Arial"/>
                <w:sz w:val="18"/>
                <w:szCs w:val="18"/>
                <w:color w:val="auto"/>
              </w:rPr>
              <w:t>[b]</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841,169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790,528</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Tangible common equity to tangible assets</w:t>
            </w:r>
            <w:r>
              <w:rPr>
                <w:rFonts w:ascii="Arial" w:cs="Arial" w:eastAsia="Arial" w:hAnsi="Arial"/>
                <w:sz w:val="23"/>
                <w:szCs w:val="23"/>
                <w:color w:val="auto"/>
                <w:vertAlign w:val="superscript"/>
              </w:rPr>
              <w:t>2</w:t>
            </w:r>
          </w:p>
        </w:tc>
        <w:tc>
          <w:tcPr>
            <w:tcW w:w="4080" w:type="dxa"/>
            <w:vAlign w:val="bottom"/>
            <w:shd w:val="clear" w:color="auto" w:fill="CCEEFF"/>
          </w:tcPr>
          <w:p>
            <w:pPr>
              <w:ind w:left="3400"/>
              <w:spacing w:after="0"/>
              <w:rPr>
                <w:sz w:val="20"/>
                <w:szCs w:val="20"/>
                <w:color w:val="auto"/>
              </w:rPr>
            </w:pPr>
            <w:r>
              <w:rPr>
                <w:rFonts w:ascii="Arial" w:cs="Arial" w:eastAsia="Arial" w:hAnsi="Arial"/>
                <w:sz w:val="18"/>
                <w:szCs w:val="18"/>
                <w:color w:val="auto"/>
              </w:rPr>
              <w:t>[b÷a]</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58"/>
        </w:trPr>
        <w:tc>
          <w:tcPr>
            <w:tcW w:w="4100" w:type="dxa"/>
            <w:vAlign w:val="bottom"/>
          </w:tcPr>
          <w:p>
            <w:pPr>
              <w:spacing w:after="0"/>
              <w:rPr>
                <w:sz w:val="20"/>
                <w:szCs w:val="20"/>
                <w:color w:val="auto"/>
              </w:rPr>
            </w:pPr>
            <w:r>
              <w:rPr>
                <w:rFonts w:ascii="Arial" w:cs="Arial" w:eastAsia="Arial" w:hAnsi="Arial"/>
                <w:sz w:val="14"/>
                <w:szCs w:val="14"/>
                <w:color w:val="auto"/>
              </w:rPr>
              <w:t>___________________________________________</w:t>
            </w:r>
          </w:p>
        </w:tc>
        <w:tc>
          <w:tcPr>
            <w:tcW w:w="4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bl>
    <w:p>
      <w:pPr>
        <w:ind w:left="320" w:hanging="18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of estimated deferred tax liability, calculated using the estimated statutory tax rate of 28%.</w:t>
      </w:r>
    </w:p>
    <w:p>
      <w:pPr>
        <w:spacing w:after="0" w:line="14" w:lineRule="exact"/>
        <w:rPr>
          <w:rFonts w:ascii="Arial" w:cs="Arial" w:eastAsia="Arial" w:hAnsi="Arial"/>
          <w:sz w:val="14"/>
          <w:szCs w:val="14"/>
          <w:color w:val="auto"/>
        </w:rPr>
      </w:pPr>
    </w:p>
    <w:p>
      <w:pPr>
        <w:ind w:left="320" w:hanging="18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Tax-effected measure.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Core Loans, Core Loans to Portfolio Loans,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Core Deposits, Core Deposits to Total Deposits, and Core Loans to Core Deposits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260" w:type="dxa"/>
            <w:vAlign w:val="bottom"/>
          </w:tcPr>
          <w:p>
            <w:pPr>
              <w:spacing w:after="0"/>
              <w:rPr>
                <w:sz w:val="16"/>
                <w:szCs w:val="16"/>
                <w:color w:val="auto"/>
              </w:rPr>
            </w:pPr>
          </w:p>
        </w:tc>
      </w:tr>
      <w:tr>
        <w:trPr>
          <w:trHeight w:val="39"/>
        </w:trPr>
        <w:tc>
          <w:tcPr>
            <w:tcW w:w="4160" w:type="dxa"/>
            <w:vAlign w:val="bottom"/>
          </w:tcPr>
          <w:p>
            <w:pPr>
              <w:spacing w:after="0"/>
              <w:rPr>
                <w:sz w:val="3"/>
                <w:szCs w:val="3"/>
                <w:color w:val="auto"/>
              </w:rPr>
            </w:pPr>
          </w:p>
        </w:tc>
        <w:tc>
          <w:tcPr>
            <w:tcW w:w="40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3"/>
        </w:trPr>
        <w:tc>
          <w:tcPr>
            <w:tcW w:w="4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1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416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402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7,856,160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7,725,702</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4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PPP loans amortized cost</w:t>
            </w:r>
          </w:p>
        </w:tc>
        <w:tc>
          <w:tcPr>
            <w:tcW w:w="4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63"/>
        </w:trPr>
        <w:tc>
          <w:tcPr>
            <w:tcW w:w="4160" w:type="dxa"/>
            <w:vAlign w:val="bottom"/>
          </w:tcPr>
          <w:p>
            <w:pPr>
              <w:ind w:left="20"/>
              <w:spacing w:after="0"/>
              <w:rPr>
                <w:sz w:val="20"/>
                <w:szCs w:val="20"/>
                <w:color w:val="auto"/>
              </w:rPr>
            </w:pPr>
            <w:r>
              <w:rPr>
                <w:rFonts w:ascii="Arial" w:cs="Arial" w:eastAsia="Arial" w:hAnsi="Arial"/>
                <w:sz w:val="18"/>
                <w:szCs w:val="18"/>
                <w:color w:val="auto"/>
              </w:rPr>
              <w:t>Core loans</w:t>
            </w:r>
          </w:p>
        </w:tc>
        <w:tc>
          <w:tcPr>
            <w:tcW w:w="4020" w:type="dxa"/>
            <w:vAlign w:val="bottom"/>
          </w:tcPr>
          <w:p>
            <w:pPr>
              <w:ind w:left="3340"/>
              <w:spacing w:after="0"/>
              <w:rPr>
                <w:sz w:val="20"/>
                <w:szCs w:val="20"/>
                <w:color w:val="auto"/>
              </w:rPr>
            </w:pPr>
            <w:r>
              <w:rPr>
                <w:rFonts w:ascii="Arial" w:cs="Arial" w:eastAsia="Arial" w:hAnsi="Arial"/>
                <w:sz w:val="18"/>
                <w:szCs w:val="18"/>
                <w:color w:val="auto"/>
              </w:rPr>
              <w:t>[b]</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7,855,562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7,724,857</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Total deposits</w:t>
            </w:r>
          </w:p>
        </w:tc>
        <w:tc>
          <w:tcPr>
            <w:tcW w:w="4020" w:type="dxa"/>
            <w:vAlign w:val="bottom"/>
          </w:tcPr>
          <w:p>
            <w:pPr>
              <w:ind w:left="3340"/>
              <w:spacing w:after="0"/>
              <w:rPr>
                <w:sz w:val="20"/>
                <w:szCs w:val="20"/>
                <w:color w:val="auto"/>
              </w:rPr>
            </w:pPr>
            <w:r>
              <w:rPr>
                <w:rFonts w:ascii="Arial" w:cs="Arial" w:eastAsia="Arial" w:hAnsi="Arial"/>
                <w:sz w:val="18"/>
                <w:szCs w:val="18"/>
                <w:color w:val="auto"/>
              </w:rPr>
              <w:t>[c]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10,332,362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10,071,280</w:t>
            </w:r>
          </w:p>
        </w:tc>
      </w:tr>
      <w:tr>
        <w:trPr>
          <w:trHeight w:val="27"/>
        </w:trPr>
        <w:tc>
          <w:tcPr>
            <w:tcW w:w="4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Non-GAAP adjustments:</w:t>
            </w:r>
          </w:p>
        </w:tc>
        <w:tc>
          <w:tcPr>
            <w:tcW w:w="4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60"/>
              <w:spacing w:after="0"/>
              <w:rPr>
                <w:sz w:val="20"/>
                <w:szCs w:val="20"/>
                <w:color w:val="auto"/>
              </w:rPr>
            </w:pPr>
            <w:r>
              <w:rPr>
                <w:rFonts w:ascii="Arial" w:cs="Arial" w:eastAsia="Arial" w:hAnsi="Arial"/>
                <w:sz w:val="18"/>
                <w:szCs w:val="18"/>
                <w:color w:val="auto"/>
              </w:rPr>
              <w:t>Brokered transaction accounts</w:t>
            </w:r>
          </w:p>
        </w:tc>
        <w:tc>
          <w:tcPr>
            <w:tcW w:w="4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(1,303)</w:t>
            </w:r>
          </w:p>
        </w:tc>
      </w:tr>
      <w:tr>
        <w:trPr>
          <w:trHeight w:val="27"/>
        </w:trPr>
        <w:tc>
          <w:tcPr>
            <w:tcW w:w="4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Time deposits of $250,000 or more</w:t>
            </w:r>
          </w:p>
        </w:tc>
        <w:tc>
          <w:tcPr>
            <w:tcW w:w="40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(120,377)</w:t>
            </w:r>
          </w:p>
        </w:tc>
      </w:tr>
      <w:tr>
        <w:trPr>
          <w:trHeight w:val="263"/>
        </w:trPr>
        <w:tc>
          <w:tcPr>
            <w:tcW w:w="4160" w:type="dxa"/>
            <w:vAlign w:val="bottom"/>
          </w:tcPr>
          <w:p>
            <w:pPr>
              <w:ind w:left="20"/>
              <w:spacing w:after="0"/>
              <w:rPr>
                <w:sz w:val="20"/>
                <w:szCs w:val="20"/>
                <w:color w:val="auto"/>
              </w:rPr>
            </w:pPr>
            <w:r>
              <w:rPr>
                <w:rFonts w:ascii="Arial" w:cs="Arial" w:eastAsia="Arial" w:hAnsi="Arial"/>
                <w:sz w:val="18"/>
                <w:szCs w:val="18"/>
                <w:color w:val="auto"/>
              </w:rPr>
              <w:t>Core deposits</w:t>
            </w:r>
          </w:p>
        </w:tc>
        <w:tc>
          <w:tcPr>
            <w:tcW w:w="4020" w:type="dxa"/>
            <w:vAlign w:val="bottom"/>
          </w:tcPr>
          <w:p>
            <w:pPr>
              <w:ind w:left="3340"/>
              <w:spacing w:after="0"/>
              <w:rPr>
                <w:sz w:val="20"/>
                <w:szCs w:val="20"/>
                <w:color w:val="auto"/>
              </w:rPr>
            </w:pPr>
            <w:r>
              <w:rPr>
                <w:rFonts w:ascii="Arial" w:cs="Arial" w:eastAsia="Arial" w:hAnsi="Arial"/>
                <w:sz w:val="18"/>
                <w:szCs w:val="18"/>
                <w:color w:val="auto"/>
              </w:rPr>
              <w:t>[d]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9,976,031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9,949,600</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160" w:type="dxa"/>
            <w:vAlign w:val="bottom"/>
            <w:shd w:val="clear" w:color="auto" w:fill="CCEEFF"/>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RATIOS</w:t>
            </w:r>
          </w:p>
        </w:tc>
        <w:tc>
          <w:tcPr>
            <w:tcW w:w="4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loans to portfolio loans</w:t>
            </w:r>
          </w:p>
        </w:tc>
        <w:tc>
          <w:tcPr>
            <w:tcW w:w="402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8"/>
                <w:szCs w:val="18"/>
                <w:color w:val="auto"/>
              </w:rPr>
              <w:t>[b÷a]</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99.99%</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Core deposits to total deposits</w:t>
            </w:r>
          </w:p>
        </w:tc>
        <w:tc>
          <w:tcPr>
            <w:tcW w:w="4020" w:type="dxa"/>
            <w:vAlign w:val="bottom"/>
          </w:tcPr>
          <w:p>
            <w:pPr>
              <w:ind w:left="3340"/>
              <w:spacing w:after="0"/>
              <w:rPr>
                <w:sz w:val="20"/>
                <w:szCs w:val="20"/>
                <w:color w:val="auto"/>
              </w:rPr>
            </w:pPr>
            <w:r>
              <w:rPr>
                <w:rFonts w:ascii="Arial" w:cs="Arial" w:eastAsia="Arial" w:hAnsi="Arial"/>
                <w:sz w:val="18"/>
                <w:szCs w:val="18"/>
                <w:color w:val="auto"/>
              </w:rPr>
              <w:t>[d÷c]</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98.79%</w:t>
            </w:r>
          </w:p>
        </w:tc>
      </w:tr>
      <w:tr>
        <w:trPr>
          <w:trHeight w:val="27"/>
        </w:trPr>
        <w:tc>
          <w:tcPr>
            <w:tcW w:w="4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loans to core deposits</w:t>
            </w:r>
          </w:p>
        </w:tc>
        <w:tc>
          <w:tcPr>
            <w:tcW w:w="402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8"/>
                <w:szCs w:val="18"/>
                <w:color w:val="auto"/>
              </w:rPr>
              <w:t>[b÷d]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r>
      <w:tr>
        <w:trPr>
          <w:trHeight w:val="729"/>
        </w:trPr>
        <w:tc>
          <w:tcPr>
            <w:tcW w:w="4160" w:type="dxa"/>
            <w:vAlign w:val="bottom"/>
          </w:tcPr>
          <w:p>
            <w:pPr>
              <w:spacing w:after="0"/>
              <w:rPr>
                <w:sz w:val="24"/>
                <w:szCs w:val="24"/>
                <w:color w:val="auto"/>
              </w:rPr>
            </w:pPr>
          </w:p>
        </w:tc>
        <w:tc>
          <w:tcPr>
            <w:tcW w:w="4020" w:type="dxa"/>
            <w:vAlign w:val="bottom"/>
          </w:tcPr>
          <w:p>
            <w:pPr>
              <w:ind w:left="138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0"/>
        </w:trPr>
        <w:tc>
          <w:tcPr>
            <w:tcW w:w="41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Statements made in this document, other than those concerning historical financial information, may be considered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state, national, and international economy (including effects of inflationary pressures and supply chain constraints); (ii) the economic impact of any future terrorist threats or attacks, widespread disease or pandemics (including the Coronavirus Disease 2019 pandemic), or other adverse external events that could cause economic deterioration or instability in credit markets (including Russia’s invasion of Ukraine and the Israeli-Palestinian conflict); (iii) changes in state and federal laws, regulations, and governmental policies concerning Busey's general business (including changes in response to the recent failures of other banks); (iv) changes in accounting policies and practices (v) changes in interest rates and prepayment rates of Busey’s assets (including the impact of the LIBOR phase-out and the recent and potential additional rate increases by the Federal Reserve); (vi) increased competition in the financial services sector (including from non-bank competitors such as credit unions and fintech companies) and the inability to attract new customers; (vii) changes in technology and the ability to develop and maintain secure and reliable electronic systems; (viii) the loss of key executives or associates; (ix) changes in consumer spending; (x) unexpected results of current and/or future acquisitions, which may include failure to realize the anticipated benefits of any acquisition and the possibility that transaction costs may be greater than anticipated; (xi) unexpected outcomes of existing or new litigation involving Busey; (xii) fluctuations in the value of securities held in our securities portfolio; (xiii) concentrations within our loan portfolio, large loans to certain borrowers, and large deposits from certain clients; (xiv) the concentration of large deposits from certain clients who have balances above current FDIC insurance limits and may withdraw deposits to diversify their exposure; (xv) the level of non-performing assets on our balance sheets; (xvi) interruptions involving our information technology and communications systems or third-party servicers; (xvii) breaches or failures of our information security controls or cybersecurity-related incidents; and</w:t>
      </w:r>
    </w:p>
    <w:p>
      <w:pPr>
        <w:spacing w:after="0" w:line="10" w:lineRule="exact"/>
        <w:rPr>
          <w:sz w:val="20"/>
          <w:szCs w:val="20"/>
          <w:color w:val="auto"/>
        </w:rPr>
      </w:pPr>
    </w:p>
    <w:p>
      <w:pPr>
        <w:jc w:val="both"/>
        <w:ind w:firstLine="8"/>
        <w:spacing w:after="0" w:line="302" w:lineRule="auto"/>
        <w:tabs>
          <w:tab w:leader="none" w:pos="4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economic impact of exceptional weather occurrences such as tornadoes, hurricanes, floods, blizzards, and droughts. These risks and uncertainties should be considered in evaluating forward-looking statements and undue reliance should not be placed on such statements. Additional information concerning Busey and our business, including additional factors that could materially affect our financial results, is included in our filings with the SEC.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right="2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Busey has established various accounting policies that govern the application of GAAP in the preparation of its unaudited consolidated financial statements. Significant accounting policies are described in </w:t>
      </w:r>
      <w:r>
        <w:rPr>
          <w:rFonts w:ascii="Arial" w:cs="Arial" w:eastAsia="Arial" w:hAnsi="Arial"/>
          <w:sz w:val="17"/>
          <w:szCs w:val="17"/>
          <w:i w:val="1"/>
          <w:iCs w:val="1"/>
          <w:color w:val="auto"/>
        </w:rPr>
        <w:t>“</w:t>
      </w:r>
      <w:hyperlink r:id="rId91">
        <w:r>
          <w:rPr>
            <w:rFonts w:ascii="Arial" w:cs="Arial" w:eastAsia="Arial" w:hAnsi="Arial"/>
            <w:sz w:val="17"/>
            <w:szCs w:val="17"/>
            <w:i w:val="1"/>
            <w:iCs w:val="1"/>
            <w:u w:val="single" w:color="auto"/>
            <w:color w:val="0000FF"/>
          </w:rPr>
          <w:t>Note 1. Significant Accounting Policies</w:t>
        </w:r>
      </w:hyperlink>
      <w:r>
        <w:rPr>
          <w:rFonts w:ascii="Arial" w:cs="Arial" w:eastAsia="Arial" w:hAnsi="Arial"/>
          <w:sz w:val="17"/>
          <w:szCs w:val="17"/>
          <w:i w:val="1"/>
          <w:iCs w:val="1"/>
          <w:color w:val="auto"/>
        </w:rPr>
        <w:t>”</w:t>
      </w:r>
      <w:r>
        <w:rPr>
          <w:rFonts w:ascii="Arial" w:cs="Arial" w:eastAsia="Arial" w:hAnsi="Arial"/>
          <w:sz w:val="17"/>
          <w:szCs w:val="17"/>
          <w:color w:val="auto"/>
        </w:rPr>
        <w:t xml:space="preserve"> of </w:t>
      </w:r>
      <w:hyperlink r:id="rId26">
        <w:r>
          <w:rPr>
            <w:rFonts w:ascii="Arial" w:cs="Arial" w:eastAsia="Arial" w:hAnsi="Arial"/>
            <w:sz w:val="17"/>
            <w:szCs w:val="17"/>
            <w:u w:val="single" w:color="auto"/>
            <w:color w:val="0000FF"/>
          </w:rPr>
          <w:t>Busey’s 2022 Annual Report</w:t>
        </w:r>
      </w:hyperlink>
      <w:r>
        <w:rPr>
          <w:rFonts w:ascii="Arial" w:cs="Arial" w:eastAsia="Arial" w:hAnsi="Arial"/>
          <w:sz w:val="17"/>
          <w:szCs w:val="17"/>
          <w:color w:val="auto"/>
        </w:rPr>
        <w:t>.</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accounting estimates are those that are critical to the portrayal and understanding of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Management has reviewed these critical accounting estimates and related disclosures with our Audit Committee. The following accounting policies could be deemed critical: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 Securities Available for Sale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Different fair value estimates could result from the use of different judgments and estimates to determine the fair values of securities.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securities gains or losses are reported in the Consolidated Statements of Income (Unaudited). The cost of securities sold is based on the specific identification method.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allowance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consider the following factors in assessing whether the decline is due to a credit loss:</w:t>
      </w:r>
    </w:p>
    <w:p>
      <w:pPr>
        <w:spacing w:after="0" w:line="18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98"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Business Combinations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 “the price that would be received to sell an asset or paid to transfer a liability in an orderly transaction between market participants at the measurement date.”</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fair value of a loan portfolio acquired in a business combination generally requires greater levels of management estimates and judgment than other assets acquired or liabilities assumed. Acquired loans are in the scope of ASC Topic 326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Busey estimates income tax expense based on amounts expected to be owed to federal and state tax jurisdictions. Estimated income tax expense is reported in the Consolidated Statements of Income (Unaudited). Accrued and deferred taxes, as reported in other assets or other liabilities in the Consolidated Balance Sheets (Unaudited),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Busey calculates the ACL at each reporting date. We recognize an allowance for the lifetime expected credit losses for the amount we do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we may conclude a loan should be evaluated on an individual basis based on disparate risk characteristics.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minimal impact or do not arise in the normal course of Busey’s business activities.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Busey has an asset-liability committee, whose policy is to meet at least quarterly, to review current market conditions and to structure the Consolidated Balance Sheets (Unaudited) to optimize stability in net interest income in consideration of projected future changes in interest rates.</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Busey’s interest rate risk resulting from immediate and sustained changes in interest rates, expressed as a change in net interest income as a percentage of the net interest income calculated in the constant base model,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6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Year-One: Basis Point Changes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9"/>
        </w:trPr>
        <w:tc>
          <w:tcPr>
            <w:tcW w:w="23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2380" w:type="dxa"/>
            <w:vAlign w:val="bottom"/>
          </w:tcPr>
          <w:p>
            <w:pPr>
              <w:spacing w:after="0"/>
              <w:rPr>
                <w:sz w:val="16"/>
                <w:szCs w:val="16"/>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-400</w:t>
            </w:r>
          </w:p>
        </w:tc>
        <w:tc>
          <w:tcPr>
            <w:tcW w:w="100" w:type="dxa"/>
            <w:vAlign w:val="bottom"/>
          </w:tcPr>
          <w:p>
            <w:pPr>
              <w:spacing w:after="0"/>
              <w:rPr>
                <w:sz w:val="16"/>
                <w:szCs w:val="16"/>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6"/>
                <w:szCs w:val="16"/>
                <w:color w:val="auto"/>
              </w:rPr>
            </w:pPr>
          </w:p>
        </w:tc>
        <w:tc>
          <w:tcPr>
            <w:tcW w:w="11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- 100</w:t>
            </w:r>
          </w:p>
        </w:tc>
        <w:tc>
          <w:tcPr>
            <w:tcW w:w="100" w:type="dxa"/>
            <w:vAlign w:val="bottom"/>
          </w:tcPr>
          <w:p>
            <w:pPr>
              <w:spacing w:after="0"/>
              <w:rPr>
                <w:sz w:val="16"/>
                <w:szCs w:val="16"/>
                <w:color w:val="auto"/>
              </w:rPr>
            </w:pPr>
          </w:p>
        </w:tc>
        <w:tc>
          <w:tcPr>
            <w:tcW w:w="980" w:type="dxa"/>
            <w:vAlign w:val="bottom"/>
          </w:tcPr>
          <w:p>
            <w:pPr>
              <w:jc w:val="right"/>
              <w:ind w:right="256"/>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6"/>
                <w:szCs w:val="16"/>
                <w:color w:val="auto"/>
              </w:rPr>
            </w:pPr>
          </w:p>
        </w:tc>
        <w:tc>
          <w:tcPr>
            <w:tcW w:w="980" w:type="dxa"/>
            <w:vAlign w:val="bottom"/>
          </w:tcPr>
          <w:p>
            <w:pPr>
              <w:jc w:val="right"/>
              <w:ind w:right="256"/>
              <w:spacing w:after="0"/>
              <w:rPr>
                <w:sz w:val="20"/>
                <w:szCs w:val="20"/>
                <w:color w:val="auto"/>
              </w:rPr>
            </w:pPr>
            <w:r>
              <w:rPr>
                <w:rFonts w:ascii="Arial" w:cs="Arial" w:eastAsia="Arial" w:hAnsi="Arial"/>
                <w:sz w:val="14"/>
                <w:szCs w:val="14"/>
                <w:b w:val="1"/>
                <w:bCs w:val="1"/>
                <w:color w:val="auto"/>
              </w:rPr>
              <w:t>+200</w:t>
            </w:r>
          </w:p>
        </w:tc>
        <w:tc>
          <w:tcPr>
            <w:tcW w:w="100" w:type="dxa"/>
            <w:vAlign w:val="bottom"/>
          </w:tcPr>
          <w:p>
            <w:pPr>
              <w:spacing w:after="0"/>
              <w:rPr>
                <w:sz w:val="16"/>
                <w:szCs w:val="16"/>
                <w:color w:val="auto"/>
              </w:rPr>
            </w:pPr>
          </w:p>
        </w:tc>
        <w:tc>
          <w:tcPr>
            <w:tcW w:w="980" w:type="dxa"/>
            <w:vAlign w:val="bottom"/>
          </w:tcPr>
          <w:p>
            <w:pPr>
              <w:jc w:val="right"/>
              <w:ind w:right="256"/>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6"/>
                <w:szCs w:val="16"/>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+400</w:t>
            </w:r>
          </w:p>
        </w:tc>
      </w:tr>
      <w:tr>
        <w:trPr>
          <w:trHeight w:val="39"/>
        </w:trPr>
        <w:tc>
          <w:tcPr>
            <w:tcW w:w="23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(8.08)%</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931"/>
        </w:trPr>
        <w:tc>
          <w:tcPr>
            <w:tcW w:w="2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0"/>
        </w:trPr>
        <w:tc>
          <w:tcPr>
            <w:tcW w:w="2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Year-Two: Basis Point Changes</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9"/>
        </w:trPr>
        <w:tc>
          <w:tcPr>
            <w:tcW w:w="23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2360" w:type="dxa"/>
            <w:vAlign w:val="bottom"/>
          </w:tcPr>
          <w:p>
            <w:pPr>
              <w:spacing w:after="0"/>
              <w:rPr>
                <w:sz w:val="16"/>
                <w:szCs w:val="16"/>
                <w:color w:val="auto"/>
              </w:rPr>
            </w:pPr>
          </w:p>
        </w:tc>
        <w:tc>
          <w:tcPr>
            <w:tcW w:w="1120" w:type="dxa"/>
            <w:vAlign w:val="bottom"/>
          </w:tcPr>
          <w:p>
            <w:pPr>
              <w:ind w:left="420"/>
              <w:spacing w:after="0"/>
              <w:rPr>
                <w:sz w:val="20"/>
                <w:szCs w:val="20"/>
                <w:color w:val="auto"/>
              </w:rPr>
            </w:pPr>
            <w:r>
              <w:rPr>
                <w:rFonts w:ascii="Arial" w:cs="Arial" w:eastAsia="Arial" w:hAnsi="Arial"/>
                <w:sz w:val="14"/>
                <w:szCs w:val="14"/>
                <w:b w:val="1"/>
                <w:bCs w:val="1"/>
                <w:color w:val="auto"/>
              </w:rPr>
              <w:t>-400</w:t>
            </w:r>
          </w:p>
        </w:tc>
        <w:tc>
          <w:tcPr>
            <w:tcW w:w="100" w:type="dxa"/>
            <w:vAlign w:val="bottom"/>
          </w:tcPr>
          <w:p>
            <w:pPr>
              <w:spacing w:after="0"/>
              <w:rPr>
                <w:sz w:val="16"/>
                <w:szCs w:val="16"/>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-300</w:t>
            </w:r>
          </w:p>
        </w:tc>
        <w:tc>
          <w:tcPr>
            <w:tcW w:w="80" w:type="dxa"/>
            <w:vAlign w:val="bottom"/>
          </w:tcPr>
          <w:p>
            <w:pPr>
              <w:spacing w:after="0"/>
              <w:rPr>
                <w:sz w:val="16"/>
                <w:szCs w:val="16"/>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-200</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- 100</w:t>
            </w:r>
          </w:p>
        </w:tc>
        <w:tc>
          <w:tcPr>
            <w:tcW w:w="80" w:type="dxa"/>
            <w:vAlign w:val="bottom"/>
          </w:tcPr>
          <w:p>
            <w:pPr>
              <w:spacing w:after="0"/>
              <w:rPr>
                <w:sz w:val="16"/>
                <w:szCs w:val="16"/>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6"/>
                <w:szCs w:val="16"/>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+200</w:t>
            </w:r>
          </w:p>
        </w:tc>
        <w:tc>
          <w:tcPr>
            <w:tcW w:w="80" w:type="dxa"/>
            <w:vAlign w:val="bottom"/>
          </w:tcPr>
          <w:p>
            <w:pPr>
              <w:spacing w:after="0"/>
              <w:rPr>
                <w:sz w:val="16"/>
                <w:szCs w:val="16"/>
                <w:color w:val="auto"/>
              </w:rPr>
            </w:pPr>
          </w:p>
        </w:tc>
        <w:tc>
          <w:tcPr>
            <w:tcW w:w="1000" w:type="dxa"/>
            <w:vAlign w:val="bottom"/>
          </w:tcPr>
          <w:p>
            <w:pPr>
              <w:jc w:val="right"/>
              <w:ind w:right="256"/>
              <w:spacing w:after="0"/>
              <w:rPr>
                <w:sz w:val="20"/>
                <w:szCs w:val="20"/>
                <w:color w:val="auto"/>
              </w:rPr>
            </w:pPr>
            <w:r>
              <w:rPr>
                <w:rFonts w:ascii="Arial" w:cs="Arial" w:eastAsia="Arial" w:hAnsi="Arial"/>
                <w:sz w:val="14"/>
                <w:szCs w:val="14"/>
                <w:b w:val="1"/>
                <w:bCs w:val="1"/>
                <w:color w:val="auto"/>
              </w:rPr>
              <w:t>+300</w:t>
            </w:r>
          </w:p>
        </w:tc>
        <w:tc>
          <w:tcPr>
            <w:tcW w:w="100" w:type="dxa"/>
            <w:vAlign w:val="bottom"/>
          </w:tcPr>
          <w:p>
            <w:pPr>
              <w:spacing w:after="0"/>
              <w:rPr>
                <w:sz w:val="16"/>
                <w:szCs w:val="16"/>
                <w:color w:val="auto"/>
              </w:rPr>
            </w:pPr>
          </w:p>
        </w:tc>
        <w:tc>
          <w:tcPr>
            <w:tcW w:w="1000" w:type="dxa"/>
            <w:vAlign w:val="bottom"/>
          </w:tcPr>
          <w:p>
            <w:pPr>
              <w:jc w:val="right"/>
              <w:ind w:right="276"/>
              <w:spacing w:after="0"/>
              <w:rPr>
                <w:sz w:val="20"/>
                <w:szCs w:val="20"/>
                <w:color w:val="auto"/>
              </w:rPr>
            </w:pPr>
            <w:r>
              <w:rPr>
                <w:rFonts w:ascii="Arial" w:cs="Arial" w:eastAsia="Arial" w:hAnsi="Arial"/>
                <w:sz w:val="14"/>
                <w:szCs w:val="14"/>
                <w:b w:val="1"/>
                <w:bCs w:val="1"/>
                <w:color w:val="auto"/>
              </w:rPr>
              <w:t>+400</w:t>
            </w:r>
          </w:p>
        </w:tc>
      </w:tr>
      <w:tr>
        <w:trPr>
          <w:trHeight w:val="39"/>
        </w:trPr>
        <w:tc>
          <w:tcPr>
            <w:tcW w:w="23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3"/>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43"/>
        </w:trPr>
        <w:tc>
          <w:tcPr>
            <w:tcW w:w="236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120" w:type="dxa"/>
            <w:vAlign w:val="bottom"/>
          </w:tcPr>
          <w:p>
            <w:pPr>
              <w:ind w:left="420"/>
              <w:spacing w:after="0"/>
              <w:rPr>
                <w:sz w:val="20"/>
                <w:szCs w:val="20"/>
                <w:color w:val="auto"/>
              </w:rPr>
            </w:pPr>
            <w:r>
              <w:rPr>
                <w:rFonts w:ascii="Arial" w:cs="Arial" w:eastAsia="Arial" w:hAnsi="Arial"/>
                <w:sz w:val="18"/>
                <w:szCs w:val="18"/>
                <w:color w:val="auto"/>
                <w:w w:val="93"/>
              </w:rPr>
              <w:t>(27.82)%</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(5.27)%</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w:t>
            </w: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September 30, 2023, under the supervision and with the participation of our Chief Executive Officer, Chief Financial Officer, and several other members of our senior management. Based on this evaluation, our Chief Executive Officer and Chief Financial Officer concluded that, as of September 30, 2023,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September 30, 2023, no change occurred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ordinary course of business, First Busey Corporation and its subsidiaries are parties to litigation that is incidental to their regular business activities.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pacing w:after="0" w:line="12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to the risk factors disclosed in </w:t>
      </w:r>
      <w:hyperlink r:id="rId145">
        <w:r>
          <w:rPr>
            <w:rFonts w:ascii="Arial" w:cs="Arial" w:eastAsia="Arial" w:hAnsi="Arial"/>
            <w:sz w:val="18"/>
            <w:szCs w:val="18"/>
            <w:i w:val="1"/>
            <w:iCs w:val="1"/>
            <w:u w:val="single" w:color="auto"/>
            <w:color w:val="0000FF"/>
          </w:rPr>
          <w:t>Part I—Item 1A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w:t>
      </w:r>
      <w:hyperlink r:id="rId26">
        <w:r>
          <w:rPr>
            <w:rFonts w:ascii="Arial" w:cs="Arial" w:eastAsia="Arial" w:hAnsi="Arial"/>
            <w:sz w:val="18"/>
            <w:szCs w:val="18"/>
            <w:u w:val="single" w:color="auto"/>
            <w:color w:val="0000FF"/>
          </w:rPr>
          <w:t>Busey’s 2022 Annual Report</w:t>
        </w:r>
      </w:hyperlink>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0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3, 2015, Busey’s board of directors authorized the Company to repurchase up to an aggregate of 666,667 shares of its common stock. The repurchase plan has no expiration date, and has been amended to increase the number of shares available for repurchase as follows:</w:t>
      </w:r>
    </w:p>
    <w:p>
      <w:pPr>
        <w:spacing w:after="0" w:line="106" w:lineRule="exact"/>
        <w:rPr>
          <w:sz w:val="20"/>
          <w:szCs w:val="20"/>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May 22, 2019, Busey’s board of directors approved an amendment to increase the authorized shares under the repurchase plan by 1,000,000 shares.</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February 5, 2020, Busey’s board of directors approved an amendment to increase the authorized shares under the repurchase plan by an additional 2,000,000 shares.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May 24, 2023, Busey’s board of directors approved an amendment to increase the authorized shares under the repurchase plan by an additional 2,000,000 shares.</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third quarter of 2023, Busey purchased 65,123 shares under the repurchase plan. As of September 30, 2023, the Company had 2,037,087 shares that may still be purchased under the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Shares That May Yet Be</w:t>
            </w:r>
          </w:p>
        </w:tc>
      </w:tr>
      <w:tr>
        <w:trPr>
          <w:trHeight w:val="162"/>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right"/>
              <w:ind w:right="75"/>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Average Price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 Plans</w:t>
            </w: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Under the Plans</w:t>
            </w:r>
          </w:p>
        </w:tc>
      </w:tr>
      <w:tr>
        <w:trPr>
          <w:trHeight w:val="200"/>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tcPr>
          <w:p>
            <w:pPr>
              <w:jc w:val="right"/>
              <w:ind w:right="495"/>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Paid per Common Share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r>
      <w:tr>
        <w:trPr>
          <w:trHeight w:val="25"/>
        </w:trPr>
        <w:tc>
          <w:tcPr>
            <w:tcW w:w="3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1-31, 2023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2,092,845</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August 1-31, 2023</w:t>
            </w:r>
          </w:p>
        </w:tc>
        <w:tc>
          <w:tcPr>
            <w:tcW w:w="1800" w:type="dxa"/>
            <w:vAlign w:val="bottom"/>
          </w:tcPr>
          <w:p>
            <w:pPr>
              <w:jc w:val="right"/>
              <w:spacing w:after="0"/>
              <w:rPr>
                <w:sz w:val="20"/>
                <w:szCs w:val="20"/>
                <w:color w:val="auto"/>
              </w:rPr>
            </w:pPr>
            <w:r>
              <w:rPr>
                <w:rFonts w:ascii="Arial" w:cs="Arial" w:eastAsia="Arial" w:hAnsi="Arial"/>
                <w:sz w:val="18"/>
                <w:szCs w:val="18"/>
                <w:color w:val="auto"/>
              </w:rPr>
              <w:t>4,194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4,194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2,088,651</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1-30, 2023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51,564</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2,037,087</w:t>
            </w:r>
          </w:p>
        </w:tc>
      </w:tr>
      <w:tr>
        <w:trPr>
          <w:trHeight w:val="26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Three months ended September 30, 2023</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19.63</w:t>
            </w:r>
          </w:p>
        </w:tc>
        <w:tc>
          <w:tcPr>
            <w:tcW w:w="8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65,123</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r>
      <w:tr>
        <w:trPr>
          <w:trHeight w:val="237"/>
        </w:trPr>
        <w:tc>
          <w:tcPr>
            <w:tcW w:w="3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7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Nine months ended September 30, 2023</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110,123</w:t>
            </w:r>
          </w:p>
        </w:tc>
        <w:tc>
          <w:tcPr>
            <w:tcW w:w="10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fiscal quarter ended September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020"/>
          </w:cols>
          <w:pgMar w:left="320" w:top="301" w:right="5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9169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20656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0000EE"/>
        </w:rPr>
        <w:t>Certification of Principal Executive Officer, pursuant to Rule 13a-14(a) and Rule 15d-14(a)</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0000EE"/>
        </w:rPr>
        <w:t>Certification of Principal Financial Officer, pursuant to Rule 13a-14(a) and Rule 15d-14(a)</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0000EE"/>
        </w:rPr>
        <w:t>Certification pursuant to 18 U.S.C. Section 1350, as adopted pursuant to Section 906 of the Sarbanes-Oxley Act of 2002, from First Busey’s Chief Executive Officer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0000EE"/>
        </w:rPr>
        <w:t>Certification pursuant to 18 U.S.C. Section 1350, as adopted pursuant to Section 906 of the Sarbanes-Oxley Act of 2002, from First Busey’s Chief Financial Officer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2580" w:type="dxa"/>
            <w:vAlign w:val="bottom"/>
            <w:gridSpan w:val="2"/>
          </w:tcPr>
          <w:p>
            <w:pPr>
              <w:ind w:left="240"/>
              <w:spacing w:after="0"/>
              <w:rPr>
                <w:sz w:val="20"/>
                <w:szCs w:val="20"/>
                <w:color w:val="auto"/>
              </w:rPr>
            </w:pPr>
            <w:r>
              <w:rPr>
                <w:rFonts w:ascii="Arial" w:cs="Arial" w:eastAsia="Arial" w:hAnsi="Arial"/>
                <w:sz w:val="14"/>
                <w:szCs w:val="14"/>
                <w:b w:val="1"/>
                <w:bCs w:val="1"/>
                <w:color w:val="auto"/>
              </w:rPr>
              <w:t>Incorporated herein by reference</w:t>
            </w: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0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60"/>
        </w:trPr>
        <w:tc>
          <w:tcPr>
            <w:tcW w:w="1360" w:type="dxa"/>
            <w:vAlign w:val="bottom"/>
          </w:tcPr>
          <w:p>
            <w:pPr>
              <w:jc w:val="center"/>
              <w:ind w:left="28"/>
              <w:spacing w:after="0" w:line="160" w:lineRule="exact"/>
              <w:rPr>
                <w:sz w:val="20"/>
                <w:szCs w:val="20"/>
                <w:color w:val="auto"/>
              </w:rPr>
            </w:pPr>
            <w:r>
              <w:rPr>
                <w:rFonts w:ascii="Arial" w:cs="Arial" w:eastAsia="Arial" w:hAnsi="Arial"/>
                <w:sz w:val="14"/>
                <w:szCs w:val="14"/>
                <w:b w:val="1"/>
                <w:bCs w:val="1"/>
                <w:color w:val="auto"/>
                <w:w w:val="94"/>
              </w:rPr>
              <w:t>Filing Entity</w:t>
            </w:r>
            <w:r>
              <w:rPr>
                <w:rFonts w:ascii="Arial" w:cs="Arial" w:eastAsia="Arial" w:hAnsi="Arial"/>
                <w:sz w:val="18"/>
                <w:szCs w:val="18"/>
                <w:b w:val="1"/>
                <w:bCs w:val="1"/>
                <w:color w:val="auto"/>
                <w:w w:val="94"/>
                <w:vertAlign w:val="superscript"/>
              </w:rPr>
              <w:t>1</w:t>
            </w: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360" w:type="dxa"/>
            <w:vAlign w:val="bottom"/>
          </w:tcPr>
          <w:p>
            <w:pPr>
              <w:jc w:val="center"/>
              <w:ind w:left="28"/>
              <w:spacing w:after="0"/>
              <w:rPr>
                <w:sz w:val="20"/>
                <w:szCs w:val="20"/>
                <w:color w:val="auto"/>
              </w:rPr>
            </w:pPr>
            <w:r>
              <w:rPr>
                <w:rFonts w:ascii="Arial" w:cs="Arial" w:eastAsia="Arial" w:hAnsi="Arial"/>
                <w:sz w:val="14"/>
                <w:szCs w:val="14"/>
                <w:b w:val="1"/>
                <w:bCs w:val="1"/>
                <w:color w:val="auto"/>
                <w:w w:val="96"/>
              </w:rPr>
              <w:t>(File No.)</w:t>
            </w:r>
          </w:p>
        </w:tc>
        <w:tc>
          <w:tcPr>
            <w:tcW w:w="1280" w:type="dxa"/>
            <w:vAlign w:val="bottom"/>
          </w:tcPr>
          <w:p>
            <w:pPr>
              <w:ind w:left="540"/>
              <w:spacing w:after="0"/>
              <w:rPr>
                <w:sz w:val="20"/>
                <w:szCs w:val="20"/>
                <w:color w:val="auto"/>
              </w:rPr>
            </w:pPr>
            <w:r>
              <w:rPr>
                <w:rFonts w:ascii="Arial" w:cs="Arial" w:eastAsia="Arial" w:hAnsi="Arial"/>
                <w:sz w:val="14"/>
                <w:szCs w:val="14"/>
                <w:b w:val="1"/>
                <w:bCs w:val="1"/>
                <w:color w:val="auto"/>
              </w:rPr>
              <w:t>Form</w:t>
            </w:r>
          </w:p>
        </w:tc>
        <w:tc>
          <w:tcPr>
            <w:tcW w:w="1300" w:type="dxa"/>
            <w:vAlign w:val="bottom"/>
          </w:tcPr>
          <w:p>
            <w:pPr>
              <w:ind w:left="420"/>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Filing Date</w:t>
            </w:r>
          </w:p>
        </w:tc>
        <w:tc>
          <w:tcPr>
            <w:tcW w:w="900" w:type="dxa"/>
            <w:vAlign w:val="bottom"/>
          </w:tcPr>
          <w:p>
            <w:pPr>
              <w:jc w:val="center"/>
              <w:ind w:left="24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40290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4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X</w:t>
      </w:r>
    </w:p>
    <w:p>
      <w:pPr>
        <w:spacing w:after="0" w:line="872" w:lineRule="exact"/>
        <w:rPr>
          <w:sz w:val="20"/>
          <w:szCs w:val="20"/>
          <w:color w:val="auto"/>
        </w:rPr>
      </w:pPr>
    </w:p>
    <w:p>
      <w:pPr>
        <w:sectPr>
          <w:pgSz w:w="11900" w:h="16838" w:orient="portrait"/>
          <w:cols w:equalWidth="0" w:num="3">
            <w:col w:w="980" w:space="580"/>
            <w:col w:w="3220" w:space="120"/>
            <w:col w:w="6120"/>
          </w:cols>
          <w:pgMar w:left="320" w:top="301" w:right="55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2740" w:type="dxa"/>
            <w:vAlign w:val="bottom"/>
            <w:gridSpan w:val="3"/>
          </w:tcPr>
          <w:p>
            <w:pPr>
              <w:ind w:left="420"/>
              <w:spacing w:after="0"/>
              <w:rPr>
                <w:sz w:val="20"/>
                <w:szCs w:val="20"/>
                <w:color w:val="auto"/>
              </w:rPr>
            </w:pPr>
            <w:r>
              <w:rPr>
                <w:rFonts w:ascii="Arial" w:cs="Arial" w:eastAsia="Arial" w:hAnsi="Arial"/>
                <w:sz w:val="18"/>
                <w:szCs w:val="18"/>
                <w:color w:val="auto"/>
              </w:rPr>
              <w:t>iXBRL Instance Document</w:t>
            </w:r>
          </w:p>
        </w:tc>
        <w:tc>
          <w:tcPr>
            <w:tcW w:w="90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3640" w:type="dxa"/>
            <w:vAlign w:val="bottom"/>
            <w:gridSpan w:val="4"/>
          </w:tcPr>
          <w:p>
            <w:pPr>
              <w:ind w:left="420"/>
              <w:spacing w:after="0"/>
              <w:rPr>
                <w:sz w:val="20"/>
                <w:szCs w:val="20"/>
                <w:color w:val="auto"/>
              </w:rPr>
            </w:pPr>
            <w:r>
              <w:rPr>
                <w:rFonts w:ascii="Arial" w:cs="Arial" w:eastAsia="Arial" w:hAnsi="Arial"/>
                <w:sz w:val="18"/>
                <w:szCs w:val="18"/>
                <w:color w:val="auto"/>
              </w:rPr>
              <w:t>iXBRL Taxonomy Extension Schema</w:t>
            </w: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00" w:type="dxa"/>
            <w:vAlign w:val="bottom"/>
          </w:tcPr>
          <w:p>
            <w:pPr>
              <w:ind w:left="420"/>
              <w:spacing w:after="0"/>
              <w:rPr>
                <w:sz w:val="20"/>
                <w:szCs w:val="20"/>
                <w:color w:val="auto"/>
              </w:rPr>
            </w:pPr>
            <w:r>
              <w:rPr>
                <w:rFonts w:ascii="Arial" w:cs="Arial" w:eastAsia="Arial" w:hAnsi="Arial"/>
                <w:sz w:val="18"/>
                <w:szCs w:val="18"/>
                <w:color w:val="auto"/>
              </w:rPr>
              <w:t>iXBRL</w:t>
            </w:r>
          </w:p>
        </w:tc>
        <w:tc>
          <w:tcPr>
            <w:tcW w:w="900" w:type="dxa"/>
            <w:vAlign w:val="bottom"/>
          </w:tcPr>
          <w:p>
            <w:pPr>
              <w:ind w:left="80"/>
              <w:spacing w:after="0"/>
              <w:rPr>
                <w:sz w:val="20"/>
                <w:szCs w:val="20"/>
                <w:color w:val="auto"/>
              </w:rPr>
            </w:pPr>
            <w:r>
              <w:rPr>
                <w:rFonts w:ascii="Arial" w:cs="Arial" w:eastAsia="Arial" w:hAnsi="Arial"/>
                <w:sz w:val="18"/>
                <w:szCs w:val="18"/>
                <w:color w:val="auto"/>
                <w:w w:val="95"/>
              </w:rPr>
              <w:t>Taxonomy</w:t>
            </w:r>
          </w:p>
        </w:tc>
        <w:tc>
          <w:tcPr>
            <w:tcW w:w="840" w:type="dxa"/>
            <w:vAlign w:val="bottom"/>
          </w:tcPr>
          <w:p>
            <w:pPr>
              <w:ind w:left="60"/>
              <w:spacing w:after="0"/>
              <w:rPr>
                <w:sz w:val="20"/>
                <w:szCs w:val="20"/>
                <w:color w:val="auto"/>
              </w:rPr>
            </w:pPr>
            <w:r>
              <w:rPr>
                <w:rFonts w:ascii="Arial" w:cs="Arial" w:eastAsia="Arial" w:hAnsi="Arial"/>
                <w:sz w:val="18"/>
                <w:szCs w:val="18"/>
                <w:color w:val="auto"/>
                <w:w w:val="96"/>
              </w:rPr>
              <w:t>Extension</w:t>
            </w:r>
          </w:p>
        </w:tc>
        <w:tc>
          <w:tcPr>
            <w:tcW w:w="900" w:type="dxa"/>
            <w:vAlign w:val="bottom"/>
          </w:tcPr>
          <w:p>
            <w:pPr>
              <w:jc w:val="right"/>
              <w:spacing w:after="0"/>
              <w:rPr>
                <w:sz w:val="20"/>
                <w:szCs w:val="20"/>
                <w:color w:val="auto"/>
              </w:rPr>
            </w:pPr>
            <w:r>
              <w:rPr>
                <w:rFonts w:ascii="Arial" w:cs="Arial" w:eastAsia="Arial" w:hAnsi="Arial"/>
                <w:sz w:val="18"/>
                <w:szCs w:val="18"/>
                <w:color w:val="auto"/>
                <w:w w:val="98"/>
              </w:rPr>
              <w:t>Calculation</w:t>
            </w:r>
          </w:p>
        </w:tc>
      </w:tr>
      <w:tr>
        <w:trPr>
          <w:trHeight w:val="230"/>
        </w:trPr>
        <w:tc>
          <w:tcPr>
            <w:tcW w:w="1120" w:type="dxa"/>
            <w:vAlign w:val="bottom"/>
          </w:tcPr>
          <w:p>
            <w:pPr>
              <w:spacing w:after="0"/>
              <w:rPr>
                <w:sz w:val="20"/>
                <w:szCs w:val="20"/>
                <w:color w:val="auto"/>
              </w:rPr>
            </w:pPr>
          </w:p>
        </w:tc>
        <w:tc>
          <w:tcPr>
            <w:tcW w:w="1900" w:type="dxa"/>
            <w:vAlign w:val="bottom"/>
            <w:gridSpan w:val="2"/>
          </w:tcPr>
          <w:p>
            <w:pPr>
              <w:ind w:left="420"/>
              <w:spacing w:after="0"/>
              <w:rPr>
                <w:sz w:val="20"/>
                <w:szCs w:val="20"/>
                <w:color w:val="auto"/>
              </w:rPr>
            </w:pPr>
            <w:r>
              <w:rPr>
                <w:rFonts w:ascii="Arial" w:cs="Arial" w:eastAsia="Arial" w:hAnsi="Arial"/>
                <w:sz w:val="18"/>
                <w:szCs w:val="18"/>
                <w:color w:val="auto"/>
              </w:rPr>
              <w:t>Linkbase</w:t>
            </w: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00" w:type="dxa"/>
            <w:vAlign w:val="bottom"/>
          </w:tcPr>
          <w:p>
            <w:pPr>
              <w:ind w:left="420"/>
              <w:spacing w:after="0"/>
              <w:rPr>
                <w:sz w:val="20"/>
                <w:szCs w:val="20"/>
                <w:color w:val="auto"/>
              </w:rPr>
            </w:pPr>
            <w:r>
              <w:rPr>
                <w:rFonts w:ascii="Arial" w:cs="Arial" w:eastAsia="Arial" w:hAnsi="Arial"/>
                <w:sz w:val="18"/>
                <w:szCs w:val="18"/>
                <w:color w:val="auto"/>
              </w:rPr>
              <w:t>iXBRL</w:t>
            </w: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rPr>
              <w:t>Taxonomy   Extension   Label</w:t>
            </w:r>
          </w:p>
        </w:tc>
      </w:tr>
      <w:tr>
        <w:trPr>
          <w:trHeight w:val="230"/>
        </w:trPr>
        <w:tc>
          <w:tcPr>
            <w:tcW w:w="1120" w:type="dxa"/>
            <w:vAlign w:val="bottom"/>
          </w:tcPr>
          <w:p>
            <w:pPr>
              <w:spacing w:after="0"/>
              <w:rPr>
                <w:sz w:val="20"/>
                <w:szCs w:val="20"/>
                <w:color w:val="auto"/>
              </w:rPr>
            </w:pPr>
          </w:p>
        </w:tc>
        <w:tc>
          <w:tcPr>
            <w:tcW w:w="1900" w:type="dxa"/>
            <w:vAlign w:val="bottom"/>
            <w:gridSpan w:val="2"/>
          </w:tcPr>
          <w:p>
            <w:pPr>
              <w:ind w:left="420"/>
              <w:spacing w:after="0"/>
              <w:rPr>
                <w:sz w:val="20"/>
                <w:szCs w:val="20"/>
                <w:color w:val="auto"/>
              </w:rPr>
            </w:pPr>
            <w:r>
              <w:rPr>
                <w:rFonts w:ascii="Arial" w:cs="Arial" w:eastAsia="Arial" w:hAnsi="Arial"/>
                <w:sz w:val="18"/>
                <w:szCs w:val="18"/>
                <w:color w:val="auto"/>
              </w:rPr>
              <w:t>Linkbase</w:t>
            </w: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00" w:type="dxa"/>
            <w:vAlign w:val="bottom"/>
          </w:tcPr>
          <w:p>
            <w:pPr>
              <w:ind w:left="420"/>
              <w:spacing w:after="0"/>
              <w:rPr>
                <w:sz w:val="20"/>
                <w:szCs w:val="20"/>
                <w:color w:val="auto"/>
              </w:rPr>
            </w:pPr>
            <w:r>
              <w:rPr>
                <w:rFonts w:ascii="Arial" w:cs="Arial" w:eastAsia="Arial" w:hAnsi="Arial"/>
                <w:sz w:val="18"/>
                <w:szCs w:val="18"/>
                <w:color w:val="auto"/>
              </w:rPr>
              <w:t>iXBRL</w:t>
            </w:r>
          </w:p>
        </w:tc>
        <w:tc>
          <w:tcPr>
            <w:tcW w:w="900" w:type="dxa"/>
            <w:vAlign w:val="bottom"/>
          </w:tcPr>
          <w:p>
            <w:pPr>
              <w:ind w:left="60"/>
              <w:spacing w:after="0"/>
              <w:rPr>
                <w:sz w:val="20"/>
                <w:szCs w:val="20"/>
                <w:color w:val="auto"/>
              </w:rPr>
            </w:pPr>
            <w:r>
              <w:rPr>
                <w:rFonts w:ascii="Arial" w:cs="Arial" w:eastAsia="Arial" w:hAnsi="Arial"/>
                <w:sz w:val="18"/>
                <w:szCs w:val="18"/>
                <w:color w:val="auto"/>
                <w:w w:val="97"/>
              </w:rPr>
              <w:t>Taxonomy</w:t>
            </w:r>
          </w:p>
        </w:tc>
        <w:tc>
          <w:tcPr>
            <w:tcW w:w="840" w:type="dxa"/>
            <w:vAlign w:val="bottom"/>
          </w:tcPr>
          <w:p>
            <w:pPr>
              <w:ind w:left="20"/>
              <w:spacing w:after="0"/>
              <w:rPr>
                <w:sz w:val="20"/>
                <w:szCs w:val="20"/>
                <w:color w:val="auto"/>
              </w:rPr>
            </w:pPr>
            <w:r>
              <w:rPr>
                <w:rFonts w:ascii="Arial" w:cs="Arial" w:eastAsia="Arial" w:hAnsi="Arial"/>
                <w:sz w:val="18"/>
                <w:szCs w:val="18"/>
                <w:color w:val="auto"/>
              </w:rPr>
              <w:t>Extension</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Presentation</w:t>
            </w:r>
          </w:p>
        </w:tc>
      </w:tr>
      <w:tr>
        <w:trPr>
          <w:trHeight w:val="230"/>
        </w:trPr>
        <w:tc>
          <w:tcPr>
            <w:tcW w:w="1120" w:type="dxa"/>
            <w:vAlign w:val="bottom"/>
          </w:tcPr>
          <w:p>
            <w:pPr>
              <w:spacing w:after="0"/>
              <w:rPr>
                <w:sz w:val="20"/>
                <w:szCs w:val="20"/>
                <w:color w:val="auto"/>
              </w:rPr>
            </w:pPr>
          </w:p>
        </w:tc>
        <w:tc>
          <w:tcPr>
            <w:tcW w:w="1900" w:type="dxa"/>
            <w:vAlign w:val="bottom"/>
            <w:gridSpan w:val="2"/>
          </w:tcPr>
          <w:p>
            <w:pPr>
              <w:ind w:left="420"/>
              <w:spacing w:after="0"/>
              <w:rPr>
                <w:sz w:val="20"/>
                <w:szCs w:val="20"/>
                <w:color w:val="auto"/>
              </w:rPr>
            </w:pPr>
            <w:r>
              <w:rPr>
                <w:rFonts w:ascii="Arial" w:cs="Arial" w:eastAsia="Arial" w:hAnsi="Arial"/>
                <w:sz w:val="18"/>
                <w:szCs w:val="18"/>
                <w:color w:val="auto"/>
              </w:rPr>
              <w:t>Linkbase</w:t>
            </w: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00" w:type="dxa"/>
            <w:vAlign w:val="bottom"/>
          </w:tcPr>
          <w:p>
            <w:pPr>
              <w:ind w:left="420"/>
              <w:spacing w:after="0"/>
              <w:rPr>
                <w:sz w:val="20"/>
                <w:szCs w:val="20"/>
                <w:color w:val="auto"/>
              </w:rPr>
            </w:pPr>
            <w:r>
              <w:rPr>
                <w:rFonts w:ascii="Arial" w:cs="Arial" w:eastAsia="Arial" w:hAnsi="Arial"/>
                <w:sz w:val="18"/>
                <w:szCs w:val="18"/>
                <w:color w:val="auto"/>
              </w:rPr>
              <w:t>iXBRL</w:t>
            </w:r>
          </w:p>
        </w:tc>
        <w:tc>
          <w:tcPr>
            <w:tcW w:w="900" w:type="dxa"/>
            <w:vAlign w:val="bottom"/>
          </w:tcPr>
          <w:p>
            <w:pPr>
              <w:ind w:left="100"/>
              <w:spacing w:after="0"/>
              <w:rPr>
                <w:sz w:val="20"/>
                <w:szCs w:val="20"/>
                <w:color w:val="auto"/>
              </w:rPr>
            </w:pPr>
            <w:r>
              <w:rPr>
                <w:rFonts w:ascii="Arial" w:cs="Arial" w:eastAsia="Arial" w:hAnsi="Arial"/>
                <w:sz w:val="18"/>
                <w:szCs w:val="18"/>
                <w:color w:val="auto"/>
                <w:w w:val="92"/>
              </w:rPr>
              <w:t>Taxonomy</w:t>
            </w:r>
          </w:p>
        </w:tc>
        <w:tc>
          <w:tcPr>
            <w:tcW w:w="840" w:type="dxa"/>
            <w:vAlign w:val="bottom"/>
          </w:tcPr>
          <w:p>
            <w:pPr>
              <w:ind w:left="120"/>
              <w:spacing w:after="0"/>
              <w:rPr>
                <w:sz w:val="20"/>
                <w:szCs w:val="20"/>
                <w:color w:val="auto"/>
              </w:rPr>
            </w:pPr>
            <w:r>
              <w:rPr>
                <w:rFonts w:ascii="Arial" w:cs="Arial" w:eastAsia="Arial" w:hAnsi="Arial"/>
                <w:sz w:val="18"/>
                <w:szCs w:val="18"/>
                <w:color w:val="auto"/>
                <w:w w:val="88"/>
              </w:rPr>
              <w:t>Extension</w:t>
            </w:r>
          </w:p>
        </w:tc>
        <w:tc>
          <w:tcPr>
            <w:tcW w:w="900" w:type="dxa"/>
            <w:vAlign w:val="bottom"/>
          </w:tcPr>
          <w:p>
            <w:pPr>
              <w:jc w:val="right"/>
              <w:spacing w:after="0"/>
              <w:rPr>
                <w:sz w:val="20"/>
                <w:szCs w:val="20"/>
                <w:color w:val="auto"/>
              </w:rPr>
            </w:pPr>
            <w:r>
              <w:rPr>
                <w:rFonts w:ascii="Arial" w:cs="Arial" w:eastAsia="Arial" w:hAnsi="Arial"/>
                <w:sz w:val="18"/>
                <w:szCs w:val="18"/>
                <w:color w:val="auto"/>
              </w:rPr>
              <w:t>Definition</w:t>
            </w:r>
          </w:p>
        </w:tc>
      </w:tr>
      <w:tr>
        <w:trPr>
          <w:trHeight w:val="230"/>
        </w:trPr>
        <w:tc>
          <w:tcPr>
            <w:tcW w:w="1120" w:type="dxa"/>
            <w:vAlign w:val="bottom"/>
          </w:tcPr>
          <w:p>
            <w:pPr>
              <w:spacing w:after="0"/>
              <w:rPr>
                <w:sz w:val="20"/>
                <w:szCs w:val="20"/>
                <w:color w:val="auto"/>
              </w:rPr>
            </w:pPr>
          </w:p>
        </w:tc>
        <w:tc>
          <w:tcPr>
            <w:tcW w:w="1900" w:type="dxa"/>
            <w:vAlign w:val="bottom"/>
            <w:gridSpan w:val="2"/>
          </w:tcPr>
          <w:p>
            <w:pPr>
              <w:ind w:left="420"/>
              <w:spacing w:after="0"/>
              <w:rPr>
                <w:sz w:val="20"/>
                <w:szCs w:val="20"/>
                <w:color w:val="auto"/>
              </w:rPr>
            </w:pPr>
            <w:r>
              <w:rPr>
                <w:rFonts w:ascii="Arial" w:cs="Arial" w:eastAsia="Arial" w:hAnsi="Arial"/>
                <w:sz w:val="18"/>
                <w:szCs w:val="18"/>
                <w:color w:val="auto"/>
              </w:rPr>
              <w:t>Linkbase</w:t>
            </w: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104.0</w:t>
            </w:r>
          </w:p>
        </w:tc>
        <w:tc>
          <w:tcPr>
            <w:tcW w:w="3640" w:type="dxa"/>
            <w:vAlign w:val="bottom"/>
            <w:gridSpan w:val="4"/>
          </w:tcPr>
          <w:p>
            <w:pPr>
              <w:ind w:left="420"/>
              <w:spacing w:after="0"/>
              <w:rPr>
                <w:sz w:val="20"/>
                <w:szCs w:val="20"/>
                <w:color w:val="auto"/>
              </w:rPr>
            </w:pPr>
            <w:r>
              <w:rPr>
                <w:rFonts w:ascii="Arial" w:cs="Arial" w:eastAsia="Arial" w:hAnsi="Arial"/>
                <w:sz w:val="18"/>
                <w:szCs w:val="18"/>
                <w:color w:val="auto"/>
                <w:w w:val="92"/>
              </w:rPr>
              <w:t>Cover Page Interactive Data File (formatted</w:t>
            </w:r>
          </w:p>
        </w:tc>
      </w:tr>
      <w:tr>
        <w:trPr>
          <w:trHeight w:val="216"/>
        </w:trPr>
        <w:tc>
          <w:tcPr>
            <w:tcW w:w="1120" w:type="dxa"/>
            <w:vAlign w:val="bottom"/>
          </w:tcPr>
          <w:p>
            <w:pPr>
              <w:spacing w:after="0"/>
              <w:rPr>
                <w:sz w:val="18"/>
                <w:szCs w:val="18"/>
                <w:color w:val="auto"/>
              </w:rPr>
            </w:pPr>
          </w:p>
        </w:tc>
        <w:tc>
          <w:tcPr>
            <w:tcW w:w="3640" w:type="dxa"/>
            <w:vAlign w:val="bottom"/>
            <w:gridSpan w:val="4"/>
          </w:tcPr>
          <w:p>
            <w:pPr>
              <w:ind w:left="420"/>
              <w:spacing w:after="0"/>
              <w:rPr>
                <w:sz w:val="20"/>
                <w:szCs w:val="20"/>
                <w:color w:val="auto"/>
              </w:rPr>
            </w:pPr>
            <w:r>
              <w:rPr>
                <w:rFonts w:ascii="Arial" w:cs="Arial" w:eastAsia="Arial" w:hAnsi="Arial"/>
                <w:sz w:val="18"/>
                <w:szCs w:val="18"/>
                <w:color w:val="auto"/>
                <w:w w:val="98"/>
              </w:rPr>
              <w:t>as inline XBRL with applicable taxonomy</w:t>
            </w:r>
          </w:p>
        </w:tc>
      </w:tr>
      <w:tr>
        <w:trPr>
          <w:trHeight w:val="216"/>
        </w:trPr>
        <w:tc>
          <w:tcPr>
            <w:tcW w:w="1120" w:type="dxa"/>
            <w:vAlign w:val="bottom"/>
          </w:tcPr>
          <w:p>
            <w:pPr>
              <w:spacing w:after="0"/>
              <w:rPr>
                <w:sz w:val="18"/>
                <w:szCs w:val="18"/>
                <w:color w:val="auto"/>
              </w:rPr>
            </w:pPr>
          </w:p>
        </w:tc>
        <w:tc>
          <w:tcPr>
            <w:tcW w:w="3640" w:type="dxa"/>
            <w:vAlign w:val="bottom"/>
            <w:gridSpan w:val="4"/>
          </w:tcPr>
          <w:p>
            <w:pPr>
              <w:ind w:left="420"/>
              <w:spacing w:after="0"/>
              <w:rPr>
                <w:sz w:val="20"/>
                <w:szCs w:val="20"/>
                <w:color w:val="auto"/>
              </w:rPr>
            </w:pPr>
            <w:r>
              <w:rPr>
                <w:rFonts w:ascii="Arial" w:cs="Arial" w:eastAsia="Arial" w:hAnsi="Arial"/>
                <w:sz w:val="18"/>
                <w:szCs w:val="18"/>
                <w:color w:val="auto"/>
                <w:w w:val="93"/>
              </w:rPr>
              <w:t>extension information contained in Exhibits</w:t>
            </w:r>
          </w:p>
        </w:tc>
      </w:tr>
      <w:tr>
        <w:trPr>
          <w:trHeight w:val="230"/>
        </w:trPr>
        <w:tc>
          <w:tcPr>
            <w:tcW w:w="1120" w:type="dxa"/>
            <w:vAlign w:val="bottom"/>
          </w:tcPr>
          <w:p>
            <w:pPr>
              <w:spacing w:after="0"/>
              <w:rPr>
                <w:sz w:val="20"/>
                <w:szCs w:val="20"/>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01" w:right="55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1240"/>
          </w:cols>
          <w:pgMar w:left="320" w:top="301" w:right="339" w:bottom="1440" w:gutter="0" w:footer="0" w:header="0"/>
        </w:sect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2,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BUSEY CORPORATION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ectPr>
          <w:pgSz w:w="11900" w:h="16838" w:orient="portrait"/>
          <w:cols w:equalWidth="0" w:num="2">
            <w:col w:w="4620" w:space="720"/>
            <w:col w:w="5900"/>
          </w:cols>
          <w:pgMar w:left="320" w:top="301" w:right="339" w:bottom="1440" w:gutter="0" w:footer="0" w:header="0"/>
          <w:type w:val="continuous"/>
        </w:sectPr>
      </w:pPr>
    </w:p>
    <w:p>
      <w:pPr>
        <w:spacing w:after="0" w:line="119" w:lineRule="exact"/>
        <w:rPr>
          <w:sz w:val="20"/>
          <w:szCs w:val="20"/>
          <w:color w:val="auto"/>
        </w:rPr>
      </w:pPr>
    </w:p>
    <w:p>
      <w:pPr>
        <w:ind w:left="5340"/>
        <w:spacing w:after="0"/>
        <w:tabs>
          <w:tab w:leader="none" w:pos="5780" w:val="left"/>
        </w:tabs>
        <w:rPr>
          <w:sz w:val="20"/>
          <w:szCs w:val="20"/>
          <w:color w:val="auto"/>
        </w:rPr>
      </w:pPr>
      <w:r>
        <w:rPr>
          <w:rFonts w:ascii="Arial" w:cs="Arial" w:eastAsia="Arial" w:hAnsi="Arial"/>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wp:posOffset>
            </wp:positionV>
            <wp:extent cx="3463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Van A. Dukeman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ind w:left="5340"/>
        <w:spacing w:after="0"/>
        <w:tabs>
          <w:tab w:leader="none" w:pos="5780" w:val="left"/>
        </w:tabs>
        <w:rPr>
          <w:sz w:val="20"/>
          <w:szCs w:val="20"/>
          <w:color w:val="auto"/>
        </w:rPr>
      </w:pPr>
      <w:r>
        <w:rPr>
          <w:rFonts w:ascii="Arial" w:cs="Arial" w:eastAsia="Arial" w:hAnsi="Arial"/>
          <w:sz w:val="18"/>
          <w:szCs w:val="18"/>
          <w:color w:val="auto"/>
        </w:rPr>
        <w:t>By:</w:t>
        <w:tab/>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wp:posOffset>
            </wp:positionV>
            <wp:extent cx="3463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Jeffrey D. Jones</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ind w:left="5340"/>
        <w:spacing w:after="0"/>
        <w:tabs>
          <w:tab w:leader="none" w:pos="5780" w:val="left"/>
        </w:tabs>
        <w:rPr>
          <w:sz w:val="20"/>
          <w:szCs w:val="20"/>
          <w:color w:val="auto"/>
        </w:rPr>
      </w:pPr>
      <w:r>
        <w:rPr>
          <w:rFonts w:ascii="Arial" w:cs="Arial" w:eastAsia="Arial" w:hAnsi="Arial"/>
          <w:sz w:val="18"/>
          <w:szCs w:val="18"/>
          <w:color w:val="auto"/>
        </w:rPr>
        <w:t>By:</w:t>
        <w:tab/>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31750</wp:posOffset>
            </wp:positionV>
            <wp:extent cx="3463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Scott A. Phillips</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Corporate Controller and Principal Accounting Officer</w:t>
      </w:r>
    </w:p>
    <w:p>
      <w:pPr>
        <w:spacing w:after="0" w:line="4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301" w:right="3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20" w:hanging="332"/>
        <w:spacing w:after="0" w:line="342" w:lineRule="auto"/>
        <w:tabs>
          <w:tab w:leader="none" w:pos="328"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340" w:hanging="332"/>
        <w:spacing w:after="0" w:line="263" w:lineRule="auto"/>
        <w:tabs>
          <w:tab w:leader="none" w:pos="3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hanging="328"/>
        <w:spacing w:after="0" w:line="257" w:lineRule="auto"/>
        <w:tabs>
          <w:tab w:leader="none" w:pos="652" w:val="left"/>
        </w:tabs>
        <w:numPr>
          <w:ilvl w:val="1"/>
          <w:numId w:val="31"/>
        </w:numPr>
        <w:rPr>
          <w:rFonts w:ascii="Arial" w:cs="Arial" w:eastAsia="Arial" w:hAnsi="Arial"/>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1" w:lineRule="exact"/>
        <w:rPr>
          <w:rFonts w:ascii="Arial" w:cs="Arial" w:eastAsia="Arial" w:hAnsi="Arial"/>
          <w:sz w:val="20"/>
          <w:szCs w:val="20"/>
          <w:color w:val="auto"/>
        </w:rPr>
      </w:pPr>
    </w:p>
    <w:p>
      <w:pPr>
        <w:jc w:val="both"/>
        <w:ind w:left="660" w:hanging="328"/>
        <w:spacing w:after="0" w:line="250" w:lineRule="auto"/>
        <w:tabs>
          <w:tab w:leader="none" w:pos="649" w:val="left"/>
        </w:tabs>
        <w:numPr>
          <w:ilvl w:val="1"/>
          <w:numId w:val="31"/>
        </w:numPr>
        <w:rPr>
          <w:rFonts w:ascii="Arial" w:cs="Arial" w:eastAsia="Arial" w:hAnsi="Arial"/>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20"/>
          <w:szCs w:val="20"/>
          <w:color w:val="auto"/>
        </w:rPr>
      </w:pPr>
    </w:p>
    <w:p>
      <w:pPr>
        <w:jc w:val="both"/>
        <w:ind w:left="660" w:hanging="328"/>
        <w:spacing w:after="0" w:line="329" w:lineRule="auto"/>
        <w:tabs>
          <w:tab w:leader="none" w:pos="652" w:val="left"/>
        </w:tabs>
        <w:numPr>
          <w:ilvl w:val="1"/>
          <w:numId w:val="31"/>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39" w:lineRule="exact"/>
        <w:rPr>
          <w:rFonts w:ascii="Arial" w:cs="Arial" w:eastAsia="Arial" w:hAnsi="Arial"/>
          <w:sz w:val="18"/>
          <w:szCs w:val="18"/>
          <w:color w:val="auto"/>
        </w:rPr>
      </w:pPr>
    </w:p>
    <w:p>
      <w:pPr>
        <w:jc w:val="both"/>
        <w:ind w:left="660" w:hanging="328"/>
        <w:spacing w:after="0" w:line="250" w:lineRule="auto"/>
        <w:tabs>
          <w:tab w:leader="none" w:pos="649" w:val="left"/>
        </w:tabs>
        <w:numPr>
          <w:ilvl w:val="1"/>
          <w:numId w:val="31"/>
        </w:numPr>
        <w:rPr>
          <w:rFonts w:ascii="Arial" w:cs="Arial" w:eastAsia="Arial" w:hAnsi="Arial"/>
          <w:sz w:val="20"/>
          <w:szCs w:val="20"/>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20"/>
          <w:szCs w:val="20"/>
          <w:color w:val="auto"/>
        </w:rPr>
      </w:pPr>
    </w:p>
    <w:p>
      <w:pPr>
        <w:ind w:left="340" w:hanging="332"/>
        <w:spacing w:after="0" w:line="296" w:lineRule="auto"/>
        <w:tabs>
          <w:tab w:leader="none" w:pos="329" w:val="left"/>
        </w:tabs>
        <w:numPr>
          <w:ilvl w:val="0"/>
          <w:numId w:val="31"/>
        </w:numPr>
        <w:rPr>
          <w:rFonts w:ascii="Arial" w:cs="Arial" w:eastAsia="Arial" w:hAnsi="Arial"/>
          <w:sz w:val="19"/>
          <w:szCs w:val="19"/>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9"/>
          <w:szCs w:val="19"/>
          <w:color w:val="auto"/>
        </w:rPr>
      </w:pPr>
    </w:p>
    <w:p>
      <w:pPr>
        <w:ind w:left="660" w:right="20" w:hanging="328"/>
        <w:spacing w:after="0" w:line="266" w:lineRule="auto"/>
        <w:tabs>
          <w:tab w:leader="none" w:pos="652" w:val="left"/>
        </w:tabs>
        <w:numPr>
          <w:ilvl w:val="1"/>
          <w:numId w:val="31"/>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20"/>
          <w:szCs w:val="20"/>
          <w:color w:val="auto"/>
        </w:rPr>
      </w:pPr>
    </w:p>
    <w:p>
      <w:pPr>
        <w:ind w:left="660" w:hanging="328"/>
        <w:spacing w:after="0" w:line="250" w:lineRule="auto"/>
        <w:tabs>
          <w:tab w:leader="none" w:pos="649" w:val="left"/>
        </w:tabs>
        <w:numPr>
          <w:ilvl w:val="1"/>
          <w:numId w:val="31"/>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Van A. Dukeman</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7" w:right="339" w:bottom="1440" w:gutter="0" w:footer="0" w:header="0"/>
        </w:sectPr>
      </w:pPr>
    </w:p>
    <w:bookmarkStart w:id="95" w:name="page96"/>
    <w:bookmarkEnd w:id="95"/>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20" w:hanging="332"/>
        <w:spacing w:after="0" w:line="342" w:lineRule="auto"/>
        <w:tabs>
          <w:tab w:leader="none" w:pos="3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340" w:hanging="332"/>
        <w:spacing w:after="0" w:line="263"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hanging="328"/>
        <w:spacing w:after="0" w:line="342" w:lineRule="auto"/>
        <w:tabs>
          <w:tab w:leader="none" w:pos="65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jc w:val="both"/>
        <w:ind w:left="660" w:hanging="328"/>
        <w:spacing w:after="0" w:line="263" w:lineRule="auto"/>
        <w:tabs>
          <w:tab w:leader="none" w:pos="6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2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5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Jeffrey D. Jones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7" w:right="339" w:bottom="1440" w:gutter="0" w:footer="0" w:header="0"/>
        </w:sectPr>
      </w:pPr>
    </w:p>
    <w:bookmarkStart w:id="96" w:name="page97"/>
    <w:bookmarkEnd w:id="96"/>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hereby certify, pursuant to 18 U.S.C. Section 1350, as adopted pursuant to Section 906 of the Sarbanes-Oxley Act of 2002, that the accompanying Quarterly Report of First Busey Corporation on Form 10-Q for the quarter ended September 30, 2023,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Van A. Dukeman</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47" w:right="339" w:bottom="1440" w:gutter="0" w:footer="0" w:header="0"/>
        </w:sectPr>
      </w:pPr>
    </w:p>
    <w:bookmarkStart w:id="97" w:name="page98"/>
    <w:bookmarkEnd w:id="97"/>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 hereby certify, pursuant to 18 U.S.C. Section 1350, as adopted pursuant to Section 906 of the Sarbanes-Oxley Act of 2002, that the accompanying Quarterly Report of First Busey Corporation on Form 10-Q for the quarter ended September 30, 2023,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Jeffrey D. Jones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Roman"/>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2"/>
      <w:numFmt w:val="bullet"/>
      <w:start w:val="1"/>
    </w:lvl>
  </w:abstractNum>
  <w:abstractNum w:abstractNumId="23">
    <w:nsid w:val="2CA88611"/>
    <w:multiLevelType w:val="hybridMultilevel"/>
    <w:lvl w:ilvl="0">
      <w:lvlJc w:val="left"/>
      <w:lvlText w:val="3"/>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Roman"/>
      <w:start w:val="18"/>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25" Type="http://schemas.openxmlformats.org/officeDocument/2006/relationships/hyperlink" Target="https://www.sec.gov/ix?doc=/Archives/edgar/data/0000314489/000031448923000010/buse-20221231.htm#i5887e58b083b4ebe85d5c92e135ca21c_67" TargetMode="External"/><Relationship Id="rId26" Type="http://schemas.openxmlformats.org/officeDocument/2006/relationships/hyperlink" Target="https://www.sec.gov/ix?doc=/Archives/edgar/data/0000314489/000031448923000010/buse-20221231.htm" TargetMode="External"/><Relationship Id="rId29" Type="http://schemas.openxmlformats.org/officeDocument/2006/relationships/hyperlink" Target="https://www.sec.gov/ix?doc=/Archives/edgar/data/314489/000031448923000149/buse-20231023.htm" TargetMode="External"/><Relationship Id="rId30" Type="http://schemas.openxmlformats.org/officeDocument/2006/relationships/hyperlink" Target="https://www.sec.gov/Archives/edgar/data/314489/000031448923000149/buse_20231024x23q3xex101.htm" TargetMode="External"/><Relationship Id="rId62" Type="http://schemas.openxmlformats.org/officeDocument/2006/relationships/hyperlink" Target="https://www.sec.gov/Archives/edgar/data/314489/000104746920002220/a2241264zdef14a.htm#le18501_appendix_a" TargetMode="External"/><Relationship Id="rId63" Type="http://schemas.openxmlformats.org/officeDocument/2006/relationships/hyperlink" Target="https://www.sec.gov/Archives/edgar/data/314489/000104746920002220/a2241264zdef14a.htm" TargetMode="External"/><Relationship Id="rId64" Type="http://schemas.openxmlformats.org/officeDocument/2006/relationships/hyperlink" Target="https://www.sec.gov/ix?doc=/Archives/edgar/data/0000314489/000110465923045566/tm231845d3_def14a.htm#tAPA" TargetMode="External"/><Relationship Id="rId65" Type="http://schemas.openxmlformats.org/officeDocument/2006/relationships/hyperlink" Target="https://www.sec.gov/ix?doc=/Archives/edgar/data/0000314489/000110465923045566/tm231845d3_def14a.htm" TargetMode="External"/><Relationship Id="rId68" Type="http://schemas.openxmlformats.org/officeDocument/2006/relationships/hyperlink" Target="https://www.sec.gov/Archives/edgar/data/314489/000110465921048078/tm212379-1_def14a.htm#tAPA" TargetMode="External"/><Relationship Id="rId69" Type="http://schemas.openxmlformats.org/officeDocument/2006/relationships/hyperlink" Target="https://www.sec.gov/Archives/edgar/data/314489/000110465921048078/tm212379-1_def14a.htm" TargetMode="External"/><Relationship Id="rId91" Type="http://schemas.openxmlformats.org/officeDocument/2006/relationships/hyperlink" Target="https://www.sec.gov/ix?doc=/Archives/edgar/data/0000314489/000031448923000010/buse-20221231.htm#i5887e58b083b4ebe85d5c92e135ca21c_88" TargetMode="External"/><Relationship Id="rId106" Type="http://schemas.openxmlformats.org/officeDocument/2006/relationships/hyperlink" Target="https://www.sec.gov/ix?doc=/Archives/edgar/data/0000314489/000031448923000010/buse-20221231.htm#i5887e58b083b4ebe85d5c92e135ca21c_85" TargetMode="External"/><Relationship Id="rId145" Type="http://schemas.openxmlformats.org/officeDocument/2006/relationships/hyperlink" Target="https://www.sec.gov/ix?doc=/Archives/edgar/data/0000314489/000031448923000010/buse-20221231.htm#i5887e58b083b4ebe85d5c92e135ca21c_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2023-11-02T15:27:54Z</dcterms:created>
  <dcterms:modified xsi:type="dcterms:W3CDTF">2023-11-02T15:27:54Z</dcterms:modified>
</cp:coreProperties>
</file>