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-195580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2640" w:right="1599" w:hanging="2375"/>
        <w:spacing w:after="0" w:line="302" w:lineRule="auto"/>
        <w:tabs>
          <w:tab w:leader="none" w:pos="63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46" w:lineRule="exact"/>
        <w:rPr>
          <w:sz w:val="24"/>
          <w:szCs w:val="24"/>
          <w:color w:val="auto"/>
        </w:rPr>
      </w:pPr>
    </w:p>
    <w:p>
      <w:pPr>
        <w:ind w:left="3380" w:right="1579" w:hanging="3115"/>
        <w:spacing w:after="0" w:line="366" w:lineRule="auto"/>
        <w:tabs>
          <w:tab w:leader="none" w:pos="63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No. 0-15950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FIRST BUSEY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9"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39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37-1078406</w:t>
            </w:r>
          </w:p>
        </w:tc>
      </w:tr>
      <w:tr>
        <w:trPr>
          <w:trHeight w:val="216"/>
        </w:trPr>
        <w:tc>
          <w:tcPr>
            <w:tcW w:w="39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25"/>
        </w:trPr>
        <w:tc>
          <w:tcPr>
            <w:tcW w:w="396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rPr>
              <w:t>or organization)</w:t>
            </w:r>
          </w:p>
        </w:tc>
        <w:tc>
          <w:tcPr>
            <w:tcW w:w="3480" w:type="dxa"/>
            <w:vAlign w:val="bottom"/>
          </w:tcPr>
          <w:p>
            <w:pPr>
              <w:spacing w:after="0"/>
              <w:rPr>
                <w:sz w:val="19"/>
                <w:szCs w:val="19"/>
                <w:color w:val="auto"/>
              </w:rPr>
            </w:pPr>
          </w:p>
        </w:tc>
      </w:tr>
      <w:tr>
        <w:trPr>
          <w:trHeight w:val="216"/>
        </w:trPr>
        <w:tc>
          <w:tcPr>
            <w:tcW w:w="39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100 W. University Ave.</w:t>
            </w:r>
          </w:p>
        </w:tc>
        <w:tc>
          <w:tcPr>
            <w:tcW w:w="3480" w:type="dxa"/>
            <w:vAlign w:val="bottom"/>
          </w:tcPr>
          <w:p>
            <w:pPr>
              <w:spacing w:after="0"/>
              <w:rPr>
                <w:sz w:val="18"/>
                <w:szCs w:val="18"/>
                <w:color w:val="auto"/>
              </w:rPr>
            </w:pPr>
          </w:p>
        </w:tc>
      </w:tr>
      <w:tr>
        <w:trPr>
          <w:trHeight w:val="220"/>
        </w:trPr>
        <w:tc>
          <w:tcPr>
            <w:tcW w:w="396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Champaign, Illinois</w:t>
            </w:r>
          </w:p>
        </w:tc>
        <w:tc>
          <w:tcPr>
            <w:tcW w:w="34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61820</w:t>
            </w:r>
          </w:p>
        </w:tc>
      </w:tr>
      <w:tr>
        <w:trPr>
          <w:trHeight w:val="234"/>
        </w:trPr>
        <w:tc>
          <w:tcPr>
            <w:tcW w:w="396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(217) 365-4544</w:t>
      </w:r>
    </w:p>
    <w:p>
      <w:pPr>
        <w:spacing w:after="0" w:line="10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 (s)</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BUSE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left="60" w:right="39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left="60" w:right="23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102" w:lineRule="exact"/>
        <w:rPr>
          <w:sz w:val="24"/>
          <w:szCs w:val="24"/>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both"/>
        <w:ind w:right="200" w:firstLine="762"/>
        <w:spacing w:after="0" w:line="25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373" w:lineRule="exact"/>
        <w:rPr>
          <w:sz w:val="24"/>
          <w:szCs w:val="24"/>
          <w:color w:val="auto"/>
        </w:rPr>
      </w:pPr>
    </w:p>
    <w:p>
      <w:pPr>
        <w:sectPr>
          <w:pgSz w:w="11900" w:h="16838" w:orient="portrait"/>
          <w:cols w:equalWidth="0" w:num="4">
            <w:col w:w="2480" w:space="160"/>
            <w:col w:w="320" w:space="720"/>
            <w:col w:w="2380" w:space="720"/>
            <w:col w:w="2239"/>
          </w:cols>
          <w:pgMar w:left="1440" w:top="661" w:right="1440" w:bottom="1440" w:gutter="0" w:footer="0" w:header="0"/>
          <w:type w:val="continuous"/>
        </w:sect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p>
    <w:p>
      <w:pPr>
        <w:spacing w:after="0" w:line="9" w:lineRule="exact"/>
        <w:rPr>
          <w:sz w:val="24"/>
          <w:szCs w:val="24"/>
          <w:color w:val="auto"/>
        </w:rPr>
      </w:pPr>
    </w:p>
    <w:p>
      <w:pPr>
        <w:ind w:left="300" w:hanging="250"/>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3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43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Outstanding at May 5, 2022</w:t>
            </w:r>
          </w:p>
        </w:tc>
      </w:tr>
      <w:tr>
        <w:trPr>
          <w:trHeight w:val="232"/>
        </w:trPr>
        <w:tc>
          <w:tcPr>
            <w:tcW w:w="920" w:type="dxa"/>
            <w:vAlign w:val="bottom"/>
            <w:tcBorders>
              <w:bottom w:val="single" w:sz="8" w:color="auto"/>
            </w:tcBorders>
          </w:tcPr>
          <w:p>
            <w:pPr>
              <w:spacing w:after="0"/>
              <w:rPr>
                <w:sz w:val="20"/>
                <w:szCs w:val="20"/>
                <w:color w:val="auto"/>
              </w:rPr>
            </w:pPr>
          </w:p>
        </w:tc>
        <w:tc>
          <w:tcPr>
            <w:tcW w:w="3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60" w:type="dxa"/>
            <w:vAlign w:val="bottom"/>
            <w:tcBorders>
              <w:bottom w:val="single" w:sz="8" w:color="auto"/>
            </w:tcBorders>
          </w:tcPr>
          <w:p>
            <w:pPr>
              <w:spacing w:after="0"/>
              <w:rPr>
                <w:sz w:val="20"/>
                <w:szCs w:val="20"/>
                <w:color w:val="auto"/>
              </w:rPr>
            </w:pPr>
          </w:p>
        </w:tc>
        <w:tc>
          <w:tcPr>
            <w:tcW w:w="344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55,276,920</w:t>
            </w:r>
          </w:p>
        </w:tc>
        <w:tc>
          <w:tcPr>
            <w:tcW w:w="900" w:type="dxa"/>
            <w:vAlign w:val="bottom"/>
            <w:tcBorders>
              <w:bottom w:val="single" w:sz="8" w:color="auto"/>
            </w:tcBorders>
          </w:tcPr>
          <w:p>
            <w:pPr>
              <w:spacing w:after="0"/>
              <w:rPr>
                <w:sz w:val="20"/>
                <w:szCs w:val="20"/>
                <w:color w:val="auto"/>
              </w:rPr>
            </w:pPr>
          </w:p>
        </w:tc>
      </w:tr>
      <w:tr>
        <w:trPr>
          <w:trHeight w:val="86"/>
        </w:trPr>
        <w:tc>
          <w:tcPr>
            <w:tcW w:w="92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GLOSSARY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91"/>
        </w:trPr>
        <w:tc>
          <w:tcPr>
            <w:tcW w:w="20" w:type="dxa"/>
            <w:vAlign w:val="bottom"/>
          </w:tcPr>
          <w:p>
            <w:pPr>
              <w:spacing w:after="0"/>
              <w:rPr>
                <w:sz w:val="24"/>
                <w:szCs w:val="24"/>
                <w:color w:val="auto"/>
              </w:rPr>
            </w:pPr>
          </w:p>
        </w:tc>
        <w:tc>
          <w:tcPr>
            <w:tcW w:w="8020" w:type="dxa"/>
            <w:vAlign w:val="bottom"/>
            <w:gridSpan w:val="41"/>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02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120" w:type="dxa"/>
            <w:vAlign w:val="bottom"/>
            <w:gridSpan w:val="1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INCOME (LOSS)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1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COMPREHENSIVE INCOME</w:t>
            </w:r>
          </w:p>
        </w:tc>
        <w:tc>
          <w:tcPr>
            <w:tcW w:w="206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STOCKHOLDERS’ EQUITY</w:t>
            </w:r>
          </w:p>
        </w:tc>
        <w:tc>
          <w:tcPr>
            <w:tcW w:w="2140" w:type="dxa"/>
            <w:vAlign w:val="bottom"/>
            <w:gridSpan w:val="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3180" w:type="dxa"/>
            <w:vAlign w:val="bottom"/>
            <w:gridSpan w:val="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UNAUDITED CONSOLIDATED FINANCIAL STATEMENTS</w:t>
            </w:r>
          </w:p>
        </w:tc>
        <w:tc>
          <w:tcPr>
            <w:tcW w:w="190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Significant Accounting Policies</w:t>
            </w:r>
          </w:p>
        </w:tc>
        <w:tc>
          <w:tcPr>
            <w:tcW w:w="4180" w:type="dxa"/>
            <w:vAlign w:val="bottom"/>
            <w:gridSpan w:val="1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Acquisitions</w:t>
            </w:r>
          </w:p>
        </w:tc>
        <w:tc>
          <w:tcPr>
            <w:tcW w:w="5560" w:type="dxa"/>
            <w:vAlign w:val="bottom"/>
            <w:gridSpan w:val="2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5760" w:type="dxa"/>
            <w:vAlign w:val="bottom"/>
            <w:gridSpan w:val="2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Portfolio Loans</w:t>
            </w:r>
          </w:p>
        </w:tc>
        <w:tc>
          <w:tcPr>
            <w:tcW w:w="5340" w:type="dxa"/>
            <w:vAlign w:val="bottom"/>
            <w:gridSpan w:val="21"/>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Deposits</w:t>
            </w:r>
          </w:p>
        </w:tc>
        <w:tc>
          <w:tcPr>
            <w:tcW w:w="5840" w:type="dxa"/>
            <w:vAlign w:val="bottom"/>
            <w:gridSpan w:val="2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Borrowings</w:t>
            </w:r>
          </w:p>
        </w:tc>
        <w:tc>
          <w:tcPr>
            <w:tcW w:w="5620" w:type="dxa"/>
            <w:vAlign w:val="bottom"/>
            <w:gridSpan w:val="2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Regulatory Capital</w:t>
            </w:r>
          </w:p>
        </w:tc>
        <w:tc>
          <w:tcPr>
            <w:tcW w:w="5080" w:type="dxa"/>
            <w:vAlign w:val="bottom"/>
            <w:gridSpan w:val="2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8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Stock-Based Compensation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Note 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Outstanding Commitments and Contingent Liabilities</w:t>
            </w:r>
          </w:p>
        </w:tc>
        <w:tc>
          <w:tcPr>
            <w:tcW w:w="2600" w:type="dxa"/>
            <w:vAlign w:val="bottom"/>
            <w:gridSpan w:val="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Note 10: Derivative Financial Instruments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Note 11: Fair Value Measurements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Note 12: Earnings per Common Share</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Note 13: Accumulated Other Comprehensive Income (Loss)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Note 14: Operating Segments and Related Information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00" w:type="dxa"/>
            <w:vAlign w:val="bottom"/>
            <w:tcBorders>
              <w:left w:val="single" w:sz="8" w:color="0000EE"/>
            </w:tcBorders>
            <w:gridSpan w:val="4"/>
            <w:shd w:val="clear" w:color="auto" w:fill="0000EE"/>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Note 15: Leases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8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MANAGEMENT’S DISCUSSION AND ANALYSIS OF FINANCIAL CONDITION AND RESULTS</w:t>
            </w:r>
          </w:p>
        </w:tc>
        <w:tc>
          <w:tcPr>
            <w:tcW w:w="8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w w:val="97"/>
              </w:rPr>
              <w:t>OF OPERATIONS</w:t>
            </w:r>
          </w:p>
        </w:tc>
        <w:tc>
          <w:tcPr>
            <w:tcW w:w="6100" w:type="dxa"/>
            <w:vAlign w:val="bottom"/>
            <w:tcBorders>
              <w:top w:val="single" w:sz="8" w:color="0000EE"/>
            </w:tcBorders>
            <w:gridSpan w:val="28"/>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49</w:t>
            </w:r>
          </w:p>
        </w:tc>
      </w:tr>
      <w:tr>
        <w:trPr>
          <w:trHeight w:val="210"/>
        </w:trPr>
        <w:tc>
          <w:tcPr>
            <w:tcW w:w="20" w:type="dxa"/>
            <w:vAlign w:val="bottom"/>
          </w:tcPr>
          <w:p>
            <w:pPr>
              <w:spacing w:after="0"/>
              <w:rPr>
                <w:sz w:val="18"/>
                <w:szCs w:val="18"/>
                <w:color w:val="auto"/>
              </w:rPr>
            </w:pPr>
          </w:p>
        </w:tc>
        <w:tc>
          <w:tcPr>
            <w:tcW w:w="802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880" w:type="dxa"/>
            <w:vAlign w:val="bottom"/>
            <w:tcBorders>
              <w:left w:val="single" w:sz="8" w:color="0000EE"/>
            </w:tcBorders>
            <w:gridSpan w:val="1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880" w:type="dxa"/>
            <w:vAlign w:val="bottom"/>
            <w:gridSpan w:val="1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5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0000EE"/>
                <w:w w:val="99"/>
              </w:rPr>
              <w:t>Part IIOTHER INFORMATION</w:t>
            </w:r>
          </w:p>
        </w:tc>
        <w:tc>
          <w:tcPr>
            <w:tcW w:w="5460" w:type="dxa"/>
            <w:vAlign w:val="bottom"/>
            <w:gridSpan w:val="2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12"/>
        </w:trPr>
        <w:tc>
          <w:tcPr>
            <w:tcW w:w="20" w:type="dxa"/>
            <w:vAlign w:val="bottom"/>
          </w:tcPr>
          <w:p>
            <w:pPr>
              <w:spacing w:after="0"/>
              <w:rPr>
                <w:sz w:val="24"/>
                <w:szCs w:val="24"/>
                <w:color w:val="auto"/>
              </w:rPr>
            </w:pPr>
          </w:p>
        </w:tc>
        <w:tc>
          <w:tcPr>
            <w:tcW w:w="802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1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Item   RISK FACTORS</w:t>
            </w:r>
          </w:p>
        </w:tc>
        <w:tc>
          <w:tcPr>
            <w:tcW w:w="8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22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0"/>
              </w:rPr>
              <w:t>1A</w:t>
            </w:r>
          </w:p>
        </w:tc>
        <w:tc>
          <w:tcPr>
            <w:tcW w:w="100" w:type="dxa"/>
            <w:vAlign w:val="bottom"/>
            <w:tcBorders>
              <w:top w:val="single" w:sz="8" w:color="0000EE"/>
            </w:tcBorders>
          </w:tcPr>
          <w:p>
            <w:pPr>
              <w:spacing w:after="0"/>
              <w:rPr>
                <w:sz w:val="15"/>
                <w:szCs w:val="15"/>
                <w:color w:val="auto"/>
              </w:rPr>
            </w:pPr>
          </w:p>
        </w:tc>
        <w:tc>
          <w:tcPr>
            <w:tcW w:w="220" w:type="dxa"/>
            <w:vAlign w:val="bottom"/>
            <w:gridSpan w:val="4"/>
          </w:tcPr>
          <w:p>
            <w:pPr>
              <w:spacing w:after="0"/>
              <w:rPr>
                <w:sz w:val="15"/>
                <w:szCs w:val="15"/>
                <w:color w:val="auto"/>
              </w:rPr>
            </w:pPr>
          </w:p>
        </w:tc>
        <w:tc>
          <w:tcPr>
            <w:tcW w:w="620" w:type="dxa"/>
            <w:vAlign w:val="bottom"/>
            <w:tcBorders>
              <w:top w:val="single" w:sz="8" w:color="0000EE"/>
            </w:tcBorders>
            <w:gridSpan w:val="2"/>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73</w:t>
            </w:r>
          </w:p>
        </w:tc>
      </w:tr>
      <w:tr>
        <w:trPr>
          <w:trHeight w:val="210"/>
        </w:trPr>
        <w:tc>
          <w:tcPr>
            <w:tcW w:w="20" w:type="dxa"/>
            <w:vAlign w:val="bottom"/>
          </w:tcPr>
          <w:p>
            <w:pPr>
              <w:spacing w:after="0"/>
              <w:rPr>
                <w:sz w:val="18"/>
                <w:szCs w:val="18"/>
                <w:color w:val="auto"/>
              </w:rPr>
            </w:pPr>
          </w:p>
        </w:tc>
        <w:tc>
          <w:tcPr>
            <w:tcW w:w="802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880" w:type="dxa"/>
            <w:vAlign w:val="bottom"/>
            <w:tcBorders>
              <w:left w:val="single" w:sz="8" w:color="0000EE"/>
            </w:tcBorders>
            <w:gridSpan w:val="1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300" w:type="dxa"/>
            <w:vAlign w:val="bottom"/>
            <w:gridSpan w:val="1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5040" w:type="dxa"/>
            <w:vAlign w:val="bottom"/>
            <w:gridSpan w:val="1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Item 5. OTHER INFORMATION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4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898"/>
        </w:trPr>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21"/>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use acronyms, abbreviations, and other terms throughout this Quarterly Report, as defined in the glossary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16"/>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Equity Plan</w:t>
            </w:r>
          </w:p>
        </w:tc>
        <w:tc>
          <w:tcPr>
            <w:tcW w:w="28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Busey's 2020 Equity Incentive Plan</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198"/>
        </w:trPr>
        <w:tc>
          <w:tcPr>
            <w:tcW w:w="25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Annual Report</w:t>
            </w: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Annual report filed with the SEC on Form 10-K pursuant to Section 13 or 15(d) of the</w:t>
            </w:r>
          </w:p>
        </w:tc>
      </w:tr>
      <w:tr>
        <w:trPr>
          <w:trHeight w:val="234"/>
        </w:trPr>
        <w:tc>
          <w:tcPr>
            <w:tcW w:w="2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198"/>
        </w:trPr>
        <w:tc>
          <w:tcPr>
            <w:tcW w:w="25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Basel III</w:t>
            </w: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2010  capital  accord  adopted  by  the  international  Basel  Committee  on  Banking</w:t>
            </w:r>
          </w:p>
        </w:tc>
      </w:tr>
      <w:tr>
        <w:trPr>
          <w:trHeight w:val="234"/>
        </w:trPr>
        <w:tc>
          <w:tcPr>
            <w:tcW w:w="2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Supervision</w:t>
            </w:r>
          </w:p>
        </w:tc>
      </w:tr>
      <w:tr>
        <w:trPr>
          <w:trHeight w:val="198"/>
        </w:trPr>
        <w:tc>
          <w:tcPr>
            <w:tcW w:w="2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Basel III Rule</w:t>
            </w: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Regulations promulgated by U.S. federal banking agencies – the OCC, the Federal</w:t>
            </w:r>
          </w:p>
        </w:tc>
      </w:tr>
      <w:tr>
        <w:trPr>
          <w:trHeight w:val="216"/>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Reserve, and the FDIC – to both enforce implementation of certain aspects of the Basel</w:t>
            </w: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III capital reforms and effect certain changes required by the Dodd-Frank Wall Street</w:t>
            </w:r>
          </w:p>
        </w:tc>
      </w:tr>
      <w:tr>
        <w:trPr>
          <w:trHeight w:val="234"/>
        </w:trPr>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Reform and Consumer Protection Act</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CAC</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Cummins-American Corp.</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CARES Act</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Coronavirus Aid, Relief, and Economic Security Act</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Expected Credit Losses</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Coronavirus disease 2019</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DSU</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stock unit</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198"/>
        </w:trPr>
        <w:tc>
          <w:tcPr>
            <w:tcW w:w="2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Fair value</w:t>
            </w: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price that would be received to sell an asset, or paid to transfer a liability, in an</w:t>
            </w:r>
          </w:p>
        </w:tc>
      </w:tr>
      <w:tr>
        <w:trPr>
          <w:trHeight w:val="214"/>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orderly transaction between market participants at the measurement date, as defined in</w:t>
            </w:r>
          </w:p>
        </w:tc>
      </w:tr>
      <w:tr>
        <w:trPr>
          <w:trHeight w:val="236"/>
        </w:trPr>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198"/>
        </w:trPr>
        <w:tc>
          <w:tcPr>
            <w:tcW w:w="2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First Busey</w:t>
            </w: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 Busey Corporation and its wholly-owned consolidated subsidiaries; also, “Busey,”</w:t>
            </w:r>
          </w:p>
        </w:tc>
      </w:tr>
      <w:tr>
        <w:trPr>
          <w:trHeight w:val="234"/>
        </w:trPr>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“we,” “us,” and “our”</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Busey Risk Management</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Busey Risk Management, Inc.</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FirsTech</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FirsTech, Inc.</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FOMC</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Open Market Committee</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GSB</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Glenview State Bank</w:t>
            </w:r>
          </w:p>
        </w:tc>
      </w:tr>
      <w:tr>
        <w:trPr>
          <w:trHeight w:val="198"/>
        </w:trPr>
        <w:tc>
          <w:tcPr>
            <w:tcW w:w="2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Interagency Statement</w:t>
            </w: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Interagency Statement on Loan Modifications and Reporting for Financial Institutions</w:t>
            </w:r>
          </w:p>
        </w:tc>
      </w:tr>
      <w:tr>
        <w:trPr>
          <w:trHeight w:val="216"/>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Working with Customers Affected by the Coronavirus, issued on March 22, 2020, and</w:t>
            </w:r>
          </w:p>
        </w:tc>
      </w:tr>
      <w:tr>
        <w:trPr>
          <w:trHeight w:val="234"/>
        </w:trPr>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revised on April 7, 2020</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198"/>
        </w:trPr>
        <w:tc>
          <w:tcPr>
            <w:tcW w:w="2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LOCOM</w:t>
            </w: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Lower of Cost or Market, an accounting approach under which loans are carried at</w:t>
            </w:r>
          </w:p>
        </w:tc>
      </w:tr>
      <w:tr>
        <w:trPr>
          <w:trHeight w:val="216"/>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amortized historical cost less loan write-offs and downward market value adjustments,</w:t>
            </w:r>
          </w:p>
        </w:tc>
      </w:tr>
      <w:tr>
        <w:trPr>
          <w:trHeight w:val="234"/>
        </w:trPr>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as may be applicable</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NMTC</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Markets Tax Credit</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Purchased credit deteriorated</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Paycheck Protection Program</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w:t>
            </w:r>
          </w:p>
        </w:tc>
      </w:tr>
      <w:tr>
        <w:trPr>
          <w:trHeight w:val="198"/>
        </w:trPr>
        <w:tc>
          <w:tcPr>
            <w:tcW w:w="25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Quarterly Report</w:t>
            </w: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Quarterly report filed with the SEC on Form 10-Q pursuant to Section 13 or 15(d) of the</w:t>
            </w:r>
          </w:p>
        </w:tc>
      </w:tr>
      <w:tr>
        <w:trPr>
          <w:trHeight w:val="234"/>
        </w:trPr>
        <w:tc>
          <w:tcPr>
            <w:tcW w:w="2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16"/>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8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Small Business Administration</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Overnight Financing Rate published by the Federal Reserve</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TDR</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Troubled debt restructuring</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 w:type="dxa"/>
            <w:vAlign w:val="bottom"/>
          </w:tcPr>
          <w:p>
            <w:pPr>
              <w:spacing w:after="0"/>
              <w:rPr>
                <w:sz w:val="18"/>
                <w:szCs w:val="18"/>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U.S. Department of the Treasury</w:t>
            </w:r>
          </w:p>
        </w:tc>
        <w:tc>
          <w:tcPr>
            <w:tcW w:w="20" w:type="dxa"/>
            <w:vAlign w:val="bottom"/>
          </w:tcPr>
          <w:p>
            <w:pPr>
              <w:spacing w:after="0"/>
              <w:rPr>
                <w:sz w:val="20"/>
                <w:szCs w:val="20"/>
                <w:color w:val="auto"/>
              </w:rPr>
            </w:pPr>
          </w:p>
        </w:tc>
      </w:tr>
      <w:tr>
        <w:trPr>
          <w:trHeight w:val="873"/>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r>
      <w:tr>
        <w:trPr>
          <w:trHeight w:val="547"/>
        </w:trPr>
        <w:tc>
          <w:tcPr>
            <w:tcW w:w="2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80" w:type="dxa"/>
            <w:vAlign w:val="bottom"/>
          </w:tcPr>
          <w:p>
            <w:pPr>
              <w:jc w:val="right"/>
              <w:ind w:right="48"/>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119,891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359,337</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479,228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securities available for sale</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2,946,055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securities held to maturity</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976,081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Loans held for sale (2022 at LOCOM, 2021 at fair value)</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Portfolio loans (net of ACL of $88,213 at March 31, 2022, and $87,887 at December 31, 2021)</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7,184,660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7,101,111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133,658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Right of use assets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317,873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surrender value of bank owned life insurance</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261,912</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12,567,509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12,859,689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Deposits: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Noninterest-bearing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3,568,651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3,670,267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Interest-bearing</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7,023,185</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7,098,310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deposits</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10,591,836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10,768,577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255,668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Short-term borrowings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Long-term debt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Senior notes, net of unamortized issuance costs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Subordinated notes, net of unamortized issuance costs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182,910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Junior subordinated debt owed to unconsolidated trusts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71,678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137,783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11,349,484</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11,540,577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Outstanding commitments and contingent liabilities (see Notes 9 and 15)</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Common stock, ($.001 par value; 100,000,000 shares authorized)</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1,318,701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1,316,984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107,890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AOCI</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(137,605)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stockholders’ equity before treasury stock</w:t>
            </w: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1,289,044</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1,385,747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Treasury stock at cost</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(71,019)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1,218,025</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1,319,112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12,567,509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12,859,689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shares issued</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58,116,970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58,116,970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Less treasury shares</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(2,838,185)</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shares outstanding</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55,278,785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55,434,910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left="1500" w:right="20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BUSEY CORPORATION CONSOLIDATED STATEMENTS OF INCOME (Unaudited) </w:t>
      </w:r>
      <w:r>
        <w:rPr>
          <w:rFonts w:ascii="Times New Roman" w:cs="Times New Roman" w:eastAsia="Times New Roman" w:hAnsi="Times New Roman"/>
          <w:sz w:val="18"/>
          <w:szCs w:val="18"/>
          <w:i w:val="1"/>
          <w:iCs w:val="1"/>
          <w:color w:val="auto"/>
        </w:rPr>
        <w:t>(dollars in thousands, except per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9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60,882</w:t>
            </w:r>
          </w:p>
        </w:tc>
        <w:tc>
          <w:tcPr>
            <w:tcW w:w="200" w:type="dxa"/>
            <w:vAlign w:val="bottom"/>
          </w:tcPr>
          <w:p>
            <w:pPr>
              <w:spacing w:after="0"/>
              <w:rPr>
                <w:sz w:val="15"/>
                <w:szCs w:val="15"/>
                <w:color w:val="auto"/>
              </w:rPr>
            </w:pPr>
          </w:p>
        </w:tc>
        <w:tc>
          <w:tcPr>
            <w:tcW w:w="900" w:type="dxa"/>
            <w:vAlign w:val="bottom"/>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62,565</w:t>
            </w: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dividends on investment securities: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Taxable interest income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Non-taxable interest income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75"/>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interest income</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8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76,091</w:t>
            </w:r>
          </w:p>
        </w:tc>
        <w:tc>
          <w:tcPr>
            <w:tcW w:w="2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72,331</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borrowings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Senior notes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Subordinated notes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0" w:type="dxa"/>
            <w:vAlign w:val="bottom"/>
          </w:tcPr>
          <w:p>
            <w:pPr>
              <w:spacing w:after="0"/>
              <w:rPr>
                <w:sz w:val="1"/>
                <w:szCs w:val="1"/>
                <w:color w:val="auto"/>
              </w:rPr>
            </w:pPr>
          </w:p>
        </w:tc>
      </w:tr>
      <w:tr>
        <w:trPr>
          <w:trHeight w:val="176"/>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Junior subordinated debt owed to unconsolidated trusts</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8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2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7,438</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70,056</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64,893</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(253)</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(6,796)</w:t>
            </w:r>
          </w:p>
        </w:tc>
        <w:tc>
          <w:tcPr>
            <w:tcW w:w="0" w:type="dxa"/>
            <w:vAlign w:val="bottom"/>
          </w:tcPr>
          <w:p>
            <w:pPr>
              <w:spacing w:after="0"/>
              <w:rPr>
                <w:sz w:val="1"/>
                <w:szCs w:val="1"/>
                <w:color w:val="auto"/>
              </w:rPr>
            </w:pPr>
          </w:p>
        </w:tc>
      </w:tr>
      <w:tr>
        <w:trPr>
          <w:trHeight w:val="16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70,309</w:t>
            </w:r>
          </w:p>
        </w:tc>
        <w:tc>
          <w:tcPr>
            <w:tcW w:w="2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71,689</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Wealth management fees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15,779</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12,584</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Fees for customer services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0" w:type="dxa"/>
            <w:vAlign w:val="bottom"/>
          </w:tcPr>
          <w:p>
            <w:pPr>
              <w:spacing w:after="0"/>
              <w:rPr>
                <w:sz w:val="1"/>
                <w:szCs w:val="1"/>
                <w:color w:val="auto"/>
              </w:rPr>
            </w:pPr>
          </w:p>
        </w:tc>
      </w:tr>
      <w:tr>
        <w:trPr>
          <w:trHeight w:val="176"/>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technology solutions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Mortgage revenue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on bank owned life insurance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Realized net gains (losses) on securities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net gains (losses) recognized on equity securities</w:t>
            </w:r>
          </w:p>
        </w:tc>
        <w:tc>
          <w:tcPr>
            <w:tcW w:w="8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(720)</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w:t>
            </w: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w:t>
            </w:r>
          </w:p>
        </w:tc>
        <w:tc>
          <w:tcPr>
            <w:tcW w:w="2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16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35,772</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31,445</w:t>
            </w: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Salaries, wages, and employee benefits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39,354</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30,384</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Data processing</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occupancy expense of premises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Furniture and equipment expenses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Interchange expense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0" w:type="dxa"/>
            <w:vAlign w:val="bottom"/>
          </w:tcPr>
          <w:p>
            <w:pPr>
              <w:spacing w:after="0"/>
              <w:rPr>
                <w:sz w:val="1"/>
                <w:szCs w:val="1"/>
                <w:color w:val="auto"/>
              </w:rPr>
            </w:pPr>
          </w:p>
        </w:tc>
      </w:tr>
      <w:tr>
        <w:trPr>
          <w:trHeight w:val="175"/>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expense</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12,884</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8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70,376</w:t>
            </w:r>
          </w:p>
        </w:tc>
        <w:tc>
          <w:tcPr>
            <w:tcW w:w="2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54,499</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35,705</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48,635</w:t>
            </w:r>
          </w:p>
        </w:tc>
        <w:tc>
          <w:tcPr>
            <w:tcW w:w="0" w:type="dxa"/>
            <w:vAlign w:val="bottom"/>
          </w:tcPr>
          <w:p>
            <w:pPr>
              <w:spacing w:after="0"/>
              <w:rPr>
                <w:sz w:val="1"/>
                <w:szCs w:val="1"/>
                <w:color w:val="auto"/>
              </w:rPr>
            </w:pPr>
          </w:p>
        </w:tc>
      </w:tr>
      <w:tr>
        <w:trPr>
          <w:trHeight w:val="175"/>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7,266</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10,819</w:t>
            </w:r>
          </w:p>
        </w:tc>
        <w:tc>
          <w:tcPr>
            <w:tcW w:w="0" w:type="dxa"/>
            <w:vAlign w:val="bottom"/>
          </w:tcPr>
          <w:p>
            <w:pPr>
              <w:spacing w:after="0"/>
              <w:rPr>
                <w:sz w:val="1"/>
                <w:szCs w:val="1"/>
                <w:color w:val="auto"/>
              </w:rPr>
            </w:pPr>
          </w:p>
        </w:tc>
      </w:tr>
      <w:tr>
        <w:trPr>
          <w:trHeight w:val="16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28,439</w:t>
            </w: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common share</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common share</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tcPr>
          <w:p>
            <w:pPr>
              <w:jc w:val="right"/>
              <w:ind w:right="7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0.51</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156"/>
        </w:trPr>
        <w:tc>
          <w:tcPr>
            <w:tcW w:w="594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Dividends declared per share of common stock</w:t>
            </w:r>
          </w:p>
        </w:tc>
        <w:tc>
          <w:tcPr>
            <w:tcW w:w="880" w:type="dxa"/>
            <w:vAlign w:val="bottom"/>
            <w:tcBorders>
              <w:bottom w:val="single" w:sz="8" w:color="auto"/>
            </w:tcBorders>
            <w:shd w:val="clear" w:color="auto" w:fill="CCEEFF"/>
          </w:tcPr>
          <w:p>
            <w:pPr>
              <w:jc w:val="right"/>
              <w:ind w:right="7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0.23</w:t>
            </w: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4"/>
        </w:trPr>
        <w:tc>
          <w:tcPr>
            <w:tcW w:w="63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OCI:</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on debt securities available for sale: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8"/>
        </w:trPr>
        <w:tc>
          <w:tcPr>
            <w:tcW w:w="63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Net unrealized holding gains (losses) on debt securities available for sale,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taxes of $29,726 and $11,993, respectively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(30,079)</w:t>
            </w:r>
          </w:p>
        </w:tc>
      </w:tr>
      <w:tr>
        <w:trPr>
          <w:trHeight w:val="198"/>
        </w:trPr>
        <w:tc>
          <w:tcPr>
            <w:tcW w:w="63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Unrealized gains (losses) on debt securities transferred to held to maturity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from available for sale, net of taxes of $13,812 and $—, respectively</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losses on debt securities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available for sale included in net income, net of taxes of $30 and $7,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8"/>
        </w:trPr>
        <w:tc>
          <w:tcPr>
            <w:tcW w:w="63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Amortization of unrealized losses on securities transferred to held to maturity,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of taxes of ($252) and $—, respectively</w:t>
            </w:r>
          </w:p>
        </w:tc>
        <w:tc>
          <w:tcPr>
            <w:tcW w:w="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unrealized gains (losses) on debt securities available for sale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(30,097)</w:t>
            </w: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8"/>
        </w:trPr>
        <w:tc>
          <w:tcPr>
            <w:tcW w:w="63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Net unrealized holding gains (losses) on cash flow hedges, net of taxes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$1,931 and ($164), respectively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198"/>
        </w:trPr>
        <w:tc>
          <w:tcPr>
            <w:tcW w:w="63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losses on cash flow hedges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included in net income, net of taxes of $143 and ($79), respectively</w:t>
            </w:r>
          </w:p>
        </w:tc>
        <w:tc>
          <w:tcPr>
            <w:tcW w:w="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0"/>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AOCI</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w:t>
            </w: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8,328</w:t>
            </w:r>
          </w:p>
        </w:tc>
      </w:tr>
      <w:tr>
        <w:trPr>
          <w:trHeight w:val="20"/>
        </w:trPr>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55,434,910</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$ 1,316,984</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92,463</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(23,758)</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(66,635)</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1,319,112</w:t>
            </w:r>
          </w:p>
        </w:tc>
        <w:tc>
          <w:tcPr>
            <w:tcW w:w="0" w:type="dxa"/>
            <w:vAlign w:val="bottom"/>
          </w:tcPr>
          <w:p>
            <w:pPr>
              <w:spacing w:after="0"/>
              <w:rPr>
                <w:sz w:val="1"/>
                <w:szCs w:val="1"/>
                <w:color w:val="auto"/>
              </w:rPr>
            </w:pPr>
          </w:p>
        </w:tc>
      </w:tr>
      <w:tr>
        <w:trPr>
          <w:trHeight w:val="176"/>
        </w:trPr>
        <w:tc>
          <w:tcPr>
            <w:tcW w:w="2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28,439</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OCI, net of tax</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(113,847)</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(113,847)</w:t>
            </w:r>
          </w:p>
        </w:tc>
        <w:tc>
          <w:tcPr>
            <w:tcW w:w="0" w:type="dxa"/>
            <w:vAlign w:val="bottom"/>
          </w:tcPr>
          <w:p>
            <w:pPr>
              <w:spacing w:after="0"/>
              <w:rPr>
                <w:sz w:val="1"/>
                <w:szCs w:val="1"/>
                <w:color w:val="auto"/>
              </w:rPr>
            </w:pPr>
          </w:p>
        </w:tc>
      </w:tr>
      <w:tr>
        <w:trPr>
          <w:trHeight w:val="176"/>
        </w:trPr>
        <w:tc>
          <w:tcPr>
            <w:tcW w:w="2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(188,614)</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(5,220)</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treasury stock for ESPP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53"/>
        </w:trPr>
        <w:tc>
          <w:tcPr>
            <w:tcW w:w="284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Net issuance of treasury stock for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13"/>
                <w:szCs w:val="13"/>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5"/>
        </w:trPr>
        <w:tc>
          <w:tcPr>
            <w:tcW w:w="2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RSU/DSU vesting and related tax</w:t>
            </w: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Cash dividends common stock at $0.23</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(12,739)</w:t>
            </w: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(12,739)</w:t>
            </w:r>
          </w:p>
        </w:tc>
        <w:tc>
          <w:tcPr>
            <w:tcW w:w="0" w:type="dxa"/>
            <w:vAlign w:val="bottom"/>
          </w:tcPr>
          <w:p>
            <w:pPr>
              <w:spacing w:after="0"/>
              <w:rPr>
                <w:sz w:val="1"/>
                <w:szCs w:val="1"/>
                <w:color w:val="auto"/>
              </w:rPr>
            </w:pPr>
          </w:p>
        </w:tc>
      </w:tr>
      <w:tr>
        <w:trPr>
          <w:trHeight w:val="185"/>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4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Stock dividend equivalents RSUs at $0.23</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w:t>
            </w: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55,278,785</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$ 1,318,701</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107,890</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(137,605)</w:t>
            </w:r>
          </w:p>
        </w:tc>
        <w:tc>
          <w:tcPr>
            <w:tcW w:w="1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(71,019)</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1,218,025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54,404,379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$ 1,253,360</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20,830</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33,309</w:t>
            </w: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(37,486)</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1,270,069</w:t>
            </w:r>
          </w:p>
        </w:tc>
        <w:tc>
          <w:tcPr>
            <w:tcW w:w="0" w:type="dxa"/>
            <w:vAlign w:val="bottom"/>
          </w:tcPr>
          <w:p>
            <w:pPr>
              <w:spacing w:after="0"/>
              <w:rPr>
                <w:sz w:val="1"/>
                <w:szCs w:val="1"/>
                <w:color w:val="auto"/>
              </w:rPr>
            </w:pPr>
          </w:p>
        </w:tc>
      </w:tr>
      <w:tr>
        <w:trPr>
          <w:trHeight w:val="175"/>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37,816</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OCI, net of tax</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(29,488)</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(29,488)</w:t>
            </w:r>
          </w:p>
        </w:tc>
        <w:tc>
          <w:tcPr>
            <w:tcW w:w="0" w:type="dxa"/>
            <w:vAlign w:val="bottom"/>
          </w:tcPr>
          <w:p>
            <w:pPr>
              <w:spacing w:after="0"/>
              <w:rPr>
                <w:sz w:val="1"/>
                <w:szCs w:val="1"/>
                <w:color w:val="auto"/>
              </w:rPr>
            </w:pPr>
          </w:p>
        </w:tc>
      </w:tr>
      <w:tr>
        <w:trPr>
          <w:trHeight w:val="175"/>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stock</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(59,000)</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(1,510)</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153"/>
        </w:trPr>
        <w:tc>
          <w:tcPr>
            <w:tcW w:w="258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Cash dividends common stock at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(12,513)</w:t>
            </w: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(12,513)</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$0.23 per share</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Stock dividend equivalents RSUs at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(236)</w:t>
            </w: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$0.23 per share</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54,345,379</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$ 1,255,044</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45,897</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(38,996)</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1,265,822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Provided by (Used in) Operating Activities</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w:t>
            </w:r>
          </w:p>
        </w:tc>
        <w:tc>
          <w:tcPr>
            <w:tcW w:w="640" w:type="dxa"/>
            <w:vAlign w:val="bottom"/>
            <w:gridSpan w:val="2"/>
          </w:tcPr>
          <w:p>
            <w:pPr>
              <w:jc w:val="right"/>
              <w:ind w:right="8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28,439</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(used in) operating activities: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Amortization of mortgage servicing rights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Amortization of NMTC</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amortization (accretion) on portfolio loans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amortization (accretion) of premium (discount) on investment securities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amortization (accretion) of premium (discount) on time deposits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amortization (accretion) of premium (discount) on FHLB advances and other borrowings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Impairment of OREO and other repossessed assets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Impairment of mortgage servicing rights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Unrealized (gains) losses recognized on equity securities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(Gain) loss on sales of debt securities, net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(Gain) loss on sales of loans, net</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(Gain) loss on sales of OREO</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(Gain) loss on sales of premises and equipment</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(Gain) loss on life insurance proceeds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(Increase) decrease in cash surrender value of bank owned life insurance</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Stock-based compensation</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Mortgage loans originated for sale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Proceeds from sales of mortgage loans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51,350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change in operating assets and liabilities: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(Increase) decrease in other assets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3"/>
                <w:szCs w:val="13"/>
                <w:color w:val="auto"/>
              </w:rPr>
              <w:t>Increase (decrease) in other liabilities</w:t>
            </w: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4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42,505</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44,109</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Provided by (Used in) Investing Activities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equity securities</w:t>
            </w:r>
          </w:p>
        </w:tc>
        <w:tc>
          <w:tcPr>
            <w:tcW w:w="640" w:type="dxa"/>
            <w:vAlign w:val="bottom"/>
            <w:gridSpan w:val="2"/>
          </w:tcPr>
          <w:p>
            <w:pPr>
              <w:jc w:val="right"/>
              <w:ind w:right="8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(5,948)</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Purchases of debt securities available for sale</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(274,964)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(789,884)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sales of equity securities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paydowns and maturities of debt securities held to maturity</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paydowns and maturities of debt securities available for sale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166,709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(increase) decrease in loans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(83,392)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premiums on bank-owned life insurance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life insurance</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premises and equipment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disposition of premises and equipment</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Proceeds from sales of OREO</w:t>
            </w: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4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(186,987)</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(544,420)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Provided by (Used in) Financing Activities</w:t>
            </w: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increase (decrease) in deposits</w:t>
            </w:r>
          </w:p>
        </w:tc>
        <w:tc>
          <w:tcPr>
            <w:tcW w:w="840" w:type="dxa"/>
            <w:vAlign w:val="bottom"/>
            <w:gridSpan w:val="2"/>
          </w:tcPr>
          <w:p>
            <w:pPr>
              <w:jc w:val="right"/>
              <w:ind w:right="8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(176,617)</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change in federal funds purchased and securities sold under agreements to repurchase</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Repayment of FHLB advances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Repayment of other borrowings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dividends paid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Cash paid for withholding taxes on stock-based payments</w:t>
            </w: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6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(212,385)</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216,576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(356,867)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(283,735)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836,095</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688,537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ending of period</w:t>
            </w:r>
          </w:p>
        </w:tc>
        <w:tc>
          <w:tcPr>
            <w:tcW w:w="840" w:type="dxa"/>
            <w:vAlign w:val="bottom"/>
            <w:gridSpan w:val="2"/>
          </w:tcPr>
          <w:p>
            <w:pPr>
              <w:jc w:val="right"/>
              <w:ind w:right="8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479,228</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404,802</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payments for: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w:t>
            </w:r>
          </w:p>
        </w:tc>
        <w:tc>
          <w:tcPr>
            <w:tcW w:w="8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3,647</w:t>
            </w:r>
          </w:p>
        </w:tc>
        <w:tc>
          <w:tcPr>
            <w:tcW w:w="4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OREO acquired in settlement of loans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Transfer of debt securities available for sale to held to maturity</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985,199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First Busey Corporation, a Nevada corporation organized in 1980, is a $12.6 billion financial holding company headquartered in Champaign, Illinois. Our common stock is traded on The Nasdaq Global Select Market under the symbol “BUSE.”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operates and reports its business in three segments: Banking, FirsTech, and Wealth Management.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Banking</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Banking operating segment provides a full range of banking services to individual and corporate customers through the Company’s wholly-owned bank subsidiary, Busey Bank, with 58 banking centers in Illinois; the St. Louis, Missouri metropolitan area; southwest Florida; and Indianapolis, Indiana.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FirsTech</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FirsTech operating segment provides comprehensive and innovative payment technology solutions that include, but are not limited to, text-based mobile bill pay;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Wealth Management</w:t>
      </w:r>
    </w:p>
    <w:p>
      <w:pPr>
        <w:spacing w:after="0" w:line="21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Wealth Management operating segment provides a full range of asset management, investment, brokerage, fiduciary, philanthropic advisory, tax preparation, and farm management services to individuals, businesses, and foundations.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These unaudited consolidated financial statements and related notes should be read in conjunction with the audited consolidated financial statements included in our 2021 Annual Report. These interim unaudited consolidated financial statements serve to update our 2021 Annual Report and may not include all information and notes necessary to constitute a complete set of financial statements.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January 1, 2022, the Company elected to account for all newly originated loans held for sale at LOCOM. Prior to this change, the Company accounted for loans held for sale at fair value. In the first quarter of 2022, this change did not have a material impact on our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Recently Adopted Accounting Standards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ASU 2021-10 </w:t>
      </w:r>
      <w:r>
        <w:rPr>
          <w:rFonts w:ascii="Times New Roman" w:cs="Times New Roman" w:eastAsia="Times New Roman" w:hAnsi="Times New Roman"/>
          <w:sz w:val="18"/>
          <w:szCs w:val="18"/>
          <w:i w:val="1"/>
          <w:iCs w:val="1"/>
          <w:color w:val="auto"/>
        </w:rPr>
        <w:t>“Government Assistance (Topic 832): Disclosures by Business Entities about Government Assistance”</w:t>
      </w:r>
      <w:r>
        <w:rPr>
          <w:rFonts w:ascii="Times New Roman" w:cs="Times New Roman" w:eastAsia="Times New Roman" w:hAnsi="Times New Roman"/>
          <w:sz w:val="18"/>
          <w:szCs w:val="18"/>
          <w:color w:val="auto"/>
        </w:rPr>
        <w:t xml:space="preserve"> establishes disclosure requirements for transactions with a government that have been accounted for by analogizing to a grant or contribution accounting model. Disclosures required under this standard include 1) the types of transactions, 2) the accounting for those transactions, and 3) the effect of those transactions on the consolidated financial statements. This update is effective for annual periods beginning January 1, 2022, and applies prospectively to all transactions within the scope of the amendments that are reflected in financial statements at the date of initial application and new transactions that are entered into after the date of initial application. Adoption of this standard did not have a material impact on First Busey’s financial position or results of operations.</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ASU 2021-05 </w:t>
      </w:r>
      <w:r>
        <w:rPr>
          <w:rFonts w:ascii="Times New Roman" w:cs="Times New Roman" w:eastAsia="Times New Roman" w:hAnsi="Times New Roman"/>
          <w:sz w:val="18"/>
          <w:szCs w:val="18"/>
          <w:i w:val="1"/>
          <w:iCs w:val="1"/>
          <w:color w:val="auto"/>
        </w:rPr>
        <w:t>“Leases (Topic 842): Lessors—Certain Leases with Variable Lease Payments”</w:t>
      </w:r>
      <w:r>
        <w:rPr>
          <w:rFonts w:ascii="Times New Roman" w:cs="Times New Roman" w:eastAsia="Times New Roman" w:hAnsi="Times New Roman"/>
          <w:sz w:val="18"/>
          <w:szCs w:val="18"/>
          <w:color w:val="auto"/>
        </w:rPr>
        <w:t xml:space="preserve"> amends the lessor’s classification of certain leases under ASC Topic 842. Under this updated guidance, leases that would otherwise be classified as a sales-type or direct financing lease must be classified by a lessor as an operating lease when the following conditions are met: 1) the contract includes variable lease payments that do not depend on an index or rate and 2) classification as a sales-type or direct financing lease would result in recognition of a selling loss at lease commencement. This guidance was effective for First Busey beginning January 1, 2022, and was applied on a prospective basis. Adoption of this standard did not have a material impact on the Company’s financial position or results of operations.</w:t>
      </w:r>
    </w:p>
    <w:p>
      <w:pPr>
        <w:spacing w:after="0" w:line="187"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 xml:space="preserve">ASU 2021-04 </w:t>
      </w:r>
      <w:r>
        <w:rPr>
          <w:rFonts w:ascii="Times New Roman" w:cs="Times New Roman" w:eastAsia="Times New Roman" w:hAnsi="Times New Roman"/>
          <w:sz w:val="18"/>
          <w:szCs w:val="18"/>
          <w:i w:val="1"/>
          <w:iCs w:val="1"/>
          <w:color w:val="auto"/>
        </w:rPr>
        <w:t>“Earnings Per Share (Topic 260), Debt—Modifications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Times New Roman" w:cs="Times New Roman" w:eastAsia="Times New Roman" w:hAnsi="Times New Roman"/>
          <w:sz w:val="18"/>
          <w:szCs w:val="18"/>
          <w:color w:val="auto"/>
        </w:rPr>
        <w:t>clarifies how an issuer should account for modifications or exchanges of equity-classified written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(i.e. a warrant to purchase the issuer’s common stock). This accounting standard requires the issuer to treat a modification of an equity-classified warrant that does not cause the warrant to become liability-classified as an exchange of the original warrant for a new warrant. This guidance applies whether the modification is structured as an amendment to the terms and conditions of the warrant or as termination of the original warrant and issuance of a new warrant. This guidance was effective for First Busey beginning January 1, 2022, and was applied on a prospective basis. Adoption of this standard did not have a material impact on the Company’s financial position or results of operations.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 xml:space="preserve">ASU 2022-02 </w:t>
      </w:r>
      <w:r>
        <w:rPr>
          <w:rFonts w:ascii="Times New Roman" w:cs="Times New Roman" w:eastAsia="Times New Roman" w:hAnsi="Times New Roman"/>
          <w:sz w:val="18"/>
          <w:szCs w:val="18"/>
          <w:i w:val="1"/>
          <w:iCs w:val="1"/>
          <w:color w:val="auto"/>
        </w:rPr>
        <w:t>“Financial Instruments—Credit Losses (Topic 326): Troubled Debt Restructurings and Vintage Disclosures”</w:t>
      </w:r>
      <w:r>
        <w:rPr>
          <w:rFonts w:ascii="Times New Roman" w:cs="Times New Roman" w:eastAsia="Times New Roman" w:hAnsi="Times New Roman"/>
          <w:sz w:val="18"/>
          <w:szCs w:val="18"/>
          <w:color w:val="auto"/>
        </w:rPr>
        <w:t xml:space="preserve"> eliminates the TDR accounting model for creditors that have already adopted CECL. In lieu of the TDR accounting model, loan refinancing and restructuring guidance in ASC Subtopic 310-20 </w:t>
      </w:r>
      <w:r>
        <w:rPr>
          <w:rFonts w:ascii="Times New Roman" w:cs="Times New Roman" w:eastAsia="Times New Roman" w:hAnsi="Times New Roman"/>
          <w:sz w:val="18"/>
          <w:szCs w:val="18"/>
          <w:i w:val="1"/>
          <w:iCs w:val="1"/>
          <w:color w:val="auto"/>
        </w:rPr>
        <w:t>“Investments—Debt Securities”</w:t>
      </w:r>
      <w:r>
        <w:rPr>
          <w:rFonts w:ascii="Times New Roman" w:cs="Times New Roman" w:eastAsia="Times New Roman" w:hAnsi="Times New Roman"/>
          <w:sz w:val="18"/>
          <w:szCs w:val="18"/>
          <w:color w:val="auto"/>
        </w:rPr>
        <w:t xml:space="preserve"> will apply to all loan modifications, including those made for borrowers experiencing financial difficulty. This standard also enhances disclosure requirements related to certain loan modifications. Additionally, this standard introduces new requirements to disclose gross write-off information in the vintage disclosures of financing receivables by credit quality indicator and class of financing receivable by year of origination. This standard applies prospectively. For the transition method related to the recognition and measurement of TDRs, there is an option to apply a modified retrospective transition method, resulting in a cumulative-effect adjustment to retained earnings in the period of adoption. This standard is effective for First Busey beginning January 1, 2023. Early adoption is permitted. First Busey has not yet selected an adoption date and is currently evaluating the potential effect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 xml:space="preserve">ASU 2022-01 </w:t>
      </w:r>
      <w:r>
        <w:rPr>
          <w:rFonts w:ascii="Times New Roman" w:cs="Times New Roman" w:eastAsia="Times New Roman" w:hAnsi="Times New Roman"/>
          <w:sz w:val="18"/>
          <w:szCs w:val="18"/>
          <w:i w:val="1"/>
          <w:iCs w:val="1"/>
          <w:color w:val="auto"/>
        </w:rPr>
        <w:t>“Derivatives and Hedging (Topic 815): Fair Value Hedging—Portfolio Layer Method”</w:t>
      </w:r>
      <w:r>
        <w:rPr>
          <w:rFonts w:ascii="Times New Roman" w:cs="Times New Roman" w:eastAsia="Times New Roman" w:hAnsi="Times New Roman"/>
          <w:sz w:val="18"/>
          <w:szCs w:val="18"/>
          <w:color w:val="auto"/>
        </w:rPr>
        <w:t xml:space="preserve"> replaces the current last-of-layer hedge accounting method with an expanded portfolio layer method that permits multiple hedged layers of a single closed portfolio. The scope of the portfolio layer method is also expanded to include non-prepayable financial assets. This update also provides additional guidance on the accounting for and disclosure of hedge basis adjustments that are applicable to the portfolio layer method, and specifies how hedge basis adjustments should be considered when determining credit losses for the assets included in the closed portfolio. Amendments related to hedge basis adjustments which are included in this standard apply on a modified retrospective basis by means of a cumulative-effect adjustment to the opening balance of retained earnings on the initial application date. Amendments related to disclosure which are included in this standard may be applied on a prospective basis from the initial application date, or on a retrospective basis to each prior period presented after the date of adoption of the amendments in ASU 2017-12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815): Targeted Improvements to Accounting for Hedging Activities.” </w:t>
      </w:r>
      <w:r>
        <w:rPr>
          <w:rFonts w:ascii="Times New Roman" w:cs="Times New Roman" w:eastAsia="Times New Roman" w:hAnsi="Times New Roman"/>
          <w:sz w:val="18"/>
          <w:szCs w:val="18"/>
          <w:color w:val="auto"/>
        </w:rPr>
        <w:t>This standard is effective for First Busey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January 1, 2023, and may be early adopted. First Busey has not yet selected an adoption date and is currently evaluating the potential effect on the Company’s financial position and results of operations.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requires measurement and recognition in accordance with ASC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for contract assets and contract liabilities acquired in a business combination. This update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First Busey beginning January 1, 2023, and may be adopted early. This standard applies prospectively to all business combinations that occur on or after the date it is adopted and, if applicable, retrospectively to all business combinations for which the acquisition date occurs on or after the beginning of the fiscal year that includes the interim period of early application. First Busey has not yet selected an adoption date and is currently evaluating the potential effect on the Company’s financial position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Throughout the COVID-19 pandemic, First Busey operated as an essential community resource, providing approximately $1.1 billion in payroll assistance for small businesses and select nonprofits through low-interest, 100% government-guaranteed loans as part of the PPP. First Busey had $32.5 million in PPP loans outstanding, with an amortized cost of $31.8 million, as of March 31, 2022. In comparison, First Busey had $76.9 million in PPP loans outstanding, with an amortized cost of $75.0 million, as of December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evaluated subsequent events for potential recognition and/or disclosure through the date the unaudited consolidated financial statements included in this Quarterly Report were issued. There were no significant subsequent events for the quarter ended March 31, 2022, through the filing date of these unaudited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Cummins-American Corp.</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Effective May 31, 2021, the Company completed its acquisition of CAC, the holding company for GSB. The partnership has enhanced the Company’s existing deposit, commercial banking, and wealth management presence in the Chicago-Naperville-Elgin, IL-IN-WI Metropolitan Statistical Area. GSB’s results of operations were included in the Company’s results of operations beginning June 1, 2021. First Busey operated GSB as a separate banking subsidiary until August 14, 2021, when it was merged with and into Busey Bank. At that time, all GSB banking centers became branches of Busey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Under the terms of the definitive agreement, each share of CAC common stock issued and outstanding as of the effective date was converted into the right to receive 444.4783 shares of First Busey common stock and $14,173.96 in cash, which reflects adjustments made to the cash consideration in accordance with the terms of the definitive agreement. The fair value of the common shares of First Busey issued as part of the consideration paid to the holders of CAC common stock was determined on the basis of the closing price of First Busey’s common stock on May 28, 2021, the last trading day immediately preceding the acquisition date of May 31, 2021. As additional consideration provided to CAC’s shareholders in the merger, CAC paid a special dividend to its shareholders in the amount of $60.0 million, or $12,087.58 per share of CAC common stock, on May 28, 2021.</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This transaction was accounted for using the acquisition method of accounting and, accordingly, assets acquired, liabilities assumed, and consideration exchanged was recorded at estimated fair values on the date of acquisition. Fair values are subject to refinement for up to one year after the closing date as additional information regarding the closing date fair values becomes available. There were no fair value adjustments recorded during the first quarter of 2022, and the Company does not expect any further adjustments will be necessary.</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the total consideration paid for CAC exceeded the estimated fair value of net assets acquired, goodwill of $6.3 million was recorded as a result of the acquisition. The amount of goodwill recognized as a result of this transaction is expected to be fully tax deductible for federal income tax purposes in accordance with the Company’s election pursuant to Section 338(h)(10) of the Internal Revenue Code. Goodwill recorded for this transaction reflects synergies expected from the acquisition and expansion within the Chicago-Naperville-Elgin, IL-IN-WI Metropolitan Statistical Area, and was assigned to the Banking operating segment.</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First Busey incurred $0.8 million in pre-tax acquisition expenses related to the acquisition of CAC, comprised primarily of compensation expense and data processing expense.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Estimated fair values of the assets acquired and liabilities assumed, as well as the fair value of consideration transferred, were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CAC</w:t>
            </w:r>
          </w:p>
        </w:tc>
      </w:tr>
      <w:tr>
        <w:trPr>
          <w:trHeight w:val="195"/>
        </w:trPr>
        <w:tc>
          <w:tcPr>
            <w:tcW w:w="78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May 31, 2021</w:t>
            </w:r>
          </w:p>
        </w:tc>
      </w:tr>
      <w:tr>
        <w:trPr>
          <w:trHeight w:val="21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298,637</w:t>
            </w: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702,367</w:t>
            </w:r>
          </w:p>
        </w:tc>
      </w:tr>
      <w:tr>
        <w:trPr>
          <w:trHeight w:val="21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Portfolio loans, net of ACL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430,470</w:t>
            </w: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Premises and equipment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w:t>
            </w:r>
          </w:p>
        </w:tc>
      </w:tr>
      <w:tr>
        <w:trPr>
          <w:trHeight w:val="21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1,474,653</w:t>
            </w:r>
          </w:p>
        </w:tc>
      </w:tr>
      <w:tr>
        <w:trPr>
          <w:trHeight w:val="210"/>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1,315,671</w:t>
            </w: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borrowings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w:t>
            </w:r>
          </w:p>
        </w:tc>
      </w:tr>
      <w:tr>
        <w:trPr>
          <w:trHeight w:val="21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19,205</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1,351,527</w:t>
            </w:r>
          </w:p>
        </w:tc>
      </w:tr>
      <w:tr>
        <w:trPr>
          <w:trHeight w:val="210"/>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123,126</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paid: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70,358</w:t>
            </w: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59,105</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consideration paid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129,463</w:t>
            </w:r>
          </w:p>
        </w:tc>
      </w:tr>
      <w:tr>
        <w:trPr>
          <w:trHeight w:val="196"/>
        </w:trPr>
        <w:tc>
          <w:tcPr>
            <w:tcW w:w="7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fair value of PCD financial assets was $60.5 million on the date of acquisition. Gross contractual amounts receivable relating to the PCD financial assets was $65.2 million. The Company estimated, on the date of acquisition, that $4.2 million of the contractual cash flows specific to the PCD financial assets will not be collected.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Debt Securities</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a portion of the securities available for sale were transferred to securities held to maturity. The tables below provide the amortized cost, unrealized gains and losses, and fair values of debt securities summarized by major category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Gains</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Gross Losses</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 securities available for sale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160,990</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(104,144)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297,447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(14,636)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283,172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securities available for sale</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3,082,715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(139,329)</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2,946,055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 securities held to maturity</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503,285</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(15,521)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472,796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455,082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securities held to maturity</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976,081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942,846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Gains</w:t>
            </w: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available for sale</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166,768</w:t>
            </w:r>
          </w:p>
        </w:tc>
        <w:tc>
          <w:tcPr>
            <w:tcW w:w="20" w:type="dxa"/>
            <w:vAlign w:val="bottom"/>
          </w:tcPr>
          <w:p>
            <w:pPr>
              <w:spacing w:after="0"/>
              <w:rPr>
                <w:sz w:val="18"/>
                <w:szCs w:val="18"/>
                <w:color w:val="auto"/>
              </w:rPr>
            </w:pPr>
          </w:p>
        </w:tc>
        <w:tc>
          <w:tcPr>
            <w:tcW w:w="32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32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2,095,104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(34,680)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 available for sale</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4,013,523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Maturities of debt securities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r>
      <w:tr>
        <w:trPr>
          <w:trHeight w:val="149"/>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80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available for sale</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174,918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174,182</w:t>
            </w: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441,159</w:t>
            </w: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303,050</w:t>
            </w: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ten years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2,137,535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2,027,664</w:t>
            </w:r>
          </w:p>
        </w:tc>
      </w:tr>
      <w:tr>
        <w:trPr>
          <w:trHeight w:val="25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3,082,715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2,946,055</w:t>
            </w:r>
          </w:p>
        </w:tc>
      </w:tr>
      <w:tr>
        <w:trPr>
          <w:trHeight w:val="197"/>
        </w:trPr>
        <w:tc>
          <w:tcPr>
            <w:tcW w:w="6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held to maturity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47,185</w:t>
            </w: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64,572</w:t>
            </w:r>
          </w:p>
        </w:tc>
      </w:tr>
      <w:tr>
        <w:trPr>
          <w:trHeight w:val="216"/>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Due after ten years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831,089</w:t>
            </w:r>
          </w:p>
        </w:tc>
      </w:tr>
      <w:tr>
        <w:trPr>
          <w:trHeight w:val="210"/>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976,081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942,846</w:t>
            </w: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debt securities</w:t>
      </w:r>
    </w:p>
    <w:p>
      <w:pPr>
        <w:spacing w:after="0" w:line="22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Realized gains and losses related to sales and calls of debt securities available for sale are summarized as follows </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228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4"/>
        </w:trPr>
        <w:tc>
          <w:tcPr>
            <w:tcW w:w="66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gains and losses on debt securities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security gains</w:t>
            </w:r>
          </w:p>
        </w:tc>
        <w:tc>
          <w:tcPr>
            <w:tcW w:w="700" w:type="dxa"/>
            <w:vAlign w:val="bottom"/>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security (losses)</w:t>
            </w:r>
          </w:p>
        </w:tc>
        <w:tc>
          <w:tcPr>
            <w:tcW w:w="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net gains (losses) on debt securities</w:t>
            </w:r>
          </w:p>
        </w:tc>
        <w:tc>
          <w:tcPr>
            <w:tcW w:w="7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Debt securities with carrying amounts of $717.6 million on March 31, 2022, and $708.9 million on December 31, 2021, were pledged as collateral for public deposits, securities sold under agreements to repurchase, and for other purposes as required.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 in an unrealized loss position</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The following information pertains to debt securities with gross unrealized losses, aggregated by investment category and the length of time that individual securities have been in a continuous loss position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4"/>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Borders>
              <w:bottom w:val="single" w:sz="8" w:color="auto"/>
            </w:tcBorders>
          </w:tcPr>
          <w:p>
            <w:pPr>
              <w:spacing w:after="0"/>
              <w:rPr>
                <w:sz w:val="15"/>
                <w:szCs w:val="15"/>
                <w:color w:val="auto"/>
              </w:rPr>
            </w:pPr>
          </w:p>
        </w:tc>
      </w:tr>
      <w:tr>
        <w:trPr>
          <w:trHeight w:val="144"/>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55"/>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55"/>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34"/>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r>
      <w:tr>
        <w:trPr>
          <w:trHeight w:val="194"/>
        </w:trPr>
        <w:tc>
          <w:tcPr>
            <w:tcW w:w="29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 securities available for sale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184"/>
        </w:trPr>
        <w:tc>
          <w:tcPr>
            <w:tcW w:w="29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Obligations of U.S. government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48"/>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84"/>
        </w:trPr>
        <w:tc>
          <w:tcPr>
            <w:tcW w:w="29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8"/>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r>
      <w:tr>
        <w:trPr>
          <w:trHeight w:val="216"/>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184"/>
        </w:trPr>
        <w:tc>
          <w:tcPr>
            <w:tcW w:w="29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Commercial mortgage-backed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8"/>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184"/>
        </w:trPr>
        <w:tc>
          <w:tcPr>
            <w:tcW w:w="29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48"/>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1,054,313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393,830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1,448,143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(104,144)</w:t>
            </w:r>
          </w:p>
        </w:tc>
      </w:tr>
      <w:tr>
        <w:trPr>
          <w:trHeight w:val="216"/>
        </w:trPr>
        <w:tc>
          <w:tcPr>
            <w:tcW w:w="2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w:t>
            </w:r>
          </w:p>
        </w:tc>
      </w:tr>
      <w:tr>
        <w:trPr>
          <w:trHeight w:val="164"/>
        </w:trPr>
        <w:tc>
          <w:tcPr>
            <w:tcW w:w="2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Debt securities available for sale with</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3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losses</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450,478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2,593,774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(139,329)</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Debt securities held to maturity</w:t>
      </w:r>
    </w:p>
    <w:p>
      <w:pPr>
        <w:spacing w:after="0" w:line="31" w:lineRule="exact"/>
        <w:rPr>
          <w:sz w:val="20"/>
          <w:szCs w:val="20"/>
          <w:color w:val="auto"/>
        </w:rPr>
      </w:pPr>
    </w:p>
    <w:p>
      <w:pPr>
        <w:ind w:left="280" w:right="220"/>
        <w:spacing w:after="0" w:line="242" w:lineRule="auto"/>
        <w:rPr>
          <w:sz w:val="20"/>
          <w:szCs w:val="20"/>
          <w:color w:val="auto"/>
        </w:rPr>
      </w:pPr>
      <w:r>
        <w:rPr>
          <w:rFonts w:ascii="Times New Roman" w:cs="Times New Roman" w:eastAsia="Times New Roman" w:hAnsi="Times New Roman"/>
          <w:sz w:val="18"/>
          <w:szCs w:val="18"/>
          <w:color w:val="auto"/>
        </w:rPr>
        <w:t>Commercial mortgage-backed securities</w:t>
      </w:r>
    </w:p>
    <w:p>
      <w:pPr>
        <w:spacing w:after="0" w:line="1" w:lineRule="exact"/>
        <w:rPr>
          <w:sz w:val="20"/>
          <w:szCs w:val="20"/>
          <w:color w:val="auto"/>
        </w:rPr>
      </w:pPr>
    </w:p>
    <w:p>
      <w:pPr>
        <w:ind w:left="280" w:right="300"/>
        <w:spacing w:after="0" w:line="250" w:lineRule="auto"/>
        <w:rPr>
          <w:sz w:val="20"/>
          <w:szCs w:val="20"/>
          <w:color w:val="auto"/>
        </w:rPr>
      </w:pPr>
      <w:r>
        <w:rPr>
          <w:rFonts w:ascii="Times New Roman" w:cs="Times New Roman" w:eastAsia="Times New Roman" w:hAnsi="Times New Roman"/>
          <w:sz w:val="18"/>
          <w:szCs w:val="18"/>
          <w:color w:val="auto"/>
        </w:rPr>
        <w:t>Residential mortgage-backed securities</w:t>
      </w:r>
    </w:p>
    <w:p>
      <w:pPr>
        <w:spacing w:after="0" w:line="1" w:lineRule="exact"/>
        <w:rPr>
          <w:sz w:val="20"/>
          <w:szCs w:val="20"/>
          <w:color w:val="auto"/>
        </w:rPr>
      </w:pPr>
    </w:p>
    <w:p>
      <w:pPr>
        <w:ind w:left="60"/>
        <w:spacing w:after="0" w:line="260" w:lineRule="auto"/>
        <w:rPr>
          <w:sz w:val="20"/>
          <w:szCs w:val="20"/>
          <w:color w:val="auto"/>
        </w:rPr>
      </w:pPr>
      <w:r>
        <w:rPr>
          <w:rFonts w:ascii="Times New Roman" w:cs="Times New Roman" w:eastAsia="Times New Roman" w:hAnsi="Times New Roman"/>
          <w:sz w:val="18"/>
          <w:szCs w:val="18"/>
          <w:color w:val="auto"/>
        </w:rPr>
        <w:t>Debt securities held to maturity with gross unrealized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281,462  $  (9,329)  $ 206,302  $  (6,192)  $  487,764  $  (15,521)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-393700</wp:posOffset>
            </wp:positionV>
            <wp:extent cx="56489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-1979295</wp:posOffset>
            </wp:positionH>
            <wp:positionV relativeFrom="paragraph">
              <wp:posOffset>17145</wp:posOffset>
            </wp:positionV>
            <wp:extent cx="564896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412,450</w:t>
            </w:r>
          </w:p>
        </w:tc>
        <w:tc>
          <w:tcPr>
            <w:tcW w:w="1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4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8"/>
                <w:szCs w:val="18"/>
                <w:color w:val="auto"/>
              </w:rPr>
              <w:t>455,082</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(17,714)</w:t>
            </w:r>
          </w:p>
        </w:tc>
      </w:tr>
      <w:tr>
        <w:trPr>
          <w:trHeight w:val="398"/>
        </w:trPr>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693,912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(25,269)</w:t>
            </w: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$ 248,934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(7,966)</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99"/>
              <w:spacing w:after="0"/>
              <w:rPr>
                <w:sz w:val="20"/>
                <w:szCs w:val="20"/>
                <w:color w:val="auto"/>
              </w:rPr>
            </w:pPr>
            <w:r>
              <w:rPr>
                <w:rFonts w:ascii="Times New Roman" w:cs="Times New Roman" w:eastAsia="Times New Roman" w:hAnsi="Times New Roman"/>
                <w:sz w:val="18"/>
                <w:szCs w:val="18"/>
                <w:color w:val="auto"/>
              </w:rPr>
              <w:t>942,846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(33,235)</w:t>
            </w: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5"/>
                <w:szCs w:val="15"/>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900" w:type="dxa"/>
            <w:vAlign w:val="bottom"/>
            <w:gridSpan w:val="2"/>
          </w:tcPr>
          <w:p>
            <w:pPr>
              <w:jc w:val="center"/>
              <w:ind w:left="42"/>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640" w:type="dxa"/>
            <w:vAlign w:val="bottom"/>
          </w:tcPr>
          <w:p>
            <w:pPr>
              <w:jc w:val="right"/>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860" w:type="dxa"/>
            <w:vAlign w:val="bottom"/>
            <w:gridSpan w:val="2"/>
          </w:tcPr>
          <w:p>
            <w:pPr>
              <w:jc w:val="center"/>
              <w:ind w:left="42"/>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left="79"/>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860" w:type="dxa"/>
            <w:vAlign w:val="bottom"/>
            <w:gridSpan w:val="2"/>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Losses</w:t>
            </w:r>
          </w:p>
        </w:tc>
      </w:tr>
    </w:tbl>
    <w:p>
      <w:pPr>
        <w:spacing w:after="0" w:line="1" w:lineRule="exact"/>
        <w:rPr>
          <w:sz w:val="20"/>
          <w:szCs w:val="20"/>
          <w:color w:val="auto"/>
        </w:rPr>
      </w:pPr>
    </w:p>
    <w:p>
      <w:pPr>
        <w:sectPr>
          <w:pgSz w:w="11900" w:h="16838" w:orient="portrait"/>
          <w:cols w:equalWidth="0" w:num="2">
            <w:col w:w="2680" w:space="500"/>
            <w:col w:w="583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 securities available for sale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Commercial mortgage-backed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389,078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474,983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1,700,187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1,720,725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241,153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Debt securities available for sale with</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2,676,734</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(49,847)</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106,443</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2,783,177</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(54,654)</w:t>
            </w:r>
          </w:p>
        </w:tc>
        <w:tc>
          <w:tcPr>
            <w:tcW w:w="0" w:type="dxa"/>
            <w:vAlign w:val="bottom"/>
          </w:tcPr>
          <w:p>
            <w:pPr>
              <w:spacing w:after="0"/>
              <w:rPr>
                <w:sz w:val="1"/>
                <w:szCs w:val="1"/>
                <w:color w:val="auto"/>
              </w:rPr>
            </w:pPr>
          </w:p>
        </w:tc>
      </w:tr>
      <w:tr>
        <w:trPr>
          <w:trHeight w:val="221"/>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unrealized losses</w:t>
            </w:r>
          </w:p>
        </w:tc>
        <w:tc>
          <w:tcPr>
            <w:tcW w:w="2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1"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Additional information about debt securities in an unrealized loss position is presented in the tables below </w:t>
      </w:r>
      <w:r>
        <w:rPr>
          <w:rFonts w:ascii="Times New Roman" w:cs="Times New Roman" w:eastAsia="Times New Roman" w:hAnsi="Times New Roman"/>
          <w:sz w:val="18"/>
          <w:szCs w:val="18"/>
          <w:i w:val="1"/>
          <w:iCs w:val="1"/>
          <w:color w:val="auto"/>
        </w:rPr>
        <w:t>(dollars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75"/>
        </w:trPr>
        <w:tc>
          <w:tcPr>
            <w:tcW w:w="4820" w:type="dxa"/>
            <w:vAlign w:val="bottom"/>
          </w:tcPr>
          <w:p>
            <w:pPr>
              <w:spacing w:after="0"/>
              <w:rPr>
                <w:sz w:val="15"/>
                <w:szCs w:val="15"/>
                <w:color w:val="auto"/>
              </w:rPr>
            </w:pPr>
          </w:p>
        </w:tc>
        <w:tc>
          <w:tcPr>
            <w:tcW w:w="13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Held to Maturity</w:t>
            </w:r>
          </w:p>
        </w:tc>
        <w:tc>
          <w:tcPr>
            <w:tcW w:w="260" w:type="dxa"/>
            <w:vAlign w:val="bottom"/>
          </w:tcPr>
          <w:p>
            <w:pPr>
              <w:spacing w:after="0"/>
              <w:rPr>
                <w:sz w:val="15"/>
                <w:szCs w:val="15"/>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with gross unrealized losses, fair value</w:t>
            </w: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2,593,774</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942,846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3,536,620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unrealized losses on debt securities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139,329</w:t>
            </w:r>
          </w:p>
        </w:tc>
        <w:tc>
          <w:tcPr>
            <w:tcW w:w="18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33,235</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172,564</w:t>
            </w:r>
          </w:p>
        </w:tc>
        <w:tc>
          <w:tcPr>
            <w:tcW w:w="180" w:type="dxa"/>
            <w:vAlign w:val="bottom"/>
          </w:tcPr>
          <w:p>
            <w:pPr>
              <w:spacing w:after="0"/>
              <w:rPr>
                <w:sz w:val="18"/>
                <w:szCs w:val="18"/>
                <w:color w:val="auto"/>
              </w:rPr>
            </w:pPr>
          </w:p>
        </w:tc>
      </w:tr>
      <w:tr>
        <w:trPr>
          <w:trHeight w:val="198"/>
        </w:trPr>
        <w:tc>
          <w:tcPr>
            <w:tcW w:w="4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Ratio of gross unrealized losses to</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with gross unrealized losses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r>
      <w:tr>
        <w:trPr>
          <w:trHeight w:val="216"/>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 of debt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shd w:val="clear" w:color="auto" w:fill="CCEEFF"/>
          </w:tcPr>
          <w:p>
            <w:pPr>
              <w:spacing w:after="0"/>
              <w:rPr>
                <w:sz w:val="18"/>
                <w:szCs w:val="18"/>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 of debt securities in an unrealized loss position</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20"/>
                <w:szCs w:val="20"/>
                <w:color w:val="auto"/>
              </w:rPr>
            </w:pPr>
          </w:p>
        </w:tc>
      </w:tr>
      <w:tr>
        <w:trPr>
          <w:trHeight w:val="394"/>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76"/>
        </w:trPr>
        <w:tc>
          <w:tcPr>
            <w:tcW w:w="4820" w:type="dxa"/>
            <w:vAlign w:val="bottom"/>
          </w:tcPr>
          <w:p>
            <w:pPr>
              <w:spacing w:after="0"/>
              <w:rPr>
                <w:sz w:val="15"/>
                <w:szCs w:val="15"/>
                <w:color w:val="auto"/>
              </w:rPr>
            </w:pPr>
          </w:p>
        </w:tc>
        <w:tc>
          <w:tcPr>
            <w:tcW w:w="13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Held to Maturity</w:t>
            </w:r>
          </w:p>
        </w:tc>
        <w:tc>
          <w:tcPr>
            <w:tcW w:w="260" w:type="dxa"/>
            <w:vAlign w:val="bottom"/>
          </w:tcPr>
          <w:p>
            <w:pPr>
              <w:spacing w:after="0"/>
              <w:rPr>
                <w:sz w:val="15"/>
                <w:szCs w:val="15"/>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r>
      <w:tr>
        <w:trPr>
          <w:trHeight w:val="20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with gross unrealized losses, fair value</w:t>
            </w: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2,783,177</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2,783,177</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unrealized losses on debt securities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54,654</w:t>
            </w:r>
          </w:p>
        </w:tc>
        <w:tc>
          <w:tcPr>
            <w:tcW w:w="18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54,654</w:t>
            </w:r>
          </w:p>
        </w:tc>
        <w:tc>
          <w:tcPr>
            <w:tcW w:w="180" w:type="dxa"/>
            <w:vAlign w:val="bottom"/>
          </w:tcPr>
          <w:p>
            <w:pPr>
              <w:spacing w:after="0"/>
              <w:rPr>
                <w:sz w:val="18"/>
                <w:szCs w:val="18"/>
                <w:color w:val="auto"/>
              </w:rPr>
            </w:pPr>
          </w:p>
        </w:tc>
      </w:tr>
      <w:tr>
        <w:trPr>
          <w:trHeight w:val="198"/>
        </w:trPr>
        <w:tc>
          <w:tcPr>
            <w:tcW w:w="4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Ratio of gross unrealized losses to</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with gross unrealized losses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 of debt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80" w:type="dxa"/>
            <w:vAlign w:val="bottom"/>
            <w:shd w:val="clear" w:color="auto" w:fill="CCEEFF"/>
          </w:tcPr>
          <w:p>
            <w:pPr>
              <w:spacing w:after="0"/>
              <w:rPr>
                <w:sz w:val="18"/>
                <w:szCs w:val="18"/>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 of debt securities in an unrealized loss position</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Unrealized losses were related to changes in market interest rates and market conditions that do not represent credit-related impairments. The Company does not intend to sell securities that are in an unrealized loss position, and it is more likely than not that the Company will recover the amortized cost prior to being required to sell the debt securities. Full collection of the amounts due according to the contractual terms of the debt securities is expected; therefore, no ACL was recorded in relation to the Company’s debt securities, and the impairment related to noncredit factors is recognized in AOCI, net of applicable taxes. As of March 31, 2022, the Company did not hold general obligation bonds of any single issuer, the aggregate of which exceeded 10% of the Company’s stockholders’ equity.</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Portfolio Loans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Loan Categories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The Company’s lending can be summarized into five primary categories: commercial loans, commercial real estate loans, real estate construction loans, retail real estate loans, and retail other loans. Distributions of loan portfolio by loan category were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loans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1,906,595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3,134,794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1,544,365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3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241,691</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 loans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7,272,873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ACL</w:t>
            </w:r>
          </w:p>
        </w:tc>
        <w:tc>
          <w:tcPr>
            <w:tcW w:w="3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loans, net</w:t>
            </w:r>
          </w:p>
        </w:tc>
        <w:tc>
          <w:tcPr>
            <w:tcW w:w="3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7,184,660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4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deferred loan origination costs included in the balances above were $10.6 million as of March 31, 2022, compared to $9.0 million as of December 31, 2021. Net accretable purchase accounting adjustments included in the balances above reduced loans by $7.7 million as of March 31, 2022, and $8.8 million as of December 31, 2021. Commercial balances include loans originated under the PPP with an amortized cost of $31.8 million as of March 31, 2022, and $75.0 million as of December 31, 2021.</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retail real estate loans purchased during the three months ended March 31, 2022 or 2021.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Grading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utilizes a loan grading scale to assign a risk grade to all of its loans. A description of the general characteristics of each grade is as follows:</w:t>
      </w:r>
    </w:p>
    <w:p>
      <w:pPr>
        <w:spacing w:after="0" w:line="146" w:lineRule="exact"/>
        <w:rPr>
          <w:sz w:val="20"/>
          <w:szCs w:val="20"/>
          <w:color w:val="auto"/>
        </w:rPr>
      </w:pPr>
    </w:p>
    <w:p>
      <w:pPr>
        <w:jc w:val="both"/>
        <w:ind w:left="720" w:right="79" w:hanging="319"/>
        <w:spacing w:after="0" w:line="26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Pass </w:t>
      </w:r>
      <w:r>
        <w:rPr>
          <w:rFonts w:ascii="Times New Roman" w:cs="Times New Roman" w:eastAsia="Times New Roman" w:hAnsi="Times New Roman"/>
          <w:sz w:val="18"/>
          <w:szCs w:val="18"/>
          <w:color w:val="auto"/>
        </w:rPr>
        <w:t>– This category includes loans that are all considered acceptable credits, ranging from investment or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grade, to loans made to borrowers who exhibit credit fundamentals that meet or exceed industry standards.</w:t>
      </w:r>
    </w:p>
    <w:p>
      <w:pPr>
        <w:spacing w:after="0" w:line="17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Watch </w:t>
      </w:r>
      <w:r>
        <w:rPr>
          <w:rFonts w:ascii="Times New Roman" w:cs="Times New Roman" w:eastAsia="Times New Roman" w:hAnsi="Times New Roman"/>
          <w:sz w:val="18"/>
          <w:szCs w:val="18"/>
          <w:color w:val="auto"/>
        </w:rPr>
        <w:t>– This category includes loans that warrant a higher-than-average level of monitoring to ensure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66"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 This category is for “Other Assets Specially Mentioned” loans that have potential weaknesses,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if not checked or corrected, weaken the asset or inadequately protect the Company’s credit position at some future date.</w:t>
      </w:r>
    </w:p>
    <w:p>
      <w:pPr>
        <w:spacing w:after="0" w:line="17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 This category includes “Substandard” loans, determined in accordance with regulatory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66"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Substandard non-accrual </w:t>
      </w:r>
      <w:r>
        <w:rPr>
          <w:rFonts w:ascii="Times New Roman" w:cs="Times New Roman" w:eastAsia="Times New Roman" w:hAnsi="Times New Roman"/>
          <w:sz w:val="18"/>
          <w:szCs w:val="18"/>
          <w:color w:val="auto"/>
        </w:rPr>
        <w:t>– This category includes loans that have all the characteristics of a “Substandard”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additional factors that make collection in full highly questionable and improbable. Such loans are placed on non-accrual status and may be dependent on collateral with a value that is difficult to determine.</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table is a summary of risk grades segregated by category of portfolio loans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49"/>
        </w:trPr>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Special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Substandard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4"/>
        </w:trPr>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Watch</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Mention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4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loans</w:t>
            </w:r>
          </w:p>
        </w:tc>
        <w:tc>
          <w:tcPr>
            <w:tcW w:w="6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$ 1,725,369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$ 1,906,595</w:t>
            </w:r>
          </w:p>
        </w:tc>
      </w:tr>
      <w:tr>
        <w:trPr>
          <w:trHeight w:val="21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3,134,794</w:t>
            </w:r>
          </w:p>
        </w:tc>
      </w:tr>
      <w:tr>
        <w:trPr>
          <w:trHeight w:val="216"/>
        </w:trPr>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428,467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445,428</w:t>
            </w:r>
          </w:p>
        </w:tc>
      </w:tr>
      <w:tr>
        <w:trPr>
          <w:trHeight w:val="21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1,544,365</w:t>
            </w:r>
          </w:p>
        </w:tc>
      </w:tr>
      <w:tr>
        <w:trPr>
          <w:trHeight w:val="216"/>
        </w:trPr>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241,691</w:t>
            </w:r>
          </w:p>
        </w:tc>
      </w:tr>
      <w:tr>
        <w:trPr>
          <w:trHeight w:val="209"/>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 loans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$ 6,688,300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130,228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$ 7,272,873</w:t>
            </w:r>
          </w:p>
        </w:tc>
      </w:tr>
      <w:tr>
        <w:trPr>
          <w:trHeight w:val="20"/>
        </w:trPr>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Special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Substandard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Watch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Mention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4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loans</w:t>
            </w:r>
          </w:p>
        </w:tc>
        <w:tc>
          <w:tcPr>
            <w:tcW w:w="6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$ 1,747,756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26,117</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$ 1,943,886</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3,119,807</w:t>
            </w: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385,996</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1,512,976</w:t>
            </w: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226,333</w:t>
            </w:r>
          </w:p>
        </w:tc>
      </w:tr>
      <w:tr>
        <w:trPr>
          <w:trHeight w:val="210"/>
        </w:trPr>
        <w:tc>
          <w:tcPr>
            <w:tcW w:w="2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 loans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$ 6,518,101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$ 7,188,998</w:t>
            </w: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Risk grades of portfolio loans, further sorted by origination year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Risk Grade Ratings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4"/>
                <w:szCs w:val="14"/>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$ 220,582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386,332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187,571</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$ 187,281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580,380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$ 1,725,369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Watch</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Mention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Substandard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non-accrual</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101,522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215,472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669,363</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349,992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216,247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Watch</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110,412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Mention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Substandard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non-accrual</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40" w:type="dxa"/>
            <w:vAlign w:val="bottom"/>
            <w:tcBorders>
              <w:top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commercial</w:t>
            </w: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316,683</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1,021,818</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648,048</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464,112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258,537</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408,470</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 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Watch</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Mention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Substandard</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real estate</w:t>
            </w: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189,943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133,276</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Retail real estate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Watch</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Mention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Substandard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non-accrual</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retail real</w:t>
            </w: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estate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495,128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100,808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76,164</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336,778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211,892</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1,544,365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Retail other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non-accrual</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retail other</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89,416</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portfolio</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$ 764,975</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2,171,718</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1,204,783</w:t>
            </w:r>
          </w:p>
        </w:tc>
        <w:tc>
          <w:tcPr>
            <w:tcW w:w="2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720,770</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437,590</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$ 969,849</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1,003,188</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$ 7,272,873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gridSpan w:val="3"/>
          </w:tcPr>
          <w:p>
            <w:pPr>
              <w:jc w:val="center"/>
              <w:ind w:right="471"/>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Risk Grade Ratings</w:t>
            </w:r>
          </w:p>
        </w:tc>
        <w:tc>
          <w:tcPr>
            <w:tcW w:w="12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4"/>
                <w:szCs w:val="14"/>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512,729</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228,811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$ 107,877</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$ 122,418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616,697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$ 1,747,756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Watch</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Mention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non-accrual</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239,348</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709,389</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637,550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235,928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Watch</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Mention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non-accrual</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40" w:type="dxa"/>
            <w:vAlign w:val="bottom"/>
            <w:tcBorders>
              <w:top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1,051,764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687,392</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557,336</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307,458</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257,419</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 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Watch</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Mention</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real estate</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130,050</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Retail real estate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Watch</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Mention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non-accrual</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retail real</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531,210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217,850</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83,213</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285,279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216,458</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Retail other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non-accrual</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retail other</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93,770</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portfolio</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2,393,701</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1,296,955</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$ 845,248</w:t>
            </w:r>
          </w:p>
        </w:tc>
        <w:tc>
          <w:tcPr>
            <w:tcW w:w="2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503,186</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434,084</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$ 671,510</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1,044,314</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$ 7,188,998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gridSpan w:val="3"/>
          </w:tcPr>
          <w:p>
            <w:pPr>
              <w:jc w:val="center"/>
              <w:ind w:right="471"/>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Non-accrual Loans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An analysis of the amortized cost basis of portfolio loans that are past due and still accruing, or on a non-accrual status, is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74"/>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Loans past due, still accruing</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Non-accrual</w:t>
            </w:r>
          </w:p>
        </w:tc>
      </w:tr>
      <w:tr>
        <w:trPr>
          <w:trHeight w:val="169"/>
        </w:trPr>
        <w:tc>
          <w:tcPr>
            <w:tcW w:w="5140" w:type="dxa"/>
            <w:vAlign w:val="bottom"/>
          </w:tcPr>
          <w:p>
            <w:pPr>
              <w:spacing w:after="0"/>
              <w:rPr>
                <w:sz w:val="14"/>
                <w:szCs w:val="14"/>
                <w:color w:val="auto"/>
              </w:rPr>
            </w:pPr>
          </w:p>
        </w:tc>
        <w:tc>
          <w:tcPr>
            <w:tcW w:w="9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96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90+Days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Loans</w:t>
            </w: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16"/>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past due and non-accrual loans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67"/>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74"/>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Loans past due, still accruing</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Non-accrual</w:t>
            </w:r>
          </w:p>
        </w:tc>
      </w:tr>
      <w:tr>
        <w:trPr>
          <w:trHeight w:val="169"/>
        </w:trPr>
        <w:tc>
          <w:tcPr>
            <w:tcW w:w="5140" w:type="dxa"/>
            <w:vAlign w:val="bottom"/>
          </w:tcPr>
          <w:p>
            <w:pPr>
              <w:spacing w:after="0"/>
              <w:rPr>
                <w:sz w:val="14"/>
                <w:szCs w:val="14"/>
                <w:color w:val="auto"/>
              </w:rPr>
            </w:pPr>
          </w:p>
        </w:tc>
        <w:tc>
          <w:tcPr>
            <w:tcW w:w="9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96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90+Days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Loans</w:t>
            </w: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past due and non-accrual loans</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Gross interest income recorded on 90+ days past due loans, and that would have been recorded on non-accrual loans if they had been accruing interest in accordance with their original terms, was $0.2 million for the three months ended March 31, 2022. Gross interest income recorded on 90+ days past due loans and that would have been recorded on non-accrual loans if they had been accruing interest in accordance with their original terms was $0.5 million for the three months ended March 31, 2021. The amount of interest collected on those loans and recognized on a cash basis that was included in interest income was $0.4 million for the three months ended March 31, 2022, and was insignificant for the three months ended March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TDR loan balances are summarized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5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5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77"/>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7"/>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TDRs</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compliance with modified terms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Non-performing TDRs</w:t>
            </w:r>
          </w:p>
        </w:tc>
        <w:tc>
          <w:tcPr>
            <w:tcW w:w="3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TDRs</w:t>
            </w:r>
          </w:p>
        </w:tc>
        <w:tc>
          <w:tcPr>
            <w:tcW w:w="30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5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No loans were newly designated as TDRs during the three months ended March 31, 2022. Loans that were newly designated as TDRs during the three months ended March 31, 2021, are summarized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63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Recorded Investment</w:t>
            </w:r>
          </w:p>
        </w:tc>
      </w:tr>
      <w:tr>
        <w:trPr>
          <w:trHeight w:val="169"/>
        </w:trPr>
        <w:tc>
          <w:tcPr>
            <w:tcW w:w="6320" w:type="dxa"/>
            <w:vAlign w:val="bottom"/>
          </w:tcPr>
          <w:p>
            <w:pPr>
              <w:spacing w:after="0"/>
              <w:rPr>
                <w:sz w:val="14"/>
                <w:szCs w:val="14"/>
                <w:color w:val="auto"/>
              </w:rPr>
            </w:pPr>
          </w:p>
        </w:tc>
        <w:tc>
          <w:tcPr>
            <w:tcW w:w="8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176"/>
        </w:trPr>
        <w:tc>
          <w:tcPr>
            <w:tcW w:w="63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Modification</w:t>
            </w:r>
          </w:p>
        </w:tc>
      </w:tr>
      <w:tr>
        <w:trPr>
          <w:trHeight w:val="20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Newly designated TDRs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There were no TDRs entered into during the 12 months ended March 31, 2022, or 2021, that had subsequent defaults during the three months ended March 31, 2022, or 2021. A default occurs when a loan is 90 days or more past due or transferred to non-accrual.</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interest income that would have been recorded in the three months ended March 31, 2022 and 2021, if TDRs had performed in accordance with their original terms compared with their modified terms, was insignificant.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had $0.5 million of residential real estate in the process of foreclosure. The Company follows Federal Housing Finance Agency guidelines on single-family foreclosures and real estate owned evictions on portfolio loans.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Loans Modified Under the CARES Act or Interagency Statement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CARES Act provided financial institutions the option to temporarily suspend certain requirements under GAAP related to TDRs for a limited period of time to account for the effects of COVID-19. Federal regulatory agencies, in consultation with FASB, also issued an Interagency Statement to encourage financial institutions to work with borrowers affected by COVID-19, and to update guidance which allowed banks to modify loans of customers stressed by COVID-19 without having to classify the loan as a TDR. The Company’s TDR loan totals do not include the following modified loans with payment deferrals that fall under the CARES Act or Interagency Statement, which suspended GAAP requirements related to TDR classification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Borders>
              <w:top w:val="single" w:sz="8" w:color="auto"/>
            </w:tcBorders>
            <w:gridSpan w:val="3"/>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5"/>
              <w:spacing w:after="0" w:line="151"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3"/>
                <w:szCs w:val="13"/>
                <w:color w:val="auto"/>
              </w:rPr>
            </w:pPr>
          </w:p>
        </w:tc>
        <w:tc>
          <w:tcPr>
            <w:tcW w:w="980" w:type="dxa"/>
            <w:vAlign w:val="bottom"/>
            <w:tcBorders>
              <w:top w:val="single" w:sz="8" w:color="auto"/>
            </w:tcBorders>
            <w:gridSpan w:val="3"/>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5"/>
              <w:spacing w:after="0" w:line="151"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14"/>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COVID-19 loan modifications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loans: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Interest-only deferrals</w:t>
            </w:r>
          </w:p>
        </w:tc>
        <w:tc>
          <w:tcPr>
            <w:tcW w:w="2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loans: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Mortgage and personal loan deferrals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COVID-19 loans modifications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3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Loans Evaluated Individually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loans with disparate risk characteristics on an individual basis. The following tables provide details of loans evaluated individually, segregated by category.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 2022</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74"/>
        </w:trPr>
        <w:tc>
          <w:tcPr>
            <w:tcW w:w="40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Recorded Investment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44"/>
        </w:trPr>
        <w:tc>
          <w:tcPr>
            <w:tcW w:w="408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820" w:type="dxa"/>
            <w:vAlign w:val="bottom"/>
            <w:tcBorders>
              <w:top w:val="single" w:sz="8" w:color="auto"/>
            </w:tcBorders>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With No</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7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Recorded</w:t>
            </w:r>
          </w:p>
        </w:tc>
      </w:tr>
      <w:tr>
        <w:trPr>
          <w:trHeight w:val="195"/>
        </w:trPr>
        <w:tc>
          <w:tcPr>
            <w:tcW w:w="40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r>
      <w:tr>
        <w:trPr>
          <w:trHeight w:val="21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Loans evaluated individually</w:t>
            </w: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$ 10,040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 evaluated individually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$ 15,879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4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$ 17,862</w:t>
            </w: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81"/>
        </w:trPr>
        <w:tc>
          <w:tcPr>
            <w:tcW w:w="40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2021</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74"/>
        </w:trPr>
        <w:tc>
          <w:tcPr>
            <w:tcW w:w="40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Recorded Investment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44"/>
        </w:trPr>
        <w:tc>
          <w:tcPr>
            <w:tcW w:w="408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820" w:type="dxa"/>
            <w:vAlign w:val="bottom"/>
            <w:tcBorders>
              <w:top w:val="single" w:sz="8" w:color="auto"/>
            </w:tcBorders>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With No</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7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Recorded</w:t>
            </w:r>
          </w:p>
        </w:tc>
      </w:tr>
      <w:tr>
        <w:trPr>
          <w:trHeight w:val="195"/>
        </w:trPr>
        <w:tc>
          <w:tcPr>
            <w:tcW w:w="40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Loans evaluated individually</w:t>
            </w: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$ 10,247</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 evaluated individually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$ 19,489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4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$ 19,556</w:t>
            </w: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The Company had $4.8 million and $7.9 million of collateral dependent loans secured by real estate or business assets as of March 31, 2022, and December 31, 2021,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1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March 31, 2022, the Company expects continued economic uncertainty in the markets in which it operates, and around levels of delinquencies, over the next 12 months. Management adjusted the historical loss experience for these expectations with an immediate reversion to historical loss rate beyond this forecast period. PPP loans were excluded from the ACL calculation as they are 100% government guaranteed.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summarize activity in the ACL. Allocation of a portion of the ACL to one category does not preclude its availability to absorb losses in other categories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91"/>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1"/>
        </w:trPr>
        <w:tc>
          <w:tcPr>
            <w:tcW w:w="36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Retail Other</w:t>
            </w:r>
          </w:p>
        </w:tc>
        <w:tc>
          <w:tcPr>
            <w:tcW w:w="140" w:type="dxa"/>
            <w:vAlign w:val="bottom"/>
          </w:tcPr>
          <w:p>
            <w:pPr>
              <w:spacing w:after="0"/>
              <w:rPr>
                <w:sz w:val="19"/>
                <w:szCs w:val="19"/>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 beginning balance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$ 17,589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87,887</w:t>
            </w: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Charged-off</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 ending balance</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$ 17,555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88,213</w:t>
            </w: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1"/>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1"/>
        </w:trPr>
        <w:tc>
          <w:tcPr>
            <w:tcW w:w="350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Retail Other</w:t>
            </w:r>
          </w:p>
        </w:tc>
        <w:tc>
          <w:tcPr>
            <w:tcW w:w="120" w:type="dxa"/>
            <w:vAlign w:val="bottom"/>
          </w:tcPr>
          <w:p>
            <w:pPr>
              <w:spacing w:after="0"/>
              <w:rPr>
                <w:sz w:val="19"/>
                <w:szCs w:val="19"/>
                <w:color w:val="auto"/>
              </w:rPr>
            </w:pP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 beginning balance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$ 21,992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101,048</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(2,695)</w:t>
            </w: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(2,276)</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Charged-off</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16"/>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 ending balance</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$ 19,978</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93,943</w:t>
            </w: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tables present the ACL and amortized cost of portfolio loans by category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0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30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Portfolio Loans</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ACL Attributed to Portfolio Loans</w:t>
            </w:r>
          </w:p>
        </w:tc>
        <w:tc>
          <w:tcPr>
            <w:tcW w:w="20" w:type="dxa"/>
            <w:vAlign w:val="bottom"/>
          </w:tcPr>
          <w:p>
            <w:pPr>
              <w:spacing w:after="0"/>
              <w:rPr>
                <w:sz w:val="15"/>
                <w:szCs w:val="15"/>
                <w:color w:val="auto"/>
              </w:rPr>
            </w:pPr>
          </w:p>
        </w:tc>
      </w:tr>
      <w:tr>
        <w:trPr>
          <w:trHeight w:val="144"/>
        </w:trPr>
        <w:tc>
          <w:tcPr>
            <w:tcW w:w="304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10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30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Evaluated for</w:t>
            </w:r>
          </w:p>
        </w:tc>
        <w:tc>
          <w:tcPr>
            <w:tcW w:w="14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Evaluated for</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Evaluated for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Evaluated for</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30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6"/>
                <w:szCs w:val="16"/>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5"/>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loan category</w:t>
            </w: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$ 1,899,814</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$ 1,906,595</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24,173</w:t>
            </w: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3,132,408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20" w:type="dxa"/>
            <w:vAlign w:val="bottom"/>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20" w:type="dxa"/>
            <w:vAlign w:val="bottom"/>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0" w:type="dxa"/>
            <w:vAlign w:val="bottom"/>
          </w:tcPr>
          <w:p>
            <w:pPr>
              <w:spacing w:after="0"/>
              <w:rPr>
                <w:sz w:val="18"/>
                <w:szCs w:val="18"/>
                <w:color w:val="auto"/>
              </w:rPr>
            </w:pPr>
          </w:p>
        </w:tc>
      </w:tr>
      <w:tr>
        <w:trPr>
          <w:trHeight w:val="210"/>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loans and related ACL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$ 7,261,104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$ 7,272,873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2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3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30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Portfolio Loans</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ACL Attributed to Portfolio Loans</w:t>
            </w:r>
          </w:p>
        </w:tc>
        <w:tc>
          <w:tcPr>
            <w:tcW w:w="20" w:type="dxa"/>
            <w:vAlign w:val="bottom"/>
          </w:tcPr>
          <w:p>
            <w:pPr>
              <w:spacing w:after="0"/>
              <w:rPr>
                <w:sz w:val="15"/>
                <w:szCs w:val="15"/>
                <w:color w:val="auto"/>
              </w:rPr>
            </w:pPr>
          </w:p>
        </w:tc>
      </w:tr>
      <w:tr>
        <w:trPr>
          <w:trHeight w:val="144"/>
        </w:trPr>
        <w:tc>
          <w:tcPr>
            <w:tcW w:w="304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10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30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Evaluated for</w:t>
            </w:r>
          </w:p>
        </w:tc>
        <w:tc>
          <w:tcPr>
            <w:tcW w:w="14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Evaluated for</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Evaluated for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Evaluated for</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30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6"/>
                <w:szCs w:val="16"/>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5"/>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loan category</w:t>
            </w: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$ 1,936,898</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$ 1,943,886</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3,114,057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38,249</w:t>
            </w:r>
          </w:p>
        </w:tc>
        <w:tc>
          <w:tcPr>
            <w:tcW w:w="20" w:type="dxa"/>
            <w:vAlign w:val="bottom"/>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20" w:type="dxa"/>
            <w:vAlign w:val="bottom"/>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0" w:type="dxa"/>
            <w:vAlign w:val="bottom"/>
          </w:tcPr>
          <w:p>
            <w:pPr>
              <w:spacing w:after="0"/>
              <w:rPr>
                <w:sz w:val="18"/>
                <w:szCs w:val="18"/>
                <w:color w:val="auto"/>
              </w:rPr>
            </w:pPr>
          </w:p>
        </w:tc>
      </w:tr>
      <w:tr>
        <w:trPr>
          <w:trHeight w:val="209"/>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loans and related ACL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$ 7,173,618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$ 7,188,998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87,887</w:t>
            </w:r>
          </w:p>
        </w:tc>
        <w:tc>
          <w:tcPr>
            <w:tcW w:w="2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3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Deposits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composition of deposits is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Deposits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Demand deposits, noninterest-bearing</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3,568,651</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Interest-bearing transaction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2,647,305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2,720,417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Saving deposits and money market deposits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3,485,050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Time deposits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890,830</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935,649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10,591,836</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10,768,577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Additional information about our deposits is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6"/>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36"/>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Brokered savings deposits and money market deposits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Brokered time deposits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amount of time deposits with a minimum denomination of $100,000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Aggregate amount of time deposits with a minimum denomination that meets or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exceeds the FDIC insurance limit of $250,000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Scheduled maturities of time deposits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March 31, 2022</w:t>
      </w:r>
    </w:p>
    <w:p>
      <w:pPr>
        <w:sectPr>
          <w:pgSz w:w="11900" w:h="16838" w:orient="portrait"/>
          <w:cols w:equalWidth="0" w:num="1">
            <w:col w:w="9019"/>
          </w:cols>
          <w:pgMar w:left="1440" w:top="513" w:right="1440" w:bottom="1440" w:gutter="0" w:footer="0" w:header="0"/>
        </w:sectPr>
      </w:pP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Time deposits by schedule of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4896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April 1, 2022 –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April 1, 2023 – March 31, 2024</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April 1, 2024 –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April 1, 2025 – March 31, 2026</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April 1, 2026 – March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Thereafter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Time deposits</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Securities Sold Under Agreements to Repurchase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393" w:hanging="393"/>
        <w:spacing w:after="0"/>
        <w:tabs>
          <w:tab w:leader="none" w:pos="3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640,465</w:t>
      </w:r>
    </w:p>
    <w:p>
      <w:pPr>
        <w:spacing w:after="0" w:line="27" w:lineRule="exact"/>
        <w:rPr>
          <w:rFonts w:ascii="Times New Roman" w:cs="Times New Roman" w:eastAsia="Times New Roman" w:hAnsi="Times New Roman"/>
          <w:sz w:val="18"/>
          <w:szCs w:val="18"/>
          <w:color w:val="auto"/>
        </w:rPr>
      </w:pPr>
    </w:p>
    <w:p>
      <w:pPr>
        <w:ind w:left="3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169,339</w:t>
      </w:r>
    </w:p>
    <w:p>
      <w:pPr>
        <w:spacing w:after="0" w:line="9" w:lineRule="exact"/>
        <w:rPr>
          <w:rFonts w:ascii="Times New Roman" w:cs="Times New Roman" w:eastAsia="Times New Roman" w:hAnsi="Times New Roman"/>
          <w:sz w:val="18"/>
          <w:szCs w:val="18"/>
          <w:color w:val="auto"/>
        </w:rPr>
      </w:pPr>
    </w:p>
    <w:p>
      <w:pPr>
        <w:ind w:left="4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49,456</w:t>
      </w:r>
    </w:p>
    <w:p>
      <w:pPr>
        <w:spacing w:after="0" w:line="9" w:lineRule="exact"/>
        <w:rPr>
          <w:rFonts w:ascii="Times New Roman" w:cs="Times New Roman" w:eastAsia="Times New Roman" w:hAnsi="Times New Roman"/>
          <w:sz w:val="18"/>
          <w:szCs w:val="18"/>
          <w:color w:val="auto"/>
        </w:rPr>
      </w:pPr>
    </w:p>
    <w:p>
      <w:pPr>
        <w:ind w:left="4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16,970</w:t>
      </w:r>
    </w:p>
    <w:p>
      <w:pPr>
        <w:spacing w:after="0" w:line="9" w:lineRule="exact"/>
        <w:rPr>
          <w:rFonts w:ascii="Times New Roman" w:cs="Times New Roman" w:eastAsia="Times New Roman" w:hAnsi="Times New Roman"/>
          <w:sz w:val="18"/>
          <w:szCs w:val="18"/>
          <w:color w:val="auto"/>
        </w:rPr>
      </w:pPr>
    </w:p>
    <w:p>
      <w:pPr>
        <w:ind w:left="4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13,920</w:t>
      </w:r>
    </w:p>
    <w:p>
      <w:pPr>
        <w:spacing w:after="0" w:line="9" w:lineRule="exact"/>
        <w:rPr>
          <w:rFonts w:ascii="Times New Roman" w:cs="Times New Roman" w:eastAsia="Times New Roman" w:hAnsi="Times New Roman"/>
          <w:sz w:val="18"/>
          <w:szCs w:val="18"/>
          <w:color w:val="auto"/>
        </w:rPr>
      </w:pPr>
    </w:p>
    <w:p>
      <w:pPr>
        <w:ind w:left="7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0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ind w:left="393" w:hanging="393"/>
        <w:spacing w:after="0"/>
        <w:tabs>
          <w:tab w:leader="none" w:pos="393"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890,830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60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097" w:lineRule="exact"/>
        <w:rPr>
          <w:sz w:val="20"/>
          <w:szCs w:val="20"/>
          <w:color w:val="auto"/>
        </w:rPr>
      </w:pPr>
    </w:p>
    <w:p>
      <w:pPr>
        <w:sectPr>
          <w:pgSz w:w="11900" w:h="16838" w:orient="portrait"/>
          <w:cols w:equalWidth="0" w:num="2">
            <w:col w:w="7187" w:space="720"/>
            <w:col w:w="1112"/>
          </w:cols>
          <w:pgMar w:left="1440" w:top="513" w:right="1440" w:bottom="1440" w:gutter="0" w:footer="0" w:header="0"/>
          <w:type w:val="continuous"/>
        </w:sectPr>
      </w:pPr>
    </w:p>
    <w:p>
      <w:pPr>
        <w:spacing w:after="0" w:line="4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1"/>
        </w:trPr>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40" w:type="dxa"/>
            <w:vAlign w:val="bottom"/>
          </w:tcPr>
          <w:p>
            <w:pPr>
              <w:jc w:val="right"/>
              <w:ind w:right="19"/>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gridSpan w:val="2"/>
          </w:tcPr>
          <w:p>
            <w:pPr>
              <w:spacing w:after="0"/>
              <w:rPr>
                <w:sz w:val="13"/>
                <w:szCs w:val="13"/>
                <w:color w:val="auto"/>
              </w:rPr>
            </w:pPr>
          </w:p>
        </w:tc>
      </w:tr>
      <w:tr>
        <w:trPr>
          <w:trHeight w:val="195"/>
        </w:trPr>
        <w:tc>
          <w:tcPr>
            <w:tcW w:w="6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270,139</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rate for securities sold under agreements to repurchase</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c>
          <w:tcPr>
            <w:tcW w:w="20" w:type="dxa"/>
            <w:vAlign w:val="bottom"/>
          </w:tcPr>
          <w:p>
            <w:pPr>
              <w:spacing w:after="0"/>
              <w:rPr>
                <w:sz w:val="20"/>
                <w:szCs w:val="20"/>
                <w:color w:val="auto"/>
              </w:rPr>
            </w:pPr>
          </w:p>
        </w:tc>
      </w:tr>
      <w:tr>
        <w:trPr>
          <w:trHeight w:val="846"/>
        </w:trPr>
        <w:tc>
          <w:tcPr>
            <w:tcW w:w="64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28, 2021, the Company entered into a Second Amended and Restated Credit Agreement, pursuant to which the Company has access to (i) a $40.0 million revolving line of credit with a termination date of April 30, 2022, and (ii)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Proceeds of the term loan were used to fund a part of the cash portion of the merger consideration related to the acquisition of CAC in the second quarter of 2021, and for general corporate purposes. As of March 31, 2022, there was no balance outstanding on the revolving credit facility and a total of $51.0 million outstanding on the term loan, of which $12.0 million was short-term and $39.0 million was long-term. The revolving credit facility incurs a non-usage fee based on any undrawn amounts. Quarterly payments on the term loan reduce the outstanding principal balance by $3.0 million each quarter.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First Busey’s short-term borrowings include loans maturing within one year of the loan origination date, as well as the current portion of long-term debt that is due within 12 months. Short-term borrowings are summarized as follows </w:t>
      </w:r>
      <w:r>
        <w:rPr>
          <w:rFonts w:ascii="Times New Roman" w:cs="Times New Roman" w:eastAsia="Times New Roman" w:hAnsi="Times New Roman"/>
          <w:sz w:val="18"/>
          <w:szCs w:val="18"/>
          <w:i w:val="1"/>
          <w:iCs w:val="1"/>
          <w:color w:val="auto"/>
        </w:rPr>
        <w:t>(dollars</w:t>
      </w:r>
    </w:p>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60" w:type="dxa"/>
            <w:vAlign w:val="bottom"/>
            <w:tcBorders>
              <w:bottom w:val="single" w:sz="8" w:color="auto"/>
            </w:tcBorders>
          </w:tcPr>
          <w:p>
            <w:pPr>
              <w:spacing w:after="0"/>
              <w:rPr>
                <w:sz w:val="16"/>
                <w:szCs w:val="16"/>
                <w:color w:val="auto"/>
              </w:rPr>
            </w:pPr>
          </w:p>
        </w:tc>
      </w:tr>
      <w:tr>
        <w:trPr>
          <w:trHeight w:val="149"/>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65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FHLB advances maturing in less than one year from date of origination, and the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FHLB advances due within 12 months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current portion due within 12 months</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17,678</w:t>
            </w: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Federal funds purchased are short-term borrowings that generally mature between one and 90 days. The Company had no federal funds purchased as of March 31, 2022 or December 31, 2021.</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First Busey’s long-term debt consists of loans maturing more than one year from the loan origination date, excluding the current portion that is due within 12 months. Long-term debt is summarized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980" w:type="dxa"/>
            <w:vAlign w:val="bottom"/>
            <w:tcBorders>
              <w:bottom w:val="single" w:sz="8" w:color="auto"/>
            </w:tcBorders>
          </w:tcPr>
          <w:p>
            <w:pPr>
              <w:spacing w:after="0"/>
              <w:rPr>
                <w:sz w:val="16"/>
                <w:szCs w:val="16"/>
                <w:color w:val="auto"/>
              </w:rPr>
            </w:pPr>
          </w:p>
        </w:tc>
      </w:tr>
      <w:tr>
        <w:trPr>
          <w:trHeight w:val="149"/>
        </w:trPr>
        <w:tc>
          <w:tcPr>
            <w:tcW w:w="6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64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8"/>
        </w:trPr>
        <w:tc>
          <w:tcPr>
            <w:tcW w:w="64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Notes payable, FHLB, original maturity of 5 years, collateralized by FHLB deposits,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and commercial real estate loans and FHLB stock</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42,881</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46,056</w:t>
            </w: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funds borrowed from the FHLB, listed above, consisted of one variable-rate note maturing May 2023, with an interest rate of 3.04%.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and Subordinated Notes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w:t>
      </w:r>
    </w:p>
    <w:p>
      <w:pPr>
        <w:spacing w:after="0" w:line="17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90"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Unamortized debt issuance costs related to senior notes and subordinated notes are presented in the following table </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60" w:type="dxa"/>
            <w:vAlign w:val="bottom"/>
            <w:tcBorders>
              <w:bottom w:val="single" w:sz="8" w:color="auto"/>
            </w:tcBorders>
          </w:tcPr>
          <w:p>
            <w:pPr>
              <w:spacing w:after="0"/>
              <w:rPr>
                <w:sz w:val="16"/>
                <w:szCs w:val="16"/>
                <w:color w:val="auto"/>
              </w:rPr>
            </w:pPr>
          </w:p>
        </w:tc>
      </w:tr>
      <w:tr>
        <w:trPr>
          <w:trHeight w:val="149"/>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debt issuance costs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issued in 2017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Subordinated notes issued in 2017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Subordinated notes issued in 2020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Regulatory Capital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and its subsidiary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Banking regulations identify five capital categories for insured depository institutions: well capitalized, adequately capitalized, undercapitalized, significantly undercapitalized, and critically undercapitalized. As of March 31, 2022, and December 31, 2021, all capital ratios of the Company and its subsidiary bank exceeded well capitalized levels under the applicable regulatory capital adequacy guidelines. Management believes that no events or changes have occurred subsequent to March 31, 2022, that would change this designation.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from the adoption of CECL was deferred for two years, until January 1, 2022. In addition, 25 percent of the ongoing impact of CECL on our ACL, retained earnings, and average total consolidated assets from January 1, 2020, through the end of the two-year deferral period, each as reported for regulatory capital purposes, has been added to the deferred transition amounts (“adjusted transition amounts”) and deferred for the two-year period.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summarize regulatory capital requirements applicable to the holding company its subsidiary bank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left="236"/>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3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To Be Well</w:t>
            </w:r>
          </w:p>
        </w:tc>
      </w:tr>
      <w:tr>
        <w:trPr>
          <w:trHeight w:val="194"/>
        </w:trPr>
        <w:tc>
          <w:tcPr>
            <w:tcW w:w="35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 Requirement</w:t>
            </w:r>
          </w:p>
        </w:tc>
        <w:tc>
          <w:tcPr>
            <w:tcW w:w="140" w:type="dxa"/>
            <w:vAlign w:val="bottom"/>
          </w:tcPr>
          <w:p>
            <w:pPr>
              <w:spacing w:after="0"/>
              <w:rPr>
                <w:sz w:val="16"/>
                <w:szCs w:val="16"/>
                <w:color w:val="auto"/>
              </w:rPr>
            </w:pPr>
          </w:p>
        </w:tc>
        <w:tc>
          <w:tcPr>
            <w:tcW w:w="16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Capitalized</w:t>
            </w:r>
          </w:p>
        </w:tc>
      </w:tr>
      <w:tr>
        <w:trPr>
          <w:trHeight w:val="175"/>
        </w:trPr>
        <w:tc>
          <w:tcPr>
            <w:tcW w:w="3520" w:type="dxa"/>
            <w:vAlign w:val="bottom"/>
          </w:tcPr>
          <w:p>
            <w:pPr>
              <w:spacing w:after="0"/>
              <w:rPr>
                <w:sz w:val="15"/>
                <w:szCs w:val="15"/>
                <w:color w:val="auto"/>
              </w:rPr>
            </w:pPr>
          </w:p>
        </w:tc>
        <w:tc>
          <w:tcPr>
            <w:tcW w:w="10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80" w:type="dxa"/>
            <w:vAlign w:val="bottom"/>
            <w:gridSpan w:val="2"/>
          </w:tcPr>
          <w:p>
            <w:pPr>
              <w:spacing w:after="0"/>
              <w:rPr>
                <w:sz w:val="15"/>
                <w:szCs w:val="15"/>
                <w:color w:val="auto"/>
              </w:rPr>
            </w:pPr>
          </w:p>
        </w:tc>
      </w:tr>
      <w:tr>
        <w:trPr>
          <w:trHeight w:val="174"/>
        </w:trPr>
        <w:tc>
          <w:tcPr>
            <w:tcW w:w="3520" w:type="dxa"/>
            <w:vAlign w:val="bottom"/>
            <w:tcBorders>
              <w:top w:val="single" w:sz="8" w:color="CCEEFF"/>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Common Equity Tier 1 Capital to</w:t>
            </w: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 Weighted Assets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$ 1,011,861</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382,962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Busey Bank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$ 1,247,370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 to Risk Weighted Assets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$ 1,085,861</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12.76 %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Busey Bank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$ 1,247,370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508,996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678,662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to Risk Weighted Assets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$ 1,344,541</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Busey Bank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$ 1,321,050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15.57 %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848,327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35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Leverage Ratio of Tier 1 Capital to</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Assets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$ 1,085,861</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8.78 %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494,948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4.00 %</w:t>
            </w:r>
          </w:p>
        </w:tc>
        <w:tc>
          <w:tcPr>
            <w:tcW w:w="1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Busey Bank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$ 1,247,370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10.11 %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617,019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0" w:type="dxa"/>
            <w:vAlign w:val="bottom"/>
          </w:tcPr>
          <w:p>
            <w:pPr>
              <w:spacing w:after="0"/>
              <w:rPr>
                <w:sz w:val="18"/>
                <w:szCs w:val="18"/>
                <w:color w:val="auto"/>
              </w:rPr>
            </w:pPr>
          </w:p>
        </w:tc>
      </w:tr>
      <w:tr>
        <w:trPr>
          <w:trHeight w:val="864"/>
        </w:trPr>
        <w:tc>
          <w:tcPr>
            <w:tcW w:w="3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left="216"/>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8"/>
              </w:rPr>
              <w:t>To Be Well</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 Requirement</w:t>
            </w:r>
          </w:p>
        </w:tc>
        <w:tc>
          <w:tcPr>
            <w:tcW w:w="160" w:type="dxa"/>
            <w:vAlign w:val="bottom"/>
          </w:tcPr>
          <w:p>
            <w:pPr>
              <w:spacing w:after="0"/>
              <w:rPr>
                <w:sz w:val="16"/>
                <w:szCs w:val="16"/>
                <w:color w:val="auto"/>
              </w:rPr>
            </w:pPr>
          </w:p>
        </w:tc>
        <w:tc>
          <w:tcPr>
            <w:tcW w:w="15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Capitalized</w:t>
            </w:r>
          </w:p>
        </w:tc>
      </w:tr>
      <w:tr>
        <w:trPr>
          <w:trHeight w:val="176"/>
        </w:trPr>
        <w:tc>
          <w:tcPr>
            <w:tcW w:w="35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Ratio</w:t>
            </w:r>
          </w:p>
        </w:tc>
        <w:tc>
          <w:tcPr>
            <w:tcW w:w="3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60" w:type="dxa"/>
            <w:vAlign w:val="bottom"/>
          </w:tcPr>
          <w:p>
            <w:pPr>
              <w:spacing w:after="0"/>
              <w:rPr>
                <w:sz w:val="15"/>
                <w:szCs w:val="15"/>
                <w:color w:val="auto"/>
              </w:rPr>
            </w:pPr>
          </w:p>
        </w:tc>
      </w:tr>
      <w:tr>
        <w:trPr>
          <w:trHeight w:val="174"/>
        </w:trPr>
        <w:tc>
          <w:tcPr>
            <w:tcW w:w="3500" w:type="dxa"/>
            <w:vAlign w:val="bottom"/>
            <w:tcBorders>
              <w:top w:val="single" w:sz="8" w:color="CCEEFF"/>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Common Equity Tier 1 Capital to</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 Weighted Assets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995,874</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11.85 %</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546,482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14.81 %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377,096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544,695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 to Risk Weighted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1,069,874</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12.73 %</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504,445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672,594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14.81 %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670,394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to Risk Weighted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1,320,187</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15.70 %</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672,594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840,742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15.59 %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670,394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837,992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35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Leverage Ratio of Tier 1 Capital to</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Assets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1,069,874</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8.52 %</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4.00 %</w:t>
            </w:r>
          </w:p>
        </w:tc>
        <w:tc>
          <w:tcPr>
            <w:tcW w:w="16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9.91 %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626,379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19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Capital to risk-weighted assets of at least 7.0%, (ii) Tier 1 Capital to risk-weighted assets of at least 8.5%, and (iii) Total capital to risk-weighted assets of at least 10.5%.</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outstanding stock options assumed from acquisitions. A summary of the status of, and changes in,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stock option awards for the three months ended March 31, 2022,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3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3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5"/>
        </w:trPr>
        <w:tc>
          <w:tcPr>
            <w:tcW w:w="3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95"/>
        </w:trPr>
        <w:tc>
          <w:tcPr>
            <w:tcW w:w="3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1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2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Expired</w:t>
            </w:r>
          </w:p>
        </w:tc>
        <w:tc>
          <w:tcPr>
            <w:tcW w:w="3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8"/>
                <w:szCs w:val="18"/>
                <w:color w:val="auto"/>
              </w:rPr>
            </w:pPr>
          </w:p>
        </w:tc>
      </w:tr>
      <w:tr>
        <w:trPr>
          <w:trHeight w:val="864"/>
        </w:trPr>
        <w:tc>
          <w:tcPr>
            <w:tcW w:w="3320" w:type="dxa"/>
            <w:vAlign w:val="bottom"/>
          </w:tcPr>
          <w:p>
            <w:pPr>
              <w:spacing w:after="0"/>
              <w:rPr>
                <w:sz w:val="24"/>
                <w:szCs w:val="24"/>
                <w:color w:val="auto"/>
              </w:rPr>
            </w:pPr>
          </w:p>
        </w:tc>
        <w:tc>
          <w:tcPr>
            <w:tcW w:w="2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Under the terms of the 2020 Equity Plan, the Company has granted RSU, PSU, and DSU awards. Upon vesting/delivery, shares are expected (though not required) to be issued from treasury.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RSU Awards</w:t>
      </w:r>
    </w:p>
    <w:p>
      <w:pPr>
        <w:spacing w:after="0" w:line="21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grants RSUs to members of management periodically throughout the year. Each RSU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PSU Awards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also grants PSU awards to members of management periodically throughout the year. Each PSU is equivalent to one share of the Company’s common stock. The number of units that ultimately vest will be determined based on the achievement of the market or other performance goals, subject to accelerated service-based vesting conditions upon eligible retirement from the Company.</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DSU Awards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grants DSUs, which are restricted stock units with a deferred settlement date, to its directors and advisory directors. Each DSU is equivalent to one share of the Company’s common stock. DSUs vest over a one-year period following the grant date. These units generally are subject to the same terms as RSUs under the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Award Grants and Activity</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summary of changes in the Company’s RSU, PSU, and DSU awards for the three months ended March 31, 2022,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740" w:type="dxa"/>
            <w:vAlign w:val="bottom"/>
          </w:tcPr>
          <w:p>
            <w:pPr>
              <w:spacing w:after="0"/>
              <w:rPr>
                <w:sz w:val="16"/>
                <w:szCs w:val="16"/>
                <w:color w:val="auto"/>
              </w:rPr>
            </w:pPr>
          </w:p>
        </w:tc>
        <w:tc>
          <w:tcPr>
            <w:tcW w:w="18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PSU Awards</w:t>
            </w:r>
          </w:p>
        </w:tc>
        <w:tc>
          <w:tcPr>
            <w:tcW w:w="16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DSU Awards</w:t>
            </w:r>
          </w:p>
        </w:tc>
      </w:tr>
      <w:tr>
        <w:trPr>
          <w:trHeight w:val="151"/>
        </w:trPr>
        <w:tc>
          <w:tcPr>
            <w:tcW w:w="37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3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3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0"/>
        </w:trPr>
        <w:tc>
          <w:tcPr>
            <w:tcW w:w="374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4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1"/>
                <w:szCs w:val="21"/>
                <w:color w:val="auto"/>
                <w:vertAlign w:val="superscript"/>
              </w:rPr>
              <w:t>(1)</w:t>
            </w: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16"/>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equivalents earned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16"/>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(13,594)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(32,801)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1,290,189</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308,570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75</w:t>
            </w:r>
          </w:p>
        </w:tc>
      </w:tr>
      <w:tr>
        <w:trPr>
          <w:trHeight w:val="196"/>
        </w:trPr>
        <w:tc>
          <w:tcPr>
            <w:tcW w:w="3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outstanding at March 31, 2022</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1" w:lineRule="exact"/>
        <w:rPr>
          <w:sz w:val="20"/>
          <w:szCs w:val="20"/>
          <w:color w:val="auto"/>
        </w:rPr>
      </w:pPr>
    </w:p>
    <w:p>
      <w:pPr>
        <w:ind w:left="480" w:hanging="322"/>
        <w:spacing w:after="0"/>
        <w:tabs>
          <w:tab w:leader="none" w:pos="4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Shares for PSU awards represent target shares at grant date.</w:t>
      </w:r>
    </w:p>
    <w:p>
      <w:pPr>
        <w:spacing w:after="0" w:line="23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23, 2022, under the terms of the 2020 Equity Plan, the Company granted 156,483 RSUs to members of management. The grant date fair value of the award totaled $4.0 million and will be recognized as compensation expense over the requisite service period ranging from one year to five years. The terms of these awards included an accelerated vesting provision upon eligible retirement from the Company, after a one-year minimum requisite service period. Subsequent to the requisite service period, the awards will become 100% vested.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23, 2022, the Company granted a target of 78,233 market-based PSUs with a maximum award of 125,173 units. The actual number of units issued at the vesting date could range from 0% to 160% of the initial grant, depending on attaining a market-based total shareholder return performance goal. The grant date fair value of the award is estimated to be $2.0 million and will be recognized in compensation expense over the performance period ending December 31, 2024. The Company expects to finalize the grant date fair value of these awards in the second quarter of 2022.</w:t>
      </w:r>
    </w:p>
    <w:p>
      <w:pPr>
        <w:spacing w:after="0" w:line="17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23, 2022, the Company granted a target of 78,233 performance-based PSUs with a maximum award of 125,173 units. The actual number of units issued at the vesting date could range from 0% to 160% of the initial grant, depending on attaining a core return on average tangible common equity performance goal. The grant date fair value of the award is $2.0 million and will be recognized in compensation expense over the performance period ending December 31, 2024, subject to achievement of the performance goal.</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 on March 23, 2022, the Company granted a target of 38,774 PSUs with a maximum award of 77,548 units. The actual number of units issued at the vesting date could range from 0% to 200% of the initial grant, depending on attaining a performance goal based upon the compounded annual revenue growth rate of the FirsTech operating segment. The grant date fair value of the award is $1.0 million and will be recognized in compensation expense over the performance period ending December 31, 2024, subject to achievement of the performance goal.</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23, 2022, the Company granted 32,658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First Busey Corporation 2021 ESPP was approved at the Company’s 2021 Annual Meeting of Stockholders and details can be found within First Busey’s Definitive Proxy Statement filed with the SEC on April 8, 2021. The plan initially reserved for issuance and purchase an aggregate of 600,000 shares of the Company’s common stock. The purpose of the 2021 ESPP is to provide a means through which our employees may acquire a proprietary interest in the Company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 The first offering under this plan began on July 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did not record any stock option compensation expense for the three months ended March 31, 2022, or 2021.</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 of March 31, 2022, the Company did not have any unrecognized stock option expense.</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recognized compensation expense related to nonvested RSU, PSU, and DSU awards, as well as the 2021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ESPP, as summarized in the table below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3660" w:type="dxa"/>
            <w:vAlign w:val="bottom"/>
            <w:tcBorders>
              <w:bottom w:val="single" w:sz="8" w:color="CCEEFF"/>
            </w:tcBorders>
          </w:tcPr>
          <w:p>
            <w:pPr>
              <w:spacing w:after="0"/>
              <w:rPr>
                <w:sz w:val="15"/>
                <w:szCs w:val="15"/>
                <w:color w:val="auto"/>
              </w:rPr>
            </w:pPr>
          </w:p>
        </w:tc>
        <w:tc>
          <w:tcPr>
            <w:tcW w:w="29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 awards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PSU awards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DSU awards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 ESPP</w:t>
            </w:r>
          </w:p>
        </w:tc>
        <w:tc>
          <w:tcPr>
            <w:tcW w:w="2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9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6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Unamortized compensation expense related to nonvested RSU, PSU, and DSU awards is summarized in the table below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51"/>
        </w:trPr>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55"/>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stock-based compensation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 awards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24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PSU awards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4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DSU awards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Borders>
              <w:bottom w:val="single" w:sz="8" w:color="CCEEFF"/>
            </w:tcBorders>
          </w:tcPr>
          <w:p>
            <w:pPr>
              <w:spacing w:after="0"/>
              <w:rPr>
                <w:sz w:val="18"/>
                <w:szCs w:val="18"/>
                <w:color w:val="auto"/>
              </w:rPr>
            </w:pPr>
          </w:p>
        </w:tc>
      </w:tr>
      <w:tr>
        <w:trPr>
          <w:trHeight w:val="20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stock-based compensation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period over which expense is to be recognized</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 yrs</w:t>
            </w: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2.9 yrs</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 Under Stock-based Compensation Plans</w:t>
      </w:r>
    </w:p>
    <w:p>
      <w:pPr>
        <w:spacing w:after="0" w:line="21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Shares remaining available for issuance pursuant to authorized stock-based compensation plans as of March 31, 2022,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Shares Remaining</w:t>
            </w:r>
          </w:p>
        </w:tc>
      </w:tr>
      <w:tr>
        <w:trPr>
          <w:trHeight w:val="176"/>
        </w:trPr>
        <w:tc>
          <w:tcPr>
            <w:tcW w:w="40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 for Issuance</w:t>
            </w:r>
          </w:p>
        </w:tc>
      </w:tr>
      <w:tr>
        <w:trPr>
          <w:trHeight w:val="195"/>
        </w:trPr>
        <w:tc>
          <w:tcPr>
            <w:tcW w:w="400" w:type="dxa"/>
            <w:vAlign w:val="bottom"/>
            <w:tcBorders>
              <w:bottom w:val="single" w:sz="8" w:color="CCEEFF"/>
            </w:tcBorders>
          </w:tcPr>
          <w:p>
            <w:pPr>
              <w:spacing w:after="0"/>
              <w:rPr>
                <w:sz w:val="16"/>
                <w:szCs w:val="16"/>
                <w:color w:val="auto"/>
              </w:rPr>
            </w:pPr>
          </w:p>
        </w:tc>
        <w:tc>
          <w:tcPr>
            <w:tcW w:w="7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Pursuant to the Plan</w:t>
            </w:r>
          </w:p>
        </w:tc>
      </w:tr>
      <w:tr>
        <w:trPr>
          <w:trHeight w:val="215"/>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643,569</w:t>
            </w:r>
          </w:p>
        </w:tc>
      </w:tr>
      <w:tr>
        <w:trPr>
          <w:trHeight w:val="234"/>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544,470</w:t>
            </w: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Outstanding Commitments and Contingent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is a party to legal actions which arise in the normal course of its business activities. In the opinion of management, the ultimate resolution of these matters is not expected to have a material effect on the Company’s financial position or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Commitments and Contingencies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A summary of the contractual amount of the Company’s exposure to off-balance-sheet risk relating to the Company’s commitments to extend credit and standby letters of credit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980" w:type="dxa"/>
            <w:vAlign w:val="bottom"/>
            <w:tcBorders>
              <w:bottom w:val="single" w:sz="8" w:color="auto"/>
            </w:tcBorders>
          </w:tcPr>
          <w:p>
            <w:pPr>
              <w:spacing w:after="0"/>
              <w:rPr>
                <w:sz w:val="16"/>
                <w:szCs w:val="16"/>
                <w:color w:val="auto"/>
              </w:rPr>
            </w:pPr>
          </w:p>
        </w:tc>
      </w:tr>
      <w:tr>
        <w:trPr>
          <w:trHeight w:val="149"/>
        </w:trPr>
        <w:tc>
          <w:tcPr>
            <w:tcW w:w="5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58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instruments whose contract amounts represent credit risk</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1,969,861</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1,983,655</w:t>
            </w: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32,552</w:t>
            </w: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7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1,999,155</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2,016,207</w:t>
            </w:r>
          </w:p>
        </w:tc>
      </w:tr>
      <w:tr>
        <w:trPr>
          <w:trHeight w:val="20"/>
        </w:trPr>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r>
        <w:rPr>
          <w:rFonts w:ascii="Times New Roman" w:cs="Times New Roman" w:eastAsia="Times New Roman" w:hAnsi="Times New Roman"/>
          <w:sz w:val="18"/>
          <w:szCs w:val="18"/>
          <w:i w:val="1"/>
          <w:iCs w:val="1"/>
          <w:u w:val="single" w:color="auto"/>
          <w:color w:val="0000EE"/>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Fair Value Measurements</w:t>
      </w:r>
      <w:r>
        <w:rPr>
          <w:rFonts w:ascii="Times New Roman" w:cs="Times New Roman" w:eastAsia="Times New Roman" w:hAnsi="Times New Roman"/>
          <w:sz w:val="18"/>
          <w:szCs w:val="18"/>
          <w:color w:val="000000"/>
        </w:rPr>
        <w:t>” for further discussion of the fair value measurement of such derivatives.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was holding collateral of $10.9 million to secure its obligation under derivative contracts as of March 31, 2022. The Company pledged $26.5 million and $27.3 million in cash to secure its obligation under derivative contracts as of March 31, 2022, and December 31, 2021,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Designated as Cash Flow Hedges</w:t>
      </w:r>
    </w:p>
    <w:p>
      <w:pPr>
        <w:spacing w:after="0" w:line="2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Interest Rate Swaps Designated as Cash Flow Hedges</w:t>
      </w:r>
    </w:p>
    <w:p>
      <w:pPr>
        <w:spacing w:after="0" w:line="21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Interest rate swaps with notional amounts totaling $350.0 million as of March 31, 2022, and $50.0 million as of December 31, 2021, were designated as cash flow hedges. The Company entered into one $50.0 million interest rate swap to hedge the risks of variability in cash flows (future interest payments) attributable to changes in the contractually specified 3-month LIBOR benchmark interest rate on the Company’s junior subordinated debt owed to unconsolidated trusts (Debt Swap). In addition, the Company entered into one $300.0 million interest rate swap to reduce our balance sheet asset sensitive profile and to lock in earnings in the event future interest rate hikes do not materialize (Loan Swap). These hedges were determined to be highly effective during the period, and the Company expects its hedges to remain highly effective during the remaining terms of the swaps. Changes in fair value were recorded net of tax in OCI.</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A summary of the interest-rate swaps designated as cash flow hedges is presented below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 Swap</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Notional amount</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fixed pay rates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variable 3-month LIBOR receive rates</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0.83 %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maturity, in years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 yrs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2.71 yrs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Swap</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Notional amount</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fixed receive rates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variable Prime pay rates</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maturity, in years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 yrs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yrs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aggregate fair value of the swaps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aggregate fair value of swap assets</w:t>
            </w:r>
          </w:p>
        </w:tc>
        <w:tc>
          <w:tcPr>
            <w:tcW w:w="1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aggregate fair value of swap liabilities</w:t>
            </w: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240" w:type="dxa"/>
            <w:vAlign w:val="bottom"/>
          </w:tcPr>
          <w:p>
            <w:pPr>
              <w:spacing w:after="0"/>
              <w:rPr>
                <w:sz w:val="18"/>
                <w:szCs w:val="18"/>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carried in AOCI</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(losses) on cash flow hedges, net of tax</w:t>
            </w:r>
          </w:p>
        </w:tc>
        <w:tc>
          <w:tcPr>
            <w:tcW w:w="1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AOCI</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expects $0.4 million of unrealized gains to be reclassified from OCI to interest income and $0.1 million of unrealized losses to be reclassed from OCI to interest expense during the next three months. Amounts actually recognized could differ from these expectations due to changes in interest rates, hedge de-designations, and the addition of other hedges subsequent to March 31,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Interest expense recorded on these swap transactions was as follows for the periods presented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320" w:type="dxa"/>
            <w:vAlign w:val="bottom"/>
            <w:tcBorders>
              <w:bottom w:val="single" w:sz="8" w:color="auto"/>
            </w:tcBorders>
            <w:gridSpan w:val="5"/>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4"/>
        </w:trPr>
        <w:tc>
          <w:tcPr>
            <w:tcW w:w="65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on swap transactions</w:t>
            </w:r>
          </w:p>
        </w:tc>
        <w:tc>
          <w:tcPr>
            <w:tcW w:w="70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reflects the net gains (losses) relating to cash flow derivative instruments that were recorded in AOCI and the unaudited Consolidated Statements of Income during the periods presented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4"/>
        </w:trPr>
        <w:tc>
          <w:tcPr>
            <w:tcW w:w="6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 (losses) on cash flow hedges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recognized in OCI, net of tax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reclassified from OCI to interest expense, net of tax</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Not Designated as Hedges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Interest Rate Swaps Not Designated as Hedges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may offer derivative contracts to its customers in connection with their risk management needs. The Company manages the risk associated with these contracts by entering into equal and offsetting derivative agreements with a third-party dealer. These contracts support variable rate, commercial loan relationships totaling $492.6 million and $491.4 million as of March 31, 2022, and December 31, 2021,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Amounts and fair values of derivative assets and liabilities related to customer interest rate swaps recorded in the unaudited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Consolidated Balance Sheets are summarized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Derivative Asset</w:t>
            </w:r>
          </w:p>
        </w:tc>
        <w:tc>
          <w:tcPr>
            <w:tcW w:w="120" w:type="dxa"/>
            <w:vAlign w:val="bottom"/>
          </w:tcPr>
          <w:p>
            <w:pPr>
              <w:spacing w:after="0"/>
              <w:rPr>
                <w:sz w:val="15"/>
                <w:szCs w:val="15"/>
                <w:color w:val="auto"/>
              </w:rPr>
            </w:pPr>
          </w:p>
        </w:tc>
        <w:tc>
          <w:tcPr>
            <w:tcW w:w="1700" w:type="dxa"/>
            <w:vAlign w:val="bottom"/>
            <w:gridSpan w:val="4"/>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77"/>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1"/>
        </w:trPr>
        <w:tc>
          <w:tcPr>
            <w:tcW w:w="4180" w:type="dxa"/>
            <w:vAlign w:val="bottom"/>
            <w:tcBorders>
              <w:top w:val="single" w:sz="8" w:color="CCEEFF"/>
            </w:tcBorders>
            <w:shd w:val="clear" w:color="auto" w:fill="CCEEFF"/>
          </w:tcPr>
          <w:p>
            <w:pPr>
              <w:jc w:val="center"/>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Derivatives not designated as hedging instruments</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Interest rate swaps – pay floating, receive fixed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372,968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Interest rate swaps – pay fixed, receive floating</w:t>
            </w:r>
          </w:p>
        </w:tc>
        <w:tc>
          <w:tcPr>
            <w:tcW w:w="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9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492,590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492,590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Derivative Asset</w:t>
            </w:r>
          </w:p>
        </w:tc>
        <w:tc>
          <w:tcPr>
            <w:tcW w:w="120" w:type="dxa"/>
            <w:vAlign w:val="bottom"/>
          </w:tcPr>
          <w:p>
            <w:pPr>
              <w:spacing w:after="0"/>
              <w:rPr>
                <w:sz w:val="15"/>
                <w:szCs w:val="15"/>
                <w:color w:val="auto"/>
              </w:rPr>
            </w:pPr>
          </w:p>
        </w:tc>
        <w:tc>
          <w:tcPr>
            <w:tcW w:w="1700" w:type="dxa"/>
            <w:vAlign w:val="bottom"/>
            <w:gridSpan w:val="4"/>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77"/>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4"/>
        </w:trPr>
        <w:tc>
          <w:tcPr>
            <w:tcW w:w="4180" w:type="dxa"/>
            <w:vAlign w:val="bottom"/>
            <w:tcBorders>
              <w:top w:val="single" w:sz="8" w:color="CCEEFF"/>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Derivatives not designated as hedging instruments</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Interest rate swaps – pay floating, receive fixed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404,572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86,784</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Interest rate swaps – pay fixed, receive floating</w:t>
            </w:r>
          </w:p>
        </w:tc>
        <w:tc>
          <w:tcPr>
            <w:tcW w:w="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9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491,356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491,356</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fair value of these derivative assets and liabilities are recorded in noninterest expense in the unaudited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Consolidated Statements of Income and summarized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4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 floating, receive fixed</w:t>
            </w:r>
          </w:p>
        </w:tc>
        <w:tc>
          <w:tcPr>
            <w:tcW w:w="24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8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 fixed, receive floating</w:t>
            </w:r>
          </w:p>
        </w:tc>
        <w:tc>
          <w:tcPr>
            <w:tcW w:w="242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Noninterest expense</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fair value of interest rate swaps</w:t>
            </w: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 Participation Agreement</w:t>
      </w:r>
    </w:p>
    <w:p>
      <w:pPr>
        <w:spacing w:after="0" w:line="21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manage the credit risk exposure related to a customer-facing swap, the Company entered into one risk participation agreement in conjunction with a loan participation with another financial institution. The notional amount of the risk participation agreement was $4.0 million, and the fair value amount was insignificant, as of both March 31, 2022, and December 31, 2021. This risk participation agreement matures in 2028.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Interest Rate Lock Commitments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Interest rate lock commitments that meet the definition of derivative financial instruments under ASC Topic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are carried at their fair values in other assets or other liabilities in the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with changes in the fair values of the corresponding derivative financial assets or liabilities recorded as either a charge or credit to current earnings during the period in which the changes occurred.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Forward Sales Commitments</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The Company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are carried at their fair values in other assets or other liabilities in the unaudited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Sheets. While such 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9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Amounts and fair values of mortgage banking derivatives included in the unaudited Consolidated Balance Sheets are summarized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51"/>
        </w:trPr>
        <w:tc>
          <w:tcPr>
            <w:tcW w:w="4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gridSpan w:val="3"/>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ind w:right="35"/>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35"/>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4"/>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with positive fair value</w:t>
            </w: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Forward sales commitments</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banking derivatives recorded in other assets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with negative fair value</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Forward sales commitments</w:t>
            </w:r>
          </w:p>
        </w:tc>
        <w:tc>
          <w:tcPr>
            <w:tcW w:w="1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banking derivatives recorded in other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1"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Net gains (losses) relating to these derivative instruments are summarized as follows for the periods presented </w:t>
      </w:r>
      <w:r>
        <w:rPr>
          <w:rFonts w:ascii="Times New Roman" w:cs="Times New Roman" w:eastAsia="Times New Roman" w:hAnsi="Times New Roman"/>
          <w:sz w:val="18"/>
          <w:szCs w:val="18"/>
          <w:i w:val="1"/>
          <w:iCs w:val="1"/>
          <w:color w:val="auto"/>
        </w:rPr>
        <w:t>(dollars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54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w:t>
            </w: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Mortgage revenue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Forward sales commitments</w:t>
            </w:r>
          </w:p>
        </w:tc>
        <w:tc>
          <w:tcPr>
            <w:tcW w:w="1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Mortgage revenue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85" w:lineRule="exact"/>
        <w:rPr>
          <w:sz w:val="20"/>
          <w:szCs w:val="20"/>
          <w:color w:val="auto"/>
        </w:rPr>
      </w:pPr>
    </w:p>
    <w:p>
      <w:pPr>
        <w:ind w:left="640" w:right="79" w:hanging="320"/>
        <w:spacing w:after="0" w:line="28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ability to access at the measurement date.</w:t>
      </w:r>
    </w:p>
    <w:p>
      <w:pPr>
        <w:spacing w:after="0" w:line="158" w:lineRule="exact"/>
        <w:rPr>
          <w:rFonts w:ascii="Times New Roman" w:cs="Times New Roman" w:eastAsia="Times New Roman" w:hAnsi="Times New Roman"/>
          <w:sz w:val="18"/>
          <w:szCs w:val="18"/>
          <w:color w:val="auto"/>
        </w:rPr>
      </w:pPr>
    </w:p>
    <w:p>
      <w:pPr>
        <w:jc w:val="both"/>
        <w:ind w:left="640" w:right="79" w:hanging="320"/>
        <w:spacing w:after="0" w:line="255"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2" w:lineRule="exact"/>
        <w:rPr>
          <w:rFonts w:ascii="Times New Roman" w:cs="Times New Roman" w:eastAsia="Times New Roman" w:hAnsi="Times New Roman"/>
          <w:sz w:val="18"/>
          <w:szCs w:val="18"/>
          <w:color w:val="auto"/>
        </w:rPr>
      </w:pPr>
    </w:p>
    <w:p>
      <w:pPr>
        <w:jc w:val="both"/>
        <w:ind w:left="640" w:right="79" w:hanging="320"/>
        <w:spacing w:after="0" w:line="267"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Unobservable inputs for determining the fair values of assets or liabilities that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own assumptions about the assumptions that market participants would use in pricing the assets or liabilities.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Financial Liabilities Measured at Fair Value on a Recurring Basis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Debt Securities Available for Sale</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Debt securities classified as available for sale are reported at fair value utilizing Level 2 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Equity securities are reported at fair value utilizing Level 1 or Level 2 measurements. As applicable, for mutual funds, unadjusted quoted prices in active markets for identical assets are utilized to determine fair value at the measurement date and are classified as Level 1. For stock, quoted prices for identical or similar assets in markets that are not active are utilized and classified as Level 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Loans held for sale that were reported at fair value utilized Level 2 measurements at December 31, 2021. The fair values of the mortgage loans held for sale were measured using observable quoted market or contract prices or market price equivalents and were classified as Level 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Derivative Assets and Derivative Liabilities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Derivative assets and derivative liabilities are reported at fair value utilizing Level 2 or Level 3 measurements. As applicable, fair values of derivative assets and liabilities are determined based on prices that are obtained from a third-party which uses observable market inputs and are classified as Level 2. Due to the significance of unobservable inputs, derivative assets related to our risk participation agreement are classified as Level 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tables summarize financial assets and financial liabilities measured at fair value on a recurring basis as of March 31, 2022, and December 31, 2021, segregated by the level of the valuation inputs within the fair value hierarchy utilized to measure fair value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49"/>
        </w:trPr>
        <w:tc>
          <w:tcPr>
            <w:tcW w:w="4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157,508</w:t>
            </w: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34,301</w:t>
            </w: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299,592</w:t>
            </w: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488,604</w:t>
            </w: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107,502</w:t>
            </w: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1,575,376</w:t>
            </w: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283,172</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25,384</w:t>
            </w:r>
          </w:p>
        </w:tc>
      </w:tr>
      <w:tr>
        <w:trPr>
          <w:trHeight w:val="400"/>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49"/>
        </w:trPr>
        <w:tc>
          <w:tcPr>
            <w:tcW w:w="4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165,762</w:t>
            </w: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w:t>
            </w: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306,869</w:t>
            </w: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492,186</w:t>
            </w: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614,998</w:t>
            </w: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2,069,313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2,069,313</w:t>
            </w: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293,653</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w:t>
            </w:r>
          </w:p>
        </w:tc>
      </w:tr>
    </w:tbl>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Loans Evaluated Individually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OREO</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Non-financial assets measured at fair value include OREO (upon initial recognition or subsequent impairment). OREO properties are measured using a combination of observable inputs, including recent appraisals, and unobservable inputs. Due to the significance of unobservable inputs, all OREO fair values have been classified as Level 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Bank Property Held for Sale</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Bank property held for sale represents certain banking center office buildings which the Company has closed and consolidated with other existing banking centers. Bank property held for sale is measured at the lower of amortized cost or fair value less estimated costs to sell. Fair values were based upon discounted appraisals or real estate listing prices. Due to the significance of unobservable inputs, fair values of all bank property held for sale have been classified as Level 3.</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49"/>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95"/>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evaluated individually, net of related allowance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OREO with subsequent impairment</w:t>
            </w: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property held for sale with impairment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w:t>
            </w:r>
          </w:p>
        </w:tc>
      </w:tr>
      <w:tr>
        <w:trPr>
          <w:trHeight w:val="441"/>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76"/>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95"/>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evaluated individually, net of related allowance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OREO with subsequent impairment</w:t>
            </w: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property held for sale with impairment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r>
    </w:tbl>
    <w:p>
      <w:pPr>
        <w:spacing w:after="0" w:line="18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40" w:type="dxa"/>
            <w:vAlign w:val="bottom"/>
            <w:tcBorders>
              <w:bottom w:val="single" w:sz="8" w:color="auto"/>
            </w:tcBorders>
            <w:gridSpan w:val="6"/>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tcPr>
          <w:p>
            <w:pPr>
              <w:jc w:val="right"/>
              <w:ind w:right="813"/>
              <w:spacing w:after="0" w:line="149" w:lineRule="exact"/>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60"/>
        </w:trPr>
        <w:tc>
          <w:tcPr>
            <w:tcW w:w="252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3"/>
                <w:szCs w:val="13"/>
                <w:color w:val="auto"/>
              </w:rPr>
            </w:pPr>
          </w:p>
        </w:tc>
        <w:tc>
          <w:tcPr>
            <w:tcW w:w="84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Estimate</w:t>
            </w:r>
          </w:p>
        </w:tc>
        <w:tc>
          <w:tcPr>
            <w:tcW w:w="21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Techniques</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Input</w:t>
            </w:r>
          </w:p>
        </w:tc>
        <w:tc>
          <w:tcPr>
            <w:tcW w:w="140" w:type="dxa"/>
            <w:vAlign w:val="bottom"/>
          </w:tcPr>
          <w:p>
            <w:pPr>
              <w:spacing w:after="0"/>
              <w:rPr>
                <w:sz w:val="13"/>
                <w:szCs w:val="13"/>
                <w:color w:val="auto"/>
              </w:rPr>
            </w:pPr>
          </w:p>
        </w:tc>
        <w:tc>
          <w:tcPr>
            <w:tcW w:w="2180" w:type="dxa"/>
            <w:vAlign w:val="bottom"/>
            <w:gridSpan w:val="2"/>
          </w:tcPr>
          <w:p>
            <w:pPr>
              <w:jc w:val="right"/>
              <w:ind w:right="393"/>
              <w:spacing w:after="0" w:line="160"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Loans evaluated individually, net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2,946</w:t>
            </w: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Appraisal of collateral</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Appraisal</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98"/>
              </w:rPr>
              <w:t>-50.0% to</w:t>
            </w:r>
          </w:p>
        </w:tc>
        <w:tc>
          <w:tcPr>
            <w:tcW w:w="14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-100.0% (-53.4)%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related allowance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adjustments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OREO with subsequent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2,228</w:t>
            </w:r>
          </w:p>
        </w:tc>
        <w:tc>
          <w:tcPr>
            <w:tcW w:w="160" w:type="dxa"/>
            <w:vAlign w:val="bottom"/>
          </w:tcPr>
          <w:p>
            <w:pPr>
              <w:spacing w:after="0"/>
              <w:rPr>
                <w:sz w:val="17"/>
                <w:szCs w:val="17"/>
                <w:color w:val="auto"/>
              </w:rPr>
            </w:pPr>
          </w:p>
        </w:tc>
        <w:tc>
          <w:tcPr>
            <w:tcW w:w="214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rPr>
              <w:t>Appraisal of collateral</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Appraisal</w:t>
            </w:r>
          </w:p>
        </w:tc>
        <w:tc>
          <w:tcPr>
            <w:tcW w:w="9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-16.0% to</w:t>
            </w:r>
          </w:p>
        </w:tc>
        <w:tc>
          <w:tcPr>
            <w:tcW w:w="1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 (-24.4)%</w:t>
            </w:r>
          </w:p>
        </w:tc>
        <w:tc>
          <w:tcPr>
            <w:tcW w:w="0" w:type="dxa"/>
            <w:vAlign w:val="bottom"/>
          </w:tcPr>
          <w:p>
            <w:pPr>
              <w:spacing w:after="0"/>
              <w:rPr>
                <w:sz w:val="1"/>
                <w:szCs w:val="1"/>
                <w:color w:val="auto"/>
              </w:rPr>
            </w:pPr>
          </w:p>
        </w:tc>
      </w:tr>
      <w:tr>
        <w:trPr>
          <w:trHeight w:val="234"/>
        </w:trPr>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adjustments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Bank property held for sale with</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9,551</w:t>
            </w:r>
          </w:p>
        </w:tc>
        <w:tc>
          <w:tcPr>
            <w:tcW w:w="16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Appraisal of collateral or</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Appraisal</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-0.7% to</w:t>
            </w:r>
          </w:p>
        </w:tc>
        <w:tc>
          <w:tcPr>
            <w:tcW w:w="14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-70.1% (-38.2)%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real estate listing price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adjustments</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Loans evaluated individually, net</w:t>
            </w:r>
          </w:p>
        </w:tc>
        <w:tc>
          <w:tcPr>
            <w:tcW w:w="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2,926</w:t>
            </w:r>
          </w:p>
        </w:tc>
        <w:tc>
          <w:tcPr>
            <w:tcW w:w="16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rPr>
              <w:t>Appraisal of collateral</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Appraisal</w:t>
            </w:r>
          </w:p>
        </w:tc>
        <w:tc>
          <w:tcPr>
            <w:tcW w:w="9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-50.0% to</w:t>
            </w:r>
          </w:p>
        </w:tc>
        <w:tc>
          <w:tcPr>
            <w:tcW w:w="14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 (-55.1)%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related allowance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adjustments</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OREO with subsequent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7"/>
                <w:szCs w:val="17"/>
                <w:color w:val="auto"/>
              </w:rPr>
            </w:pPr>
          </w:p>
        </w:tc>
        <w:tc>
          <w:tcPr>
            <w:tcW w:w="214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rPr>
              <w:t>Appraisal of collateral</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Appraisal</w:t>
            </w:r>
          </w:p>
        </w:tc>
        <w:tc>
          <w:tcPr>
            <w:tcW w:w="9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-33.0% to</w:t>
            </w:r>
          </w:p>
        </w:tc>
        <w:tc>
          <w:tcPr>
            <w:tcW w:w="1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 (-67.9)%</w:t>
            </w:r>
          </w:p>
        </w:tc>
        <w:tc>
          <w:tcPr>
            <w:tcW w:w="0" w:type="dxa"/>
            <w:vAlign w:val="bottom"/>
          </w:tcPr>
          <w:p>
            <w:pPr>
              <w:spacing w:after="0"/>
              <w:rPr>
                <w:sz w:val="1"/>
                <w:szCs w:val="1"/>
                <w:color w:val="auto"/>
              </w:rPr>
            </w:pPr>
          </w:p>
        </w:tc>
      </w:tr>
      <w:tr>
        <w:trPr>
          <w:trHeight w:val="234"/>
        </w:trPr>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adjustments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Bank property held for sale with</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10,103</w:t>
            </w:r>
          </w:p>
        </w:tc>
        <w:tc>
          <w:tcPr>
            <w:tcW w:w="16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Appraisal of collateral or</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Appraisal</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-0.7% to</w:t>
            </w:r>
          </w:p>
        </w:tc>
        <w:tc>
          <w:tcPr>
            <w:tcW w:w="14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-70.1% (-41.3)%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real estate listing price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adjustments</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Financial Liabilities That Are Not Carried at Fair Value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Estimated fair values of financial instruments that are not carried at fair value in the Company’s unaudited Consolidated Balance Sheets, segregated by the level of the valuation inputs within the fair value hierarchy utilized to measure fair value, were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color w:val="auto"/>
                <w:w w:val="99"/>
              </w:rPr>
              <w:t>Level 1 inputs: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479,228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479,228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836,095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color w:val="auto"/>
                <w:w w:val="99"/>
              </w:rPr>
              <w:t>Level 2 inputs: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00"/>
              <w:spacing w:after="0" w:line="216" w:lineRule="exact"/>
              <w:rPr>
                <w:sz w:val="20"/>
                <w:szCs w:val="20"/>
                <w:color w:val="auto"/>
              </w:rPr>
            </w:pPr>
            <w:r>
              <w:rPr>
                <w:rFonts w:ascii="Times New Roman" w:cs="Times New Roman" w:eastAsia="Times New Roman" w:hAnsi="Times New Roman"/>
                <w:sz w:val="17"/>
                <w:szCs w:val="17"/>
                <w:color w:val="auto"/>
              </w:rPr>
              <w:t xml:space="preserve">Loans held for sale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color w:val="auto"/>
                <w:w w:val="99"/>
              </w:rPr>
              <w:t>Level 3 inputs: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Portfolio loans,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7,184,660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7,195,985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7,101,111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servicing rights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8"/>
              </w:rPr>
              <w:t>Financial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color w:val="auto"/>
                <w:w w:val="99"/>
              </w:rPr>
              <w:t>Level 2 inputs: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Time deposits</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890,830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882,358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935,649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gridSpan w:val="2"/>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Junior subordinated debt owed to unconsolidated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trusts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jc w:val="center"/>
              <w:ind w:right="3100"/>
              <w:spacing w:after="0"/>
              <w:rPr>
                <w:sz w:val="20"/>
                <w:szCs w:val="20"/>
                <w:color w:val="auto"/>
              </w:rPr>
            </w:pPr>
            <w:r>
              <w:rPr>
                <w:rFonts w:ascii="Times New Roman" w:cs="Times New Roman" w:eastAsia="Times New Roman" w:hAnsi="Times New Roman"/>
                <w:sz w:val="18"/>
                <w:szCs w:val="18"/>
                <w:color w:val="auto"/>
                <w:w w:val="99"/>
              </w:rPr>
              <w:t>Level 3 inputs: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Senior notes, net of unamortized issuance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80" w:hanging="322"/>
        <w:spacing w:after="0"/>
        <w:tabs>
          <w:tab w:leader="none" w:pos="4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January 1, 2022, recorded at LOCOM.</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Earnings Per Common Share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the Company’s outstanding stock options and warrants were exercised, stock units were vested, and ESPP shares were issued.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Earnings per common share have been computed as follows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6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55,427,696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54,471,860</w:t>
            </w:r>
          </w:p>
        </w:tc>
        <w:tc>
          <w:tcPr>
            <w:tcW w:w="0" w:type="dxa"/>
            <w:vAlign w:val="bottom"/>
          </w:tcPr>
          <w:p>
            <w:pPr>
              <w:spacing w:after="0"/>
              <w:rPr>
                <w:sz w:val="1"/>
                <w:szCs w:val="1"/>
                <w:color w:val="auto"/>
              </w:rPr>
            </w:pPr>
          </w:p>
        </w:tc>
      </w:tr>
      <w:tr>
        <w:trPr>
          <w:trHeight w:val="198"/>
        </w:trPr>
        <w:tc>
          <w:tcPr>
            <w:tcW w:w="65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outstanding options, warrants, and stock units as determined by the</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application of the treasury stock method</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755,748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563,946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5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 average common shares outstanding, as adjusted for diluted earnings per share</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56,194,946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55,035,806</w:t>
            </w:r>
          </w:p>
        </w:tc>
        <w:tc>
          <w:tcPr>
            <w:tcW w:w="0" w:type="dxa"/>
            <w:vAlign w:val="bottom"/>
          </w:tcPr>
          <w:p>
            <w:pPr>
              <w:spacing w:after="0"/>
              <w:rPr>
                <w:sz w:val="1"/>
                <w:szCs w:val="1"/>
                <w:color w:val="auto"/>
              </w:rPr>
            </w:pPr>
          </w:p>
        </w:tc>
      </w:tr>
      <w:tr>
        <w:trPr>
          <w:trHeight w:val="261"/>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calculation</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Shares that were excluded from the computation of diluted earnings per common share because their effect would have been anti-dilutive are summarized in the table below for the periods presented: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8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3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5"/>
        </w:trPr>
        <w:tc>
          <w:tcPr>
            <w:tcW w:w="382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common stock equivalents</w:t>
            </w:r>
          </w:p>
        </w:tc>
        <w:tc>
          <w:tcPr>
            <w:tcW w:w="2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 and DSU awards</w:t>
            </w:r>
          </w:p>
        </w:tc>
        <w:tc>
          <w:tcPr>
            <w:tcW w:w="27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PSU awards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common stock equivalents</w:t>
            </w:r>
          </w:p>
        </w:tc>
        <w:tc>
          <w:tcPr>
            <w:tcW w:w="27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241,452</w:t>
            </w: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76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8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Income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table represents changes in AOCI by component, net of tax, for the period below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3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Before Tax</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Net of Tax</w:t>
            </w:r>
          </w:p>
        </w:tc>
        <w:tc>
          <w:tcPr>
            <w:tcW w:w="20" w:type="dxa"/>
            <w:vAlign w:val="bottom"/>
          </w:tcPr>
          <w:p>
            <w:pPr>
              <w:spacing w:after="0"/>
              <w:rPr>
                <w:sz w:val="14"/>
                <w:szCs w:val="14"/>
                <w:color w:val="auto"/>
              </w:rPr>
            </w:pPr>
          </w:p>
        </w:tc>
      </w:tr>
      <w:tr>
        <w:trPr>
          <w:trHeight w:val="209"/>
        </w:trPr>
        <w:tc>
          <w:tcPr>
            <w:tcW w:w="52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 (losses) on debt securities available for sale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(32,272)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35,493</w:t>
            </w:r>
          </w:p>
        </w:tc>
        <w:tc>
          <w:tcPr>
            <w:tcW w:w="20" w:type="dxa"/>
            <w:vAlign w:val="bottom"/>
          </w:tcPr>
          <w:p>
            <w:pPr>
              <w:spacing w:after="0"/>
              <w:rPr>
                <w:sz w:val="18"/>
                <w:szCs w:val="18"/>
                <w:color w:val="auto"/>
              </w:rPr>
            </w:pPr>
          </w:p>
        </w:tc>
      </w:tr>
      <w:tr>
        <w:trPr>
          <w:trHeight w:val="198"/>
        </w:trPr>
        <w:tc>
          <w:tcPr>
            <w:tcW w:w="35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securities available for sale, net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(104,282)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(74,556)</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(42,072)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(30,079)</w:t>
            </w:r>
          </w:p>
        </w:tc>
        <w:tc>
          <w:tcPr>
            <w:tcW w:w="20" w:type="dxa"/>
            <w:vAlign w:val="bottom"/>
          </w:tcPr>
          <w:p>
            <w:pPr>
              <w:spacing w:after="0"/>
              <w:rPr>
                <w:sz w:val="20"/>
                <w:szCs w:val="20"/>
                <w:color w:val="auto"/>
              </w:rPr>
            </w:pPr>
          </w:p>
        </w:tc>
      </w:tr>
      <w:tr>
        <w:trPr>
          <w:trHeight w:val="198"/>
        </w:trPr>
        <w:tc>
          <w:tcPr>
            <w:tcW w:w="35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losses on debt securities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transferred from held to maturity to</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 for sale</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(48,456)</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(34,644)</w:t>
            </w:r>
          </w:p>
        </w:tc>
        <w:tc>
          <w:tcPr>
            <w:tcW w:w="1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AOCI,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198"/>
        </w:trPr>
        <w:tc>
          <w:tcPr>
            <w:tcW w:w="35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unrealized losses on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securities transferred to held to</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maturity</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(131,718)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2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 (losses) on cash flow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0" w:type="dxa"/>
            <w:vAlign w:val="bottom"/>
          </w:tcPr>
          <w:p>
            <w:pPr>
              <w:spacing w:after="0"/>
              <w:rPr>
                <w:sz w:val="18"/>
                <w:szCs w:val="18"/>
                <w:color w:val="auto"/>
              </w:rPr>
            </w:pPr>
          </w:p>
        </w:tc>
      </w:tr>
      <w:tr>
        <w:trPr>
          <w:trHeight w:val="198"/>
        </w:trPr>
        <w:tc>
          <w:tcPr>
            <w:tcW w:w="35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hedges, net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20"/>
                <w:szCs w:val="20"/>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AOCI, net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(192,467)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(137,605)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0" w:type="dxa"/>
            <w:vAlign w:val="bottom"/>
          </w:tcPr>
          <w:p>
            <w:pPr>
              <w:spacing w:after="0"/>
              <w:rPr>
                <w:sz w:val="18"/>
                <w:szCs w:val="18"/>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Operating Segments and Related Information</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has three reportable operating segments: Banking, FirsTech, and Wealth Management. The Company’s three operating segments are strategic business units that are separately managed as they offer different products and services and have different marketing strategies. The Banking operating segment provides a full range of banking services to individual and corporate customers through its banking center network in Illinois; the St. Louis, Missouri metropolitan area; southwest Florida; and Indianapolis, Indiana. The FirsTech operating segment provides solutions for online, mobile, and voice-recognition bill payments; lockbox; and walk-in payments. The Wealth Management operating segment provides a full range of asset management, investment, brokerage, fiduciary, philanthropic advisory, tax preparation, and farm management services to individuals, businesses, and foundations.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Times New Roman" w:cs="Times New Roman" w:eastAsia="Times New Roman" w:hAnsi="Times New Roman"/>
          <w:sz w:val="18"/>
          <w:szCs w:val="18"/>
          <w:i w:val="1"/>
          <w:iCs w:val="1"/>
          <w:color w:val="auto"/>
        </w:rPr>
        <w:t>Note 1. Significant Accounting Policies</w:t>
      </w:r>
      <w:r>
        <w:rPr>
          <w:rFonts w:ascii="Times New Roman" w:cs="Times New Roman" w:eastAsia="Times New Roman" w:hAnsi="Times New Roman"/>
          <w:sz w:val="18"/>
          <w:szCs w:val="18"/>
          <w:color w:val="auto"/>
        </w:rPr>
        <w:t>” in the Company’s 2021 Annual Report. The Company accounts for intersegment revenue and transfers at current market value.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Following is a summary of selected financial information for the Company’s operating segments. The “other” category included in the tables below consists of the parent company, First Busey Risk Management, and the elimination of intercompany transactions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2"/>
                <w:szCs w:val="12"/>
                <w:color w:val="auto"/>
              </w:rPr>
            </w:pPr>
          </w:p>
        </w:tc>
        <w:tc>
          <w:tcPr>
            <w:tcW w:w="1000" w:type="dxa"/>
            <w:vAlign w:val="bottom"/>
            <w:gridSpan w:val="3"/>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right"/>
              <w:ind w:right="148"/>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1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Banking</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$ 294,773</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$ 12,450,999</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FirsTech</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Wealth Management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71,364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total</w:t>
            </w:r>
          </w:p>
        </w:tc>
        <w:tc>
          <w:tcPr>
            <w:tcW w:w="13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$ 317,873</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317,873</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$ 12,567,509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12,859,689</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Banking</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100" w:type="dxa"/>
            <w:vAlign w:val="bottom"/>
          </w:tcPr>
          <w:p>
            <w:pPr>
              <w:spacing w:after="0"/>
              <w:rPr>
                <w:sz w:val="18"/>
                <w:szCs w:val="18"/>
                <w:color w:val="auto"/>
              </w:rPr>
            </w:pPr>
          </w:p>
        </w:tc>
        <w:tc>
          <w:tcPr>
            <w:tcW w:w="280" w:type="dxa"/>
            <w:vAlign w:val="bottom"/>
            <w:gridSpan w:val="4"/>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FirsTech</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interest income</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Banking</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FirsTech</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Wealth Management</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Banking</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55,567</w:t>
            </w:r>
          </w:p>
        </w:tc>
        <w:tc>
          <w:tcPr>
            <w:tcW w:w="10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FirsTech</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Wealth Management</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Banking</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0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FirsTech</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Wealth Management</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(6,364)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Banking</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0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FirsTech</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Wealth Management</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income</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color w:val="auto"/>
              </w:rPr>
              <w:t>46</w:t>
            </w: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Busey as the Lessee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operating leases consisting primarily of equipment leases and real estate leases for banking centers, ATM locations, and office space. The following table summarizes lease-related information and balances the Company reported in its unaudited Consolidated Balance Sheets for the periods presented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60" w:type="dxa"/>
            <w:vAlign w:val="bottom"/>
          </w:tcPr>
          <w:p>
            <w:pPr>
              <w:jc w:val="right"/>
              <w:ind w:right="35"/>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r>
      <w:tr>
        <w:trPr>
          <w:trHeight w:val="201"/>
        </w:trPr>
        <w:tc>
          <w:tcPr>
            <w:tcW w:w="64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Lease balances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200" w:type="dxa"/>
            <w:vAlign w:val="bottom"/>
            <w:shd w:val="clear" w:color="auto" w:fill="CCEEFF"/>
          </w:tcPr>
          <w:p>
            <w:pPr>
              <w:spacing w:after="0"/>
              <w:rPr>
                <w:sz w:val="18"/>
                <w:szCs w:val="18"/>
                <w:color w:val="auto"/>
              </w:rPr>
            </w:pPr>
          </w:p>
        </w:tc>
      </w:tr>
      <w:tr>
        <w:trPr>
          <w:trHeight w:val="43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Year through which lease terms extend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 xml:space="preserve">2.04 </w:t>
            </w: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 xml:space="preserve">2.16 </w:t>
            </w:r>
            <w:r>
              <w:rPr>
                <w:rFonts w:ascii="Calibri" w:cs="Calibri" w:eastAsia="Calibri" w:hAnsi="Calibri"/>
                <w:sz w:val="18"/>
                <w:szCs w:val="18"/>
                <w:color w:val="auto"/>
              </w:rPr>
              <w:t>%</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table represents lease costs and cash flows related to leases for the periods presented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0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costs</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Pr>
          <w:p>
            <w:pPr>
              <w:spacing w:after="0"/>
              <w:rPr>
                <w:sz w:val="18"/>
                <w:szCs w:val="18"/>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costs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lease costs</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lease cost </w:t>
            </w:r>
            <w:r>
              <w:rPr>
                <w:rFonts w:ascii="Times New Roman" w:cs="Times New Roman" w:eastAsia="Times New Roman" w:hAnsi="Times New Roman"/>
                <w:sz w:val="24"/>
                <w:szCs w:val="24"/>
                <w:color w:val="auto"/>
                <w:vertAlign w:val="superscript"/>
              </w:rPr>
              <w:t>(1)</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related to leases</w:t>
            </w: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cash flows – Fixed payments</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18"/>
                <w:szCs w:val="18"/>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cash flows – Liability reduction</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98"/>
        </w:trPr>
        <w:tc>
          <w:tcPr>
            <w:tcW w:w="60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 of use assets obtained during the period in exchange for operating lease</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3" w:lineRule="exact"/>
        <w:rPr>
          <w:sz w:val="20"/>
          <w:szCs w:val="20"/>
          <w:color w:val="auto"/>
        </w:rPr>
      </w:pPr>
    </w:p>
    <w:p>
      <w:pPr>
        <w:ind w:left="480" w:hanging="322"/>
        <w:spacing w:after="0"/>
        <w:tabs>
          <w:tab w:leader="none" w:pos="4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Lease costs are included in net occupancy and equipment expense in the unaudited Consolidated Statements of Income.</w:t>
      </w:r>
    </w:p>
    <w:p>
      <w:pPr>
        <w:spacing w:after="0" w:line="22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The Company was obligated under noncancelable operating leases for office space and other commitments,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78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Rent commitments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Remainder of 2022</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1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Busey as the Lessor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Busey occasionally leases parking lots and office space to outside parties. Further, in connection with the acquisition of CAC in the second quarter of 2021, the Company acquired office buildings in Glenview, IL and Northbrook, IL, along with operating leases for space within these buildings that is rented to third parties. Revenues recorded in connection with these leases and reported in other income on our unaudited Consolidated Statements of Income are summarized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4"/>
        </w:trPr>
        <w:tc>
          <w:tcPr>
            <w:tcW w:w="60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40" w:right="9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40" w:type="dxa"/>
            <w:vAlign w:val="bottom"/>
            <w:gridSpan w:val="25"/>
          </w:tcPr>
          <w:p>
            <w:pPr>
              <w:jc w:val="right"/>
              <w:ind w:right="498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2580" w:type="dxa"/>
            <w:vAlign w:val="bottom"/>
          </w:tcPr>
          <w:p>
            <w:pPr>
              <w:spacing w:after="0"/>
              <w:rPr>
                <w:sz w:val="20"/>
                <w:szCs w:val="20"/>
                <w:color w:val="auto"/>
              </w:rPr>
            </w:pPr>
          </w:p>
        </w:tc>
      </w:tr>
      <w:tr>
        <w:trPr>
          <w:trHeight w:val="405"/>
        </w:trPr>
        <w:tc>
          <w:tcPr>
            <w:tcW w:w="10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OVERVIEW</w:t>
            </w:r>
          </w:p>
        </w:tc>
        <w:tc>
          <w:tcPr>
            <w:tcW w:w="5280" w:type="dxa"/>
            <w:vAlign w:val="bottom"/>
            <w:gridSpan w:val="21"/>
          </w:tcPr>
          <w:p>
            <w:pPr>
              <w:spacing w:after="0"/>
              <w:rPr>
                <w:sz w:val="24"/>
                <w:szCs w:val="24"/>
                <w:color w:val="auto"/>
              </w:rPr>
            </w:pP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w:t>
            </w:r>
          </w:p>
        </w:tc>
      </w:tr>
      <w:tr>
        <w:trPr>
          <w:trHeight w:val="412"/>
        </w:trPr>
        <w:tc>
          <w:tcPr>
            <w:tcW w:w="100" w:type="dxa"/>
            <w:vAlign w:val="bottom"/>
          </w:tcPr>
          <w:p>
            <w:pPr>
              <w:spacing w:after="0"/>
              <w:rPr>
                <w:sz w:val="24"/>
                <w:szCs w:val="24"/>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EXECUTIVE SUMMARY</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w:t>
            </w:r>
          </w:p>
        </w:tc>
      </w:tr>
      <w:tr>
        <w:trPr>
          <w:trHeight w:val="196"/>
        </w:trPr>
        <w:tc>
          <w:tcPr>
            <w:tcW w:w="1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Operating Results</w:t>
            </w:r>
          </w:p>
        </w:tc>
        <w:tc>
          <w:tcPr>
            <w:tcW w:w="340" w:type="dxa"/>
            <w:vAlign w:val="bottom"/>
            <w:tcBorders>
              <w:top w:val="single" w:sz="8" w:color="0000EE"/>
            </w:tcBorders>
            <w:gridSpan w:val="5"/>
          </w:tcPr>
          <w:p>
            <w:pPr>
              <w:spacing w:after="0"/>
              <w:rPr>
                <w:sz w:val="17"/>
                <w:szCs w:val="17"/>
                <w:color w:val="auto"/>
              </w:rPr>
            </w:pPr>
          </w:p>
        </w:tc>
        <w:tc>
          <w:tcPr>
            <w:tcW w:w="4260" w:type="dxa"/>
            <w:vAlign w:val="bottom"/>
            <w:gridSpan w:val="10"/>
          </w:tcPr>
          <w:p>
            <w:pPr>
              <w:spacing w:after="0"/>
              <w:rPr>
                <w:sz w:val="17"/>
                <w:szCs w:val="17"/>
                <w:color w:val="auto"/>
              </w:rPr>
            </w:pP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Acquisitions</w:t>
            </w:r>
          </w:p>
        </w:tc>
        <w:tc>
          <w:tcPr>
            <w:tcW w:w="4980" w:type="dxa"/>
            <w:vAlign w:val="bottom"/>
            <w:gridSpan w:val="18"/>
          </w:tcPr>
          <w:p>
            <w:pPr>
              <w:spacing w:after="0"/>
              <w:rPr>
                <w:sz w:val="17"/>
                <w:szCs w:val="17"/>
                <w:color w:val="auto"/>
              </w:rPr>
            </w:pP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Non-operating Expenses and Non-GAAP Measures</w:t>
            </w: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Banking Center Markets</w:t>
            </w:r>
          </w:p>
        </w:tc>
        <w:tc>
          <w:tcPr>
            <w:tcW w:w="1940" w:type="dxa"/>
            <w:vAlign w:val="bottom"/>
            <w:tcBorders>
              <w:top w:val="single" w:sz="8" w:color="0000EE"/>
            </w:tcBorders>
            <w:gridSpan w:val="7"/>
          </w:tcPr>
          <w:p>
            <w:pPr>
              <w:spacing w:after="0"/>
              <w:rPr>
                <w:sz w:val="17"/>
                <w:szCs w:val="17"/>
                <w:color w:val="auto"/>
              </w:rPr>
            </w:pPr>
          </w:p>
        </w:tc>
        <w:tc>
          <w:tcPr>
            <w:tcW w:w="2180" w:type="dxa"/>
            <w:vAlign w:val="bottom"/>
          </w:tcPr>
          <w:p>
            <w:pPr>
              <w:spacing w:after="0"/>
              <w:rPr>
                <w:sz w:val="17"/>
                <w:szCs w:val="17"/>
                <w:color w:val="auto"/>
              </w:rPr>
            </w:pP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Net Interest Income</w:t>
            </w:r>
          </w:p>
        </w:tc>
        <w:tc>
          <w:tcPr>
            <w:tcW w:w="4460" w:type="dxa"/>
            <w:vAlign w:val="bottom"/>
            <w:gridSpan w:val="13"/>
          </w:tcPr>
          <w:p>
            <w:pPr>
              <w:spacing w:after="0"/>
              <w:rPr>
                <w:sz w:val="17"/>
                <w:szCs w:val="17"/>
                <w:color w:val="auto"/>
              </w:rPr>
            </w:pP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Noninterest Income</w:t>
            </w: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Noninterest Expense</w:t>
            </w:r>
          </w:p>
        </w:tc>
        <w:tc>
          <w:tcPr>
            <w:tcW w:w="4380" w:type="dxa"/>
            <w:vAlign w:val="bottom"/>
            <w:gridSpan w:val="11"/>
          </w:tcPr>
          <w:p>
            <w:pPr>
              <w:spacing w:after="0"/>
              <w:rPr>
                <w:sz w:val="17"/>
                <w:szCs w:val="17"/>
                <w:color w:val="auto"/>
              </w:rPr>
            </w:pP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412"/>
        </w:trPr>
        <w:tc>
          <w:tcPr>
            <w:tcW w:w="100" w:type="dxa"/>
            <w:vAlign w:val="bottom"/>
          </w:tcPr>
          <w:p>
            <w:pPr>
              <w:spacing w:after="0"/>
              <w:rPr>
                <w:sz w:val="24"/>
                <w:szCs w:val="24"/>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FINANCIAL CONDITION</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57</w:t>
            </w:r>
          </w:p>
        </w:tc>
      </w:tr>
      <w:tr>
        <w:trPr>
          <w:trHeight w:val="196"/>
        </w:trPr>
        <w:tc>
          <w:tcPr>
            <w:tcW w:w="1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Balance Sheet</w:t>
            </w:r>
          </w:p>
        </w:tc>
        <w:tc>
          <w:tcPr>
            <w:tcW w:w="4220" w:type="dxa"/>
            <w:vAlign w:val="bottom"/>
            <w:gridSpan w:val="9"/>
          </w:tcPr>
          <w:p>
            <w:pPr>
              <w:spacing w:after="0"/>
              <w:rPr>
                <w:sz w:val="17"/>
                <w:szCs w:val="17"/>
                <w:color w:val="auto"/>
              </w:rPr>
            </w:pP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Portfolio Loans</w:t>
            </w: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Deposits</w:t>
            </w:r>
          </w:p>
        </w:tc>
        <w:tc>
          <w:tcPr>
            <w:tcW w:w="480" w:type="dxa"/>
            <w:vAlign w:val="bottom"/>
            <w:tcBorders>
              <w:top w:val="single" w:sz="8" w:color="0000EE"/>
            </w:tcBorders>
            <w:gridSpan w:val="4"/>
          </w:tcPr>
          <w:p>
            <w:pPr>
              <w:spacing w:after="0"/>
              <w:rPr>
                <w:sz w:val="17"/>
                <w:szCs w:val="17"/>
                <w:color w:val="auto"/>
              </w:rPr>
            </w:pPr>
          </w:p>
        </w:tc>
        <w:tc>
          <w:tcPr>
            <w:tcW w:w="4780" w:type="dxa"/>
            <w:vAlign w:val="bottom"/>
            <w:gridSpan w:val="16"/>
          </w:tcPr>
          <w:p>
            <w:pPr>
              <w:spacing w:after="0"/>
              <w:rPr>
                <w:sz w:val="17"/>
                <w:szCs w:val="17"/>
                <w:color w:val="auto"/>
              </w:rPr>
            </w:pP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412"/>
        </w:trPr>
        <w:tc>
          <w:tcPr>
            <w:tcW w:w="100" w:type="dxa"/>
            <w:vAlign w:val="bottom"/>
          </w:tcPr>
          <w:p>
            <w:pPr>
              <w:spacing w:after="0"/>
              <w:rPr>
                <w:sz w:val="24"/>
                <w:szCs w:val="24"/>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LIQUIDITY</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33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OFF-BALANCE SHEET ARRANGEMENTS</w:t>
            </w:r>
          </w:p>
        </w:tc>
        <w:tc>
          <w:tcPr>
            <w:tcW w:w="2860" w:type="dxa"/>
            <w:vAlign w:val="bottom"/>
            <w:gridSpan w:val="3"/>
          </w:tcPr>
          <w:p>
            <w:pPr>
              <w:spacing w:after="0"/>
              <w:rPr>
                <w:sz w:val="24"/>
                <w:szCs w:val="24"/>
                <w:color w:val="auto"/>
              </w:rPr>
            </w:pP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62</w:t>
            </w:r>
          </w:p>
        </w:tc>
      </w:tr>
      <w:tr>
        <w:trPr>
          <w:trHeight w:val="412"/>
        </w:trPr>
        <w:tc>
          <w:tcPr>
            <w:tcW w:w="100" w:type="dxa"/>
            <w:vAlign w:val="bottom"/>
          </w:tcPr>
          <w:p>
            <w:pPr>
              <w:spacing w:after="0"/>
              <w:rPr>
                <w:sz w:val="24"/>
                <w:szCs w:val="24"/>
                <w:color w:val="auto"/>
              </w:rPr>
            </w:pPr>
          </w:p>
        </w:tc>
        <w:tc>
          <w:tcPr>
            <w:tcW w:w="18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CAPITAL RESOURCES</w:t>
            </w:r>
          </w:p>
        </w:tc>
        <w:tc>
          <w:tcPr>
            <w:tcW w:w="4400" w:type="dxa"/>
            <w:vAlign w:val="bottom"/>
            <w:gridSpan w:val="12"/>
          </w:tcPr>
          <w:p>
            <w:pPr>
              <w:spacing w:after="0"/>
              <w:rPr>
                <w:sz w:val="24"/>
                <w:szCs w:val="24"/>
                <w:color w:val="auto"/>
              </w:rPr>
            </w:pP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62</w:t>
            </w:r>
          </w:p>
        </w:tc>
      </w:tr>
      <w:tr>
        <w:trPr>
          <w:trHeight w:val="412"/>
        </w:trPr>
        <w:tc>
          <w:tcPr>
            <w:tcW w:w="100" w:type="dxa"/>
            <w:vAlign w:val="bottom"/>
          </w:tcPr>
          <w:p>
            <w:pPr>
              <w:spacing w:after="0"/>
              <w:rPr>
                <w:sz w:val="24"/>
                <w:szCs w:val="24"/>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NON-GAAP FINANCIAL INFORMATION</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62</w:t>
            </w:r>
          </w:p>
        </w:tc>
      </w:tr>
      <w:tr>
        <w:trPr>
          <w:trHeight w:val="412"/>
        </w:trPr>
        <w:tc>
          <w:tcPr>
            <w:tcW w:w="100" w:type="dxa"/>
            <w:vAlign w:val="bottom"/>
          </w:tcPr>
          <w:p>
            <w:pPr>
              <w:spacing w:after="0"/>
              <w:rPr>
                <w:sz w:val="24"/>
                <w:szCs w:val="24"/>
                <w:color w:val="auto"/>
              </w:rPr>
            </w:pPr>
          </w:p>
        </w:tc>
        <w:tc>
          <w:tcPr>
            <w:tcW w:w="32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FORWARD LOOKING STATEMENTS</w:t>
            </w:r>
          </w:p>
        </w:tc>
        <w:tc>
          <w:tcPr>
            <w:tcW w:w="3000" w:type="dxa"/>
            <w:vAlign w:val="bottom"/>
            <w:gridSpan w:val="4"/>
          </w:tcPr>
          <w:p>
            <w:pPr>
              <w:spacing w:after="0"/>
              <w:rPr>
                <w:sz w:val="24"/>
                <w:szCs w:val="24"/>
                <w:color w:val="auto"/>
              </w:rPr>
            </w:pP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1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10"/>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1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10"/>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Fair Value of Debt Securities Available for Sale</w:t>
            </w:r>
          </w:p>
        </w:tc>
        <w:tc>
          <w:tcPr>
            <w:tcW w:w="2460" w:type="dxa"/>
            <w:vAlign w:val="bottom"/>
            <w:gridSpan w:val="2"/>
          </w:tcPr>
          <w:p>
            <w:pPr>
              <w:spacing w:after="0"/>
              <w:rPr>
                <w:sz w:val="17"/>
                <w:szCs w:val="17"/>
                <w:color w:val="auto"/>
              </w:rPr>
            </w:pP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Fair Value of Assets Acquired and Liabilities Assumed in Business Combinations</w:t>
            </w: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Goodwill</w:t>
            </w: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gridSpan w:val="10"/>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Income Taxes</w:t>
            </w: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060" w:type="dxa"/>
            <w:vAlign w:val="bottom"/>
            <w:gridSpan w:val="10"/>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Allowance for Credit Losses</w:t>
            </w:r>
          </w:p>
        </w:tc>
        <w:tc>
          <w:tcPr>
            <w:tcW w:w="25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885"/>
        </w:trPr>
        <w:tc>
          <w:tcPr>
            <w:tcW w:w="460" w:type="dxa"/>
            <w:vAlign w:val="bottom"/>
            <w:gridSpan w:val="2"/>
          </w:tcPr>
          <w:p>
            <w:pPr>
              <w:spacing w:after="0"/>
              <w:rPr>
                <w:sz w:val="24"/>
                <w:szCs w:val="24"/>
                <w:color w:val="auto"/>
              </w:rPr>
            </w:pPr>
          </w:p>
        </w:tc>
        <w:tc>
          <w:tcPr>
            <w:tcW w:w="2040" w:type="dxa"/>
            <w:vAlign w:val="bottom"/>
            <w:tcBorders>
              <w:top w:val="single" w:sz="8" w:color="0000EE"/>
            </w:tcBorders>
            <w:gridSpan w:val="16"/>
          </w:tcPr>
          <w:p>
            <w:pPr>
              <w:spacing w:after="0"/>
              <w:rPr>
                <w:sz w:val="24"/>
                <w:szCs w:val="24"/>
                <w:color w:val="auto"/>
              </w:rPr>
            </w:pPr>
          </w:p>
        </w:tc>
        <w:tc>
          <w:tcPr>
            <w:tcW w:w="3840" w:type="dxa"/>
            <w:vAlign w:val="bottom"/>
            <w:gridSpan w:val="7"/>
          </w:tcPr>
          <w:p>
            <w:pPr>
              <w:jc w:val="right"/>
              <w:ind w:right="1780"/>
              <w:spacing w:after="0"/>
              <w:rPr>
                <w:sz w:val="20"/>
                <w:szCs w:val="20"/>
                <w:color w:val="auto"/>
              </w:rPr>
            </w:pPr>
            <w:r>
              <w:rPr>
                <w:rFonts w:ascii="Times New Roman" w:cs="Times New Roman" w:eastAsia="Times New Roman" w:hAnsi="Times New Roman"/>
                <w:sz w:val="18"/>
                <w:szCs w:val="18"/>
                <w:color w:val="auto"/>
              </w:rPr>
              <w:t>49</w:t>
            </w:r>
          </w:p>
        </w:tc>
        <w:tc>
          <w:tcPr>
            <w:tcW w:w="2580" w:type="dxa"/>
            <w:vAlign w:val="bottom"/>
          </w:tcPr>
          <w:p>
            <w:pPr>
              <w:spacing w:after="0"/>
              <w:rPr>
                <w:sz w:val="24"/>
                <w:szCs w:val="24"/>
                <w:color w:val="auto"/>
              </w:rPr>
            </w:pPr>
          </w:p>
        </w:tc>
      </w:tr>
      <w:tr>
        <w:trPr>
          <w:trHeight w:val="547"/>
        </w:trPr>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First Busey is a $12.6 billion financial holding company headquartered in Champaign, Illinois. Our common stock is traded on The Nasdaq Global Select Market under the symbol “BUSE.”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three operating segments provide a full range of banking, payment technology solutions, and wealth management services through our subsidiaries, Busey Bank and FirsTech, in Illinois; the St. Louis, Missouri metropolitan area; southwest Florida; and Indianapolis, Indiana.</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are intended to assist readers in understanding First Busey’s financial condition and results of operations during the three months ended March 31, 2022, and should be read in conjunction with our unaudited consolidated financial statements and notes thereto included in this Quarterly Report, as well as our 2021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Operating performance metrics presented in the table below have been derived from information used by management to monitor and manage the financial performance of the Company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51"/>
        </w:trPr>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720" w:type="dxa"/>
            <w:vAlign w:val="bottom"/>
          </w:tcPr>
          <w:p>
            <w:pPr>
              <w:jc w:val="right"/>
              <w:ind w:right="13"/>
              <w:spacing w:after="0" w:line="151"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80" w:type="dxa"/>
            <w:vAlign w:val="bottom"/>
          </w:tcPr>
          <w:p>
            <w:pPr>
              <w:spacing w:after="0"/>
              <w:rPr>
                <w:sz w:val="13"/>
                <w:szCs w:val="13"/>
                <w:color w:val="auto"/>
              </w:rPr>
            </w:pPr>
          </w:p>
        </w:tc>
      </w:tr>
      <w:tr>
        <w:trPr>
          <w:trHeight w:val="195"/>
        </w:trPr>
        <w:tc>
          <w:tcPr>
            <w:tcW w:w="8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6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r>
      <w:tr>
        <w:trPr>
          <w:trHeight w:val="214"/>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w:t>
            </w:r>
          </w:p>
        </w:tc>
        <w:tc>
          <w:tcPr>
            <w:tcW w:w="180" w:type="dxa"/>
            <w:vAlign w:val="bottom"/>
            <w:shd w:val="clear" w:color="auto" w:fill="CCEEFF"/>
          </w:tcPr>
          <w:p>
            <w:pPr>
              <w:spacing w:after="0"/>
              <w:rPr>
                <w:sz w:val="18"/>
                <w:szCs w:val="18"/>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98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Net income </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18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tcPr>
          <w:p>
            <w:pPr>
              <w:spacing w:after="0"/>
              <w:rPr>
                <w:sz w:val="18"/>
                <w:szCs w:val="18"/>
                <w:color w:val="auto"/>
              </w:rPr>
            </w:pPr>
          </w:p>
        </w:tc>
      </w:tr>
      <w:tr>
        <w:trPr>
          <w:trHeight w:val="21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98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Diluted earnings per common share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98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Return on average assets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r>
      <w:tr>
        <w:trPr>
          <w:trHeight w:val="23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98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assets </w:t>
            </w:r>
            <w:r>
              <w:rPr>
                <w:rFonts w:ascii="Times New Roman" w:cs="Times New Roman" w:eastAsia="Times New Roman" w:hAnsi="Times New Roman"/>
                <w:sz w:val="26"/>
                <w:szCs w:val="26"/>
                <w:color w:val="auto"/>
                <w:vertAlign w:val="superscript"/>
              </w:rPr>
              <w:t>(1), (2)</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r>
      <w:tr>
        <w:trPr>
          <w:trHeight w:val="216"/>
        </w:trPr>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98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Return on average tangible common equity </w:t>
            </w:r>
            <w:r>
              <w:rPr>
                <w:rFonts w:ascii="Times New Roman" w:cs="Times New Roman" w:eastAsia="Times New Roman" w:hAnsi="Times New Roman"/>
                <w:sz w:val="25"/>
                <w:szCs w:val="25"/>
                <w:color w:val="auto"/>
                <w:vertAlign w:val="superscript"/>
              </w:rPr>
              <w:t>(1), (2)</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12.72 %</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12.49 %</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16.80 %</w:t>
            </w:r>
          </w:p>
        </w:tc>
      </w:tr>
      <w:tr>
        <w:trPr>
          <w:trHeight w:val="21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98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Return on average tangible common equity </w:t>
            </w:r>
            <w:r>
              <w:rPr>
                <w:rFonts w:ascii="Times New Roman" w:cs="Times New Roman" w:eastAsia="Times New Roman" w:hAnsi="Times New Roman"/>
                <w:sz w:val="25"/>
                <w:szCs w:val="25"/>
                <w:color w:val="auto"/>
                <w:vertAlign w:val="superscript"/>
              </w:rPr>
              <w:t>(1), (2)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13.02 %</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14.30 %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16.91 %</w:t>
            </w:r>
          </w:p>
        </w:tc>
      </w:tr>
      <w:tr>
        <w:trPr>
          <w:trHeight w:val="216"/>
        </w:trPr>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98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Pre-provision net revenue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w:t>
            </w:r>
          </w:p>
        </w:tc>
        <w:tc>
          <w:tcPr>
            <w:tcW w:w="180" w:type="dxa"/>
            <w:vAlign w:val="bottom"/>
            <w:shd w:val="clear" w:color="auto" w:fill="CCEEFF"/>
          </w:tcPr>
          <w:p>
            <w:pPr>
              <w:spacing w:after="0"/>
              <w:rPr>
                <w:sz w:val="18"/>
                <w:szCs w:val="18"/>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98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Pre-provision net revenue </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39,354</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42,753</w:t>
            </w:r>
          </w:p>
        </w:tc>
        <w:tc>
          <w:tcPr>
            <w:tcW w:w="18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98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Pre-provision net revenue to average assets </w:t>
            </w:r>
            <w:r>
              <w:rPr>
                <w:rFonts w:ascii="Times New Roman" w:cs="Times New Roman" w:eastAsia="Times New Roman" w:hAnsi="Times New Roman"/>
                <w:sz w:val="25"/>
                <w:szCs w:val="25"/>
                <w:color w:val="auto"/>
                <w:vertAlign w:val="superscript"/>
              </w:rPr>
              <w:t>(1), (2)</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1.54 %</w:t>
            </w:r>
          </w:p>
        </w:tc>
      </w:tr>
      <w:tr>
        <w:trPr>
          <w:trHeight w:val="21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98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Pre-provision net revenue to average assets </w:t>
            </w:r>
            <w:r>
              <w:rPr>
                <w:rFonts w:ascii="Times New Roman" w:cs="Times New Roman" w:eastAsia="Times New Roman" w:hAnsi="Times New Roman"/>
                <w:sz w:val="25"/>
                <w:szCs w:val="25"/>
                <w:color w:val="auto"/>
                <w:vertAlign w:val="superscript"/>
              </w:rPr>
              <w:t>(1), (2)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1.64 %</w:t>
            </w:r>
          </w:p>
        </w:tc>
      </w:tr>
      <w:tr>
        <w:trPr>
          <w:trHeight w:val="108"/>
        </w:trPr>
        <w:tc>
          <w:tcPr>
            <w:tcW w:w="8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72" w:lineRule="exact"/>
        <w:rPr>
          <w:sz w:val="20"/>
          <w:szCs w:val="20"/>
          <w:color w:val="auto"/>
        </w:rPr>
      </w:pPr>
    </w:p>
    <w:p>
      <w:pPr>
        <w:ind w:left="480" w:right="79" w:hanging="322"/>
        <w:spacing w:after="0" w:line="262" w:lineRule="auto"/>
        <w:tabs>
          <w:tab w:leader="none" w:pos="4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non-GAAP financial measure. For a reconciliation of non-GAAP measures to the most directly comparable GAAP financial measures, see “</w:t>
      </w:r>
      <w:r>
        <w:rPr>
          <w:rFonts w:ascii="Times New Roman" w:cs="Times New Roman" w:eastAsia="Times New Roman" w:hAnsi="Times New Roman"/>
          <w:sz w:val="14"/>
          <w:szCs w:val="14"/>
          <w:i w:val="1"/>
          <w:iCs w:val="1"/>
          <w:u w:val="single" w:color="auto"/>
          <w:color w:val="0000EE"/>
        </w:rPr>
        <w:t>Item 2. Management’s Discussion and Analysis</w:t>
      </w:r>
      <w:r>
        <w:rPr>
          <w:rFonts w:ascii="Verdana" w:cs="Verdana" w:eastAsia="Verdana" w:hAnsi="Verdana"/>
          <w:sz w:val="14"/>
          <w:szCs w:val="14"/>
          <w:i w:val="1"/>
          <w:iCs w:val="1"/>
          <w:u w:val="single" w:color="auto"/>
          <w:color w:val="0000EE"/>
        </w:rPr>
        <w:t>—</w:t>
      </w:r>
      <w:r>
        <w:rPr>
          <w:rFonts w:ascii="Times New Roman" w:cs="Times New Roman" w:eastAsia="Times New Roman" w:hAnsi="Times New Roman"/>
          <w:sz w:val="14"/>
          <w:szCs w:val="14"/>
          <w:i w:val="1"/>
          <w:iCs w:val="1"/>
          <w:u w:val="single" w:color="auto"/>
          <w:color w:val="0000EE"/>
        </w:rPr>
        <w:t>Non-GAAP Financial Information</w:t>
      </w:r>
      <w:r>
        <w:rPr>
          <w:rFonts w:ascii="Times New Roman" w:cs="Times New Roman" w:eastAsia="Times New Roman" w:hAnsi="Times New Roman"/>
          <w:sz w:val="14"/>
          <w:szCs w:val="14"/>
          <w:color w:val="auto"/>
        </w:rPr>
        <w:t>” included in this Quarterly Report.</w:t>
      </w:r>
    </w:p>
    <w:p>
      <w:pPr>
        <w:spacing w:after="0" w:line="1" w:lineRule="exact"/>
        <w:rPr>
          <w:rFonts w:ascii="Times New Roman" w:cs="Times New Roman" w:eastAsia="Times New Roman" w:hAnsi="Times New Roman"/>
          <w:sz w:val="13"/>
          <w:szCs w:val="13"/>
          <w:color w:val="auto"/>
        </w:rPr>
      </w:pPr>
    </w:p>
    <w:p>
      <w:pPr>
        <w:ind w:left="480" w:hanging="322"/>
        <w:spacing w:after="0"/>
        <w:tabs>
          <w:tab w:leader="none" w:pos="4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Annualized measure.</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May 31, 2021, First Busey completed its acquisition of CAC, the holding company for GSB. GSB was operated as a separate banking subsidiary from June 1, 2021, until August 14, 2021, when it was merged with and into Busey Bank. At that time GSB’s banking centers became banking centers of Busey Bank. Upon completion of the GSB acquisition, we reset the baseline for the future financial performance of First Busey in a multitude of positive ways.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 and Non-GAAP Measures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 xml:space="preserve">First Busey views certain non-operating items, including acquisition-related and restructuring charges, as adjustments to net income reported under GAAP. Non-operating pre-tax adjustments for the three months ended March 31, 2022, included $0.8 million of expenses related to acquisitions. A reconciliation of non-GAAP measures—including pre-provision net revenue, adjusted pre-provision net revenue, pre-provision net revenue to average assets, adjusted pre-provision net revenue to average assets, adjusted net income, adjusted diluted earnings per share, adjusted return on average assets, return on average tangible common equity, adjusted return on average tangible common equity, adjusted net interest income, adjusted net interest margin, adjusted noninterest expense, adjusted core expense, efficiency ratio, adjusted efficiency ratio, adjusted core efficiency ratio, tangible book value per common share, tangible common equity, tangible common equity to tangible assets, core loans, core loans to portfolio loans, core deposits, core deposits to total deposits, and core loans to core deposits—which First Busey believes facilitates the assessment of its financial results and peer comparability, is included in tabular form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EE"/>
        </w:rPr>
        <w:t>Item 2. Management’s Discussion and Analysis—Non-GAAP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Information</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included in this Quarterly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Banking Center Markets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serve the Illinois banking market with 46 Busey Bank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Ten of our banking centers in Illinois are located within the Chicago Metropolitan Statistical Area, and 12 of our banking centers in Illinois are located within the St. Louis Metropolitan Statistical Area.</w:t>
      </w:r>
    </w:p>
    <w:p>
      <w:pPr>
        <w:spacing w:after="0" w:line="17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Busey Bank has eight banking centers in Missouri, all within the St. Louis Metropolitan Statistical Area.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Busey Bank has three banking centers in southwest Florida, an area which has experienced strong population growth, job growth, and an expanded housing market over the last several years.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Busey Bank has one banking center in the Indianapolis, Indiana area, which is the most populous city of Indiana with a diverse economy, including the headquarters of many large corporations.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1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assets with tax favorable treatment are evaluated on a tax-equivalent basis. Tax-equivalent basis assumes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Consolidated Average Balance Sheets and Interest Rates (Unaudited)</w:t>
      </w:r>
    </w:p>
    <w:p>
      <w:pPr>
        <w:spacing w:after="0" w:line="22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show our unaudited Consolidated Average Balance Sheets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 and details the major categories of assets and liabilities, the interest income earned on interest-earning assets, the interest expense paid for interest-bearing liabilities, and the related interest yields for the periods shown. All average information is provided on a daily average basis.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74"/>
        </w:trPr>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4"/>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72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Income/</w:t>
            </w:r>
          </w:p>
        </w:tc>
        <w:tc>
          <w:tcPr>
            <w:tcW w:w="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Yield/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74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Income/</w:t>
            </w:r>
          </w:p>
        </w:tc>
        <w:tc>
          <w:tcPr>
            <w:tcW w:w="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2"/>
                <w:szCs w:val="12"/>
                <w:color w:val="auto"/>
              </w:rPr>
            </w:pPr>
          </w:p>
        </w:tc>
      </w:tr>
      <w:tr>
        <w:trPr>
          <w:trHeight w:val="200"/>
        </w:trPr>
        <w:tc>
          <w:tcPr>
            <w:tcW w:w="2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80" w:type="dxa"/>
            <w:vAlign w:val="bottom"/>
          </w:tcPr>
          <w:p>
            <w:pPr>
              <w:jc w:val="center"/>
              <w:spacing w:after="0" w:line="200" w:lineRule="exact"/>
              <w:rPr>
                <w:sz w:val="20"/>
                <w:szCs w:val="20"/>
                <w:color w:val="auto"/>
              </w:rPr>
            </w:pPr>
            <w:r>
              <w:rPr>
                <w:rFonts w:ascii="Times New Roman" w:cs="Times New Roman" w:eastAsia="Times New Roman" w:hAnsi="Times New Roman"/>
                <w:sz w:val="14"/>
                <w:szCs w:val="14"/>
                <w:b w:val="1"/>
                <w:bCs w:val="1"/>
                <w:color w:val="auto"/>
                <w:w w:val="93"/>
              </w:rPr>
              <w:t xml:space="preserve">Rate </w:t>
            </w:r>
            <w:r>
              <w:rPr>
                <w:rFonts w:ascii="Times New Roman" w:cs="Times New Roman" w:eastAsia="Times New Roman" w:hAnsi="Times New Roman"/>
                <w:sz w:val="21"/>
                <w:szCs w:val="21"/>
                <w:b w:val="1"/>
                <w:bCs w:val="1"/>
                <w:color w:val="auto"/>
                <w:w w:val="93"/>
                <w:vertAlign w:val="superscript"/>
              </w:rPr>
              <w:t>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80" w:type="dxa"/>
            <w:vAlign w:val="bottom"/>
          </w:tcPr>
          <w:p>
            <w:pPr>
              <w:jc w:val="center"/>
              <w:spacing w:after="0" w:line="200" w:lineRule="exact"/>
              <w:rPr>
                <w:sz w:val="20"/>
                <w:szCs w:val="20"/>
                <w:color w:val="auto"/>
              </w:rPr>
            </w:pPr>
            <w:r>
              <w:rPr>
                <w:rFonts w:ascii="Times New Roman" w:cs="Times New Roman" w:eastAsia="Times New Roman" w:hAnsi="Times New Roman"/>
                <w:sz w:val="14"/>
                <w:szCs w:val="14"/>
                <w:b w:val="1"/>
                <w:bCs w:val="1"/>
                <w:color w:val="auto"/>
                <w:w w:val="93"/>
              </w:rPr>
              <w:t xml:space="preserve">Rate </w:t>
            </w:r>
            <w:r>
              <w:rPr>
                <w:rFonts w:ascii="Times New Roman" w:cs="Times New Roman" w:eastAsia="Times New Roman" w:hAnsi="Times New Roman"/>
                <w:sz w:val="21"/>
                <w:szCs w:val="21"/>
                <w:b w:val="1"/>
                <w:bCs w:val="1"/>
                <w:color w:val="auto"/>
                <w:w w:val="93"/>
                <w:vertAlign w:val="superscript"/>
              </w:rPr>
              <w:t>5</w:t>
            </w:r>
          </w:p>
        </w:tc>
        <w:tc>
          <w:tcPr>
            <w:tcW w:w="220" w:type="dxa"/>
            <w:vAlign w:val="bottom"/>
          </w:tcPr>
          <w:p>
            <w:pPr>
              <w:spacing w:after="0"/>
              <w:rPr>
                <w:sz w:val="17"/>
                <w:szCs w:val="17"/>
                <w:color w:val="auto"/>
              </w:rPr>
            </w:pPr>
          </w:p>
        </w:tc>
      </w:tr>
      <w:tr>
        <w:trPr>
          <w:trHeight w:val="169"/>
        </w:trPr>
        <w:tc>
          <w:tcPr>
            <w:tcW w:w="4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r>
      <w:tr>
        <w:trPr>
          <w:trHeight w:val="17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Interest-bearing bank deposits and federal funds sold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560,824</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0.20</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422,577</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0.14</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76"/>
        </w:trPr>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obligations</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197,590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0.59</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0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4"/>
                <w:szCs w:val="14"/>
                <w:color w:val="auto"/>
              </w:rPr>
              <w:t xml:space="preserve">Obligations of states and political subdivisions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296,023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2.69</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securities</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3,470,430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12,951</w:t>
            </w:r>
          </w:p>
        </w:tc>
        <w:tc>
          <w:tcPr>
            <w:tcW w:w="1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1.51</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2,171,654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7,437</w:t>
            </w:r>
          </w:p>
        </w:tc>
        <w:tc>
          <w:tcPr>
            <w:tcW w:w="1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held for sale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2.82</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00" w:type="dxa"/>
            <w:vAlign w:val="bottom"/>
            <w:tcBorders>
              <w:bottom w:val="single" w:sz="8" w:color="CCEEFF"/>
            </w:tcBorders>
            <w:gridSpan w:val="2"/>
          </w:tcPr>
          <w:p>
            <w:pPr>
              <w:ind w:left="220"/>
              <w:spacing w:after="0" w:line="176" w:lineRule="exact"/>
              <w:rPr>
                <w:sz w:val="20"/>
                <w:szCs w:val="20"/>
                <w:color w:val="auto"/>
              </w:rPr>
            </w:pPr>
            <w:r>
              <w:rPr>
                <w:rFonts w:ascii="Times New Roman" w:cs="Times New Roman" w:eastAsia="Times New Roman" w:hAnsi="Times New Roman"/>
                <w:sz w:val="14"/>
                <w:szCs w:val="14"/>
                <w:color w:val="auto"/>
              </w:rPr>
              <w:t xml:space="preserve">Portfolio loans </w:t>
            </w:r>
            <w:r>
              <w:rPr>
                <w:rFonts w:ascii="Times New Roman" w:cs="Times New Roman" w:eastAsia="Times New Roman" w:hAnsi="Times New Roman"/>
                <w:sz w:val="20"/>
                <w:szCs w:val="20"/>
                <w:color w:val="auto"/>
                <w:vertAlign w:val="superscript"/>
              </w:rPr>
              <w:t>(1), (2)</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7,160,837</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61,123</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3.46</w:t>
            </w:r>
          </w:p>
        </w:tc>
        <w:tc>
          <w:tcPr>
            <w:tcW w:w="340" w:type="dxa"/>
            <w:vAlign w:val="bottom"/>
            <w:tcBorders>
              <w:bottom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6,736,664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62,742</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3.78</w:t>
            </w:r>
          </w:p>
        </w:tc>
        <w:tc>
          <w:tcPr>
            <w:tcW w:w="22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10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3"/>
                <w:szCs w:val="13"/>
                <w:color w:val="auto"/>
              </w:rPr>
              <w:t xml:space="preserve">Total interest-earning assets </w:t>
            </w:r>
            <w:r>
              <w:rPr>
                <w:rFonts w:ascii="Times New Roman" w:cs="Times New Roman" w:eastAsia="Times New Roman" w:hAnsi="Times New Roman"/>
                <w:sz w:val="19"/>
                <w:szCs w:val="19"/>
                <w:color w:val="auto"/>
                <w:vertAlign w:val="superscript"/>
              </w:rPr>
              <w:t>(1), (3)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11,703,947</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76,637</w:t>
            </w: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2.66</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9,752,294</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72,932</w:t>
            </w:r>
          </w:p>
        </w:tc>
        <w:tc>
          <w:tcPr>
            <w:tcW w:w="1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3.03</w:t>
            </w: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126,631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7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Premises and equipment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135,377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(88,454)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(102,322)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75"/>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783,438</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695,823</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r>
      <w:tr>
        <w:trPr>
          <w:trHeight w:val="169"/>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12,660,939</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10,594,245</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7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Interest-bearing transaction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2,680,333</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0.06</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2,310,402</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money market deposits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3,429,909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2,655,559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0.10</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917,244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0.53</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1,067,652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0.98</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funds purchased and repurchase agreements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271,095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0.09</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184,694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0.13</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4.56</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231,406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subordinated debt issued to unconsolidated trusts</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3.70</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7,654,661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0.32</w:t>
            </w:r>
          </w:p>
        </w:tc>
        <w:tc>
          <w:tcPr>
            <w:tcW w:w="340" w:type="dxa"/>
            <w:vAlign w:val="bottom"/>
            <w:tcBorders>
              <w:bottom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6,521,195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0.46</w:t>
            </w:r>
          </w:p>
        </w:tc>
        <w:tc>
          <w:tcPr>
            <w:tcW w:w="22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22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215"/>
        </w:trPr>
        <w:tc>
          <w:tcPr>
            <w:tcW w:w="4100" w:type="dxa"/>
            <w:vAlign w:val="bottom"/>
            <w:tcBorders>
              <w:bottom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Net interest spread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2.34</w:t>
            </w:r>
          </w:p>
        </w:tc>
        <w:tc>
          <w:tcPr>
            <w:tcW w:w="340" w:type="dxa"/>
            <w:vAlign w:val="bottom"/>
            <w:tcBorders>
              <w:bottom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2.57</w:t>
            </w:r>
          </w:p>
        </w:tc>
        <w:tc>
          <w:tcPr>
            <w:tcW w:w="22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22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7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3,589,952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2,688,845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134,791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108,511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75"/>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1,281,535</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1,275,694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r>
      <w:tr>
        <w:trPr>
          <w:trHeight w:val="169"/>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12,660,939</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10,594,245</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5"/>
        </w:trPr>
        <w:tc>
          <w:tcPr>
            <w:tcW w:w="4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Interest income / earning assets </w:t>
            </w:r>
            <w:r>
              <w:rPr>
                <w:rFonts w:ascii="Times New Roman" w:cs="Times New Roman" w:eastAsia="Times New Roman" w:hAnsi="Times New Roman"/>
                <w:sz w:val="20"/>
                <w:szCs w:val="20"/>
                <w:color w:val="auto"/>
                <w:vertAlign w:val="superscript"/>
              </w:rPr>
              <w:t>(1),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11,703,947</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76,637</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2.66</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9,752,294</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72,932</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3.03</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 earning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11,703,947</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1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0.21</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9,752,294</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7,438</w:t>
            </w:r>
          </w:p>
        </w:tc>
        <w:tc>
          <w:tcPr>
            <w:tcW w:w="1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100" w:type="dxa"/>
            <w:vAlign w:val="bottom"/>
            <w:tcBorders>
              <w:top w:val="single" w:sz="8" w:color="CCEEFF"/>
              <w:bottom w:val="single" w:sz="8" w:color="CCEEFF"/>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9"/>
                <w:szCs w:val="19"/>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70,602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2.45</w:t>
            </w:r>
          </w:p>
        </w:tc>
        <w:tc>
          <w:tcPr>
            <w:tcW w:w="340" w:type="dxa"/>
            <w:vAlign w:val="bottom"/>
            <w:tcBorders>
              <w:top w:val="single" w:sz="8" w:color="CCEEFF"/>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2.72</w:t>
            </w:r>
          </w:p>
        </w:tc>
        <w:tc>
          <w:tcPr>
            <w:tcW w:w="22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58" w:lineRule="exact"/>
        <w:rPr>
          <w:sz w:val="20"/>
          <w:szCs w:val="20"/>
          <w:color w:val="auto"/>
        </w:rPr>
      </w:pPr>
    </w:p>
    <w:p>
      <w:pPr>
        <w:ind w:left="480" w:hanging="322"/>
        <w:spacing w:after="0"/>
        <w:tabs>
          <w:tab w:leader="none" w:pos="4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On a tax-equivalent basis and assuming a federal income tax rate of 21.0%.</w:t>
      </w:r>
    </w:p>
    <w:p>
      <w:pPr>
        <w:spacing w:after="0" w:line="27" w:lineRule="exact"/>
        <w:rPr>
          <w:rFonts w:ascii="Times New Roman" w:cs="Times New Roman" w:eastAsia="Times New Roman" w:hAnsi="Times New Roman"/>
          <w:sz w:val="11"/>
          <w:szCs w:val="11"/>
          <w:color w:val="auto"/>
        </w:rPr>
      </w:pPr>
    </w:p>
    <w:p>
      <w:pPr>
        <w:ind w:left="480" w:hanging="322"/>
        <w:spacing w:after="0"/>
        <w:tabs>
          <w:tab w:leader="none" w:pos="4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Non-accrual loans have been included in average portfolio loans.</w:t>
      </w:r>
    </w:p>
    <w:p>
      <w:pPr>
        <w:spacing w:after="0" w:line="14" w:lineRule="exact"/>
        <w:rPr>
          <w:rFonts w:ascii="Times New Roman" w:cs="Times New Roman" w:eastAsia="Times New Roman" w:hAnsi="Times New Roman"/>
          <w:sz w:val="11"/>
          <w:szCs w:val="11"/>
          <w:color w:val="auto"/>
        </w:rPr>
      </w:pPr>
    </w:p>
    <w:p>
      <w:pPr>
        <w:ind w:left="480" w:hanging="322"/>
        <w:spacing w:after="0"/>
        <w:tabs>
          <w:tab w:leader="none" w:pos="4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Interest income includes a tax-equivalent adjustment of $0.5 million and $0.6 million for the three months ended March 31, 2022 and 2021.</w:t>
      </w:r>
    </w:p>
    <w:p>
      <w:pPr>
        <w:spacing w:after="0" w:line="14" w:lineRule="exact"/>
        <w:rPr>
          <w:rFonts w:ascii="Times New Roman" w:cs="Times New Roman" w:eastAsia="Times New Roman" w:hAnsi="Times New Roman"/>
          <w:sz w:val="11"/>
          <w:szCs w:val="11"/>
          <w:color w:val="auto"/>
        </w:rPr>
      </w:pPr>
    </w:p>
    <w:p>
      <w:pPr>
        <w:ind w:left="480" w:hanging="322"/>
        <w:spacing w:after="0"/>
        <w:tabs>
          <w:tab w:leader="none" w:pos="4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short-term and long-term borrowings. Interest expense includes a non-usage fee on a revolving loan.</w:t>
      </w:r>
    </w:p>
    <w:p>
      <w:pPr>
        <w:spacing w:after="0" w:line="14" w:lineRule="exact"/>
        <w:rPr>
          <w:rFonts w:ascii="Times New Roman" w:cs="Times New Roman" w:eastAsia="Times New Roman" w:hAnsi="Times New Roman"/>
          <w:sz w:val="11"/>
          <w:szCs w:val="11"/>
          <w:color w:val="auto"/>
        </w:rPr>
      </w:pPr>
    </w:p>
    <w:p>
      <w:pPr>
        <w:ind w:left="480" w:hanging="322"/>
        <w:spacing w:after="0"/>
        <w:tabs>
          <w:tab w:leader="none" w:pos="4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Notable changes are summarized as follows for the periods presented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620" w:type="dxa"/>
            <w:vAlign w:val="bottom"/>
          </w:tcPr>
          <w:p>
            <w:pPr>
              <w:spacing w:after="0"/>
              <w:rPr>
                <w:sz w:val="16"/>
                <w:szCs w:val="16"/>
                <w:color w:val="auto"/>
              </w:rPr>
            </w:pPr>
          </w:p>
        </w:tc>
        <w:tc>
          <w:tcPr>
            <w:tcW w:w="2340" w:type="dxa"/>
            <w:vAlign w:val="bottom"/>
            <w:gridSpan w:val="10"/>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06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interest-earning assets</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$ 11,703,947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9,752,294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1,951,653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7,654,661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6,521,195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1,133,466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noninterest-bearing deposits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3,589,952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average deposits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10,617,438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8,722,458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average liabilities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11,379,404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9,318,551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2,060,853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Average noninterest-bearing deposits as a percent of total</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deposits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average deposits as a percent of total average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11"/>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Interest income, on a tax-equivalent basis </w:t>
            </w:r>
            <w:r>
              <w:rPr>
                <w:rFonts w:ascii="Times New Roman" w:cs="Times New Roman" w:eastAsia="Times New Roman" w:hAnsi="Times New Roman"/>
                <w:sz w:val="25"/>
                <w:szCs w:val="25"/>
                <w:color w:val="auto"/>
                <w:vertAlign w:val="superscript"/>
              </w:rPr>
              <w:t>(1)</w:t>
            </w:r>
          </w:p>
        </w:tc>
        <w:tc>
          <w:tcPr>
            <w:tcW w:w="5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76,637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72,932</w:t>
            </w:r>
          </w:p>
        </w:tc>
        <w:tc>
          <w:tcPr>
            <w:tcW w:w="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(1,403)</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Net interest income, on a tax-equivalent basis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70,602</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6"/>
                <w:szCs w:val="26"/>
                <w:color w:val="auto"/>
                <w:vertAlign w:val="superscript"/>
              </w:rPr>
              <w:t>(1), (2)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24"/>
                <w:szCs w:val="24"/>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5" w:lineRule="exact"/>
        <w:rPr>
          <w:sz w:val="20"/>
          <w:szCs w:val="20"/>
          <w:color w:val="auto"/>
        </w:rPr>
      </w:pPr>
    </w:p>
    <w:p>
      <w:pPr>
        <w:ind w:left="480" w:hanging="322"/>
        <w:spacing w:after="0"/>
        <w:tabs>
          <w:tab w:leader="none" w:pos="4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Assuming a federal income tax rate of 21.0%.</w:t>
      </w:r>
    </w:p>
    <w:p>
      <w:pPr>
        <w:spacing w:after="0" w:line="27" w:lineRule="exact"/>
        <w:rPr>
          <w:rFonts w:ascii="Times New Roman" w:cs="Times New Roman" w:eastAsia="Times New Roman" w:hAnsi="Times New Roman"/>
          <w:sz w:val="13"/>
          <w:szCs w:val="13"/>
          <w:color w:val="auto"/>
        </w:rPr>
      </w:pPr>
    </w:p>
    <w:p>
      <w:pPr>
        <w:ind w:left="480" w:hanging="322"/>
        <w:spacing w:after="0"/>
        <w:tabs>
          <w:tab w:leader="none" w:pos="4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Net interest income expressed as a percentage of average earning assets, stated on a tax-equivalent basis.</w:t>
      </w:r>
    </w:p>
    <w:p>
      <w:pPr>
        <w:spacing w:after="0" w:line="222" w:lineRule="exact"/>
        <w:rPr>
          <w:sz w:val="20"/>
          <w:szCs w:val="20"/>
          <w:color w:val="auto"/>
        </w:rPr>
      </w:pPr>
    </w:p>
    <w:p>
      <w:pPr>
        <w:jc w:val="both"/>
        <w:ind w:left="60" w:right="59"/>
        <w:spacing w:after="0" w:line="218" w:lineRule="auto"/>
        <w:rPr>
          <w:sz w:val="20"/>
          <w:szCs w:val="20"/>
          <w:color w:val="auto"/>
        </w:rPr>
      </w:pPr>
      <w:r>
        <w:rPr>
          <w:rFonts w:ascii="Times New Roman" w:cs="Times New Roman" w:eastAsia="Times New Roman" w:hAnsi="Times New Roman"/>
          <w:sz w:val="18"/>
          <w:szCs w:val="18"/>
          <w:color w:val="auto"/>
        </w:rPr>
        <w:t>The FOMC raised rates during the first quarter of 2022, for the first time in three years, which is expected to have a positive impact on net interest margin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assets, in particular commercial loans, reprice more quickly and to a greater extent than liabilities. Given the timing of the FOMC meeting in March, the benefit of the associated movement in rates to our net interest margin will be largely realized in subsequent quarters. In general, net interest margins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have been impacted over the last two years by a persistent low rate environment, PPP loans, significant growth in the Company’s liquidity position, and the Company’s issuance of debt.</w:t>
      </w:r>
    </w:p>
    <w:p>
      <w:pPr>
        <w:spacing w:after="0" w:line="195" w:lineRule="exact"/>
        <w:rPr>
          <w:sz w:val="20"/>
          <w:szCs w:val="20"/>
          <w:color w:val="auto"/>
        </w:rPr>
      </w:pPr>
    </w:p>
    <w:p>
      <w:pPr>
        <w:jc w:val="both"/>
        <w:ind w:left="60" w:right="59"/>
        <w:spacing w:after="0" w:line="222" w:lineRule="auto"/>
        <w:rPr>
          <w:sz w:val="20"/>
          <w:szCs w:val="20"/>
          <w:color w:val="auto"/>
        </w:rPr>
      </w:pPr>
      <w:r>
        <w:rPr>
          <w:rFonts w:ascii="Times New Roman" w:cs="Times New Roman" w:eastAsia="Times New Roman" w:hAnsi="Times New Roman"/>
          <w:sz w:val="18"/>
          <w:szCs w:val="18"/>
          <w:color w:val="auto"/>
        </w:rPr>
        <w:t>First Busey remains substantially core deposit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funded, with robust liquidity and significant market share in the communities we serve. As of March 31, 2022, our loan to deposit ratio was 68.7% and core deposits represented 98.7% of total deposits.</w:t>
      </w:r>
    </w:p>
    <w:p>
      <w:pPr>
        <w:spacing w:after="0" w:line="19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Net interest spread, which represents the difference between the average rate earned on earning assets and the average rate paid on interest-bearing liabilities, was 2.34% for the three months ended March 31, 2022, compared to 2.57% for the three months ended March 31, 2021, each on a tax-equivalent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294640</wp:posOffset>
            </wp:positionV>
            <wp:extent cx="14141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both"/>
        <w:ind w:left="60" w:right="519" w:hanging="10"/>
        <w:spacing w:after="0" w:line="225" w:lineRule="auto"/>
        <w:tabs>
          <w:tab w:leader="none" w:pos="222"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Net interest margin and core deposits are non-GAAP financial measures. For a reconciliation of these non-GAAP measures to the most directly comparable GAAP financial measures,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0000EE"/>
        </w:rPr>
        <w:t>Item 2. Management’s Discussion and Analysis—Non-GAAP Financial Information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included in this Quarterly Report.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net interest margin discussion above is based upon the results and average balances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and 2021. Annualized net interest margins for the quarterly periods indicated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6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r>
    </w:tbl>
    <w:p>
      <w:pPr>
        <w:spacing w:after="0" w:line="17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Management attempts to mitigate the effects of an unpredictable interest-rate environment through effective portfolio management, prudent loan underwriting, and operational efficiencies. For a description of accounting policies underlying the recognition of interest income and expense, refer to the Notes to Consolidated Financial Statements in the Company’s 2021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Changes in noninterest income are summarized as follows for the periods presented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Wealth management fees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 for customer services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technology solutions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(1,691)</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on bank owned life insurance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net gains (losses) on securities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324.0 %</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gains (losses) recognized on equity securities</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411.2 %</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Total noninterest income was $35.8 million for the three months ended March 31, 2022, a 13.8% increase from the comparable period in 2021. Revenues from wealth management fees and payment technology solutions represented 58.3% of the Company’s noninterest income for the three months ended March 31, 2022, providing a complement to spread-based revenue from traditional banking activities. On a combined basis, revenue from these two critical operating areas was $20.9 million for the three months ended March 31, 2022, a 21.2% increase from the comparable period in 2021.</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Wealth management fees were $15.8 million for the three months ended March 31, 2022, a 25.4% increase from the comparable period for 2021. First Busey’s Wealth Management division ended the first quarter of 2022 with $12.3 billion in assets under care, compared to $12.7 billion as of December 31, 2021, a 3.2% decrease principally due to a reduction in market valuations.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Fees for customer services were $8.9 million for the three months ended March 31, 2022, a 10.8% increase from the comparable period in 2021.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Payment technology solutions revenue relates to our payment processing company, FirsTech. Payment technology solutions revenue was $5.1 million for the three months ended March 31, 2022, a 9.9% increase from the comparable period in 2021. FirsTech segment noninterest income was $5.4 million for the three months ended March 31, 2022, an increase of 11.5% from the comparable period of 2021. FirsTech operations add important diversity to our revenue stream while widening our array of service offerings to larger commercial clients both within our footprint and nationally. We are currently making strategic investments in FirsTech to enhance future growth including further upgrades to the product and engineering teams to build an Application Programming Interface (API) cloud-based platform to provide for fully integrated payment capabilities as well as the continued development of our Banking as a Service (BaaS) platform.</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Mortgage revenue was $1.0 million for the three months ended March 31, 2022, a 63.4% decrease from the comparable period in 2021, that resulted from declines in lower total volumes and sold-loan mortgage volume due to retaining a higher share of portfolio loan production, as well as lower gain on sale margins. General economic conditions and interest rate volatility may impact fees in future quarters.</w:t>
      </w:r>
    </w:p>
    <w:p>
      <w:pPr>
        <w:spacing w:after="0" w:line="16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Income on bank owned life insurance was $0.9 million for the three months ended March 31, 2022, an 8.3% decrease from the comparable period in 2021. The decrease was primarily the result of a decline in earnings on the cash surrender value of the policies.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income was $4.8 million for the three months ended March 31, 2022, a $3.8 million increase from the comparable period in 2021. Other income benefited from higher income recognized on venture capital investments and gains on disposal of fixed assets, partially offset by lower SBA loan sale gains recorded during the three months ended March 31, 2022.</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Changes in noninterest expense are summarized as follows for the periods presented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4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Data processing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occupancy expense of premises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Furniture and equipment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Interchange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70,376</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2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20.4 %</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Efficiency ratio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63.0 %</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Adjusted efficiency ratio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62.2 %</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Full-time equivalent employees as of period-end</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jc w:val="both"/>
        <w:ind w:left="480" w:right="79" w:hanging="322"/>
        <w:spacing w:after="0" w:line="274" w:lineRule="auto"/>
        <w:tabs>
          <w:tab w:leader="none" w:pos="48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The efficiency ratio and adjusted efficiency ratio are non-GAAP financial measures. For a reconciliation of these non-GAAP measures to the most directly comparable financial GAAP measures,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0000EE"/>
        </w:rPr>
        <w:t>Item 2. Management’s Discussion and Analysis</w:t>
      </w:r>
      <w:r>
        <w:rPr>
          <w:rFonts w:ascii="Verdana" w:cs="Verdana" w:eastAsia="Verdana" w:hAnsi="Verdana"/>
          <w:sz w:val="14"/>
          <w:szCs w:val="14"/>
          <w:i w:val="1"/>
          <w:iCs w:val="1"/>
          <w:u w:val="single" w:color="auto"/>
          <w:color w:val="0000EE"/>
        </w:rPr>
        <w:t>—</w:t>
      </w:r>
      <w:r>
        <w:rPr>
          <w:rFonts w:ascii="Times New Roman" w:cs="Times New Roman" w:eastAsia="Times New Roman" w:hAnsi="Times New Roman"/>
          <w:sz w:val="14"/>
          <w:szCs w:val="14"/>
          <w:i w:val="1"/>
          <w:iCs w:val="1"/>
          <w:u w:val="single" w:color="auto"/>
          <w:color w:val="0000EE"/>
        </w:rPr>
        <w:t>Non-GAAP Financial Information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Total noninterest expense was $70.4 million for the three months ended March 31, 2022, a 29.1% increase from the comparable period in 2021. Pre-tax non-operating acquisition related expenses contributed $0.8 million to total noninterest expense for the three months ended March 31, 2022, compared to $0.3 million for the comparable period in 2021.</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Salaries, wages, and employee benefits were $39.4 million for the three months ended March 31, 2022, a 29.5% increase from the comparable period in 2021. Non-operating expenses contributed $0.6 million of the increase for the three months ended March 31, 2022, over the comparable period in 2021. Salaries, wages, and employee benefit expenses were impacted by a 10.0% increase in full-time equivalents to 1,465 as of March 31, 2022, compared to 1,332 at March 31, 2021. Increases are attributable to the CAC acquisition in the second quarter of 2021, as well as the Company’s investments in its regional operating model, business line leadership, and risk management professionals. In addition, current labor market trends reflect a shrinking labor supply, while job growth reflects increasing demand for a skilled workforce, putting further upward pressure on salaries, wages, and employee benefits.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Data processing expense was $5.0 million for the three months ended March 31, 2022, a 16.3% increase from the comparable period in 2021. Acquisition related non-operating expenses contributed $0.2 million of the increase for the three months ended March 31, 2022.</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Combined, net occupancy expense of premises and furniture and equipment expense totaled $7.1 million for the three months ended March 31, 2022, a 7.7% increase from the comparable period in 2021. Increases are primarily attributable to higher maintenance costs related to snow removal, elevated utility costs, and increased real estate taxes.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Professional fees were $1.5 million for the three months ended March 31, 2022, a 22.5% decrease from the comparable period in 2021. Non-operating expenses contributed $0.3 of the decrease in professional fees for the three months ended March 31, 2022, compared to the three months ended March 31, 2021.</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was $3.0 million for the three months ended March 31, 2022, a 25.4% increase from the comparable period for 2021. The increase primarily related to intangible assets acquired in the acquisition of CAC during the second quarter of 2021.</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Interchange expense was $1.5 million for the three months ended March 31, 2022, a 4.1% increase from the comparable period in 2021. Fluctuations in interchange expense were primarily the result of increased payment and volume activity at FirsTech.</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Other expense was $12.9 million for the three months ended March 31, 2022, a $5.5 million increase from the comparable period in 2021. Increases were across multiple expense categories including $0.7 million in the provision for unfunded commitments, $0.7 million in NMTC amortization, $0.4 million in regulatory costs as we shift to the large institution assessment, $0.8 million in business development expenses, and $0.6 million impairment on OREO.</w:t>
      </w:r>
    </w:p>
    <w:p>
      <w:pPr>
        <w:spacing w:after="0" w:line="179" w:lineRule="exact"/>
        <w:rPr>
          <w:sz w:val="20"/>
          <w:szCs w:val="20"/>
          <w:color w:val="auto"/>
        </w:rPr>
      </w:pPr>
    </w:p>
    <w:p>
      <w:pPr>
        <w:jc w:val="both"/>
        <w:ind w:left="60" w:right="79"/>
        <w:spacing w:after="0" w:line="201" w:lineRule="auto"/>
        <w:rPr>
          <w:sz w:val="20"/>
          <w:szCs w:val="20"/>
          <w:color w:val="auto"/>
        </w:rPr>
      </w:pPr>
      <w:r>
        <w:rPr>
          <w:rFonts w:ascii="Times New Roman" w:cs="Times New Roman" w:eastAsia="Times New Roman" w:hAnsi="Times New Roman"/>
          <w:sz w:val="18"/>
          <w:szCs w:val="18"/>
          <w:color w:val="auto"/>
        </w:rPr>
        <w:t>The efficiency ratio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a measure commonly used by management and the banking industry, measures the amount of expense incurred to generate a dollar of revenue. The efficiency ratio</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was 63.0% for the three months ended March 31, 2022, compared to 54.7% for the three months ended March 31, 2021.</w:t>
      </w:r>
    </w:p>
    <w:p>
      <w:pPr>
        <w:spacing w:after="0" w:line="190" w:lineRule="exact"/>
        <w:rPr>
          <w:sz w:val="20"/>
          <w:szCs w:val="20"/>
          <w:color w:val="auto"/>
        </w:rPr>
      </w:pPr>
    </w:p>
    <w:p>
      <w:pPr>
        <w:jc w:val="both"/>
        <w:ind w:left="60" w:right="59"/>
        <w:spacing w:after="0" w:line="222" w:lineRule="auto"/>
        <w:rPr>
          <w:sz w:val="20"/>
          <w:szCs w:val="20"/>
          <w:color w:val="auto"/>
        </w:rPr>
      </w:pPr>
      <w:r>
        <w:rPr>
          <w:rFonts w:ascii="Times New Roman" w:cs="Times New Roman" w:eastAsia="Times New Roman" w:hAnsi="Times New Roman"/>
          <w:sz w:val="18"/>
          <w:szCs w:val="18"/>
          <w:color w:val="auto"/>
        </w:rPr>
        <w:t>The adjusted efficiency ratio</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was 62.2% for the three months ended March 31, 2022, compared to 54.3% for three months ended March 31, 2021. The Company remains focused on expense discipline, while making necessary investments to support the organic growth of our key business lines and related support and risk management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309245</wp:posOffset>
            </wp:positionV>
            <wp:extent cx="1414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both"/>
        <w:ind w:left="60" w:right="299" w:hanging="10"/>
        <w:spacing w:after="0" w:line="219" w:lineRule="auto"/>
        <w:tabs>
          <w:tab w:leader="none" w:pos="222"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The efficiency ratio and adjusted efficiency ratio are non-GAAP financial measures. For a reconciliation of these non-GAAP measures to the most directly comparable GAAP financial measures,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0000EE"/>
        </w:rPr>
        <w:t>Item 2. Management’s Discussion and Analysis—Non-GAAP Financial Information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included in this Quarterly Report.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Taxes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effective income tax rate of 20.4% for the three months ended March 31, 2022, was lower than the combined federal and state statutory rate of approximately 28% due to tax exempt interest income, such as municipal bond interest and bank owned life insurance income, and investments in various federal and state tax credits. We continue to monitor evolving federal and state tax legislation and its potential impact on operations on an ongoing basis. As of March 31, 2022, we were not under examination by any tax authority; however, we have received an inquiry from the State of Illinois regarding our franchise taxes.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Changes in significant items included in our unaudited Consolidated Balance Sheets are summarized as follows as of each of the dates indicated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2,946,055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3,981,251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(1,035,196)</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Portfolio loans,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7,184,660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83,549</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12,567,509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12,859,689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(292,180)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Noninterest-bearing</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3,568,651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3,670,267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(101,616)</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7,023,185</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7,098,310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10,591,836</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10,768,577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(176,741)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Junior subordinated debt owed to unconsolidated trusts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11,349,484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11,540,577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(191,093)</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(101,087)</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Portfolio Loans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believe that making sound and profitable loans is a necessary and desirable means of employing funds available for investment. First Busey maintains lending policies and procedures designed to focus lending efforts on the types, locations, and duration of loans most appropriate for its business model and markets. While not specifically limited, we attempt to focus our lending on short to intermediate-term (0-10 years) loans in geographic areas within 125 miles of its lending offices. Loans originated outside of these areas are generally residential mortgage loans originated for sale in the secondary market or loans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a matter of policy and practice, we limit the level of concentration exposure in any particular loan segment with the goal of maintaining a well-diversified loan portfolio.</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and its subsidiaries, are reviewed for compliance with regulatory guidelines.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First 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Busey Bank’s lending activities can be summarized into five primary areas: commercial loans, commercial real estate loans, real estate construction loans, retail real estate loans, and retail other loans. A description of each of the lending areas can be found in the Company’s 2021 Annual Report. A significant majority of our portfolio lending activity occurs in the Illinois and Missouri markets, with the remainder in the Florida and Indiana markets.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Geographic distributions of portfolio loans, based on originations, by category were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Illinois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Missouri</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Florida</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Indiana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loans</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 loans</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5,075,340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1,508,620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389,025</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299,888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ACL</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0" w:type="dxa"/>
            <w:vAlign w:val="bottom"/>
          </w:tcPr>
          <w:p>
            <w:pPr>
              <w:spacing w:after="0"/>
              <w:rPr>
                <w:sz w:val="1"/>
                <w:szCs w:val="1"/>
                <w:color w:val="auto"/>
              </w:rPr>
            </w:pPr>
          </w:p>
        </w:tc>
      </w:tr>
      <w:tr>
        <w:trPr>
          <w:trHeight w:val="21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Portfolio loans, net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Illinois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Missouri</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Florida</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Indiana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loans</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construction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 real estate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Retail other</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 loans</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4,979,222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1,514,606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376,492</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318,678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ACL</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(87,887)</w:t>
            </w:r>
          </w:p>
        </w:tc>
        <w:tc>
          <w:tcPr>
            <w:tcW w:w="0" w:type="dxa"/>
            <w:vAlign w:val="bottom"/>
          </w:tcPr>
          <w:p>
            <w:pPr>
              <w:spacing w:after="0"/>
              <w:rPr>
                <w:sz w:val="1"/>
                <w:szCs w:val="1"/>
                <w:color w:val="auto"/>
              </w:rPr>
            </w:pPr>
          </w:p>
        </w:tc>
      </w:tr>
      <w:tr>
        <w:trPr>
          <w:trHeight w:val="20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Portfolio loans, net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left="1500"/>
        <w:spacing w:after="0" w:line="257" w:lineRule="auto"/>
        <w:rPr>
          <w:sz w:val="20"/>
          <w:szCs w:val="20"/>
          <w:color w:val="auto"/>
        </w:rPr>
      </w:pPr>
      <w:r>
        <w:rPr>
          <w:rFonts w:ascii="Times New Roman" w:cs="Times New Roman" w:eastAsia="Times New Roman" w:hAnsi="Times New Roman"/>
          <w:sz w:val="18"/>
          <w:szCs w:val="18"/>
          <w:color w:val="auto"/>
        </w:rPr>
        <w:t>Portfolio loans increased by 1.2% to $7.3 billion as of March 31, 2022, compared to $7.2 billion as of December 31, 2021. Excluding PPP loans, commercial balances—consisting of commercial, commercial real estate, and real estate construction loans—increased $80.3 million since December 31, 2021.  Retail real estate and retail other loans increased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$46.8 million since December 31, 2021.</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Allowance and Provision for Credit Losses</w:t>
      </w:r>
    </w:p>
    <w:p>
      <w:pPr>
        <w:spacing w:after="0" w:line="21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ACL is established through the provision for credit loss expense charged to income.</w:t>
      </w:r>
    </w:p>
    <w:p>
      <w:pPr>
        <w:spacing w:after="0" w:line="17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continued strength in asset quality performance metrics, as well as improved macro-economic outlooks, results for the first quarter of 2022 reflect a provision release of $0.3 million for the three months ended March 31, 2022, and $6.8 million for the same period in 2021.</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The relationship between our portfolio loan balances and our ACL is summarized as follows, as of each of the dates indicated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51"/>
        </w:trPr>
        <w:tc>
          <w:tcPr>
            <w:tcW w:w="2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3"/>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820" w:type="dxa"/>
            <w:vAlign w:val="bottom"/>
          </w:tcPr>
          <w:p>
            <w:pPr>
              <w:jc w:val="right"/>
              <w:ind w:right="76"/>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r>
      <w:tr>
        <w:trPr>
          <w:trHeight w:val="195"/>
        </w:trPr>
        <w:tc>
          <w:tcPr>
            <w:tcW w:w="24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r>
      <w:tr>
        <w:trPr>
          <w:trHeight w:val="21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loans</w:t>
            </w: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7,272,873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7,150,635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6,779,300</w:t>
            </w:r>
          </w:p>
        </w:tc>
        <w:tc>
          <w:tcPr>
            <w:tcW w:w="180" w:type="dxa"/>
            <w:vAlign w:val="bottom"/>
            <w:shd w:val="clear" w:color="auto" w:fill="CCEEFF"/>
          </w:tcPr>
          <w:p>
            <w:pPr>
              <w:spacing w:after="0"/>
              <w:rPr>
                <w:sz w:val="18"/>
                <w:szCs w:val="18"/>
                <w:color w:val="auto"/>
              </w:rPr>
            </w:pP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PPP loans, amortized cost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(31,769)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(74,958)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(178,231)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(390,395)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(522,104)</w:t>
            </w:r>
          </w:p>
        </w:tc>
      </w:tr>
      <w:tr>
        <w:trPr>
          <w:trHeight w:val="250"/>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Core loans</w:t>
            </w:r>
          </w:p>
        </w:tc>
        <w:tc>
          <w:tcPr>
            <w:tcW w:w="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7,241,104</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7,114,040</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6,972,404</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6,795,255</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6,257,196</w:t>
            </w:r>
          </w:p>
        </w:tc>
        <w:tc>
          <w:tcPr>
            <w:tcW w:w="180" w:type="dxa"/>
            <w:vAlign w:val="bottom"/>
            <w:tcBorders>
              <w:bottom w:val="single" w:sz="8" w:color="CCEEFF"/>
            </w:tcBorders>
          </w:tcPr>
          <w:p>
            <w:pPr>
              <w:spacing w:after="0"/>
              <w:rPr>
                <w:sz w:val="21"/>
                <w:szCs w:val="21"/>
                <w:color w:val="auto"/>
              </w:rPr>
            </w:pPr>
          </w:p>
        </w:tc>
      </w:tr>
      <w:tr>
        <w:trPr>
          <w:trHeight w:val="196"/>
        </w:trPr>
        <w:tc>
          <w:tcPr>
            <w:tcW w:w="2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ACL</w:t>
            </w: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93,943</w:t>
            </w:r>
          </w:p>
        </w:tc>
        <w:tc>
          <w:tcPr>
            <w:tcW w:w="18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ACL to portfolio loans</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1.21 %</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1.22 %</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1.30 %</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1.33 %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34"/>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ACL to core loans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[c÷b]</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1.22 %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1.24 %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1.33 %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16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2022,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credit performance trends, portfolio duration, and other factors.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Non-performing Loans and Non-performing Assets</w:t>
      </w:r>
    </w:p>
    <w:p>
      <w:pPr>
        <w:spacing w:after="0" w:line="21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concerning non-performing loans and performing restructured loans, as of each of the dates indicated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020" w:type="dxa"/>
            <w:vAlign w:val="bottom"/>
            <w:gridSpan w:val="3"/>
          </w:tcPr>
          <w:p>
            <w:pPr>
              <w:jc w:val="right"/>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780" w:type="dxa"/>
            <w:vAlign w:val="bottom"/>
            <w:gridSpan w:val="2"/>
          </w:tcPr>
          <w:p>
            <w:pPr>
              <w:jc w:val="right"/>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7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30 – 89 days past due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Non-performing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 loans: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Non-accrual loans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Loans 90+ days past due and still accruing</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OREO and other repossessed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 (excludes 90+ days past due)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Classified assets</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91,833</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80,784</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Performing TDRs (includes 30 – 89 days past due)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ACL to non-accrual loans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706.38 %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551.15 %</w:t>
            </w:r>
          </w:p>
        </w:tc>
        <w:tc>
          <w:tcPr>
            <w:tcW w:w="160" w:type="dxa"/>
            <w:vAlign w:val="bottom"/>
          </w:tcPr>
          <w:p>
            <w:pPr>
              <w:spacing w:after="0"/>
              <w:rPr>
                <w:sz w:val="18"/>
                <w:szCs w:val="18"/>
                <w:color w:val="auto"/>
              </w:rPr>
            </w:pPr>
          </w:p>
        </w:tc>
        <w:tc>
          <w:tcPr>
            <w:tcW w:w="27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365.81 %  344.13 %  432.80 %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ACL to non-performing loans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695.41 %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521.52 %</w:t>
            </w:r>
          </w:p>
        </w:tc>
        <w:tc>
          <w:tcPr>
            <w:tcW w:w="160" w:type="dxa"/>
            <w:vAlign w:val="bottom"/>
            <w:shd w:val="clear" w:color="auto" w:fill="CCEEFF"/>
          </w:tcPr>
          <w:p>
            <w:pPr>
              <w:spacing w:after="0"/>
              <w:rPr>
                <w:sz w:val="18"/>
                <w:szCs w:val="18"/>
                <w:color w:val="auto"/>
              </w:rPr>
            </w:pPr>
          </w:p>
        </w:tc>
        <w:tc>
          <w:tcPr>
            <w:tcW w:w="27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358.86 %  336.96 %  411.04 %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ACL to non-performing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541.48 %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413.24 %</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319.52 %</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303.35 %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Non-accrual loans to portfolio loans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0.22 %</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0.17 %</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0.23 %</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Non-performing loans to portfolio loans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0.23 %</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0.36 %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0.34 %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Non-performing loans to portfolio loans, excluding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PPP loans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0.24 %</w:t>
            </w: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0.37 %</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Non-performing assets to portfolio loans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OREO</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0.30 %</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Classified assets to Busey Bank Tier 1 Capital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6.91 %</w:t>
            </w: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6.07 %</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Non-performing loan balances decreased by 24.7% to $12.7 million as of March 31, 2022, compared with $16.9 million as of December 31, 2021. Continued disciplined credit management resulted in non-performing loans as a percentage of portfolio loans of 0.17% as of March 31, 2022, and 0.23% as of December 31, 2021. Excluding the amortized cost of PPP loans, non-performing loans as a percentage of portfolio loans was 0.18% as of March 31, 2022, and 0.24% as of December 31, 2021. Non-performing assets at March 31, 2022, included a $2.0 million OREO property, the sale of which closed subsequent to quarter-end, although the associated $0.6 million impairment was recognized in the first quarter of 2022.</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Asset quality metrics remain dependent upon market-specific economic conditions, which may fluctuate from period to period. If economic conditions were to deteriorate, we would expect the credit quality of our loan portfolio to decline and loan defaults to increase.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Potential Problem Loans</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Potential problem loans are loans classified as substandard which are not individually evaluated,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$79.9 million as of March 31, 2022, compared to $70.6 million as of December 31, 2021. Management continues to monitor these credits and anticipates that restructurings, guarantees, additional collateral, or other planned actions will result in full repayment of the debts. As of March 31, 2022, management identified no other loans that represent or result from trends or uncertainties which would be expected to materially impact future operating results, liquidity, or capital resources.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COVID-19 Modifications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To alleviate some of the financial hardships faced as a result of COVID-19, the Company offered a Financial Relief Program to qualifying customers. The program included options for short-term loan payment deferrals and certain fee waivers. As of March 31, 2022, the Company had no loans remaining on full payment deferral, and 15 commercial loans on interest-only payment deferral representing $37.4 million in loans. As these deferrals expire, the Company will continue to monitor credits for potential problem loans.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left="60" w:right="59"/>
        <w:spacing w:after="0" w:line="234" w:lineRule="auto"/>
        <w:rPr>
          <w:sz w:val="20"/>
          <w:szCs w:val="20"/>
          <w:color w:val="auto"/>
        </w:rPr>
      </w:pPr>
      <w:r>
        <w:rPr>
          <w:rFonts w:ascii="Times New Roman" w:cs="Times New Roman" w:eastAsia="Times New Roman" w:hAnsi="Times New Roman"/>
          <w:sz w:val="18"/>
          <w:szCs w:val="18"/>
          <w:color w:val="auto"/>
        </w:rPr>
        <w:t>Total deposits decreased by 1.6% to $10.6 billion as of March 31, 2022, compared to $10.8 billion as of December 31, 2021. We focus on deepening our relationships with customers to foster core deposit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growth, allowing us to reduce our reliance on wholesale funding. Core deposits include non-brokered transaction accounts, money market deposit accounts, and time deposits of $250,000 or less. Fluctuations in deposit balances can be attributed to the retention of PPP loan funding in customer deposit accounts, the impacts of economic stimulus, transfer of funds from bank deposits to assets under care, time deposit attrition, other core deposit growth, and the seasonality of public funds.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w:t>
      </w:r>
    </w:p>
    <w:p>
      <w:pPr>
        <w:spacing w:after="0" w:line="17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summarized in the table below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4"/>
        </w:trPr>
        <w:tc>
          <w:tcPr>
            <w:tcW w:w="66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Additional borrowing capacity available from:</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FHLB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1,444,780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1,536,019</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Reserve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744,884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624,627</w:t>
            </w: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borrowing capacity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2,229,664</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2,200,646</w:t>
            </w:r>
          </w:p>
        </w:tc>
      </w:tr>
      <w:tr>
        <w:trPr>
          <w:trHeight w:val="20"/>
        </w:trPr>
        <w:tc>
          <w:tcPr>
            <w:tcW w:w="6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308610</wp:posOffset>
            </wp:positionV>
            <wp:extent cx="141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0" w:right="379" w:hanging="10"/>
        <w:spacing w:after="0" w:line="210" w:lineRule="auto"/>
        <w:tabs>
          <w:tab w:leader="none" w:pos="222"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Core deposits is a non-GAAP financial measure. For a reconciliation of this non-GAAP measure to the most directly comparable GAAP financial measure,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0000EE"/>
        </w:rPr>
        <w:t>Item 2. Management’s Discussion and Analysis—Non-GAAP Financial Information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included in this Quarterly Report.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2022,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Busey Bank routinely enters into commitments to extend credit and standby letters of credit in the normal course of business to meet the financing needs of its customers. We had outstanding loan commitments and standby letters of credit of $2.0 billion as of March 31, 2022, and December 31, 2021.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7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2022, our reserve for unfunded commitments was $7.6 million, compared to $6.5 million as of December 31, 2021. Provision expense for unfunded commitments was $1.1 million for the three months ended March 31, 2022, compared to $0.4 million for the three months ended March 31, 2021, primarily related to increases in unused commitment balances.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March 31, 2022:</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15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Minimum Capital</w:t>
            </w:r>
          </w:p>
        </w:tc>
        <w:tc>
          <w:tcPr>
            <w:tcW w:w="226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As of March 31, 2022</w:t>
            </w:r>
          </w:p>
        </w:tc>
      </w:tr>
      <w:tr>
        <w:trPr>
          <w:trHeight w:val="151"/>
        </w:trPr>
        <w:tc>
          <w:tcPr>
            <w:tcW w:w="5120" w:type="dxa"/>
            <w:vAlign w:val="bottom"/>
          </w:tcPr>
          <w:p>
            <w:pPr>
              <w:spacing w:after="0"/>
              <w:rPr>
                <w:sz w:val="13"/>
                <w:szCs w:val="13"/>
                <w:color w:val="auto"/>
              </w:rPr>
            </w:pPr>
          </w:p>
        </w:tc>
        <w:tc>
          <w:tcPr>
            <w:tcW w:w="1520" w:type="dxa"/>
            <w:vAlign w:val="bottom"/>
            <w:gridSpan w:val="2"/>
          </w:tcPr>
          <w:p>
            <w:pPr>
              <w:jc w:val="center"/>
              <w:ind w:right="210"/>
              <w:spacing w:after="0" w:line="151" w:lineRule="exact"/>
              <w:rPr>
                <w:sz w:val="20"/>
                <w:szCs w:val="20"/>
                <w:color w:val="auto"/>
              </w:rPr>
            </w:pPr>
            <w:r>
              <w:rPr>
                <w:rFonts w:ascii="Times New Roman" w:cs="Times New Roman" w:eastAsia="Times New Roman" w:hAnsi="Times New Roman"/>
                <w:sz w:val="14"/>
                <w:szCs w:val="14"/>
                <w:b w:val="1"/>
                <w:bCs w:val="1"/>
                <w:color w:val="auto"/>
              </w:rPr>
              <w:t>Requirements with</w:t>
            </w:r>
          </w:p>
        </w:tc>
        <w:tc>
          <w:tcPr>
            <w:tcW w:w="1180" w:type="dxa"/>
            <w:vAlign w:val="bottom"/>
            <w:tcBorders>
              <w:top w:val="single" w:sz="8" w:color="auto"/>
            </w:tcBorders>
            <w:gridSpan w:val="2"/>
          </w:tcPr>
          <w:p>
            <w:pPr>
              <w:jc w:val="right"/>
              <w:ind w:right="310"/>
              <w:spacing w:after="0" w:line="151" w:lineRule="exact"/>
              <w:rPr>
                <w:sz w:val="20"/>
                <w:szCs w:val="20"/>
                <w:color w:val="auto"/>
              </w:rPr>
            </w:pPr>
            <w:r>
              <w:rPr>
                <w:rFonts w:ascii="Times New Roman" w:cs="Times New Roman" w:eastAsia="Times New Roman" w:hAnsi="Times New Roman"/>
                <w:sz w:val="14"/>
                <w:szCs w:val="14"/>
                <w:b w:val="1"/>
                <w:bCs w:val="1"/>
                <w:color w:val="auto"/>
              </w:rPr>
              <w:t>First Busey</w:t>
            </w:r>
          </w:p>
        </w:tc>
        <w:tc>
          <w:tcPr>
            <w:tcW w:w="900" w:type="dxa"/>
            <w:vAlign w:val="bottom"/>
            <w:tcBorders>
              <w:top w:val="single" w:sz="8" w:color="auto"/>
            </w:tcBorders>
          </w:tcPr>
          <w:p>
            <w:pPr>
              <w:jc w:val="right"/>
              <w:ind w:right="176"/>
              <w:spacing w:after="0" w:line="151" w:lineRule="exact"/>
              <w:rPr>
                <w:sz w:val="20"/>
                <w:szCs w:val="20"/>
                <w:color w:val="auto"/>
              </w:rPr>
            </w:pPr>
            <w:r>
              <w:rPr>
                <w:rFonts w:ascii="Times New Roman" w:cs="Times New Roman" w:eastAsia="Times New Roman" w:hAnsi="Times New Roman"/>
                <w:sz w:val="14"/>
                <w:szCs w:val="14"/>
                <w:b w:val="1"/>
                <w:bCs w:val="1"/>
                <w:color w:val="auto"/>
              </w:rPr>
              <w:t>Busey</w:t>
            </w:r>
          </w:p>
        </w:tc>
        <w:tc>
          <w:tcPr>
            <w:tcW w:w="180" w:type="dxa"/>
            <w:vAlign w:val="bottom"/>
          </w:tcPr>
          <w:p>
            <w:pPr>
              <w:spacing w:after="0"/>
              <w:rPr>
                <w:sz w:val="13"/>
                <w:szCs w:val="13"/>
                <w:color w:val="auto"/>
              </w:rPr>
            </w:pPr>
          </w:p>
        </w:tc>
      </w:tr>
      <w:tr>
        <w:trPr>
          <w:trHeight w:val="195"/>
        </w:trPr>
        <w:tc>
          <w:tcPr>
            <w:tcW w:w="5120" w:type="dxa"/>
            <w:vAlign w:val="bottom"/>
          </w:tcPr>
          <w:p>
            <w:pPr>
              <w:spacing w:after="0"/>
              <w:rPr>
                <w:sz w:val="16"/>
                <w:szCs w:val="16"/>
                <w:color w:val="auto"/>
              </w:rPr>
            </w:pPr>
          </w:p>
        </w:tc>
        <w:tc>
          <w:tcPr>
            <w:tcW w:w="15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Capital Buffer</w:t>
            </w:r>
          </w:p>
        </w:tc>
        <w:tc>
          <w:tcPr>
            <w:tcW w:w="118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8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Bank</w:t>
            </w: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 Weighted Assets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8.50 %</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12.76 %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14.70 %</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10.50 %</w:t>
            </w: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15.80 %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15.57 %</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Leverage Ratio of Tier 1 Capital to Average Assets</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6.50 %</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8.78 %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10.11 %</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further discussion of capital resources and requirements, see “</w:t>
      </w:r>
      <w:r>
        <w:rPr>
          <w:rFonts w:ascii="Times New Roman" w:cs="Times New Roman" w:eastAsia="Times New Roman" w:hAnsi="Times New Roman"/>
          <w:sz w:val="18"/>
          <w:szCs w:val="18"/>
          <w:i w:val="1"/>
          <w:iCs w:val="1"/>
          <w:u w:val="single" w:color="auto"/>
          <w:color w:val="0000EE"/>
        </w:rPr>
        <w:t>Note 7: Regulatory Capital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This Quarterly Report contains certain financial information determined by methods other than GAAP. Management uses these non-GAAP measures, together with the related GAAP measures, in analysis of the Company’s performance and in making business decisions, as well as for comparison to the Company’s peers. The Company believes the adjusted measures are useful for investors and management to understand the effects of certain non-recurring noninterest items and provide additional perspective on the Company’s performance over time.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 reconciliation of non-GAAP financial measures to what management believes to be the most directly comparable GAAP financial measures—specifically, net interest income, total noninterest income, net security gains and losses, and total noninterest expense in the case of pre-provision net revenue, adjusted pre-provision net revenue, pre-provision net revenue to average assets, and adjusted pre-provision net revenue to average assets; net income in the case of adjusted net income, adjusted diluted earnings per share, adjusted return on average assets, return on average tangible common equity, and adjusted return on average tangible common equity; net interest income in the case of adjusted net interest income and adjusted net interest margin; net interest income, total noninterest income, and total noninterest expense in the case of adjusted noninterest expense, adjusted core expense, efficiency ratio, adjusted efficiency ratio, and adjusted core efficiency ratio; total stockholders’ equity in the case of tangible book value per common share; total assets and total stockholders’ equity in the case of tangible common equity and tangible common equity to tangible assets; portfolio loans in the case of core loans and core loans to portfolio loans; total deposits in the case of core deposits and core deposits to total deposits; and portfolio loans and total deposits in the case of core loans to core deposits—appears below.</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These non-GAAP disclosures have inherent limitations and are not audited. They should not be considered in isolation or as a substitute for operating results reported in accordance with GAAP, nor are they necessarily comparable to non-GAAP performance measures that may be presented by other companies. Tax effected numbers included in these non-GAAP disclosures are based on estimated statutory rates or effective rates as appropriate.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 xml:space="preserve">RECONCILIAITON OF NON-GAAP FINANCIAL MEASURES </w:t>
      </w:r>
      <w:r>
        <w:rPr>
          <w:rFonts w:ascii="Times New Roman" w:cs="Times New Roman" w:eastAsia="Times New Roman" w:hAnsi="Times New Roman"/>
          <w:sz w:val="18"/>
          <w:szCs w:val="18"/>
          <w:b w:val="1"/>
          <w:bCs w:val="1"/>
          <w:i w:val="1"/>
          <w:iCs w:val="1"/>
          <w:color w:val="auto"/>
        </w:rPr>
        <w:t>(unaudited)</w:t>
      </w:r>
    </w:p>
    <w:p>
      <w:pPr>
        <w:spacing w:after="0" w:line="104" w:lineRule="exact"/>
        <w:rPr>
          <w:sz w:val="20"/>
          <w:szCs w:val="20"/>
          <w:color w:val="auto"/>
        </w:rPr>
      </w:pPr>
    </w:p>
    <w:p>
      <w:pPr>
        <w:jc w:val="center"/>
        <w:ind w:left="1520" w:right="3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Pre-Provision Net Revenue, Adjusted Pre-Provision Net Revenue, Pre-Provision Net Revenue to Average Assets, and Adjusted Pre-Provision Net Revenue to Average Assets </w:t>
      </w:r>
      <w:r>
        <w:rPr>
          <w:rFonts w:ascii="Times New Roman" w:cs="Times New Roman" w:eastAsia="Times New Roman" w:hAnsi="Times New Roman"/>
          <w:sz w:val="18"/>
          <w:szCs w:val="18"/>
          <w:i w:val="1"/>
          <w:iCs w:val="1"/>
          <w:color w:val="auto"/>
        </w:rPr>
        <w:t>(dollars in thousands)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1"/>
        </w:trPr>
        <w:tc>
          <w:tcPr>
            <w:tcW w:w="2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1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880" w:type="dxa"/>
            <w:vAlign w:val="bottom"/>
          </w:tcPr>
          <w:p>
            <w:pPr>
              <w:jc w:val="right"/>
              <w:ind w:right="92"/>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r>
      <w:tr>
        <w:trPr>
          <w:trHeight w:val="194"/>
        </w:trPr>
        <w:tc>
          <w:tcPr>
            <w:tcW w:w="2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r>
      <w:tr>
        <w:trPr>
          <w:trHeight w:val="21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PRE-PROVISION NET REVENUE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interest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64,893</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60" w:type="dxa"/>
            <w:vAlign w:val="bottom"/>
          </w:tcPr>
          <w:p>
            <w:pPr>
              <w:spacing w:after="0"/>
              <w:rPr>
                <w:sz w:val="18"/>
                <w:szCs w:val="18"/>
                <w:color w:val="auto"/>
              </w:rPr>
            </w:pPr>
          </w:p>
        </w:tc>
      </w:tr>
      <w:tr>
        <w:trPr>
          <w:trHeight w:val="198"/>
        </w:trPr>
        <w:tc>
          <w:tcPr>
            <w:tcW w:w="47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(gains) losses on sales of securities and unrealized (gains)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recognized on equity securities</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(70,376)</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(71,169)</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(54,499)</w:t>
            </w:r>
          </w:p>
        </w:tc>
      </w:tr>
      <w:tr>
        <w:trPr>
          <w:trHeight w:val="209"/>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Pre-provision net revenue</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other restructuring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 for unfunded commitments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NMTC</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shd w:val="clear" w:color="auto" w:fill="CCEEFF"/>
          </w:tcPr>
          <w:p>
            <w:pPr>
              <w:spacing w:after="0"/>
              <w:rPr>
                <w:sz w:val="18"/>
                <w:szCs w:val="18"/>
                <w:color w:val="auto"/>
              </w:rPr>
            </w:pPr>
          </w:p>
        </w:tc>
      </w:tr>
      <w:tr>
        <w:trPr>
          <w:trHeight w:val="249"/>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pre-provision net revenue</w:t>
            </w: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39,354</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42,753</w:t>
            </w:r>
          </w:p>
        </w:tc>
        <w:tc>
          <w:tcPr>
            <w:tcW w:w="160" w:type="dxa"/>
            <w:vAlign w:val="bottom"/>
            <w:tcBorders>
              <w:bottom w:val="single" w:sz="8" w:color="CCEEFF"/>
            </w:tcBorders>
          </w:tcPr>
          <w:p>
            <w:pPr>
              <w:spacing w:after="0"/>
              <w:rPr>
                <w:sz w:val="21"/>
                <w:szCs w:val="21"/>
                <w:color w:val="auto"/>
              </w:rPr>
            </w:pPr>
          </w:p>
        </w:tc>
      </w:tr>
      <w:tr>
        <w:trPr>
          <w:trHeight w:val="197"/>
        </w:trPr>
        <w:tc>
          <w:tcPr>
            <w:tcW w:w="22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Pre-provision net revenue, annualized</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163,025</w:t>
            </w: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pre-provision net revenue, annualized</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173,387</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total assets</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12,660,939</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12,895,049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10,594,245</w:t>
            </w:r>
          </w:p>
        </w:tc>
        <w:tc>
          <w:tcPr>
            <w:tcW w:w="16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Reported</w:t>
            </w:r>
            <w:r>
              <w:rPr>
                <w:rFonts w:ascii="Times New Roman" w:cs="Times New Roman" w:eastAsia="Times New Roman" w:hAnsi="Times New Roman"/>
                <w:sz w:val="17"/>
                <w:szCs w:val="17"/>
                <w:color w:val="auto"/>
              </w:rPr>
              <w:t>: Pre-provision net revenue to average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5"/>
                <w:szCs w:val="25"/>
                <w:color w:val="auto"/>
                <w:vertAlign w:val="superscript"/>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16"/>
        </w:trPr>
        <w:tc>
          <w:tcPr>
            <w:tcW w:w="47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Adjusted</w:t>
            </w:r>
            <w:r>
              <w:rPr>
                <w:rFonts w:ascii="Times New Roman" w:cs="Times New Roman" w:eastAsia="Times New Roman" w:hAnsi="Times New Roman"/>
                <w:sz w:val="17"/>
                <w:szCs w:val="17"/>
                <w:color w:val="auto"/>
              </w:rPr>
              <w:t>: Pre-provision net revenue to average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5"/>
                <w:szCs w:val="25"/>
                <w:color w:val="auto"/>
                <w:vertAlign w:val="superscript"/>
              </w:rPr>
              <w:t>(1)</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108"/>
        </w:trPr>
        <w:tc>
          <w:tcPr>
            <w:tcW w:w="224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72" w:lineRule="exact"/>
        <w:rPr>
          <w:sz w:val="20"/>
          <w:szCs w:val="20"/>
          <w:color w:val="auto"/>
        </w:rPr>
      </w:pPr>
    </w:p>
    <w:p>
      <w:pPr>
        <w:ind w:left="480" w:hanging="322"/>
        <w:spacing w:after="0"/>
        <w:tabs>
          <w:tab w:leader="none" w:pos="48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 xml:space="preserve">RECONCILIAITON OF NON-GAAP FINANCIAL MEASURES </w:t>
      </w:r>
      <w:r>
        <w:rPr>
          <w:rFonts w:ascii="Times New Roman" w:cs="Times New Roman" w:eastAsia="Times New Roman" w:hAnsi="Times New Roman"/>
          <w:sz w:val="18"/>
          <w:szCs w:val="18"/>
          <w:b w:val="1"/>
          <w:bCs w:val="1"/>
          <w:i w:val="1"/>
          <w:iCs w:val="1"/>
          <w:color w:val="auto"/>
        </w:rPr>
        <w:t>(unaudited)</w:t>
      </w:r>
    </w:p>
    <w:p>
      <w:pPr>
        <w:spacing w:after="0" w:line="1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Adjusted Net Income, Adjusted Diluted Earnings Per Share, Adjusted Return on Average Assets</w:t>
      </w:r>
    </w:p>
    <w:p>
      <w:pPr>
        <w:spacing w:after="0" w:line="31" w:lineRule="exact"/>
        <w:rPr>
          <w:sz w:val="20"/>
          <w:szCs w:val="20"/>
          <w:color w:val="auto"/>
        </w:rPr>
      </w:pPr>
    </w:p>
    <w:p>
      <w:pPr>
        <w:jc w:val="center"/>
        <w:ind w:left="40" w:right="5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Return on Average Tangible Common Equity, and Adjusted Return on Average Tangible Common Equity </w:t>
      </w:r>
      <w:r>
        <w:rPr>
          <w:rFonts w:ascii="Times New Roman" w:cs="Times New Roman" w:eastAsia="Times New Roman" w:hAnsi="Times New Roman"/>
          <w:sz w:val="18"/>
          <w:szCs w:val="18"/>
          <w:i w:val="1"/>
          <w:iCs w:val="1"/>
          <w:color w:val="auto"/>
        </w:rPr>
        <w:t>(dollars in thousands, except per share amounts)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8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900" w:type="dxa"/>
            <w:vAlign w:val="bottom"/>
          </w:tcPr>
          <w:p>
            <w:pPr>
              <w:jc w:val="right"/>
              <w:ind w:right="112"/>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ADJUSTED FOR NON-OPERATING ITEMS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expenses: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Data processing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Professional fees, occupancy, and other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Lease or fixed asset impairment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Professional fees, occupancy, and other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Related tax benefit</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average common shares outstanding</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56,194,946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56,413,026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55,035,806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Diluted earnings per share</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18"/>
                <w:szCs w:val="18"/>
                <w:color w:val="auto"/>
              </w:rPr>
              <w:t>: Diluted earnings per share</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RETURN ON AVERAGE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annualized</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annualized</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total assets</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12,660,939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12,895,049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Reported</w:t>
            </w:r>
            <w:r>
              <w:rPr>
                <w:rFonts w:ascii="Times New Roman" w:cs="Times New Roman" w:eastAsia="Times New Roman" w:hAnsi="Times New Roman"/>
                <w:sz w:val="17"/>
                <w:szCs w:val="17"/>
                <w:color w:val="auto"/>
              </w:rPr>
              <w:t>: Return on average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5"/>
                <w:szCs w:val="25"/>
                <w:color w:val="auto"/>
                <w:vertAlign w:val="superscript"/>
              </w:rPr>
              <w:t>(1)</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0.92 %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w:t>
            </w:r>
            <w:r>
              <w:rPr>
                <w:rFonts w:ascii="Times New Roman" w:cs="Times New Roman" w:eastAsia="Times New Roman" w:hAnsi="Times New Roman"/>
                <w:sz w:val="17"/>
                <w:szCs w:val="17"/>
                <w:color w:val="auto"/>
              </w:rPr>
              <w:t>: Return on average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RETURN ON AVERAGE TANGIBLE COMMON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common equity</w:t>
            </w: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1,281,535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1,328,692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goodwill and other intangible assets,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tangible common equity</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906,724</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950,867</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913,001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Reported</w:t>
            </w:r>
            <w:r>
              <w:rPr>
                <w:rFonts w:ascii="Times New Roman" w:cs="Times New Roman" w:eastAsia="Times New Roman" w:hAnsi="Times New Roman"/>
                <w:sz w:val="17"/>
                <w:szCs w:val="17"/>
                <w:color w:val="auto"/>
              </w:rPr>
              <w:t>: Return on average tangible common equity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5"/>
                <w:szCs w:val="25"/>
                <w:color w:val="auto"/>
                <w:vertAlign w:val="superscript"/>
              </w:rPr>
              <w:t>(1)</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12.72 %</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12.49 %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w:t>
            </w:r>
            <w:r>
              <w:rPr>
                <w:rFonts w:ascii="Times New Roman" w:cs="Times New Roman" w:eastAsia="Times New Roman" w:hAnsi="Times New Roman"/>
                <w:sz w:val="17"/>
                <w:szCs w:val="17"/>
                <w:color w:val="auto"/>
              </w:rPr>
              <w:t>: Return on average tangible common equity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14.30 %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16.91 %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80" w:hanging="322"/>
        <w:spacing w:after="0"/>
        <w:tabs>
          <w:tab w:leader="none" w:pos="48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 xml:space="preserve">RECONCILIAITON OF NON-GAAP FINANCIAL MEASURES </w:t>
      </w:r>
      <w:r>
        <w:rPr>
          <w:rFonts w:ascii="Times New Roman" w:cs="Times New Roman" w:eastAsia="Times New Roman" w:hAnsi="Times New Roman"/>
          <w:sz w:val="18"/>
          <w:szCs w:val="18"/>
          <w:b w:val="1"/>
          <w:bCs w:val="1"/>
          <w:i w:val="1"/>
          <w:iCs w:val="1"/>
          <w:color w:val="auto"/>
        </w:rPr>
        <w:t>(unaudited)</w:t>
      </w:r>
    </w:p>
    <w:p>
      <w:pPr>
        <w:spacing w:after="0" w:line="10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Adjusted Net Interest Income and Adjusted Net Interest Margin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080" w:type="dxa"/>
            <w:vAlign w:val="bottom"/>
            <w:gridSpan w:val="2"/>
          </w:tcPr>
          <w:p>
            <w:pPr>
              <w:jc w:val="right"/>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73"/>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0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Tax-equivalent adjustment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Tax-equivalent net interest income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purchase accounting accretion</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net interest income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69,443</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Tax-equivalent net interest income, annualized</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286,330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282,022</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interest income, annualized</w:t>
            </w:r>
          </w:p>
        </w:tc>
        <w:tc>
          <w:tcPr>
            <w:tcW w:w="1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276,194</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interest-earning assets</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11,703,947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11,947,653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9,752,294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Reported</w:t>
            </w:r>
            <w:r>
              <w:rPr>
                <w:rFonts w:ascii="Times New Roman" w:cs="Times New Roman" w:eastAsia="Times New Roman" w:hAnsi="Times New Roman"/>
                <w:sz w:val="17"/>
                <w:szCs w:val="17"/>
                <w:color w:val="auto"/>
              </w:rPr>
              <w:t>: Net interest margin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5"/>
                <w:szCs w:val="25"/>
                <w:color w:val="auto"/>
                <w:vertAlign w:val="superscript"/>
              </w:rPr>
              <w:t>(1)</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w:t>
            </w:r>
            <w:r>
              <w:rPr>
                <w:rFonts w:ascii="Times New Roman" w:cs="Times New Roman" w:eastAsia="Times New Roman" w:hAnsi="Times New Roman"/>
                <w:sz w:val="17"/>
                <w:szCs w:val="17"/>
                <w:color w:val="auto"/>
              </w:rPr>
              <w:t>: Net Interest margin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80" w:hanging="322"/>
        <w:spacing w:after="0"/>
        <w:tabs>
          <w:tab w:leader="none" w:pos="48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 xml:space="preserve">RECONCILIAITON OF NON-GAAP FINANCIAL MEASURES </w:t>
      </w:r>
      <w:r>
        <w:rPr>
          <w:rFonts w:ascii="Times New Roman" w:cs="Times New Roman" w:eastAsia="Times New Roman" w:hAnsi="Times New Roman"/>
          <w:sz w:val="18"/>
          <w:szCs w:val="18"/>
          <w:b w:val="1"/>
          <w:bCs w:val="1"/>
          <w:i w:val="1"/>
          <w:iCs w:val="1"/>
          <w:color w:val="auto"/>
        </w:rPr>
        <w:t>(unaudited)</w:t>
      </w:r>
    </w:p>
    <w:p>
      <w:pPr>
        <w:spacing w:after="0" w:line="10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Adjusted Noninterest Expense, Adjusted Core Expense,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Efficiency Ratio, Adjusted Efficiency Ratio, and Adjusted Core Efficiency Ratio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02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2"/>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Tax-equivalent adjustment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Tax-equivalent net interest income</w:t>
            </w: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(gains) losses on sales of securities and unrealized (gains)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losses recognized on equity securities</w:t>
            </w:r>
          </w:p>
        </w:tc>
        <w:tc>
          <w:tcPr>
            <w:tcW w:w="7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 excluding net security gains and losses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Tax-equivalent net interest income plus noninterest income</w:t>
            </w:r>
          </w:p>
        </w:tc>
        <w:tc>
          <w:tcPr>
            <w:tcW w:w="760" w:type="dxa"/>
            <w:vAlign w:val="bottom"/>
            <w:shd w:val="clear" w:color="auto" w:fill="CCEEFF"/>
          </w:tcPr>
          <w:p>
            <w:pPr>
              <w:spacing w:after="0"/>
              <w:rPr>
                <w:sz w:val="17"/>
                <w:szCs w:val="17"/>
                <w:color w:val="auto"/>
              </w:rPr>
            </w:pP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106,988</w:t>
            </w:r>
          </w:p>
        </w:tc>
        <w:tc>
          <w:tcPr>
            <w:tcW w:w="140" w:type="dxa"/>
            <w:vAlign w:val="bottom"/>
            <w:shd w:val="clear" w:color="auto" w:fill="CCEEFF"/>
          </w:tcPr>
          <w:p>
            <w:pPr>
              <w:spacing w:after="0"/>
              <w:rPr>
                <w:sz w:val="17"/>
                <w:szCs w:val="17"/>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105,700</w:t>
            </w:r>
          </w:p>
        </w:tc>
        <w:tc>
          <w:tcPr>
            <w:tcW w:w="140" w:type="dxa"/>
            <w:vAlign w:val="bottom"/>
            <w:shd w:val="clear" w:color="auto" w:fill="CCEEFF"/>
          </w:tcPr>
          <w:p>
            <w:pPr>
              <w:spacing w:after="0"/>
              <w:rPr>
                <w:sz w:val="17"/>
                <w:szCs w:val="17"/>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 net security gains and losses</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noninterest expense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Non-interest expense excluding amortization of intangible assets [c]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adjustments: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Data processing</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 or fixed asset impairment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Professional fees and other</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Adjusted noninterest expense</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unfunded commitments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NMTC</w:t>
            </w: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core expense</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 excluding non-operating adjustments</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[d-b]</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Efficiency ratio</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18"/>
                <w:szCs w:val="18"/>
                <w:color w:val="auto"/>
              </w:rPr>
              <w:t>: Efficiency ratio</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62.18 %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18"/>
                <w:szCs w:val="18"/>
                <w:color w:val="auto"/>
              </w:rPr>
              <w:t>: Core efficiency ratio</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51.99 %</w:t>
            </w:r>
          </w:p>
        </w:tc>
        <w:tc>
          <w:tcPr>
            <w:tcW w:w="0" w:type="dxa"/>
            <w:vAlign w:val="bottom"/>
          </w:tcPr>
          <w:p>
            <w:pPr>
              <w:spacing w:after="0"/>
              <w:rPr>
                <w:sz w:val="1"/>
                <w:szCs w:val="1"/>
                <w:color w:val="auto"/>
              </w:rPr>
            </w:pPr>
          </w:p>
        </w:tc>
      </w:tr>
      <w:tr>
        <w:trPr>
          <w:trHeight w:val="864"/>
        </w:trPr>
        <w:tc>
          <w:tcPr>
            <w:tcW w:w="48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 xml:space="preserve">RECONCILIAITON OF NON-GAAP FINANCIAL MEASURES </w:t>
      </w:r>
      <w:r>
        <w:rPr>
          <w:rFonts w:ascii="Times New Roman" w:cs="Times New Roman" w:eastAsia="Times New Roman" w:hAnsi="Times New Roman"/>
          <w:sz w:val="18"/>
          <w:szCs w:val="18"/>
          <w:b w:val="1"/>
          <w:bCs w:val="1"/>
          <w:i w:val="1"/>
          <w:iCs w:val="1"/>
          <w:color w:val="auto"/>
        </w:rPr>
        <w:t>(unaudited)</w:t>
      </w:r>
    </w:p>
    <w:p>
      <w:pPr>
        <w:spacing w:after="0" w:line="10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Tangible Book Value Per Common Share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1"/>
        </w:trPr>
        <w:tc>
          <w:tcPr>
            <w:tcW w:w="4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880" w:type="dxa"/>
            <w:vAlign w:val="bottom"/>
          </w:tcPr>
          <w:p>
            <w:pPr>
              <w:jc w:val="right"/>
              <w:ind w:right="95"/>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r>
      <w:tr>
        <w:trPr>
          <w:trHeight w:val="195"/>
        </w:trPr>
        <w:tc>
          <w:tcPr>
            <w:tcW w:w="41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1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1,265,822</w:t>
            </w:r>
          </w:p>
        </w:tc>
        <w:tc>
          <w:tcPr>
            <w:tcW w:w="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(372,913)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(375,924)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(361,120)</w:t>
            </w:r>
          </w:p>
        </w:tc>
        <w:tc>
          <w:tcPr>
            <w:tcW w:w="20" w:type="dxa"/>
            <w:vAlign w:val="bottom"/>
          </w:tcPr>
          <w:p>
            <w:pPr>
              <w:spacing w:after="0"/>
              <w:rPr>
                <w:sz w:val="18"/>
                <w:szCs w:val="18"/>
                <w:color w:val="auto"/>
              </w:rPr>
            </w:pPr>
          </w:p>
        </w:tc>
      </w:tr>
      <w:tr>
        <w:trPr>
          <w:trHeight w:val="209"/>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book value</w:t>
            </w:r>
          </w:p>
        </w:tc>
        <w:tc>
          <w:tcPr>
            <w:tcW w:w="1540" w:type="dxa"/>
            <w:vAlign w:val="bottom"/>
            <w:tcBorders>
              <w:top w:val="single" w:sz="8" w:color="CCEEFF"/>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904,702</w:t>
            </w:r>
          </w:p>
        </w:tc>
        <w:tc>
          <w:tcPr>
            <w:tcW w:w="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number of common shares outstanding</w:t>
            </w:r>
          </w:p>
        </w:tc>
        <w:tc>
          <w:tcPr>
            <w:tcW w:w="15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55,278,785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55,434,910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54,345,379</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book value per common share</w:t>
            </w:r>
          </w:p>
        </w:tc>
        <w:tc>
          <w:tcPr>
            <w:tcW w:w="15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 w:type="dxa"/>
            <w:vAlign w:val="bottom"/>
          </w:tcPr>
          <w:p>
            <w:pPr>
              <w:spacing w:after="0"/>
              <w:rPr>
                <w:sz w:val="18"/>
                <w:szCs w:val="18"/>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Tangible Common Equity and Tangible Common Equity to Tangible Assets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1"/>
        </w:trPr>
        <w:tc>
          <w:tcPr>
            <w:tcW w:w="2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44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100" w:type="dxa"/>
            <w:vAlign w:val="bottom"/>
            <w:gridSpan w:val="2"/>
          </w:tcPr>
          <w:p>
            <w:pPr>
              <w:jc w:val="right"/>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880" w:type="dxa"/>
            <w:vAlign w:val="bottom"/>
          </w:tcPr>
          <w:p>
            <w:pPr>
              <w:jc w:val="right"/>
              <w:ind w:right="93"/>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r>
      <w:tr>
        <w:trPr>
          <w:trHeight w:val="195"/>
        </w:trPr>
        <w:tc>
          <w:tcPr>
            <w:tcW w:w="224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r>
      <w:tr>
        <w:trPr>
          <w:trHeight w:val="215"/>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12,567,509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12,859,689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10,759,563</w:t>
            </w:r>
          </w:p>
        </w:tc>
        <w:tc>
          <w:tcPr>
            <w:tcW w:w="16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(372,913)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(375,924)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(361,120)</w:t>
            </w:r>
          </w:p>
        </w:tc>
      </w:tr>
      <w:tr>
        <w:trPr>
          <w:trHeight w:val="216"/>
        </w:trPr>
        <w:tc>
          <w:tcPr>
            <w:tcW w:w="3980" w:type="dxa"/>
            <w:vAlign w:val="bottom"/>
            <w:tcBorders>
              <w:bottom w:val="single" w:sz="8" w:color="CCEEFF"/>
            </w:tcBorders>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Tax effect of other intangible assets </w:t>
            </w:r>
            <w:r>
              <w:rPr>
                <w:rFonts w:ascii="Times New Roman" w:cs="Times New Roman" w:eastAsia="Times New Roman" w:hAnsi="Times New Roman"/>
                <w:sz w:val="25"/>
                <w:szCs w:val="25"/>
                <w:color w:val="auto"/>
                <w:vertAlign w:val="superscript"/>
              </w:rPr>
              <w:t>(1)</w:t>
            </w: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60" w:type="dxa"/>
            <w:vAlign w:val="bottom"/>
            <w:tcBorders>
              <w:bottom w:val="single" w:sz="8" w:color="CCEEFF"/>
            </w:tcBorders>
          </w:tcPr>
          <w:p>
            <w:pPr>
              <w:spacing w:after="0"/>
              <w:rPr>
                <w:sz w:val="18"/>
                <w:szCs w:val="18"/>
                <w:color w:val="auto"/>
              </w:rPr>
            </w:pPr>
          </w:p>
        </w:tc>
      </w:tr>
      <w:tr>
        <w:trPr>
          <w:trHeight w:val="21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assets</w:t>
            </w:r>
          </w:p>
        </w:tc>
        <w:tc>
          <w:tcPr>
            <w:tcW w:w="1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12,205,052</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12,500,019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10,412,326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1,265,822</w:t>
            </w:r>
          </w:p>
        </w:tc>
        <w:tc>
          <w:tcPr>
            <w:tcW w:w="16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(372,913)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(375,924)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(361,120)</w:t>
            </w:r>
          </w:p>
        </w:tc>
      </w:tr>
      <w:tr>
        <w:trPr>
          <w:trHeight w:val="216"/>
        </w:trPr>
        <w:tc>
          <w:tcPr>
            <w:tcW w:w="3980" w:type="dxa"/>
            <w:vAlign w:val="bottom"/>
            <w:tcBorders>
              <w:bottom w:val="single" w:sz="8" w:color="CCEEFF"/>
            </w:tcBorders>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Tax effect of other intangible assets </w:t>
            </w:r>
            <w:r>
              <w:rPr>
                <w:rFonts w:ascii="Times New Roman" w:cs="Times New Roman" w:eastAsia="Times New Roman" w:hAnsi="Times New Roman"/>
                <w:sz w:val="25"/>
                <w:szCs w:val="25"/>
                <w:color w:val="auto"/>
                <w:vertAlign w:val="superscript"/>
              </w:rPr>
              <w:t>(1)</w:t>
            </w: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60" w:type="dxa"/>
            <w:vAlign w:val="bottom"/>
            <w:tcBorders>
              <w:bottom w:val="single" w:sz="8" w:color="CCEEFF"/>
            </w:tcBorders>
          </w:tcPr>
          <w:p>
            <w:pPr>
              <w:spacing w:after="0"/>
              <w:rPr>
                <w:sz w:val="18"/>
                <w:szCs w:val="18"/>
                <w:color w:val="auto"/>
              </w:rPr>
            </w:pPr>
          </w:p>
        </w:tc>
      </w:tr>
      <w:tr>
        <w:trPr>
          <w:trHeight w:val="21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common equity</w:t>
            </w:r>
          </w:p>
        </w:tc>
        <w:tc>
          <w:tcPr>
            <w:tcW w:w="1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855,568</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959,442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918,585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9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Tangible common equity to tangible assets </w:t>
            </w:r>
            <w:r>
              <w:rPr>
                <w:rFonts w:ascii="Times New Roman" w:cs="Times New Roman" w:eastAsia="Times New Roman" w:hAnsi="Times New Roman"/>
                <w:sz w:val="25"/>
                <w:szCs w:val="25"/>
                <w:color w:val="auto"/>
                <w:vertAlign w:val="superscript"/>
              </w:rPr>
              <w:t>(2)</w:t>
            </w: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7.68 %</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8.82 %</w:t>
            </w:r>
          </w:p>
        </w:tc>
      </w:tr>
      <w:tr>
        <w:trPr>
          <w:trHeight w:val="115"/>
        </w:trPr>
        <w:tc>
          <w:tcPr>
            <w:tcW w:w="2240" w:type="dxa"/>
            <w:vAlign w:val="bottom"/>
            <w:tcBorders>
              <w:bottom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58" w:lineRule="exact"/>
        <w:rPr>
          <w:sz w:val="20"/>
          <w:szCs w:val="20"/>
          <w:color w:val="auto"/>
        </w:rPr>
      </w:pPr>
    </w:p>
    <w:p>
      <w:pPr>
        <w:ind w:left="480" w:hanging="322"/>
        <w:spacing w:after="0"/>
        <w:tabs>
          <w:tab w:leader="none" w:pos="4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Net of estimated deferred tax liability.</w:t>
      </w:r>
    </w:p>
    <w:p>
      <w:pPr>
        <w:spacing w:after="0" w:line="27" w:lineRule="exact"/>
        <w:rPr>
          <w:rFonts w:ascii="Times New Roman" w:cs="Times New Roman" w:eastAsia="Times New Roman" w:hAnsi="Times New Roman"/>
          <w:sz w:val="11"/>
          <w:szCs w:val="11"/>
          <w:color w:val="auto"/>
        </w:rPr>
      </w:pPr>
    </w:p>
    <w:p>
      <w:pPr>
        <w:ind w:left="480" w:hanging="322"/>
        <w:spacing w:after="0"/>
        <w:tabs>
          <w:tab w:leader="none" w:pos="4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Tax-effected measure.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 xml:space="preserve">RECONCILIAITON OF NON-GAAP FINANCIAL MEASURES </w:t>
      </w:r>
      <w:r>
        <w:rPr>
          <w:rFonts w:ascii="Times New Roman" w:cs="Times New Roman" w:eastAsia="Times New Roman" w:hAnsi="Times New Roman"/>
          <w:sz w:val="18"/>
          <w:szCs w:val="18"/>
          <w:b w:val="1"/>
          <w:bCs w:val="1"/>
          <w:i w:val="1"/>
          <w:iCs w:val="1"/>
          <w:color w:val="auto"/>
        </w:rPr>
        <w:t>(unaudited)</w:t>
      </w:r>
    </w:p>
    <w:p>
      <w:pPr>
        <w:spacing w:after="0" w:line="10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Core Loans, Core Loans to Portfolio Loans,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Core Deposits, Core Deposits to Total Deposits, and Core Loans to Core Deposits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1"/>
        </w:trPr>
        <w:tc>
          <w:tcPr>
            <w:tcW w:w="3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44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180" w:type="dxa"/>
            <w:vAlign w:val="bottom"/>
            <w:gridSpan w:val="2"/>
          </w:tcPr>
          <w:p>
            <w:pPr>
              <w:jc w:val="right"/>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jc w:val="right"/>
              <w:ind w:right="53"/>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gridSpan w:val="2"/>
          </w:tcPr>
          <w:p>
            <w:pPr>
              <w:spacing w:after="0"/>
              <w:rPr>
                <w:sz w:val="13"/>
                <w:szCs w:val="13"/>
                <w:color w:val="auto"/>
              </w:rPr>
            </w:pPr>
          </w:p>
        </w:tc>
      </w:tr>
      <w:tr>
        <w:trPr>
          <w:trHeight w:val="195"/>
        </w:trPr>
        <w:tc>
          <w:tcPr>
            <w:tcW w:w="35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loans</w:t>
            </w:r>
          </w:p>
        </w:tc>
        <w:tc>
          <w:tcPr>
            <w:tcW w:w="16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7,272,873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7,188,998</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$ 6,779,300</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PPP Loans amortized cost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(31,769)</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(74,958)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(522,104)</w:t>
            </w:r>
          </w:p>
        </w:tc>
        <w:tc>
          <w:tcPr>
            <w:tcW w:w="20" w:type="dxa"/>
            <w:vAlign w:val="bottom"/>
          </w:tcPr>
          <w:p>
            <w:pPr>
              <w:spacing w:after="0"/>
              <w:rPr>
                <w:sz w:val="18"/>
                <w:szCs w:val="18"/>
                <w:color w:val="auto"/>
              </w:rPr>
            </w:pPr>
          </w:p>
        </w:tc>
      </w:tr>
      <w:tr>
        <w:trPr>
          <w:trHeight w:val="24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Core loans</w:t>
            </w:r>
          </w:p>
        </w:tc>
        <w:tc>
          <w:tcPr>
            <w:tcW w:w="16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7,241,104</w:t>
            </w:r>
          </w:p>
        </w:tc>
        <w:tc>
          <w:tcPr>
            <w:tcW w:w="2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7,114,040</w:t>
            </w:r>
          </w:p>
        </w:tc>
        <w:tc>
          <w:tcPr>
            <w:tcW w:w="2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$ 6,257,196</w:t>
            </w:r>
          </w:p>
        </w:tc>
        <w:tc>
          <w:tcPr>
            <w:tcW w:w="24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3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6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10,591,836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10,768,577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$ 8,873,847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Brokered transaction accounts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(2,699)</w:t>
            </w:r>
          </w:p>
        </w:tc>
        <w:tc>
          <w:tcPr>
            <w:tcW w:w="20" w:type="dxa"/>
            <w:vAlign w:val="bottom"/>
          </w:tcPr>
          <w:p>
            <w:pPr>
              <w:spacing w:after="0"/>
              <w:rPr>
                <w:sz w:val="18"/>
                <w:szCs w:val="18"/>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Time deposits of $250,000 or more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(139,245)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(137,449)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(155,401)</w:t>
            </w:r>
          </w:p>
        </w:tc>
        <w:tc>
          <w:tcPr>
            <w:tcW w:w="20" w:type="dxa"/>
            <w:vAlign w:val="bottom"/>
          </w:tcPr>
          <w:p>
            <w:pPr>
              <w:spacing w:after="0"/>
              <w:rPr>
                <w:sz w:val="18"/>
                <w:szCs w:val="18"/>
                <w:color w:val="auto"/>
              </w:rPr>
            </w:pPr>
          </w:p>
        </w:tc>
      </w:tr>
      <w:tr>
        <w:trPr>
          <w:trHeight w:val="24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Core deposits</w:t>
            </w:r>
          </w:p>
        </w:tc>
        <w:tc>
          <w:tcPr>
            <w:tcW w:w="16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10,450,589</w:t>
            </w:r>
          </w:p>
        </w:tc>
        <w:tc>
          <w:tcPr>
            <w:tcW w:w="2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10,628,880</w:t>
            </w:r>
          </w:p>
        </w:tc>
        <w:tc>
          <w:tcPr>
            <w:tcW w:w="2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$ 8,715,747</w:t>
            </w:r>
          </w:p>
        </w:tc>
        <w:tc>
          <w:tcPr>
            <w:tcW w:w="24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35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loans to portfolio loans</w:t>
            </w:r>
          </w:p>
        </w:tc>
        <w:tc>
          <w:tcPr>
            <w:tcW w:w="16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99.56 %</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98.96 %</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92.30 %</w:t>
            </w:r>
          </w:p>
        </w:tc>
        <w:tc>
          <w:tcPr>
            <w:tcW w:w="20" w:type="dxa"/>
            <w:vAlign w:val="bottom"/>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deposits to total deposits</w:t>
            </w:r>
          </w:p>
        </w:tc>
        <w:tc>
          <w:tcPr>
            <w:tcW w:w="16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[d÷c]</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98.67 %</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98.70 %</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98.22 %</w:t>
            </w:r>
          </w:p>
        </w:tc>
        <w:tc>
          <w:tcPr>
            <w:tcW w:w="20" w:type="dxa"/>
            <w:vAlign w:val="bottom"/>
          </w:tcPr>
          <w:p>
            <w:pPr>
              <w:spacing w:after="0"/>
              <w:rPr>
                <w:sz w:val="18"/>
                <w:szCs w:val="18"/>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loans to core deposits</w:t>
            </w:r>
          </w:p>
        </w:tc>
        <w:tc>
          <w:tcPr>
            <w:tcW w:w="16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69.29 %</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66.93 %</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71.79 %</w:t>
            </w:r>
          </w:p>
        </w:tc>
        <w:tc>
          <w:tcPr>
            <w:tcW w:w="20" w:type="dxa"/>
            <w:vAlign w:val="bottom"/>
          </w:tcPr>
          <w:p>
            <w:pPr>
              <w:spacing w:after="0"/>
              <w:rPr>
                <w:sz w:val="18"/>
                <w:szCs w:val="18"/>
                <w:color w:val="auto"/>
              </w:rPr>
            </w:pPr>
          </w:p>
        </w:tc>
      </w:tr>
      <w:tr>
        <w:trPr>
          <w:trHeight w:val="877"/>
        </w:trPr>
        <w:tc>
          <w:tcPr>
            <w:tcW w:w="3560" w:type="dxa"/>
            <w:vAlign w:val="bottom"/>
          </w:tcPr>
          <w:p>
            <w:pPr>
              <w:spacing w:after="0"/>
              <w:rPr>
                <w:sz w:val="24"/>
                <w:szCs w:val="24"/>
                <w:color w:val="auto"/>
              </w:rPr>
            </w:pPr>
          </w:p>
        </w:tc>
        <w:tc>
          <w:tcPr>
            <w:tcW w:w="1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Statements made in this document, other than those concerning historical financial information, may be considered forward-looking statements within the meaning of the Private Securities Litigation Reform Act of 1995 with respect to First Busey’s financial condition, results of operations, plans, objectives, future performance, and business.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effects of inflationary pressures and supply chain constraints);</w:t>
      </w:r>
    </w:p>
    <w:p>
      <w:pPr>
        <w:spacing w:after="0" w:line="6" w:lineRule="exact"/>
        <w:rPr>
          <w:sz w:val="20"/>
          <w:szCs w:val="20"/>
          <w:color w:val="auto"/>
        </w:rPr>
      </w:pPr>
    </w:p>
    <w:p>
      <w:pPr>
        <w:ind w:left="320" w:hanging="270"/>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impact of any future terrorist threats or attacks, widespread disease or pandemics (including the COVID-</w:t>
      </w:r>
    </w:p>
    <w:p>
      <w:pPr>
        <w:jc w:val="both"/>
        <w:ind w:left="60" w:right="59"/>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pandemic), or other adverse external events that could cause economic deterioration or instability in credit markets (including Russia’s invasion of Ukraine); (iii) changes in state and federal laws, regulations, and governmental policies concerning First Busey’s general business; (iv) changes in interest rates and prepayment rates of First Busey’s assets (including the impact of the LIBOR phase-out) (v) increased competition in the financial services sector and the inability to attract new customers; (vi) changes in technology and the ability to develop and maintain secure and reliable electronic systems; (vii) the loss of key executives or associates; (viii) changes in consumer spending; (ix) unexpected results of current and/or future acquisitions, which may include failure to realize the anticipated benefits of any acquisition and the possibility that transaction costs may be greater than anticipated; (x) unexpected outcomes of existing or new litigation involving First Busey;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First Busey and our business, including additional factors that could materially affect our financial results, is included in our filings with the SEC.</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First Busey has established various accounting policies that govern the application of GAAP in the preparation of its unaudited consolidated financial statements. Significant accounting policies are described in </w:t>
      </w:r>
      <w:r>
        <w:rPr>
          <w:rFonts w:ascii="Times New Roman" w:cs="Times New Roman" w:eastAsia="Times New Roman" w:hAnsi="Times New Roman"/>
          <w:sz w:val="18"/>
          <w:szCs w:val="18"/>
          <w:i w:val="1"/>
          <w:iCs w:val="1"/>
          <w:color w:val="auto"/>
        </w:rPr>
        <w:t>“Note 1.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of the Company’s 2021 Annual Report.</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 Securities Available for Sale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7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Realized securities gains or losses are reported in the Consolidated Statements of Income. The cost of securities sold is based on the specific identification method.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ACL balance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consider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to which the fair value is less than the amortized cost basis;</w:t>
      </w:r>
    </w:p>
    <w:p>
      <w:pPr>
        <w:spacing w:after="0" w:line="27"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structure of the debt security and the likelihood of the issuer being able to make payments that increase in the future;</w:t>
      </w: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issuer of the security to make scheduled interest or principal payments;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rating of the security by a rating agency.</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Impairment related to a credit loss must be measured using the discounted cash flow method. Credit loss recognition is limited to the fair value of the security. The impairment is recognized by establishing an ACL balance for the debt security through the provision for credit losses. Impairment related to noncredit factors is recognized in AOCI, net of applicable taxes.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 in Business Combinations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 “the price that would be received to sell an asset or paid to transfer a liability in an orderly transaction between market participants at the measurement date.”</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a loan portfolio acquired in a business combination generally requires greater levels of management estimates and judgment than other assets acquired or liabilities assumed. Acquired loans are in the scope of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However, the offset to record the ACL on acquired loans at the date of acquisition depends on whether or not the loan is classified as PCD. The ACL for PCD loans is recorded through a gross-up effect, while the ACL for acquired non-PCD loans is recorded through provision expense, consistent with originated loans. Thus, the determination of which loans are PCD and non-PCD can have a significant effect on the accounting for these loans.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First Busey estimates income tax expense based on amounts expected to be owed to federal and state tax 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First Busey calculates the ACL at each reporting date. We recognize an allowance for the lifetime expected credit losses for the amount the Company does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First Busey may not be able to make or obtain such forecasts for the entire life of the financial assets and requires a reversion to historical credit loss information.</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determining the ACL, management relies predominantly on a disciplined credit review and approval process that extends to the full range of First Busey’s credit exposure. The ACL must be determined on a collective (pool) basis when similar risk characteristics exist. On a case-by-case basis, we may conclude a loan should be evaluated on an individual basis based on disparate risk characteristics.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76"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as of March 31, 2022, or December 31, 2021.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322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Year-One: Basis Point Changes</w:t>
            </w:r>
          </w:p>
        </w:tc>
      </w:tr>
      <w:tr>
        <w:trPr>
          <w:trHeight w:val="174"/>
        </w:trPr>
        <w:tc>
          <w:tcPr>
            <w:tcW w:w="56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w:t>
            </w:r>
          </w:p>
        </w:tc>
        <w:tc>
          <w:tcPr>
            <w:tcW w:w="26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+300</w:t>
            </w:r>
          </w:p>
        </w:tc>
        <w:tc>
          <w:tcPr>
            <w:tcW w:w="260" w:type="dxa"/>
            <w:vAlign w:val="bottom"/>
            <w:tcBorders>
              <w:bottom w:val="single" w:sz="8" w:color="CCEEFF"/>
            </w:tcBorders>
          </w:tcPr>
          <w:p>
            <w:pPr>
              <w:spacing w:after="0"/>
              <w:rPr>
                <w:sz w:val="15"/>
                <w:szCs w:val="15"/>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8.77 %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17.19 %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25.64 %</w:t>
            </w:r>
          </w:p>
        </w:tc>
      </w:tr>
      <w:tr>
        <w:trPr>
          <w:trHeight w:val="368"/>
        </w:trPr>
        <w:tc>
          <w:tcPr>
            <w:tcW w:w="5680" w:type="dxa"/>
            <w:vAlign w:val="bottom"/>
          </w:tcPr>
          <w:p>
            <w:pPr>
              <w:spacing w:after="0"/>
              <w:rPr>
                <w:sz w:val="24"/>
                <w:szCs w:val="24"/>
                <w:color w:val="auto"/>
              </w:rPr>
            </w:pPr>
          </w:p>
        </w:tc>
        <w:tc>
          <w:tcPr>
            <w:tcW w:w="322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Year-Two: Basis Point Changes</w:t>
            </w:r>
          </w:p>
        </w:tc>
      </w:tr>
      <w:tr>
        <w:trPr>
          <w:trHeight w:val="174"/>
        </w:trPr>
        <w:tc>
          <w:tcPr>
            <w:tcW w:w="56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w:t>
            </w:r>
          </w:p>
        </w:tc>
        <w:tc>
          <w:tcPr>
            <w:tcW w:w="26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+300</w:t>
            </w:r>
          </w:p>
        </w:tc>
        <w:tc>
          <w:tcPr>
            <w:tcW w:w="260" w:type="dxa"/>
            <w:vAlign w:val="bottom"/>
            <w:tcBorders>
              <w:bottom w:val="single" w:sz="8" w:color="CCEEFF"/>
            </w:tcBorders>
          </w:tcPr>
          <w:p>
            <w:pPr>
              <w:spacing w:after="0"/>
              <w:rPr>
                <w:sz w:val="15"/>
                <w:szCs w:val="15"/>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9.51 %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18.22 %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26.84 %</w:t>
            </w:r>
          </w:p>
        </w:tc>
      </w:tr>
    </w:tbl>
    <w:p>
      <w:pPr>
        <w:spacing w:after="0" w:line="17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8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An evaluation of our disclosure controls and procedures, as defined in Rule 13a-15(e) under the Exchange Act, was carried out as of March 31, 2022, under the supervision and with the participation of our Chief Executive Officer, Chief Financial Officer, and several other members of our senior management. Based on this evaluation, our Chief Executive Officer and Chief Financial Officer concluded that, as of March 31, 2022, our disclosure controls and procedures were effective in ensuring that the information we are required to disclose in the reports we file or submit under the Exchange Act was</w:t>
      </w:r>
    </w:p>
    <w:p>
      <w:pPr>
        <w:spacing w:after="0" w:line="2" w:lineRule="exact"/>
        <w:rPr>
          <w:sz w:val="20"/>
          <w:szCs w:val="20"/>
          <w:color w:val="auto"/>
        </w:rPr>
      </w:pPr>
    </w:p>
    <w:p>
      <w:pPr>
        <w:jc w:val="both"/>
        <w:ind w:left="60" w:right="59" w:hanging="10"/>
        <w:spacing w:after="0" w:line="255" w:lineRule="auto"/>
        <w:tabs>
          <w:tab w:leader="none" w:pos="2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no change occurred in our internal control over financial reporting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part of the ordinary course of business, First Busey and its subsidiaries are parties to litigation that is incidental to their regular business activities.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disclosed in </w:t>
      </w:r>
      <w:r>
        <w:rPr>
          <w:rFonts w:ascii="Times New Roman" w:cs="Times New Roman" w:eastAsia="Times New Roman" w:hAnsi="Times New Roman"/>
          <w:sz w:val="18"/>
          <w:szCs w:val="18"/>
          <w:i w:val="1"/>
          <w:iCs w:val="1"/>
          <w:color w:val="auto"/>
        </w:rPr>
        <w:t>Part I—Item 1A</w:t>
      </w:r>
      <w:r>
        <w:rPr>
          <w:rFonts w:ascii="Times New Roman" w:cs="Times New Roman" w:eastAsia="Times New Roman" w:hAnsi="Times New Roman"/>
          <w:sz w:val="18"/>
          <w:szCs w:val="18"/>
          <w:color w:val="auto"/>
        </w:rPr>
        <w:t xml:space="preserve"> of First Busey’s 2021 Annual Report.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3, 2015, First Busey’s board of directors authorized the Company to repurchase up to an aggregate of 666,667 shares of its common stock. The repurchase plan has no expiration date.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During the first quarter of 2022, the Company purchased 188,614 shares under the plan. As of March 31, 2022, the Company had 347,210 shares that may still be purchased under the plan.</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Number of</w:t>
            </w:r>
          </w:p>
        </w:tc>
      </w:tr>
      <w:tr>
        <w:trPr>
          <w:trHeight w:val="162"/>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That May Yet</w:t>
            </w:r>
          </w:p>
        </w:tc>
      </w:tr>
      <w:tr>
        <w:trPr>
          <w:trHeight w:val="175"/>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Paid per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 Purchased Under</w:t>
            </w:r>
          </w:p>
        </w:tc>
      </w:tr>
      <w:tr>
        <w:trPr>
          <w:trHeight w:val="20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r>
      <w:tr>
        <w:trPr>
          <w:trHeight w:val="209"/>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 2022</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81,614</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454,210</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1-28,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382,210</w:t>
            </w:r>
          </w:p>
        </w:tc>
      </w:tr>
      <w:tr>
        <w:trPr>
          <w:trHeight w:val="216"/>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347,210</w:t>
            </w:r>
          </w:p>
        </w:tc>
      </w:tr>
      <w:tr>
        <w:trPr>
          <w:trHeight w:val="20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80" w:type="dxa"/>
            <w:vAlign w:val="bottom"/>
            <w:gridSpan w:val="7"/>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80" w:type="dxa"/>
            <w:vAlign w:val="bottom"/>
            <w:gridSpan w:val="7"/>
            <w:vMerge w:val="continue"/>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8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4"/>
                <w:szCs w:val="14"/>
                <w:color w:val="auto"/>
              </w:rPr>
            </w:pPr>
          </w:p>
        </w:tc>
        <w:tc>
          <w:tcPr>
            <w:tcW w:w="6880" w:type="dxa"/>
            <w:vAlign w:val="bottom"/>
            <w:tcBorders>
              <w:top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 and Rule 15d-14(a)</w:t>
            </w:r>
          </w:p>
        </w:tc>
        <w:tc>
          <w:tcPr>
            <w:tcW w:w="20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2"/>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65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 and Rule 15d-14(a)</w:t>
            </w:r>
          </w:p>
        </w:tc>
        <w:tc>
          <w:tcPr>
            <w:tcW w:w="40" w:type="dxa"/>
            <w:vAlign w:val="bottom"/>
            <w:tcBorders>
              <w:top w:val="single" w:sz="8" w:color="0000EE"/>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2"/>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 from First Busey’s Chief Executive Officer</w:t>
            </w:r>
          </w:p>
        </w:tc>
        <w:tc>
          <w:tcPr>
            <w:tcW w:w="1600" w:type="dxa"/>
            <w:vAlign w:val="bottom"/>
            <w:tcBorders>
              <w:top w:val="single" w:sz="8" w:color="0000EE"/>
            </w:tcBorders>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from First Busey’s Chief Financial Officer</w:t>
            </w:r>
          </w:p>
        </w:tc>
        <w:tc>
          <w:tcPr>
            <w:tcW w:w="2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iXBRL Instance Document</w:t>
            </w:r>
          </w:p>
        </w:tc>
        <w:tc>
          <w:tcPr>
            <w:tcW w:w="188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iXBRL Taxonomy Extension Schema</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iXBRL Taxonomy Extension Label Linkbase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iXBRL Taxonomy Extension Definition Linkbase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20" w:right="1039" w:hanging="1070"/>
        <w:spacing w:after="0" w:line="282" w:lineRule="auto"/>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58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FIRST BUSEY CORPORATION</w:t>
            </w:r>
          </w:p>
        </w:tc>
      </w:tr>
      <w:tr>
        <w:trPr>
          <w:trHeight w:val="234"/>
        </w:trPr>
        <w:tc>
          <w:tcPr>
            <w:tcW w:w="3000" w:type="dxa"/>
            <w:vAlign w:val="bottom"/>
          </w:tcPr>
          <w:p>
            <w:pPr>
              <w:spacing w:after="0"/>
              <w:rPr>
                <w:sz w:val="20"/>
                <w:szCs w:val="20"/>
                <w:color w:val="auto"/>
              </w:rPr>
            </w:pPr>
          </w:p>
        </w:tc>
        <w:tc>
          <w:tcPr>
            <w:tcW w:w="58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000" w:type="dxa"/>
            <w:vAlign w:val="bottom"/>
          </w:tcPr>
          <w:p>
            <w:pPr>
              <w:spacing w:after="0"/>
              <w:rPr>
                <w:sz w:val="24"/>
                <w:szCs w:val="24"/>
                <w:color w:val="auto"/>
              </w:rPr>
            </w:pPr>
          </w:p>
        </w:tc>
        <w:tc>
          <w:tcPr>
            <w:tcW w:w="58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By:/s/ VAN A. DUKEMAN</w:t>
            </w:r>
          </w:p>
        </w:tc>
      </w:tr>
      <w:tr>
        <w:trPr>
          <w:trHeight w:val="191"/>
        </w:trPr>
        <w:tc>
          <w:tcPr>
            <w:tcW w:w="3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Van A. Dukeman</w:t>
            </w:r>
          </w:p>
        </w:tc>
      </w:tr>
      <w:tr>
        <w:trPr>
          <w:trHeight w:val="216"/>
        </w:trPr>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000" w:type="dxa"/>
            <w:vAlign w:val="bottom"/>
          </w:tcPr>
          <w:p>
            <w:pPr>
              <w:spacing w:after="0"/>
              <w:rPr>
                <w:sz w:val="24"/>
                <w:szCs w:val="24"/>
                <w:color w:val="auto"/>
              </w:rPr>
            </w:pPr>
          </w:p>
        </w:tc>
        <w:tc>
          <w:tcPr>
            <w:tcW w:w="58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By:/s/ JEFFREY D. JONES</w:t>
            </w:r>
          </w:p>
        </w:tc>
      </w:tr>
      <w:tr>
        <w:trPr>
          <w:trHeight w:val="191"/>
        </w:trPr>
        <w:tc>
          <w:tcPr>
            <w:tcW w:w="3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D. Jones</w:t>
            </w:r>
          </w:p>
        </w:tc>
      </w:tr>
      <w:tr>
        <w:trPr>
          <w:trHeight w:val="216"/>
        </w:trPr>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000" w:type="dxa"/>
            <w:vAlign w:val="bottom"/>
          </w:tcPr>
          <w:p>
            <w:pPr>
              <w:spacing w:after="0"/>
              <w:rPr>
                <w:sz w:val="24"/>
                <w:szCs w:val="24"/>
                <w:color w:val="auto"/>
              </w:rPr>
            </w:pPr>
          </w:p>
        </w:tc>
        <w:tc>
          <w:tcPr>
            <w:tcW w:w="58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By:/s/ LYNETTE M. STRODE</w:t>
            </w:r>
          </w:p>
        </w:tc>
      </w:tr>
      <w:tr>
        <w:trPr>
          <w:trHeight w:val="191"/>
        </w:trPr>
        <w:tc>
          <w:tcPr>
            <w:tcW w:w="3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Lynette M. Strode</w:t>
            </w:r>
          </w:p>
        </w:tc>
      </w:tr>
      <w:tr>
        <w:trPr>
          <w:trHeight w:val="234"/>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Busey Corporation;</w:t>
      </w:r>
    </w:p>
    <w:p>
      <w:pPr>
        <w:spacing w:after="0" w:line="225"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Busey Corporation;</w:t>
      </w:r>
    </w:p>
    <w:p>
      <w:pPr>
        <w:spacing w:after="0" w:line="225"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8" w:name="page79"/>
    <w:bookmarkEnd w:id="78"/>
    <w:p>
      <w:pPr>
        <w:ind w:left="88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 the accompanying Quarterly Report of First Busey Corporation on Form 10-Q for the quarter ended March 31, 2022,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9" w:name="page80"/>
    <w:bookmarkEnd w:id="79"/>
    <w:p>
      <w:pPr>
        <w:ind w:left="88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 the accompanying Quarterly Report of First Busey Corporation on Form 10-Q for the quarter ended March 31, 2022,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lowerRoman"/>
      <w:start w:val="2"/>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decimal"/>
      <w:start w:val="104"/>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2022-05-05T17:16:21Z</dcterms:created>
  <dcterms:modified xsi:type="dcterms:W3CDTF">2022-05-05T17:16:21Z</dcterms:modified>
</cp:coreProperties>
</file>