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4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9/30/2017</w:t>
      </w:r>
    </w:p>
    <w:p>
      <w:pPr>
        <w:spacing w:after="0" w:line="24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60" w:type="dxa"/>
        <w:tblCellMar>
          <w:top w:w="0" w:type="dxa"/>
          <w:left w:w="0" w:type="dxa"/>
          <w:bottom w:w="0" w:type="dxa"/>
          <w:right w:w="0" w:type="dxa"/>
        </w:tblCellMar>
      </w:tblPr>
      <w:tr>
        <w:trPr>
          <w:trHeight w:val="220"/>
        </w:trPr>
        <w:tc>
          <w:tcPr>
            <w:tcW w:w="45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Nevada</w:t>
            </w:r>
          </w:p>
        </w:tc>
        <w:tc>
          <w:tcPr>
            <w:tcW w:w="410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1"/>
              </w:rPr>
              <w:t>or organization)</w:t>
            </w:r>
          </w:p>
        </w:tc>
        <w:tc>
          <w:tcPr>
            <w:tcW w:w="4100" w:type="dxa"/>
            <w:vAlign w:val="bottom"/>
          </w:tcPr>
          <w:p>
            <w:pPr>
              <w:spacing w:after="0"/>
              <w:rPr>
                <w:sz w:val="20"/>
                <w:szCs w:val="20"/>
                <w:color w:val="auto"/>
              </w:rPr>
            </w:pPr>
          </w:p>
        </w:tc>
      </w:tr>
      <w:tr>
        <w:trPr>
          <w:trHeight w:val="414"/>
        </w:trPr>
        <w:tc>
          <w:tcPr>
            <w:tcW w:w="45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100 W. University Ave.</w:t>
            </w:r>
          </w:p>
        </w:tc>
        <w:tc>
          <w:tcPr>
            <w:tcW w:w="4100" w:type="dxa"/>
            <w:vAlign w:val="bottom"/>
          </w:tcPr>
          <w:p>
            <w:pPr>
              <w:spacing w:after="0"/>
              <w:rPr>
                <w:sz w:val="24"/>
                <w:szCs w:val="24"/>
                <w:color w:val="auto"/>
              </w:rPr>
            </w:pPr>
          </w:p>
        </w:tc>
      </w:tr>
      <w:tr>
        <w:trPr>
          <w:trHeight w:val="220"/>
        </w:trPr>
        <w:tc>
          <w:tcPr>
            <w:tcW w:w="45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2"/>
              </w:rPr>
              <w:t>Champaign, Illinois</w:t>
            </w:r>
          </w:p>
        </w:tc>
        <w:tc>
          <w:tcPr>
            <w:tcW w:w="4100" w:type="dxa"/>
            <w:vAlign w:val="bottom"/>
          </w:tcPr>
          <w:p>
            <w:pPr>
              <w:jc w:val="right"/>
              <w:ind w:right="1010"/>
              <w:spacing w:after="0"/>
              <w:rPr>
                <w:sz w:val="20"/>
                <w:szCs w:val="20"/>
                <w:color w:val="auto"/>
              </w:rPr>
            </w:pPr>
            <w:r>
              <w:rPr>
                <w:rFonts w:ascii="Arial" w:cs="Arial" w:eastAsia="Arial" w:hAnsi="Arial"/>
                <w:sz w:val="18"/>
                <w:szCs w:val="18"/>
                <w:b w:val="1"/>
                <w:bCs w:val="1"/>
                <w:color w:val="auto"/>
              </w:rPr>
              <w:t>61820</w:t>
            </w:r>
          </w:p>
        </w:tc>
      </w:tr>
      <w:tr>
        <w:trPr>
          <w:trHeight w:val="230"/>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jc w:val="center"/>
              <w:ind w:left="137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25"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20" w:type="dxa"/>
            <w:vAlign w:val="bottom"/>
          </w:tcPr>
          <w:p>
            <w:pPr>
              <w:ind w:left="260"/>
              <w:spacing w:after="0"/>
              <w:rPr>
                <w:sz w:val="20"/>
                <w:szCs w:val="20"/>
                <w:color w:val="auto"/>
              </w:rPr>
            </w:pPr>
            <w:r>
              <w:rPr>
                <w:rFonts w:ascii="Arial" w:cs="Arial" w:eastAsia="Arial" w:hAnsi="Arial"/>
                <w:sz w:val="18"/>
                <w:szCs w:val="18"/>
                <w:color w:val="auto"/>
              </w:rPr>
              <w:t>x</w:t>
            </w:r>
          </w:p>
        </w:tc>
        <w:tc>
          <w:tcPr>
            <w:tcW w:w="3080" w:type="dxa"/>
            <w:vAlign w:val="bottom"/>
          </w:tcPr>
          <w:p>
            <w:pPr>
              <w:jc w:val="right"/>
              <w:spacing w:after="0"/>
              <w:rPr>
                <w:sz w:val="20"/>
                <w:szCs w:val="20"/>
                <w:color w:val="auto"/>
              </w:rPr>
            </w:pPr>
            <w:r>
              <w:rPr>
                <w:rFonts w:ascii="Arial" w:cs="Arial" w:eastAsia="Arial" w:hAnsi="Arial"/>
                <w:sz w:val="18"/>
                <w:szCs w:val="18"/>
                <w:color w:val="auto"/>
              </w:rPr>
              <w:t>Accelerated filer o</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20" w:type="dxa"/>
            <w:vAlign w:val="bottom"/>
          </w:tcPr>
          <w:p>
            <w:pPr>
              <w:ind w:left="260"/>
              <w:spacing w:after="0"/>
              <w:rPr>
                <w:sz w:val="20"/>
                <w:szCs w:val="20"/>
                <w:color w:val="auto"/>
              </w:rPr>
            </w:pPr>
            <w:r>
              <w:rPr>
                <w:rFonts w:ascii="Arial" w:cs="Arial" w:eastAsia="Arial" w:hAnsi="Arial"/>
                <w:sz w:val="18"/>
                <w:szCs w:val="18"/>
                <w:color w:val="auto"/>
              </w:rPr>
              <w:t>o   (Do not check if a smaller reporting company)</w:t>
            </w:r>
          </w:p>
        </w:tc>
        <w:tc>
          <w:tcPr>
            <w:tcW w:w="3080" w:type="dxa"/>
            <w:vAlign w:val="bottom"/>
          </w:tcPr>
          <w:p>
            <w:pPr>
              <w:jc w:val="right"/>
              <w:spacing w:after="0"/>
              <w:rPr>
                <w:sz w:val="20"/>
                <w:szCs w:val="20"/>
                <w:color w:val="auto"/>
              </w:rPr>
            </w:pPr>
            <w:r>
              <w:rPr>
                <w:rFonts w:ascii="Arial" w:cs="Arial" w:eastAsia="Arial" w:hAnsi="Arial"/>
                <w:sz w:val="18"/>
                <w:szCs w:val="18"/>
                <w:color w:val="auto"/>
              </w:rPr>
              <w:t>Smaller reporting company o</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20" w:type="dxa"/>
            <w:vAlign w:val="bottom"/>
          </w:tcPr>
          <w:p>
            <w:pPr>
              <w:ind w:left="260"/>
              <w:spacing w:after="0"/>
              <w:rPr>
                <w:sz w:val="20"/>
                <w:szCs w:val="20"/>
                <w:color w:val="auto"/>
              </w:rPr>
            </w:pPr>
            <w:r>
              <w:rPr>
                <w:rFonts w:ascii="Arial" w:cs="Arial" w:eastAsia="Arial" w:hAnsi="Arial"/>
                <w:sz w:val="18"/>
                <w:szCs w:val="18"/>
                <w:color w:val="auto"/>
              </w:rPr>
              <w:t>o</w:t>
            </w:r>
          </w:p>
        </w:tc>
        <w:tc>
          <w:tcPr>
            <w:tcW w:w="3080" w:type="dxa"/>
            <w:vAlign w:val="bottom"/>
          </w:tcPr>
          <w:p>
            <w:pPr>
              <w:spacing w:after="0"/>
              <w:rPr>
                <w:sz w:val="20"/>
                <w:szCs w:val="20"/>
                <w:color w:val="auto"/>
              </w:rPr>
            </w:pPr>
          </w:p>
        </w:tc>
      </w:tr>
    </w:tbl>
    <w:p>
      <w:pPr>
        <w:spacing w:after="0" w:line="20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Class</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November 8, 2017</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110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19"/>
                <w:szCs w:val="19"/>
                <w:color w:val="auto"/>
              </w:rPr>
            </w:pPr>
          </w:p>
        </w:tc>
        <w:tc>
          <w:tcPr>
            <w:tcW w:w="4500" w:type="dxa"/>
            <w:vAlign w:val="bottom"/>
            <w:tcBorders>
              <w:top w:val="single" w:sz="8" w:color="auto"/>
            </w:tcBorders>
          </w:tcPr>
          <w:p>
            <w:pPr>
              <w:jc w:val="right"/>
              <w:ind w:right="1779"/>
              <w:spacing w:after="0"/>
              <w:rPr>
                <w:sz w:val="20"/>
                <w:szCs w:val="20"/>
                <w:color w:val="auto"/>
              </w:rPr>
            </w:pPr>
            <w:r>
              <w:rPr>
                <w:rFonts w:ascii="Arial" w:cs="Arial" w:eastAsia="Arial" w:hAnsi="Arial"/>
                <w:sz w:val="18"/>
                <w:szCs w:val="18"/>
                <w:color w:val="auto"/>
              </w:rPr>
              <w:t>48,634,644</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110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1100" w:type="dxa"/>
            <w:vAlign w:val="bottom"/>
            <w:tcBorders>
              <w:bottom w:val="single" w:sz="8" w:color="auto"/>
            </w:tcBorders>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110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329"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2017 and December 31, 2016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5"/>
          </w:tcPr>
          <w:p>
            <w:pPr>
              <w:jc w:val="right"/>
              <w:ind w:right="111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(interest-bearing 2017 $111,455; 2016 $75,006)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214,381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166,706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 at fair value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708,247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Securities held to maturity, at amortized cost</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281,975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47,820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139,696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Portfolio loans (net of allowance for loan losses 2017 $51,035; 2016 $47,795)</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5,034,829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3,831,105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100,642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218,796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102,814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surrender value of bank owned life insurance</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101,104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79,720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61,946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64,328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6,913,789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5,425,170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1,321,439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4,051,844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3,240,165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5,373,283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4,374,298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219,071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212,850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Senior notes, net of unamortized issuance costs</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39,370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 of unamortized issuance costs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70,973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70,868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6,077,721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4,830,856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0" w:type="dxa"/>
            <w:vAlign w:val="bottom"/>
          </w:tcPr>
          <w:p>
            <w:pPr>
              <w:spacing w:after="0" w:line="201" w:lineRule="exact"/>
              <w:rPr>
                <w:sz w:val="20"/>
                <w:szCs w:val="20"/>
                <w:color w:val="auto"/>
              </w:rPr>
            </w:pPr>
            <w:r>
              <w:rPr>
                <w:rFonts w:ascii="Arial" w:cs="Arial" w:eastAsia="Arial" w:hAnsi="Arial"/>
                <w:sz w:val="18"/>
                <w:szCs w:val="18"/>
                <w:color w:val="auto"/>
              </w:rPr>
              <w:t>Commitments and contingencies (See “Note 14: Outstanding Commitments and Contingent</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spacing w:after="0" w:line="201" w:lineRule="exact"/>
              <w:rPr>
                <w:sz w:val="20"/>
                <w:szCs w:val="20"/>
                <w:color w:val="auto"/>
              </w:rPr>
            </w:pPr>
            <w:r>
              <w:rPr>
                <w:rFonts w:ascii="Arial" w:cs="Arial" w:eastAsia="Arial" w:hAnsi="Arial"/>
                <w:sz w:val="18"/>
                <w:szCs w:val="18"/>
                <w:color w:val="auto"/>
                <w:w w:val="93"/>
              </w:rPr>
              <w:t>Common stock, $.001 par value, authorized 66,666,667 shares; shares issued 2017 46,070,078; 2016</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38,869,519</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988,972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(135,552)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(163,689)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Total stockholders’ equity before treasury stock</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853,925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618,102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Common stock shares held in treasury at cost, 2017 550,937; 2016 633,232</w:t>
            </w: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(17,857)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(23,788)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6,913,789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5,425,170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45,519,141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38,236,287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gridSpan w:val="2"/>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jc w:val="center"/>
              <w:ind w:left="3710"/>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760" w:type="dxa"/>
            <w:vAlign w:val="bottom"/>
            <w:tcBorders>
              <w:bottom w:val="single" w:sz="8" w:color="808080"/>
            </w:tcBorders>
            <w:gridSpan w:val="2"/>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760" w:type="dxa"/>
            <w:vAlign w:val="bottom"/>
            <w:gridSpan w:val="2"/>
          </w:tcPr>
          <w:p>
            <w:pPr>
              <w:jc w:val="center"/>
              <w:ind w:left="353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jc w:val="center"/>
              <w:ind w:left="3710"/>
              <w:spacing w:after="0"/>
              <w:rPr>
                <w:sz w:val="20"/>
                <w:szCs w:val="20"/>
                <w:color w:val="auto"/>
              </w:rPr>
            </w:pPr>
            <w:r>
              <w:rPr>
                <w:rFonts w:ascii="Arial" w:cs="Arial" w:eastAsia="Arial" w:hAnsi="Arial"/>
                <w:sz w:val="18"/>
                <w:szCs w:val="18"/>
                <w:b w:val="1"/>
                <w:bCs w:val="1"/>
                <w:color w:val="auto"/>
              </w:rPr>
              <w:t>CONSOLIDATED STATEMENTS OF INCOME</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4"/>
          </w:tcPr>
          <w:p>
            <w:pPr>
              <w:jc w:val="center"/>
              <w:ind w:left="1830"/>
              <w:spacing w:after="0"/>
              <w:rPr>
                <w:sz w:val="20"/>
                <w:szCs w:val="20"/>
                <w:color w:val="auto"/>
              </w:rPr>
            </w:pPr>
            <w:r>
              <w:rPr>
                <w:rFonts w:ascii="Arial" w:cs="Arial" w:eastAsia="Arial" w:hAnsi="Arial"/>
                <w:sz w:val="18"/>
                <w:szCs w:val="18"/>
                <w:b w:val="1"/>
                <w:bCs w:val="1"/>
                <w:color w:val="auto"/>
                <w:w w:val="90"/>
              </w:rPr>
              <w:t>For the Nine Months Ended September 30, 2017 and 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Pr>
          <w:p>
            <w:pPr>
              <w:jc w:val="center"/>
              <w:ind w:left="369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5"/>
          </w:tcPr>
          <w:p>
            <w:pPr>
              <w:jc w:val="right"/>
              <w:ind w:right="291"/>
              <w:spacing w:after="0" w:line="142" w:lineRule="exact"/>
              <w:rPr>
                <w:sz w:val="20"/>
                <w:szCs w:val="20"/>
                <w:color w:val="auto"/>
              </w:rPr>
            </w:pPr>
            <w:r>
              <w:rPr>
                <w:rFonts w:ascii="Arial" w:cs="Arial" w:eastAsia="Arial" w:hAnsi="Arial"/>
                <w:sz w:val="14"/>
                <w:szCs w:val="14"/>
                <w:b w:val="1"/>
                <w:bCs w:val="1"/>
                <w:color w:val="auto"/>
                <w:w w:val="95"/>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138,595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104,333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dividends on investment securities: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Taxable interest income</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12,339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Non-taxable interest income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income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153,455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117,250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8,058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-2788285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-2788285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10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1,857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140,320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110,025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137,826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105,975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income: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Trust fees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17,088</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 and brokers’ fees, net</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Remittance processing</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8,581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 for customer services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Mortgage revenue</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8,430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gains, net</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4,774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106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 employee benefits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67,448</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Net occupancy expense of premises</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10,025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 expenses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Data processing</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13,290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Regulatory expense</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1,803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19,962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expense</w:t>
            </w: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121,326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103,451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26,980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106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2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earnings per common share</w:t>
            </w:r>
          </w:p>
        </w:tc>
        <w:tc>
          <w:tcPr>
            <w:tcW w:w="106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1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tcPr>
          <w:p>
            <w:pPr>
              <w:jc w:val="center"/>
              <w:ind w:left="3710"/>
              <w:spacing w:after="0"/>
              <w:rPr>
                <w:sz w:val="20"/>
                <w:szCs w:val="20"/>
                <w:color w:val="auto"/>
              </w:rPr>
            </w:pPr>
            <w:r>
              <w:rPr>
                <w:rFonts w:ascii="Arial" w:cs="Arial" w:eastAsia="Arial" w:hAnsi="Arial"/>
                <w:sz w:val="18"/>
                <w:szCs w:val="18"/>
                <w:color w:val="auto"/>
                <w:w w:val="99"/>
              </w:rPr>
              <w:t>4</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680" w:type="dxa"/>
            <w:vAlign w:val="bottom"/>
            <w:tcBorders>
              <w:bottom w:val="single" w:sz="8" w:color="808080"/>
            </w:tcBorders>
            <w:gridSpan w:val="2"/>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8680" w:type="dxa"/>
            <w:vAlign w:val="bottom"/>
            <w:gridSpan w:val="2"/>
          </w:tcPr>
          <w:p>
            <w:pPr>
              <w:jc w:val="center"/>
              <w:ind w:left="265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jc w:val="center"/>
              <w:ind w:left="3730"/>
              <w:spacing w:after="0"/>
              <w:rPr>
                <w:sz w:val="20"/>
                <w:szCs w:val="20"/>
                <w:color w:val="auto"/>
              </w:rPr>
            </w:pPr>
            <w:r>
              <w:rPr>
                <w:rFonts w:ascii="Arial" w:cs="Arial" w:eastAsia="Arial" w:hAnsi="Arial"/>
                <w:sz w:val="18"/>
                <w:szCs w:val="18"/>
                <w:b w:val="1"/>
                <w:bCs w:val="1"/>
                <w:color w:val="auto"/>
              </w:rPr>
              <w:t>CONSOLIDATED STATEMENTS OF INCOME</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jc w:val="center"/>
              <w:ind w:left="2650"/>
              <w:spacing w:after="0"/>
              <w:rPr>
                <w:sz w:val="20"/>
                <w:szCs w:val="20"/>
                <w:color w:val="auto"/>
              </w:rPr>
            </w:pPr>
            <w:r>
              <w:rPr>
                <w:rFonts w:ascii="Arial" w:cs="Arial" w:eastAsia="Arial" w:hAnsi="Arial"/>
                <w:sz w:val="18"/>
                <w:szCs w:val="18"/>
                <w:b w:val="1"/>
                <w:bCs w:val="1"/>
                <w:color w:val="auto"/>
                <w:w w:val="90"/>
              </w:rPr>
              <w:t>For the Three Months Ended September 30, 2017 and 2016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tcPr>
          <w:p>
            <w:pPr>
              <w:jc w:val="center"/>
              <w:ind w:left="371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6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3700" w:type="dxa"/>
            <w:vAlign w:val="bottom"/>
            <w:gridSpan w:val="6"/>
          </w:tcPr>
          <w:p>
            <w:pPr>
              <w:jc w:val="right"/>
              <w:ind w:right="290"/>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Interest and fees on loans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56,762</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dividends on investment securities: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Taxable interest income</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4,689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Non-taxable interest income</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interest income</w:t>
            </w: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62,519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47,188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3,851</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Subordinated notes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Junior subordinated debt owed to unconsolidated trusts</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380"/>
              <w:spacing w:after="0"/>
              <w:rPr>
                <w:sz w:val="20"/>
                <w:szCs w:val="20"/>
                <w:color w:val="auto"/>
              </w:rPr>
            </w:pPr>
            <w:r>
              <w:rPr>
                <w:rFonts w:ascii="Arial" w:cs="Arial" w:eastAsia="Arial" w:hAnsi="Arial"/>
                <w:sz w:val="18"/>
                <w:szCs w:val="18"/>
                <w:color w:val="auto"/>
              </w:rPr>
              <w:t>Net interest income</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55,941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44,131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interest income after provision for loan losses</w:t>
            </w: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54,447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income: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Trust fees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5,071</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Commissions and brokers’ fees, net</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Remittance processing</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2,877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Fees for customer services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Mortgage revenue</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3,526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gains, net</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1,730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106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wages and employee benefits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25,497</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Net occupancy expense of premises</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3,714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6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-5483225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-5483225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Data processing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5,753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Regulatory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778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8,126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expense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46,939</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28,345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9,561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18,784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0.41</w:t>
            </w:r>
          </w:p>
        </w:tc>
        <w:tc>
          <w:tcPr>
            <w:tcW w:w="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earnings per common share</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0"/>
              </w:rPr>
              <w:t>Dividends declared per share of common stock</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0.18</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3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gridSpan w:val="10"/>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10"/>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center"/>
              <w:ind w:left="292"/>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gridSpan w:val="2"/>
          </w:tcPr>
          <w:p>
            <w:pPr>
              <w:spacing w:after="0"/>
              <w:rPr>
                <w:sz w:val="11"/>
                <w:szCs w:val="11"/>
                <w:color w:val="auto"/>
              </w:rPr>
            </w:pPr>
          </w:p>
        </w:tc>
        <w:tc>
          <w:tcPr>
            <w:tcW w:w="240" w:type="dxa"/>
            <w:vAlign w:val="bottom"/>
            <w:tcBorders>
              <w:bottom w:val="single" w:sz="8" w:color="808080"/>
            </w:tcBorders>
            <w:gridSpan w:val="2"/>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gridSpan w:val="2"/>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gridSpan w:val="15"/>
          </w:tcPr>
          <w:p>
            <w:pPr>
              <w:jc w:val="center"/>
              <w:ind w:right="52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0"/>
          </w:tcPr>
          <w:p>
            <w:pPr>
              <w:jc w:val="center"/>
              <w:ind w:left="247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0"/>
          </w:tcPr>
          <w:p>
            <w:pPr>
              <w:jc w:val="center"/>
              <w:ind w:left="2490"/>
              <w:spacing w:after="0"/>
              <w:rPr>
                <w:sz w:val="20"/>
                <w:szCs w:val="20"/>
                <w:color w:val="auto"/>
              </w:rPr>
            </w:pPr>
            <w:r>
              <w:rPr>
                <w:rFonts w:ascii="Arial" w:cs="Arial" w:eastAsia="Arial" w:hAnsi="Arial"/>
                <w:sz w:val="18"/>
                <w:szCs w:val="18"/>
                <w:b w:val="1"/>
                <w:bCs w:val="1"/>
                <w:color w:val="auto"/>
                <w:w w:val="90"/>
              </w:rPr>
              <w:t>For the Three and Nine Months Ended September 30, 2017 and 2016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7"/>
          </w:tcPr>
          <w:p>
            <w:pPr>
              <w:jc w:val="center"/>
              <w:ind w:left="47"/>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center"/>
              <w:ind w:right="85"/>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07"/>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4"/>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18,784</w:t>
            </w:r>
          </w:p>
        </w:tc>
        <w:tc>
          <w:tcPr>
            <w:tcW w:w="82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15,422</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190"/>
              <w:spacing w:after="0"/>
              <w:rPr>
                <w:sz w:val="20"/>
                <w:szCs w:val="20"/>
                <w:color w:val="auto"/>
              </w:rPr>
            </w:pPr>
            <w:r>
              <w:rPr>
                <w:rFonts w:ascii="Arial" w:cs="Arial" w:eastAsia="Arial" w:hAnsi="Arial"/>
                <w:sz w:val="18"/>
                <w:szCs w:val="18"/>
                <w:color w:val="auto"/>
              </w:rPr>
              <w:t>50,433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Pr>
          <w:p>
            <w:pPr>
              <w:spacing w:after="0" w:line="196" w:lineRule="exact"/>
              <w:rPr>
                <w:sz w:val="20"/>
                <w:szCs w:val="20"/>
                <w:color w:val="auto"/>
              </w:rPr>
            </w:pPr>
            <w:r>
              <w:rPr>
                <w:rFonts w:ascii="Arial" w:cs="Arial" w:eastAsia="Arial" w:hAnsi="Arial"/>
                <w:sz w:val="18"/>
                <w:szCs w:val="18"/>
                <w:color w:val="auto"/>
                <w:w w:val="90"/>
              </w:rPr>
              <w:t>Other comprehensive income (loss), before tax:</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w w:val="89"/>
              </w:rPr>
              <w:t>Unrealized net gains (losses) on 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5"/>
            <w:shd w:val="clear" w:color="auto" w:fill="CCEEFF"/>
          </w:tcPr>
          <w:p>
            <w:pPr>
              <w:ind w:left="520"/>
              <w:spacing w:after="0" w:line="201" w:lineRule="exact"/>
              <w:rPr>
                <w:sz w:val="20"/>
                <w:szCs w:val="20"/>
                <w:color w:val="auto"/>
              </w:rPr>
            </w:pPr>
            <w:r>
              <w:rPr>
                <w:rFonts w:ascii="Arial" w:cs="Arial" w:eastAsia="Arial" w:hAnsi="Arial"/>
                <w:sz w:val="18"/>
                <w:szCs w:val="18"/>
                <w:color w:val="auto"/>
              </w:rPr>
              <w:t>Unrealized net holding gains (losses) arising during</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82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(2,017)</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190"/>
              <w:spacing w:after="0"/>
              <w:rPr>
                <w:sz w:val="20"/>
                <w:szCs w:val="20"/>
                <w:color w:val="auto"/>
              </w:rPr>
            </w:pPr>
            <w:r>
              <w:rPr>
                <w:rFonts w:ascii="Arial" w:cs="Arial" w:eastAsia="Arial" w:hAnsi="Arial"/>
                <w:sz w:val="18"/>
                <w:szCs w:val="18"/>
                <w:color w:val="auto"/>
              </w:rPr>
              <w:t>1,864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5"/>
          </w:tcPr>
          <w:p>
            <w:pPr>
              <w:ind w:left="520"/>
              <w:spacing w:after="0" w:line="201" w:lineRule="exact"/>
              <w:rPr>
                <w:sz w:val="20"/>
                <w:szCs w:val="20"/>
                <w:color w:val="auto"/>
              </w:rPr>
            </w:pPr>
            <w:r>
              <w:rPr>
                <w:rFonts w:ascii="Arial" w:cs="Arial" w:eastAsia="Arial" w:hAnsi="Arial"/>
                <w:sz w:val="18"/>
                <w:szCs w:val="18"/>
                <w:color w:val="auto"/>
                <w:w w:val="97"/>
              </w:rPr>
              <w:t>Reclassification adjustment for (gains) included in net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70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(290)</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6"/>
          </w:tcPr>
          <w:p>
            <w:pPr>
              <w:jc w:val="right"/>
              <w:ind w:right="130"/>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Other comprehensive income (loss), before tax</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(2,028)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5"/>
          </w:tcPr>
          <w:p>
            <w:pPr>
              <w:ind w:left="340"/>
              <w:spacing w:after="0" w:line="201" w:lineRule="exact"/>
              <w:rPr>
                <w:sz w:val="20"/>
                <w:szCs w:val="20"/>
                <w:color w:val="auto"/>
              </w:rPr>
            </w:pPr>
            <w:r>
              <w:rPr>
                <w:rFonts w:ascii="Arial" w:cs="Arial" w:eastAsia="Arial" w:hAnsi="Arial"/>
                <w:sz w:val="18"/>
                <w:szCs w:val="18"/>
                <w:color w:val="auto"/>
              </w:rPr>
              <w:t>Income tax expense (benefit) related to items of other</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52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ind w:right="190"/>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0"/>
              </w:rPr>
              <w:t>Other comprehensive income (loss), net of tax</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(1,213)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18,938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14,209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50,856</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10"/>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center"/>
              <w:ind w:left="292"/>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gridSpan w:val="4"/>
          </w:tcPr>
          <w:p>
            <w:pPr>
              <w:spacing w:after="0"/>
              <w:rPr>
                <w:sz w:val="11"/>
                <w:szCs w:val="11"/>
                <w:color w:val="auto"/>
              </w:rPr>
            </w:pPr>
          </w:p>
        </w:tc>
        <w:tc>
          <w:tcPr>
            <w:tcW w:w="240" w:type="dxa"/>
            <w:vAlign w:val="bottom"/>
            <w:tcBorders>
              <w:bottom w:val="single" w:sz="8" w:color="808080"/>
            </w:tcBorders>
            <w:gridSpan w:val="2"/>
          </w:tcPr>
          <w:p>
            <w:pPr>
              <w:spacing w:after="0"/>
              <w:rPr>
                <w:sz w:val="11"/>
                <w:szCs w:val="11"/>
                <w:color w:val="auto"/>
              </w:rPr>
            </w:pPr>
          </w:p>
        </w:tc>
        <w:tc>
          <w:tcPr>
            <w:tcW w:w="1160" w:type="dxa"/>
            <w:vAlign w:val="bottom"/>
            <w:tcBorders>
              <w:bottom w:val="single" w:sz="8" w:color="808080"/>
            </w:tcBorders>
            <w:gridSpan w:val="4"/>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3"/>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gridSpan w:val="15"/>
          </w:tcPr>
          <w:p>
            <w:pPr>
              <w:jc w:val="center"/>
              <w:ind w:right="52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0"/>
          </w:tcPr>
          <w:p>
            <w:pPr>
              <w:jc w:val="center"/>
              <w:ind w:left="249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760" w:type="dxa"/>
            <w:vAlign w:val="bottom"/>
            <w:gridSpan w:val="17"/>
          </w:tcPr>
          <w:p>
            <w:pPr>
              <w:jc w:val="center"/>
              <w:ind w:right="240"/>
              <w:spacing w:after="0"/>
              <w:rPr>
                <w:sz w:val="20"/>
                <w:szCs w:val="20"/>
                <w:color w:val="auto"/>
              </w:rPr>
            </w:pPr>
            <w:r>
              <w:rPr>
                <w:rFonts w:ascii="Arial" w:cs="Arial" w:eastAsia="Arial" w:hAnsi="Arial"/>
                <w:sz w:val="18"/>
                <w:szCs w:val="18"/>
                <w:b w:val="1"/>
                <w:bCs w:val="1"/>
                <w:color w:val="auto"/>
                <w:w w:val="90"/>
              </w:rPr>
              <w:t>For the Nine Months Ended September 30, 2017 and 2016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12"/>
          </w:tcPr>
          <w:p>
            <w:pPr>
              <w:jc w:val="center"/>
              <w:ind w:left="152"/>
              <w:spacing w:after="0"/>
              <w:rPr>
                <w:sz w:val="20"/>
                <w:szCs w:val="20"/>
                <w:color w:val="auto"/>
              </w:rPr>
            </w:pPr>
            <w:r>
              <w:rPr>
                <w:rFonts w:ascii="Arial" w:cs="Arial" w:eastAsia="Arial" w:hAnsi="Arial"/>
                <w:sz w:val="18"/>
                <w:szCs w:val="18"/>
                <w:i w:val="1"/>
                <w:iCs w:val="1"/>
                <w:color w:val="auto"/>
                <w:w w:val="90"/>
              </w:rPr>
              <w:t>(dollars in thousands, except per share amounts)</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Common</w:t>
            </w:r>
          </w:p>
        </w:tc>
        <w:tc>
          <w:tcPr>
            <w:tcW w:w="12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220" w:type="dxa"/>
            <w:vAlign w:val="bottom"/>
            <w:gridSpan w:val="4"/>
          </w:tcPr>
          <w:p>
            <w:pPr>
              <w:jc w:val="center"/>
              <w:ind w:right="5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900" w:type="dxa"/>
            <w:vAlign w:val="bottom"/>
            <w:gridSpan w:val="5"/>
            <w:vMerge w:val="restart"/>
          </w:tcPr>
          <w:p>
            <w:pPr>
              <w:jc w:val="right"/>
              <w:ind w:right="90"/>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center"/>
              <w:ind w:right="5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122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591,053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(190,265)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(29,971)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38,239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Stock issued in acquisition of Pulaski, net of</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issuance costs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w w:val="93"/>
              </w:rPr>
              <w:t>Issuance of treasury stock for employee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issuance of treasury stock for restricted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 vesting and related tax benefit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w w:val="97"/>
              </w:rPr>
              <w:t>Net issuance of stock options exercised, 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of shares redeemed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Cash dividends common stock at $0.51 per</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(16,253)</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Stock dividend equivalents restricted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units at $0.51 per share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dividend accrued on restricted stock</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 assumed with the Pulaski</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-8124190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-8124190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-4067810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-4067810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4" w:name="page5"/>
    <w:bookmarkEnd w:id="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at $0.17 per share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Stock-based employee compensation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Return of equity trust shares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2016</w:t>
            </w:r>
          </w:p>
        </w:tc>
        <w:tc>
          <w:tcPr>
            <w:tcW w:w="8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783,409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(168,552)</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(25,580)</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8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781,716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(163,689)</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(23,788)</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50,433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in acquisition of First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Community, net of stock issuance costs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211,575</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2"/>
              </w:rPr>
              <w:t>Issuance of treasury stock for employee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issuance of treasury stock for restricted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 vesting and related taxes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5"/>
              </w:rPr>
              <w:t>Net issuance of stock options exercised, net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of shares redeemed</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dividends common stock at $0.54 per</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(21,944)</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9"/>
              </w:rPr>
              <w:t>Stock dividend equivalents restricted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units at $0.54 per share</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Stock dividend accrued on restricted stock</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awards assumed with the Pulaski Financial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 acquisition at $0.54 per share</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Stock-based employee compensation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Return of 28,648 equity trust shares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2017</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988,972</w:t>
            </w:r>
          </w:p>
        </w:tc>
        <w:tc>
          <w:tcPr>
            <w:tcW w:w="1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(135,552)</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(17,857)</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836,068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9"/>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center"/>
              <w:ind w:left="370"/>
              <w:spacing w:after="0"/>
              <w:rPr>
                <w:sz w:val="20"/>
                <w:szCs w:val="20"/>
                <w:color w:val="auto"/>
              </w:rPr>
            </w:pPr>
            <w:r>
              <w:rPr>
                <w:rFonts w:ascii="Arial" w:cs="Arial" w:eastAsia="Arial" w:hAnsi="Arial"/>
                <w:sz w:val="18"/>
                <w:szCs w:val="18"/>
                <w:color w:val="auto"/>
                <w:w w:val="99"/>
              </w:rPr>
              <w:t>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gridSpan w:val="11"/>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gridSpan w:val="11"/>
          </w:tcPr>
          <w:p>
            <w:pPr>
              <w:jc w:val="center"/>
              <w:ind w:right="17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gridSpan w:val="11"/>
          </w:tcPr>
          <w:p>
            <w:pPr>
              <w:jc w:val="center"/>
              <w:ind w:right="1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72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0"/>
              </w:rPr>
              <w:t>For the Nine Months Ended September 30, 2017 and 2016</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3"/>
              </w:rPr>
              <w:t>(Unaudited)</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w w:val="90"/>
              </w:rPr>
              <w:t>50,433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w w:val="91"/>
              </w:rPr>
              <w:t>Adjustments to reconcile net income to net cash provided by operating activities: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w w:val="90"/>
              </w:rPr>
              <w:t>Stock-based and non-cash compensation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1,935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6,084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3,675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2,494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Provision for deferred income taxes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w w:val="98"/>
              </w:rPr>
              <w:t>(3,480)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1"/>
              </w:rPr>
              <w:t>Amortization of security premiums and discounts,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4,172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13"/>
          </w:tcPr>
          <w:p>
            <w:pPr>
              <w:ind w:left="360"/>
              <w:spacing w:after="0"/>
              <w:rPr>
                <w:sz w:val="20"/>
                <w:szCs w:val="20"/>
                <w:color w:val="auto"/>
              </w:rPr>
            </w:pPr>
            <w:r>
              <w:rPr>
                <w:rFonts w:ascii="Arial" w:cs="Arial" w:eastAsia="Arial" w:hAnsi="Arial"/>
                <w:sz w:val="18"/>
                <w:szCs w:val="18"/>
                <w:color w:val="auto"/>
                <w:w w:val="97"/>
              </w:rPr>
              <w:t>Accretion of premiums and discounts on time deposits, trust preferred securities and borrowing, net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1"/>
              </w:rPr>
              <w:t>Accretion of premiums and discounts on portfolio loans, net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(6,329)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Net security gains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w w:val="98"/>
              </w:rPr>
              <w:t>(1,143)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6"/>
              </w:rPr>
              <w:t>Gain on sales of mortgage loans, net of origination costs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(36,911)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Mortgage loans originated for sale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4"/>
          </w:tcPr>
          <w:p>
            <w:pPr>
              <w:jc w:val="right"/>
              <w:ind w:right="130"/>
              <w:spacing w:after="0"/>
              <w:rPr>
                <w:sz w:val="20"/>
                <w:szCs w:val="20"/>
                <w:color w:val="auto"/>
              </w:rPr>
            </w:pPr>
            <w:r>
              <w:rPr>
                <w:rFonts w:ascii="Arial" w:cs="Arial" w:eastAsia="Arial" w:hAnsi="Arial"/>
                <w:sz w:val="18"/>
                <w:szCs w:val="18"/>
                <w:color w:val="auto"/>
                <w:w w:val="95"/>
              </w:rPr>
              <w:t>(1,166,083)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(1,218,032)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Proceeds from sales of mortgage loans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1,314,779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5"/>
          </w:tcPr>
          <w:p>
            <w:pPr>
              <w:ind w:left="360"/>
              <w:spacing w:after="0"/>
              <w:rPr>
                <w:sz w:val="20"/>
                <w:szCs w:val="20"/>
                <w:color w:val="auto"/>
              </w:rPr>
            </w:pPr>
            <w:r>
              <w:rPr>
                <w:rFonts w:ascii="Arial" w:cs="Arial" w:eastAsia="Arial" w:hAnsi="Arial"/>
                <w:sz w:val="18"/>
                <w:szCs w:val="18"/>
                <w:color w:val="auto"/>
                <w:w w:val="89"/>
              </w:rPr>
              <w:t>Net (gains) losses on disposition of premises and equipment</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Premises and equipment impairment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6"/>
          </w:tcPr>
          <w:p>
            <w:pPr>
              <w:ind w:left="360"/>
              <w:spacing w:after="0"/>
              <w:rPr>
                <w:sz w:val="20"/>
                <w:szCs w:val="20"/>
                <w:color w:val="auto"/>
              </w:rPr>
            </w:pPr>
            <w:r>
              <w:rPr>
                <w:rFonts w:ascii="Arial" w:cs="Arial" w:eastAsia="Arial" w:hAnsi="Arial"/>
                <w:sz w:val="18"/>
                <w:szCs w:val="18"/>
                <w:color w:val="auto"/>
                <w:w w:val="94"/>
              </w:rPr>
              <w:t>Increase in cash surrender value of bank owned life insurance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w w:val="98"/>
              </w:rPr>
              <w:t>(1,604)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assets and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540"/>
              <w:spacing w:after="0"/>
              <w:rPr>
                <w:sz w:val="20"/>
                <w:szCs w:val="20"/>
                <w:color w:val="auto"/>
              </w:rPr>
            </w:pPr>
            <w:r>
              <w:rPr>
                <w:rFonts w:ascii="Arial" w:cs="Arial" w:eastAsia="Arial" w:hAnsi="Arial"/>
                <w:sz w:val="18"/>
                <w:szCs w:val="18"/>
                <w:color w:val="auto"/>
              </w:rPr>
              <w:t>Decrease in other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w w:val="90"/>
              </w:rPr>
              <w:t>14,049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(Decrease) increase in other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(5,513)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540"/>
              <w:spacing w:after="0"/>
              <w:rPr>
                <w:sz w:val="20"/>
                <w:szCs w:val="20"/>
                <w:color w:val="auto"/>
              </w:rPr>
            </w:pPr>
            <w:r>
              <w:rPr>
                <w:rFonts w:ascii="Arial" w:cs="Arial" w:eastAsia="Arial" w:hAnsi="Arial"/>
                <w:sz w:val="18"/>
                <w:szCs w:val="18"/>
                <w:color w:val="auto"/>
                <w:w w:val="90"/>
              </w:rPr>
              <w:t>Increase (decrease) in interest payable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7"/>
              </w:rPr>
              <w:t>Decrease (increase) in income taxes receivable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gridSpan w:val="8"/>
          </w:tcPr>
          <w:p>
            <w:pPr>
              <w:ind w:left="720"/>
              <w:spacing w:after="0"/>
              <w:rPr>
                <w:sz w:val="20"/>
                <w:szCs w:val="20"/>
                <w:color w:val="auto"/>
              </w:rPr>
            </w:pPr>
            <w:r>
              <w:rPr>
                <w:rFonts w:ascii="Arial" w:cs="Arial" w:eastAsia="Arial" w:hAnsi="Arial"/>
                <w:sz w:val="18"/>
                <w:szCs w:val="18"/>
                <w:b w:val="1"/>
                <w:bCs w:val="1"/>
                <w:color w:val="auto"/>
                <w:w w:val="92"/>
              </w:rPr>
              <w:t>Net cash provided by (used in) operating activities before activities</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179,354</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2"/>
              </w:rPr>
              <w:t>Proceeds from sales of securities classified available for sale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134,515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5"/>
          </w:tcPr>
          <w:p>
            <w:pPr>
              <w:ind w:left="180"/>
              <w:spacing w:after="0"/>
              <w:rPr>
                <w:sz w:val="20"/>
                <w:szCs w:val="20"/>
                <w:color w:val="auto"/>
              </w:rPr>
            </w:pPr>
            <w:r>
              <w:rPr>
                <w:rFonts w:ascii="Arial" w:cs="Arial" w:eastAsia="Arial" w:hAnsi="Arial"/>
                <w:sz w:val="18"/>
                <w:szCs w:val="18"/>
                <w:color w:val="auto"/>
                <w:w w:val="95"/>
              </w:rPr>
              <w:t>Proceeds from sales of securities classified held to maturity</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3"/>
              </w:rPr>
              <w:t>Proceeds from maturities of securities classified available for sale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154,435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6"/>
          </w:tcPr>
          <w:p>
            <w:pPr>
              <w:ind w:left="180"/>
              <w:spacing w:after="0"/>
              <w:rPr>
                <w:sz w:val="20"/>
                <w:szCs w:val="20"/>
                <w:color w:val="auto"/>
              </w:rPr>
            </w:pPr>
            <w:r>
              <w:rPr>
                <w:rFonts w:ascii="Arial" w:cs="Arial" w:eastAsia="Arial" w:hAnsi="Arial"/>
                <w:sz w:val="18"/>
                <w:szCs w:val="18"/>
                <w:color w:val="auto"/>
                <w:w w:val="95"/>
              </w:rPr>
              <w:t>Proceeds from maturities of securities classified held to maturity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6,358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Purchase of securities classified available for sale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(128,425)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ind w:left="180"/>
              <w:spacing w:after="0"/>
              <w:rPr>
                <w:sz w:val="20"/>
                <w:szCs w:val="20"/>
                <w:color w:val="auto"/>
              </w:rPr>
            </w:pPr>
            <w:r>
              <w:rPr>
                <w:rFonts w:ascii="Arial" w:cs="Arial" w:eastAsia="Arial" w:hAnsi="Arial"/>
                <w:sz w:val="18"/>
                <w:szCs w:val="18"/>
                <w:color w:val="auto"/>
              </w:rPr>
              <w:t>Purchase of securities classified held to maturity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4"/>
          </w:tcPr>
          <w:p>
            <w:pPr>
              <w:jc w:val="right"/>
              <w:ind w:right="130"/>
              <w:spacing w:after="0"/>
              <w:rPr>
                <w:sz w:val="20"/>
                <w:szCs w:val="20"/>
                <w:color w:val="auto"/>
              </w:rPr>
            </w:pPr>
            <w:r>
              <w:rPr>
                <w:rFonts w:ascii="Arial" w:cs="Arial" w:eastAsia="Arial" w:hAnsi="Arial"/>
                <w:sz w:val="18"/>
                <w:szCs w:val="18"/>
                <w:color w:val="auto"/>
              </w:rPr>
              <w:t>(185,201)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Net (increase) decrease in portfolio loans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(98,040)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-5815965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-5815965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40" w:right="199" w:bottom="0" w:gutter="0" w:footer="0" w:header="0"/>
        </w:sectPr>
      </w:pPr>
    </w:p>
    <w:bookmarkStart w:id="5" w:name="page6"/>
    <w:bookmarkEnd w:id="5"/>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Proceeds from disposition of premises and equipment</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c>
          <w:tcPr>
            <w:tcW w:w="5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other real estate owned (“OREO”) properties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Purchases of premises and equipment</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(11,336)</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received in acquisitions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29,947</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25,575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Proceeds from the redemption of Federal Home Loan Bank (“FHLB”) stock</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8,213</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17,640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FHLB stock</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(3,891)</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6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(88,734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7"/>
          </w:tcPr>
          <w:p>
            <w:pPr>
              <w:ind w:left="1000"/>
              <w:spacing w:after="0"/>
              <w:rPr>
                <w:sz w:val="20"/>
                <w:szCs w:val="20"/>
                <w:color w:val="auto"/>
              </w:rPr>
            </w:pPr>
            <w:r>
              <w:rPr>
                <w:rFonts w:ascii="Arial" w:cs="Arial" w:eastAsia="Arial" w:hAnsi="Arial"/>
                <w:sz w:val="18"/>
                <w:szCs w:val="18"/>
                <w:color w:val="auto"/>
                <w:w w:val="91"/>
              </w:rPr>
              <w:t>(continued on next page)</w:t>
            </w:r>
          </w:p>
        </w:tc>
        <w:tc>
          <w:tcPr>
            <w:tcW w:w="0" w:type="dxa"/>
            <w:vAlign w:val="bottom"/>
          </w:tcPr>
          <w:p>
            <w:pPr>
              <w:spacing w:after="0"/>
              <w:rPr>
                <w:sz w:val="1"/>
                <w:szCs w:val="1"/>
                <w:color w:val="auto"/>
              </w:rPr>
            </w:pPr>
          </w:p>
        </w:tc>
      </w:tr>
      <w:tr>
        <w:trPr>
          <w:trHeight w:val="432"/>
        </w:trPr>
        <w:tc>
          <w:tcPr>
            <w:tcW w:w="8300" w:type="dxa"/>
            <w:vAlign w:val="bottom"/>
            <w:gridSpan w:val="2"/>
          </w:tcPr>
          <w:p>
            <w:pPr>
              <w:jc w:val="center"/>
              <w:ind w:left="3030"/>
              <w:spacing w:after="0"/>
              <w:rPr>
                <w:sz w:val="20"/>
                <w:szCs w:val="20"/>
                <w:color w:val="auto"/>
              </w:rPr>
            </w:pPr>
            <w:r>
              <w:rPr>
                <w:rFonts w:ascii="Arial" w:cs="Arial" w:eastAsia="Arial" w:hAnsi="Arial"/>
                <w:sz w:val="18"/>
                <w:szCs w:val="18"/>
                <w:color w:val="auto"/>
                <w:w w:val="99"/>
              </w:rPr>
              <w:t>8</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7"/>
              </w:rPr>
              <w:t>CONSOLIDATED STATEMENTS OF CASH FLOWS (continued)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0"/>
              </w:rPr>
              <w:t>For the Nine Months Ended September 30, 2017 and 2016</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3"/>
              </w:rPr>
              <w:t>(Unaudited)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Net decrease in 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(92,596)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(131,917)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demand, money market and savings deposits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(42,414)</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Net increase in securities sold under agreements to repurchase</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4,443</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16,551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short-term borrowings,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53,150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Repayment of long-term advances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(39,800)</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senior debt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39,326</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Net proceeds from issuance of subordinated debt</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58,986</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paid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(21,971)</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180"/>
              <w:spacing w:after="0" w:line="201" w:lineRule="exact"/>
              <w:rPr>
                <w:sz w:val="20"/>
                <w:szCs w:val="20"/>
                <w:color w:val="auto"/>
              </w:rPr>
            </w:pPr>
            <w:r>
              <w:rPr>
                <w:rFonts w:ascii="Arial" w:cs="Arial" w:eastAsia="Arial" w:hAnsi="Arial"/>
                <w:sz w:val="18"/>
                <w:szCs w:val="18"/>
                <w:color w:val="auto"/>
              </w:rPr>
              <w:t>Value of shares surrendered upon vesting to satisfy tax withholding obligations of stock-based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3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(1,975)</w:t>
            </w:r>
          </w:p>
        </w:tc>
        <w:tc>
          <w:tcPr>
            <w:tcW w:w="5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Common stock issuance costs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(42,945)</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(117,454)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47,675</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41,555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166,706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319,280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ending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214,381</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360,835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Cash payments for: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11,485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19,369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13,900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Real estate acquired in settlement of loans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00" w:type="dxa"/>
            <w:vAlign w:val="bottom"/>
            <w:gridSpan w:val="2"/>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jc w:val="center"/>
              <w:ind w:left="3030"/>
              <w:spacing w:after="0"/>
              <w:rPr>
                <w:sz w:val="20"/>
                <w:szCs w:val="20"/>
                <w:color w:val="auto"/>
              </w:rPr>
            </w:pPr>
            <w:r>
              <w:rPr>
                <w:rFonts w:ascii="Arial" w:cs="Arial" w:eastAsia="Arial" w:hAnsi="Arial"/>
                <w:sz w:val="18"/>
                <w:szCs w:val="18"/>
                <w:color w:val="auto"/>
                <w:w w:val="99"/>
              </w:rPr>
              <w:t>9</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-5892800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-5892800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accompanying unaudited Consolidated Financial Statements of First Busey Corporation (“First Busey” or the “Company”), a Nevada corporation, have been prepared pursuant to the rules and regulations of the Securities and Exchange Commission (“SEC”) for interim financial information and with the instructions to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2016 on file with the SEC.</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accompanying Consolidated Balance Sheet as of December 31, 2016, which has been derived from audited financial statements, and the unaudited Consolidated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 normal recurring nature. The results of operations for the three and nine months ended September 30, 2017 are not necessarily indicative of the results that may be expected for the year ending December 31, 2017.</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April 30, 2016, First Busey acquired Pulaski Financial Corp., a Missouri corporation (“Pulaski”), and its wholly-owned bank subsidiary, Pulaski Bank, National Association (“Pulaski Bank”). First Busey operated Pulaski Bank as a separate banking subsidiary from May 1, 2016 until November 4, 2016, when it was merged with and into Busey Bank. At that time, Pulaski Bank’s branches became branches of Busey Bank. On February 6, 2017, the Company entered into an Agreement and Plan of Merger (“FCFP Merger Agreement”) with First Community Financial Partners, Inc., an Illinois corporation (“First Community”). On July 2, 2017, the Company completed its acquisition of First Community, pursuant to which each share of First Community common stock issued and outstanding was converted into the right to receive 0.396 shares of the Company’s common stock, cash in lieu of fractional shares and $1.35 cash</w:t>
      </w:r>
    </w:p>
    <w:p>
      <w:pPr>
        <w:sectPr>
          <w:pgSz w:w="11900" w:h="16921" w:orient="portrait"/>
          <w:cols w:equalWidth="0" w:num="1">
            <w:col w:w="11460"/>
          </w:cols>
          <w:pgMar w:left="240" w:top="125" w:right="199" w:bottom="0" w:gutter="0" w:footer="0" w:header="0"/>
        </w:sectPr>
      </w:pPr>
    </w:p>
    <w:bookmarkStart w:id="6" w:name="page7"/>
    <w:bookmarkEnd w:id="6"/>
    <w:p>
      <w:pPr>
        <w:ind w:right="20"/>
        <w:spacing w:after="0" w:line="255" w:lineRule="auto"/>
        <w:rPr>
          <w:sz w:val="20"/>
          <w:szCs w:val="20"/>
          <w:color w:val="auto"/>
        </w:rPr>
      </w:pPr>
      <w:r>
        <w:rPr>
          <w:rFonts w:ascii="Arial" w:cs="Arial" w:eastAsia="Arial" w:hAnsi="Arial"/>
          <w:sz w:val="18"/>
          <w:szCs w:val="18"/>
          <w:color w:val="auto"/>
        </w:rPr>
        <w:t>consideration per share. First Busey operated First Community Financial Bank, First Community’s wholly-owned bank subsidiary prior to the acquisition, as a separate banking subsidiary from July 3, 2017 until November 3, 2017, when it was merged with and into Busey Bank. At that time, First Community Financial Bank’s banking offices became branches of Busey Bank. The unaudited Consolidated Financial Statements include the accounts of the Company, Busey Bank and Busey Bank’s wholly-owned subsidiaries, FirsTech, Inc. and Pulaski Service Corporation (as of the date of acquisition, April 30, 2016), First Community Financial Bank (as of the date of acquisition, July 2, 2017) and Busey Wealth Management, Inc. and its wholly-owned subsidiary, Busey Trust Company.</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material intercompany transactions and balances have been eliminated in consolidation. Certain prior-year amounts have been reclassified to conform to the current presentation with no effect on net income or stockholders’ equity.</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March 13, 2017, the Company entered into an Agreement and Plan of Merger (“MIB Merger Agreement”) with Mid Illinois Bancorp, Inc., an Illinois corporation (“Mid Illinois”). On October 1, 2017, the Company completed its acquisition of Mid Illinois, under which each share of Mid Illinois common stock issued and outstanding as of the effective time was converted into, at the election of the stockholder, the right to receive either (i) $227.94 in cash (the “Cash Consideration Option”), (ii) 7.5149 shares of the Company’s common stock, or (iii) mixed consideration of $68.38 in cash and 5.2604 shares of the Company’s common stock, subject to certain adjustments and proration. In the aggregate, total consideration consisted of 70% stock and 30% cash. Mid Illinois stockholders electing the Cash Consideration Option were subject to proration under the terms of the MIB Merger Agreement and ultimately received a mixture of cash and stock consideration. It is anticipated that South Side Trust &amp; Savings Bank of Peoria, Mid Illinois’s wholly-owned bank subsidiary (“South Side”) prior to the acquisition, will be merged with and into Busey Bank in the first quarter of 2018. At the time of the bank merger, South Side’s banking offices will become branches of Busey Bank. As of September 30, 2017, Mid Illinois had total consolidated assets of $656.7 million, total loans of $370.0 million and total deposits of $505.6 million. The unaudited Consolidated Financial Statements in this Form 10-Q do not include the accounts of Mid Illinois.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preparing the accompanying unaudited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that are particularly susceptible to significant change in the near term relate to the fair value of investment securities, the fair value of assets acquired and liabilities assumed in business combinations and the determination of the allowance for loan losses.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on Form 10-Q were issued. On October 1, 2017, First Busey completed the Mid Illinois acquisition. The financial results of Mid Illinois are not recognized in this Form 10-Q. On October 12, 2017 a return of capital and associated surplus to the Company from Busey Bank was executed as discussed in “Note 15: Capital.” In addition, on November 3, 2017, First Community Financial Bank was merged with and into Busey Bank.</w:t>
      </w:r>
    </w:p>
    <w:p>
      <w:pPr>
        <w:spacing w:after="0" w:line="2"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Other than these events, there were no significant subsequent events for the quarter ended September 30, 2017 through the issuance date of these unaudited Consolidated Financial Statements that warranted adjustment to or disclosure in the unaudited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Pulaski Financial Corp.</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April 30, 2016, First Busey completed its acquisition of Pulaski, which was headquartered in St. Louis, Missouri. Pulaski Bank, which was Pulaski’s wholly-owned bank subsidiary prior to the acquisition, offered a full line of quality retail and commercial banking products through thirteen full-service branch offices in the St. Louis metropolitan area. The operating results of Pulaski are included with the Company’s results of operations since the date of acquisition. First Busey operated Pulaski Bank as a separate subsidiary from May 1, 2016 until November 4, 2016, when it was merged with and into Busey Bank. At that time, Pulaski Bank’s branches became branches of Busey Bank.</w:t>
      </w:r>
    </w:p>
    <w:p>
      <w:pPr>
        <w:spacing w:after="0" w:line="18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Under the terms of the definitive agreement, at the effective time of the acquisition, each share of Pulaski common stock issued and outstanding was converted into the right to receive 0.79 shares of First Busey common stock and cash in lieu of fractional shares. The market value of the 9.4 million shares of First Busey common stock issued at the effective time of the acquisition was approximately $193.0 million based on First Busey’s closing stock price of $20.44 on April 29, 2016. In addition, all of the options to purchase shares of Pulaski common stock that were outstanding at the acquisition date were converted into options to purchase shares of First Busey common stock, adjusted for the 0.79 exchange ratio.</w:t>
      </w:r>
    </w:p>
    <w:p>
      <w:pPr>
        <w:spacing w:after="0" w:line="17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were recorded at their estimated fair values on the date of acquisition. The total consideration paid, which was used to determine the amount of goodwill resulting from the transaction, also included the fair value of outstanding Pulaski stock options that were converted into options to purchase common shares of First Busey. As the total consideration paid for Pulaski exceeded the net assets acquired, goodwill of $77.3 million was recorded as a result of the acquisition. Goodwill recorded in the transaction, which reflected the synergies expected from the acquisition and the enhanced revenue opportunities from the Company’s broader service capabilities in the St. Louis market, is not tax deductible, and was assigned to the Banking operating segment.</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First Busey incurred an insignificant amount of expenses related to the acquisition of Pulaski for the three and nine months ended September 30, 2017. First Busey incurred $0.8 million and $3.1 million in pre-tax expenses related to the acquisition of Pulaski for the three and nine months ended September 30, 2016, respectively, including professional and legal fees of $0.2 million and $1.1 million, respectively, to directly consummate the acquisition, all of which are reported as a component of non-interest expense in the accompanying unaudited Consolidated Financial Statements. The remainder of the expenses primarily related to data processing conversion expenses and restructuring expenses.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assets acquired and liabilities assumed of Pulaski as of April 30, 2016 and their fair value estimates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ectPr>
          <w:pgSz w:w="11900" w:h="16838" w:orient="portrait"/>
          <w:cols w:equalWidth="0" w:num="1">
            <w:col w:w="11400"/>
          </w:cols>
          <w:pgMar w:left="240" w:top="125" w:right="259" w:bottom="0" w:gutter="0" w:footer="0" w:header="0"/>
        </w:sectPr>
      </w:pPr>
    </w:p>
    <w:p>
      <w:pPr>
        <w:spacing w:after="0" w:line="240" w:lineRule="exact"/>
        <w:rPr>
          <w:sz w:val="20"/>
          <w:szCs w:val="20"/>
          <w:color w:val="auto"/>
        </w:rPr>
      </w:pPr>
    </w:p>
    <w:p>
      <w:pPr>
        <w:ind w:left="5820"/>
        <w:spacing w:after="0"/>
        <w:tabs>
          <w:tab w:leader="none" w:pos="7600" w:val="left"/>
          <w:tab w:leader="none" w:pos="9180" w:val="left"/>
        </w:tabs>
        <w:rPr>
          <w:sz w:val="20"/>
          <w:szCs w:val="20"/>
          <w:color w:val="auto"/>
        </w:rPr>
      </w:pPr>
      <w:r>
        <w:rPr>
          <w:rFonts w:ascii="Arial" w:cs="Arial" w:eastAsia="Arial" w:hAnsi="Arial"/>
          <w:sz w:val="14"/>
          <w:szCs w:val="14"/>
          <w:b w:val="1"/>
          <w:bCs w:val="1"/>
          <w:color w:val="auto"/>
        </w:rPr>
        <w:t>As Recorded by</w:t>
      </w:r>
      <w:r>
        <w:rPr>
          <w:sz w:val="20"/>
          <w:szCs w:val="20"/>
          <w:color w:val="auto"/>
        </w:rPr>
        <w:tab/>
      </w:r>
      <w:r>
        <w:rPr>
          <w:rFonts w:ascii="Arial" w:cs="Arial" w:eastAsia="Arial" w:hAnsi="Arial"/>
          <w:sz w:val="14"/>
          <w:szCs w:val="14"/>
          <w:b w:val="1"/>
          <w:bCs w:val="1"/>
          <w:color w:val="auto"/>
        </w:rPr>
        <w:t>Fair Value</w:t>
      </w:r>
      <w:r>
        <w:rPr>
          <w:sz w:val="20"/>
          <w:szCs w:val="20"/>
          <w:color w:val="auto"/>
        </w:rPr>
        <w:tab/>
      </w:r>
      <w:r>
        <w:rPr>
          <w:rFonts w:ascii="Arial" w:cs="Arial" w:eastAsia="Arial" w:hAnsi="Arial"/>
          <w:sz w:val="12"/>
          <w:szCs w:val="12"/>
          <w:b w:val="1"/>
          <w:bCs w:val="1"/>
          <w:color w:val="auto"/>
        </w:rPr>
        <w:t>As Recorded by</w:t>
      </w:r>
    </w:p>
    <w:p>
      <w:pPr>
        <w:sectPr>
          <w:pgSz w:w="11900" w:h="16838" w:orient="portrait"/>
          <w:cols w:equalWidth="0" w:num="1">
            <w:col w:w="11400"/>
          </w:cols>
          <w:pgMar w:left="240" w:top="125" w:right="259" w:bottom="0" w:gutter="0" w:footer="0" w:header="0"/>
          <w:type w:val="continuous"/>
        </w:sectPr>
      </w:pPr>
    </w:p>
    <w:bookmarkStart w:id="7" w:name="page8"/>
    <w:bookmarkEnd w:id="7"/>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Pulaski</w:t>
            </w:r>
          </w:p>
        </w:tc>
        <w:tc>
          <w:tcPr>
            <w:tcW w:w="18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First Busey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25,580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47,895</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105(a)</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184,856</w:t>
            </w:r>
          </w:p>
        </w:tc>
        <w:tc>
          <w:tcPr>
            <w:tcW w:w="18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184,856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Portfolio loans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(14,452)(b)</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2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17,236</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(667)(c)</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5,022</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(2,534)(d)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3,939</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(3,939)(e)</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15,468(f)</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70,365</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(122)(g)</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1,598,806</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1,226,906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1,102(h)</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1,228,008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205,840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906(i)</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206,746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Trust preferred securities</w:t>
            </w:r>
          </w:p>
        </w:tc>
        <w:tc>
          <w:tcPr>
            <w:tcW w:w="2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19,589</w:t>
            </w: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(3,805)(j)</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15,784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24,594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1,476,929</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1,474,520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121,877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(3,732)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118,145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Consideration paid: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192,990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stock options assumed</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consideration paid</w:t>
            </w:r>
          </w:p>
        </w:tc>
        <w:tc>
          <w:tcPr>
            <w:tcW w:w="2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195,449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Explanation:</w:t>
      </w:r>
    </w:p>
    <w:p>
      <w:pPr>
        <w:spacing w:after="0" w:line="225"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of the securities portfolio as of the acquisition date.</w:t>
      </w:r>
    </w:p>
    <w:p>
      <w:pPr>
        <w:spacing w:after="0" w:line="23" w:lineRule="exact"/>
        <w:rPr>
          <w:rFonts w:ascii="Arial" w:cs="Arial" w:eastAsia="Arial" w:hAnsi="Arial"/>
          <w:sz w:val="18"/>
          <w:szCs w:val="18"/>
          <w:color w:val="auto"/>
        </w:rPr>
      </w:pPr>
    </w:p>
    <w:p>
      <w:pPr>
        <w:jc w:val="both"/>
        <w:ind w:left="400" w:right="380" w:hanging="392"/>
        <w:spacing w:after="0" w:line="250" w:lineRule="auto"/>
        <w:tabs>
          <w:tab w:leader="none" w:pos="41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loan portfolio, write-off of net deferred loan costs and elimination of the allowance for loan losses recorded by Pulaski. $16.9 million is expected to be accreted over the estimated four year remaining life of the respective loans in a manner that approximates the level yield method.</w:t>
      </w:r>
    </w:p>
    <w:p>
      <w:pPr>
        <w:spacing w:after="0" w:line="1" w:lineRule="exact"/>
        <w:rPr>
          <w:rFonts w:ascii="Arial" w:cs="Arial" w:eastAsia="Arial" w:hAnsi="Arial"/>
          <w:sz w:val="18"/>
          <w:szCs w:val="18"/>
          <w:color w:val="auto"/>
        </w:rPr>
      </w:pPr>
    </w:p>
    <w:p>
      <w:pPr>
        <w:ind w:left="400" w:right="420" w:hanging="392"/>
        <w:spacing w:after="0" w:line="265" w:lineRule="auto"/>
        <w:tabs>
          <w:tab w:leader="none" w:pos="413" w:val="left"/>
        </w:tabs>
        <w:numPr>
          <w:ilvl w:val="0"/>
          <w:numId w:val="1"/>
        </w:numPr>
        <w:rPr>
          <w:rFonts w:ascii="Arial" w:cs="Arial" w:eastAsia="Arial" w:hAnsi="Arial"/>
          <w:sz w:val="17"/>
          <w:szCs w:val="17"/>
          <w:color w:val="auto"/>
        </w:rPr>
      </w:pPr>
      <w:r>
        <w:rPr>
          <w:rFonts w:ascii="Arial" w:cs="Arial" w:eastAsia="Arial" w:hAnsi="Arial"/>
          <w:sz w:val="17"/>
          <w:szCs w:val="17"/>
          <w:color w:val="auto"/>
        </w:rPr>
        <w:t>Fair value adjustments based on the Company’s evaluation of the acquired premises and equipment. The reduction in depreciation expense will be recorded using the straight-line method over the estimated useful life associated with each type of premises and equipment adjusted.</w:t>
      </w: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based on the Company’s evaluation of the acquired OREO portfolio.</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Eliminate Pulaski’s existing goodwill.</w:t>
      </w:r>
    </w:p>
    <w:p>
      <w:pPr>
        <w:spacing w:after="0" w:line="9" w:lineRule="exact"/>
        <w:rPr>
          <w:rFonts w:ascii="Arial" w:cs="Arial" w:eastAsia="Arial" w:hAnsi="Arial"/>
          <w:sz w:val="18"/>
          <w:szCs w:val="18"/>
          <w:color w:val="auto"/>
        </w:rPr>
      </w:pPr>
    </w:p>
    <w:p>
      <w:pPr>
        <w:ind w:left="400" w:right="20" w:hanging="392"/>
        <w:spacing w:after="0" w:line="250" w:lineRule="auto"/>
        <w:tabs>
          <w:tab w:leader="none" w:pos="407"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Recording of the core deposit intangible asset on the acquired core deposit accounts. Amount to be amortized using a sum of years digits method over a 14 year useful life.</w:t>
      </w: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assets at the acquisition date.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time deposits. Amount to be amortized over two years in a manner that approximates the level yield method.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Fair value adjustment to the FHLB borrowings. Such borrowings were repaid shortly after the acquisition date, so there was no premium amortization.</w:t>
      </w:r>
    </w:p>
    <w:p>
      <w:pPr>
        <w:spacing w:after="0" w:line="32" w:lineRule="exact"/>
        <w:rPr>
          <w:rFonts w:ascii="Arial" w:cs="Arial" w:eastAsia="Arial" w:hAnsi="Arial"/>
          <w:sz w:val="16"/>
          <w:szCs w:val="16"/>
          <w:color w:val="auto"/>
        </w:rPr>
      </w:pPr>
    </w:p>
    <w:p>
      <w:pPr>
        <w:ind w:left="400" w:right="380" w:hanging="392"/>
        <w:spacing w:after="0" w:line="250" w:lineRule="auto"/>
        <w:tabs>
          <w:tab w:leader="none" w:pos="411"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the trust preferred securities at the acquisition date. Amount to be accreted over the weighted average remaining life of 18 years in a manner that approximates the level yield method.</w:t>
      </w: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liabilities at the acquisition date.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loans acquired in this transaction were recorded at fair value with no carryover of any existing allowance for loan losses. Loans that were not deemed to be credit-impaired at the acquisition date were accounted for under Financial Accounting Standards Board (“FASB”) Accounting Standards Codification (“ASC”) 310-20, Receivables-Nonrefundable Fees and Other Costs, and were subsequently considered as part of the Company’s determination of the adequacy of the allowance for loan losses. Purchased credit-impaired (“PCI”) loans, which are loans with evidence of credit quality deterioration at the date of acquisition, were accounted for under ASC 310-30, Receivables — Loans and Debt Securities Acquired with Deteriorated Credit Quality. As of the acquisition date, the aggregate principal outstanding and aggregate fair value of the acquired performing loans, including loans held for sale, both rounded to $1.4 billion. The difference between the aggregate principal balance outstanding and aggregate fair value of $16.6 million is expected to be accreted over the estimated four year remaining life of the respective loans in a manner that approximates the level yield method. As of the acquisition date, the aggregate principal balance outstanding of PCI loans totaled $21.2 million and the aggregate fair value of PCI loans totaled $9.7 million, which became such loans’ new carrying value. At September 30, 2017, PCI loans related to this transaction with a carrying value of $1.0 million were outstanding. Material activity includes PCI loans with a carrying value of $6.2 million sold to outside parties in the third quarter of 2016 and a commercial PCI loan with a carrying value of $1.6 million collected in the fourth quarter of 2016. 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$0.3 million on PCI loans was expected to be recognized over the estimated four year remaining life of the respective loans in a manner that approximates the level yield method; however, the majority was accelerated in 2016 as a result of the third quarter loan sale and fourth quarter collection.</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following table provides the unaudited pro forma information for the results of operations for the nine months ended September 30, 2016, as if the acquisition had occurred January 1, 2016. The pro forma results combine the historical results of Pulaski in the Company’s Consolidated Statements of Income, adjusted for the impact of the application of the acquisition method of accounting including loan discount accretion, intangible assets amortization, and deposit and trust preferred securities premium accretion, net of taxes. The pro forma results have been prepared for comparative purposes only and are</w:t>
      </w:r>
    </w:p>
    <w:p>
      <w:pPr>
        <w:sectPr>
          <w:pgSz w:w="11900" w:h="16838" w:orient="portrait"/>
          <w:cols w:equalWidth="0" w:num="1">
            <w:col w:w="11400"/>
          </w:cols>
          <w:pgMar w:left="240" w:top="118" w:right="259" w:bottom="0" w:gutter="0" w:footer="0" w:header="0"/>
        </w:sectPr>
      </w:pPr>
    </w:p>
    <w:bookmarkStart w:id="8" w:name="page9"/>
    <w:bookmarkEnd w:id="8"/>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not necessarily indicative of the results that would have been obtained had the acquisition actually occurred on January 1, 2016. No assumptions have been applied to the pro forma results of operations regarding possible revenue enhancements, expense efficiencies or asset dispositions. Only the acquisition related expenses that had been recognized are included in net income in the table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45"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Pro Forma</w:t>
            </w:r>
          </w:p>
        </w:tc>
      </w:tr>
      <w:tr>
        <w:trPr>
          <w:trHeight w:val="149"/>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71"/>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 2016</w:t>
            </w:r>
          </w:p>
        </w:tc>
      </w:tr>
      <w:tr>
        <w:trPr>
          <w:trHeight w:val="182"/>
        </w:trPr>
        <w:tc>
          <w:tcPr>
            <w:tcW w:w="3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Total revenues (net interest income plus non-</w:t>
            </w: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184,677</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36,408</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Community Financial Partners, Inc.</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2, 2017, the Company completed its acquisition of First Community, which was headquartered in Joliet, Illinois. Founded in 2004, First Community operated nine branches in Will, DuPage and Grundy counties, which encompass portions of the southwestern suburbs of Chicago. The operating results of First Community are included with the Company’s results of operations since the date of acquisition. First Busey operated First Community Financial Bank as a separate subsidiary from July 3, 2017 until November 3, 2017, when it was merged with and into Busey Bank. At that time, First Community Financial Bank’s branches became branches of Busey Bank.</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Under the terms of the FCFP Merger Agreement, at the effective time of the acquisition, each share of First Community common stock issued and outstanding was converted into the right to receive 0.396 shares of the Company’s common stock, cash in lieu of fractional shares and $1.35 cash consideration per share. The market value of the 7.2 million shares of First Busey common stock issued at the effective time of the acquisition was approximately $211.1 million based on First Busey’s closing stock price of $29.32 on June 30, 2017. In addition, certain options to purchase shares of First Community common stock that were outstanding at the acquisition date were converted into options to purchase shares of First Busey common stock, adjusted for the 0.44 option exchange ratio, and the fair value was included in the purchase price. Further, the purchase price included cash payouts relating to unconverted stock options and restricted stock units outstanding as of the acquisition date.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were recorded at their estimated fair values on the date of acquisition. Fair values are subject to refinement for up to one year after the closing date of July 2, 2017 as additional information regarding the closing date fair values become available. The total consideration paid, which was used to determine the amount of goodwill resulting from the transaction, also included the fair value of outstanding First Community stock options that were converted into options to purchase common shares of First Busey and cash paid out relating to stock options and restricted stock units not converted. As the total consideration paid for First Community exceeded the net assets acquired, goodwill of $116.0 million was recorded as a result of the acquisition. Goodwill recorded in the transaction, which reflected the synergies expected from the acquisition and the greater revenue opportunities from the Company’s broader service capabilities in the Chicagoland area, is not tax deductible, and was assigned to the Banking operating segment.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First Busey incurred $2.9 million and $3.7 million in pre-tax expenses related to the acquisition of First Community for the three and nine months ended September 30, 2017, respectively, including professional and legal fees of $0.7 million and $1.5 million, respectively, to directly consummate the acquisition, all of which were reported as a component of non-interest expense in the accompanying unaudited Consolidated Financial Statements. The remainder of the expenses primarily related to data processing conversion expenses and restructuring expenses.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The following table presents the First Community assets acquired and liabilities assumed as of July 2, 2017 and their fair value estimates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Recorded by</w:t>
            </w:r>
          </w:p>
        </w:tc>
        <w:tc>
          <w:tcPr>
            <w:tcW w:w="1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Recorded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First Community</w:t>
            </w:r>
          </w:p>
        </w:tc>
        <w:tc>
          <w:tcPr>
            <w:tcW w:w="18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First Busey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60,686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166,046</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(203)(a)</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Portfolio loans, net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(7,404)(b)</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21,682</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(3,588)(c)</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(193)(d)</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13,278(e)</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41,644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111(f)</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1,396,566</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3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1,398,567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Liabilities assumed: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(229)(g)</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125,471</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280(h)</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359(i)</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1,271,558</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3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1,271,968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assets acquired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125,008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1,591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126,599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Consideration paid: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Cash payout of options and restricted stock units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Fair value of stock options assumed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consideration paid</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125" w:right="299" w:bottom="0" w:gutter="0" w:footer="0" w:header="0"/>
        </w:sectPr>
      </w:pPr>
    </w:p>
    <w:bookmarkStart w:id="9" w:name="page10"/>
    <w:bookmarkEnd w:id="9"/>
    <w:p>
      <w:pPr>
        <w:ind w:left="660"/>
        <w:spacing w:after="0"/>
        <w:tabs>
          <w:tab w:leader="none" w:pos="8980" w:val="left"/>
          <w:tab w:leader="none" w:pos="9760" w:val="left"/>
        </w:tabs>
        <w:rPr>
          <w:sz w:val="20"/>
          <w:szCs w:val="20"/>
          <w:color w:val="auto"/>
        </w:rPr>
      </w:pPr>
      <w:r>
        <w:rPr>
          <w:rFonts w:ascii="Arial" w:cs="Arial" w:eastAsia="Arial" w:hAnsi="Arial"/>
          <w:sz w:val="18"/>
          <w:szCs w:val="18"/>
          <w:color w:val="auto"/>
        </w:rPr>
        <w:t>Goodwill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115,982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2261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6175" cy="163195"/>
                    </a:xfrm>
                    <a:prstGeom prst="rect">
                      <a:avLst/>
                    </a:prstGeom>
                    <a:noFill/>
                  </pic:spPr>
                </pic:pic>
              </a:graphicData>
            </a:graphic>
          </wp:anchor>
        </w:drawing>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Explanation:</w:t>
      </w:r>
    </w:p>
    <w:p>
      <w:pPr>
        <w:spacing w:after="0" w:line="22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Fair value adjustments of the securities portfolio as of the acquisition date.</w:t>
      </w:r>
    </w:p>
    <w:p>
      <w:pPr>
        <w:spacing w:after="0" w:line="23" w:lineRule="exact"/>
        <w:rPr>
          <w:rFonts w:ascii="Arial" w:cs="Arial" w:eastAsia="Arial" w:hAnsi="Arial"/>
          <w:sz w:val="18"/>
          <w:szCs w:val="18"/>
          <w:color w:val="auto"/>
        </w:rPr>
      </w:pPr>
    </w:p>
    <w:p>
      <w:pPr>
        <w:ind w:left="400" w:right="440" w:hanging="392"/>
        <w:spacing w:after="0" w:line="250" w:lineRule="auto"/>
        <w:tabs>
          <w:tab w:leader="none" w:pos="41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loan portfolio, write-off of net deferred loan costs and elimination of the allowance for loan losses recorded by First Community. $15.0 million is expected to be accreted over the estimated four year remaining life of the respective loans in a manner that approximates the level yield method.</w:t>
      </w:r>
    </w:p>
    <w:p>
      <w:pPr>
        <w:spacing w:after="0" w:line="1" w:lineRule="exact"/>
        <w:rPr>
          <w:rFonts w:ascii="Arial" w:cs="Arial" w:eastAsia="Arial" w:hAnsi="Arial"/>
          <w:sz w:val="18"/>
          <w:szCs w:val="18"/>
          <w:color w:val="auto"/>
        </w:rPr>
      </w:pPr>
    </w:p>
    <w:p>
      <w:pPr>
        <w:ind w:left="400" w:right="480" w:hanging="392"/>
        <w:spacing w:after="0" w:line="265" w:lineRule="auto"/>
        <w:tabs>
          <w:tab w:leader="none" w:pos="413"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Fair value adjustments based on the Company’s evaluation of the acquired premises and equipment. The reduction in depreciation expense will be recorded using the straight-line method over the estimated useful life associated with each type of premises and equipment adjusted.</w:t>
      </w: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Fair value adjustment based on the Company’s evaluation of the acquired OREO portfolio.</w:t>
      </w:r>
    </w:p>
    <w:p>
      <w:pPr>
        <w:spacing w:after="0" w:line="9" w:lineRule="exact"/>
        <w:rPr>
          <w:rFonts w:ascii="Arial" w:cs="Arial" w:eastAsia="Arial" w:hAnsi="Arial"/>
          <w:sz w:val="18"/>
          <w:szCs w:val="18"/>
          <w:color w:val="auto"/>
        </w:rPr>
      </w:pPr>
    </w:p>
    <w:p>
      <w:pPr>
        <w:ind w:left="400" w:right="260" w:hanging="392"/>
        <w:spacing w:after="0" w:line="250" w:lineRule="auto"/>
        <w:tabs>
          <w:tab w:leader="none" w:pos="413"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Elimination of First Community’s existing core deposit intangible asset and recording of the core deposit intangible asset on the acquired core deposit accounts. Amount to be amortized using a sum of years digits method over a 14 year useful life.</w:t>
      </w: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Fair value adjustment of other assets at the acquisition date.</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Fair value adjustment to time deposits. Amount to be accreted over two years in a manner that approximates the level yield method.</w:t>
      </w:r>
    </w:p>
    <w:p>
      <w:pPr>
        <w:spacing w:after="0" w:line="9" w:lineRule="exact"/>
        <w:rPr>
          <w:rFonts w:ascii="Arial" w:cs="Arial" w:eastAsia="Arial" w:hAnsi="Arial"/>
          <w:sz w:val="18"/>
          <w:szCs w:val="18"/>
          <w:color w:val="auto"/>
        </w:rPr>
      </w:pPr>
    </w:p>
    <w:p>
      <w:pPr>
        <w:ind w:left="400" w:right="300" w:hanging="392"/>
        <w:spacing w:after="0" w:line="250" w:lineRule="auto"/>
        <w:tabs>
          <w:tab w:leader="none" w:pos="41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Fair value adjustment to borrowings. Amount to be amortized over the 15 month remaining life of debt in a manner that approximates the level yield method.</w:t>
      </w: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Fair value adjustment of other liabilities at the acquisition date.</w:t>
      </w:r>
    </w:p>
    <w:p>
      <w:pPr>
        <w:spacing w:after="0" w:line="21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loans acquired in this transaction were recorded at fair value with no carryover of any existing allowance for loan losses. Loans that were not deemed to be credit-impaired at the acquisition date were accounted for under FASB ASC 310-20, Receivables-Nonrefundable Fees and Other Costs, and were subsequently considered as part of the Company’s determination of the adequacy of the allowance for loan losses. PCI loans were accounted for under ASC 310-30, Receivables — Loans and Debt Securities Acquired with Deteriorated Credit Quality. As of the acquisition date, the aggregate principal outstanding and aggregate fair value of the acquired performing loans, including loans held for sale, both rounded to $1.1 billion. The difference between the aggregate principal balance outstanding and aggregate fair value of $14.4 million is expected to be accreted over the estimated four year remaining life of the respective loans in a manner that approximates the level yield method. As of the acquisition date, the aggregate principal balance outstanding of PCI loans totaled $17.9 million and the aggregate fair value of PCI loans totaled $12.5 million, which became such loans’ new carrying value. At September 30, 2017, PCI loans related to this transaction with a carrying value of $11.2 million were outstanding. 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$0.6 million on PCI loans was expected to be recognized over the estimated four year remaining life of the respective loans in a manner that approximates the level yield method.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Since the acquisition date, First Community Financial Bank earned total revenues of $14.4 million and net income of $3.1 million, which are included in the</w:t>
      </w:r>
    </w:p>
    <w:p>
      <w:pPr>
        <w:spacing w:after="0" w:line="46"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Company’s Consolidated Statements of Income for the three and nine months ended September 30, 2017. The following table provides the unaudited pro forma information for the results of operations for the three and nine months ended September 30, 2017 and 2016, as if the acquisition had occurred January 1, 2016. The pro forma results combine the historical results of First Community into the Company’s Consolidated Statements of Income, including the impact of purchase accounting adjustments including loan discount accretion, intangible assets amortization, deposit accretion and premises accretion, net of taxes. The 2016 pro forma results reflect Pulaski pro forma information as well, which is shown separately above. The pro forma results have been prepared for comparative purposes only and are not necessarily indicative of the results that would have been obtained had the acquisition actually occurred on January 1, 2016. No assumptions have been applied to the pro forma results of operations regarding possible revenue enhancements, expense efficiencies or asset dispositions. Only the merger related expenses that have been recognized are included in net income in the table below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97"/>
              </w:rPr>
              <w:t>Pro Forma</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c>
          <w:tcPr>
            <w:tcW w:w="52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520" w:type="dxa"/>
            <w:vAlign w:val="bottom"/>
          </w:tcPr>
          <w:p>
            <w:pPr>
              <w:spacing w:after="0"/>
              <w:rPr>
                <w:sz w:val="12"/>
                <w:szCs w:val="12"/>
                <w:color w:val="auto"/>
              </w:rPr>
            </w:pPr>
          </w:p>
        </w:tc>
      </w:tr>
      <w:tr>
        <w:trPr>
          <w:trHeight w:val="182"/>
        </w:trPr>
        <w:tc>
          <w:tcPr>
            <w:tcW w:w="340" w:type="dxa"/>
            <w:vAlign w:val="bottom"/>
          </w:tcPr>
          <w:p>
            <w:pPr>
              <w:spacing w:after="0"/>
              <w:rPr>
                <w:sz w:val="15"/>
                <w:szCs w:val="15"/>
                <w:color w:val="auto"/>
              </w:rPr>
            </w:pPr>
          </w:p>
        </w:tc>
        <w:tc>
          <w:tcPr>
            <w:tcW w:w="3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Total revenues (net interest income plus non-interest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340" w:type="dxa"/>
            <w:vAlign w:val="bottom"/>
          </w:tcPr>
          <w:p>
            <w:pPr>
              <w:spacing w:after="0"/>
              <w:rPr>
                <w:sz w:val="20"/>
                <w:szCs w:val="20"/>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0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75,952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77,624</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227,858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220,558</w:t>
            </w:r>
          </w:p>
        </w:tc>
        <w:tc>
          <w:tcPr>
            <w:tcW w:w="5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14,854</w:t>
            </w:r>
          </w:p>
        </w:tc>
        <w:tc>
          <w:tcPr>
            <w:tcW w:w="3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19,360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54,478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46,836</w:t>
            </w: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 Illinois Bancorp, Inc.</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October 1, 2017, the Company completed its acquisition of Mid Illinois, under which each share of Mid Illinois common stock issued and outstanding as of the effective time was converted into, at the election of the stockholder the right to receive, either (i) $227.94 in cash, (ii) 7.5149 shares of the Company’s common stock, or (iii) mixed consideration of $68.38 in cash and 5.2604 shares of the Company’s common stock, subject to certain adjustments and proration. In the aggregate, total consideration consisted of 70% stock and 30% cash. Mid Illinois stockholders electing the Cash Consideration Option were subject to proration under the terms of the MIB Merger Agreement and ultimately received a mixture of cash and stock consideration. It is anticipated that South Side will be merged with and into Busey Bank in the first quarter of 2018. At the time of the bank merger, South Side’s banking offices will become branches of Busey Bank. Founded in 1922, South Side operates as a state chartered commercial and trust bank with thirteen branches located within the greater Peoria area. South Side also owns Mid-Illinois Insurance Services, Inc. As of September 30, 2017, Mid Illinois had total consolidated assets of $656.7 million, total loans of $370.0 million and total deposits of $505.6 million.</w:t>
      </w:r>
    </w:p>
    <w:p>
      <w:pPr>
        <w:spacing w:after="0" w:line="1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transaction will be accounted for using the acquisition method of accounting and, accordingly, assets acquired, liabilities assumed, and consideration exchanged will be recorded at estimated fair values on the date of acquisition. Fair value assessments are incomplete as of the filing date of this Form 10-Q. Fair values are subject to refinement for up to one year after the closing date of October 1, 2017. This acquisition is a subsequent event and the financial results of Mid Illinois are not recognized in this Form 10-Q.</w:t>
      </w:r>
    </w:p>
    <w:p>
      <w:pPr>
        <w:sectPr>
          <w:pgSz w:w="11900" w:h="16838" w:orient="portrait"/>
          <w:cols w:equalWidth="0" w:num="1">
            <w:col w:w="11460"/>
          </w:cols>
          <w:pgMar w:left="240" w:top="125" w:right="199" w:bottom="0" w:gutter="0" w:footer="0" w:header="0"/>
        </w:sectPr>
      </w:pPr>
    </w:p>
    <w:bookmarkStart w:id="10" w:name="page11"/>
    <w:bookmarkEnd w:id="10"/>
    <w:p>
      <w:pPr>
        <w:ind w:right="220"/>
        <w:spacing w:after="0" w:line="264" w:lineRule="auto"/>
        <w:rPr>
          <w:sz w:val="20"/>
          <w:szCs w:val="20"/>
          <w:color w:val="auto"/>
        </w:rPr>
      </w:pPr>
      <w:r>
        <w:rPr>
          <w:rFonts w:ascii="Arial" w:cs="Arial" w:eastAsia="Arial" w:hAnsi="Arial"/>
          <w:sz w:val="18"/>
          <w:szCs w:val="18"/>
          <w:color w:val="auto"/>
        </w:rPr>
        <w:t>First Busey incurred $0.2 million and $0.4 million in pre-tax expenses related to the acquisition of Mid Illinois for the three and nine months ended September 30, 2017, respectively, primarily for legal fees, all of which are reported as a component of non-interest expense in the accompanying unaudited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Accounting Standards Update (“ASU”) 2014-09, “Revenue from Contracts with Customers (Topic 606).” </w:t>
      </w:r>
      <w:r>
        <w:rPr>
          <w:rFonts w:ascii="Arial" w:cs="Arial" w:eastAsia="Arial" w:hAnsi="Arial"/>
          <w:sz w:val="17"/>
          <w:szCs w:val="17"/>
          <w:color w:val="auto"/>
        </w:rPr>
        <w:t>ASU 2014-09 outlines a single model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August 2015, </w:t>
      </w:r>
      <w:r>
        <w:rPr>
          <w:rFonts w:ascii="Arial" w:cs="Arial" w:eastAsia="Arial" w:hAnsi="Arial"/>
          <w:sz w:val="17"/>
          <w:szCs w:val="17"/>
          <w:i w:val="1"/>
          <w:iCs w:val="1"/>
          <w:color w:val="auto"/>
        </w:rPr>
        <w:t>ASU 2015-14, “Revenue from Contracts with Customers (Topic 606)”</w:t>
      </w:r>
      <w:r>
        <w:rPr>
          <w:rFonts w:ascii="Arial" w:cs="Arial" w:eastAsia="Arial" w:hAnsi="Arial"/>
          <w:sz w:val="17"/>
          <w:szCs w:val="17"/>
          <w:color w:val="auto"/>
        </w:rPr>
        <w:t xml:space="preserve"> was issued to delay the effective date of ASU 2014-09 by one year. The FASB issued four subsequent ASUs in 2016 which are intended to improve and clarify the implementation guidance related to ASU 2014-09. The Company’s revenue is comprised of net interest income, which is explicitly excluded from the scope of ASU 2014-09, and non-interest income. The Company is substantially complete with its overall assessment of non-interest income and reviewing of related contracts potentially affected by the guidance. The Company’s assessment indicates the adoption of this guidance should not materially change the method in which non-interest income is recognized. In addition, the Company is evaluating the expanded disclosure requirement. The Company plans to adopt the guidance on January 1, 2018 with a cumulative effect adjustment to retained earnings, if such adjustment is deemed to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2016-01, “Financial Instruments — Overall (Subtopic 825-10): Recognition and Measurement of Financial Assets and Financial Liabilities.”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ASU 2016-01 is intended to improve the recognition and measurement of financial instruments by, among other things, requiring: equity investments, with certain exceptions, to be measured at fair value with changes in fair value recognized in net income; to use the exit price notion when measuring the fair value of financial instruments for disclosure purposes; separate presentation of financial assets and financial liabilities by measurement category and form of financial assets on the Balance Sheet or the accompanying notes to the Consolidated Financial Statements; eliminating the requirement to disclose the method and significant assumptions used to estimate the fair value that is required to be disclosed for financial instruments measured at amortized cost on the Balance Sheet; and requiring an entity to present separately in other comprehensive income the portion of the total change in fair value of a liability resulting from the change in the instrument-specific credit risk when the organization has elected to measure the liability at fair value in accordance with the fair value option for financial instruments. ASU 2016-01 will be effective on January 1, 2018 and the Company does not expect the adoption of this guidance to have a material impact on its Consolidated Financial Statements and related disclosures.</w:t>
      </w:r>
    </w:p>
    <w:p>
      <w:pPr>
        <w:spacing w:after="0" w:line="18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ASU 2016-02 intends to increase transparency and comparability among organizations by recognizing all lease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terms in excess of 12 months) on the Balance Sheet as a lease liability and a right-of-use asset. The guidance also requires qualitative and quantitative disclosures designed to assess the amount, timing and uncertainty of cash flows arising from leases. This guidance is effective for annual reporting periods beginning after December 15, 2018, including interim periods within those fiscal years. Upon adoption, the lessee will apply the new standard retrospectively to all periods presented or retrospectively using a cumulative effect adjustment in the year of adoption. The Company is evaluating the impact this guidance will have on its Consolidated Financial Statements and related disclosures.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ASU 2016-13, “Financial Instruments — Credit Losses (Topic 326): Measurement of Credit Losses on Financial Instruments.” </w:t>
      </w:r>
      <w:r>
        <w:rPr>
          <w:rFonts w:ascii="Arial" w:cs="Arial" w:eastAsia="Arial" w:hAnsi="Arial"/>
          <w:sz w:val="18"/>
          <w:szCs w:val="18"/>
          <w:color w:val="auto"/>
        </w:rPr>
        <w:t>ASU 2016-13 implements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change in estimating the allowances for loan losses from the current model of losses inherent in the loan portfolio to a current expected credit loss model that generally is expected to result in earlier recognition of allowances for losses. Further, purchase accounting rules have been modified as well as credit losses on held to maturity debt securities. ASU 2016-13 will be effective in the first quarter of 2020. The Company has an implementation team working through the provisions of ASU 2016-13, including evaluating the impact this guidance will have on its Consolidated Financial Statements and related disclosures.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ASU 2016-15, “Statement of Cash Flows (Topic 230): Classification of Certain Cash Receipts and Cash Payments.” </w:t>
      </w:r>
      <w:r>
        <w:rPr>
          <w:rFonts w:ascii="Arial" w:cs="Arial" w:eastAsia="Arial" w:hAnsi="Arial"/>
          <w:sz w:val="17"/>
          <w:szCs w:val="17"/>
          <w:color w:val="auto"/>
        </w:rPr>
        <w:t>ASU 2016-15 provides clarification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how certain cash receipts and cash payment are presented and classified in the Consolidated Statements of Cash Flows. This update is effective for fiscal years beginning after December 15, 2017, and interim periods within those fiscal years, with early adoption permitted. The Company does not expect the adoption of this guidance to have a material impact to its Consolidated Financial Statements.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ASU 2016-16, “Income Taxes (Topic 740): Intra-Entity Transfers of Assets Other Than Inventory.” </w:t>
      </w:r>
      <w:r>
        <w:rPr>
          <w:rFonts w:ascii="Arial" w:cs="Arial" w:eastAsia="Arial" w:hAnsi="Arial"/>
          <w:sz w:val="18"/>
          <w:szCs w:val="18"/>
          <w:color w:val="auto"/>
        </w:rPr>
        <w:t>ASU 2016-16 is intended to improve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income tax consequences of intra-entity transfers of assets other than inventory by requiring an entity to recognize the income tax consequences when a transfer occurs, instead of when an asset is sold to an outside party. This guidance is effective for annual reporting periods beginning after December 15, 2017, including interim periods within those fiscal years. The new standard will require adoption on a modified retrospective basis through a cumulative-effect adjustment to retained earnings, and early adoption is permitted. The Company does not expect the adoption of this guidance to have a material impact on its Consolidated Financial Statements.</w:t>
      </w:r>
    </w:p>
    <w:p>
      <w:pPr>
        <w:spacing w:after="0" w:line="19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 xml:space="preserve">ASU 2017-01, “Business Combinations (Topic 805): Clarifying the Definition of a Business.” </w:t>
      </w:r>
      <w:r>
        <w:rPr>
          <w:rFonts w:ascii="Arial" w:cs="Arial" w:eastAsia="Arial" w:hAnsi="Arial"/>
          <w:sz w:val="18"/>
          <w:szCs w:val="18"/>
          <w:color w:val="auto"/>
        </w:rPr>
        <w:t>ASU 2017-01 clarifies the definition and provides a more</w:t>
      </w:r>
      <w:r>
        <w:rPr>
          <w:rFonts w:ascii="Arial" w:cs="Arial" w:eastAsia="Arial" w:hAnsi="Arial"/>
          <w:sz w:val="18"/>
          <w:szCs w:val="18"/>
          <w:i w:val="1"/>
          <w:iCs w:val="1"/>
          <w:color w:val="auto"/>
        </w:rPr>
        <w:t xml:space="preserve"> </w:t>
      </w:r>
      <w:r>
        <w:rPr>
          <w:rFonts w:ascii="Arial" w:cs="Arial" w:eastAsia="Arial" w:hAnsi="Arial"/>
          <w:sz w:val="18"/>
          <w:szCs w:val="18"/>
          <w:color w:val="auto"/>
        </w:rPr>
        <w:t>robust framework to use in determining when a set of assets and activities constitutes a business. ASU 2017-01 is intended to provide guidance when evaluating whether transactions should be accounted for as acquisitions of assets or businesses. This guidance is effective for annual reporting periods beginning after December 15, 2017, including interim periods within those fiscal years, and is not expected to have a significant impact to the Company’s Consolidated Financial Statements.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ASU 2017-04, “Intangibles - Goodwill and Other (Topic 350): Simplifying the Test for Goodwill Impairment.” </w:t>
      </w:r>
      <w:r>
        <w:rPr>
          <w:rFonts w:ascii="Arial" w:cs="Arial" w:eastAsia="Arial" w:hAnsi="Arial"/>
          <w:sz w:val="18"/>
          <w:szCs w:val="18"/>
          <w:color w:val="auto"/>
        </w:rPr>
        <w:t>ASU 2017-04 is intended to simplify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testing by eliminating the second step of the analysis. ASU 2017-04 requires entities to compare the fair value of a reporting unit with its carrying amount and recognize an impairment charge for any amount by which the carrying amount exceeds the reporting unit’s fair value, to the extent that the loss recognized does not exceed the amount of goodwill allocated to that reporting unit. This guidance is effective for annual and interim periods beginning after December 15, 2019, with early adoption permitted. The Company does not expect this guidance to have a material impact on its Consolidated Financial Statements.</w:t>
      </w:r>
    </w:p>
    <w:p>
      <w:pPr>
        <w:spacing w:after="0" w:line="19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i w:val="1"/>
          <w:iCs w:val="1"/>
          <w:color w:val="auto"/>
        </w:rPr>
        <w:t>ASU 2017-08</w:t>
      </w:r>
      <w:r>
        <w:rPr>
          <w:rFonts w:ascii="Arial" w:cs="Arial" w:eastAsia="Arial" w:hAnsi="Arial"/>
          <w:sz w:val="16"/>
          <w:szCs w:val="16"/>
          <w:color w:val="auto"/>
        </w:rPr>
        <w:t>, “</w:t>
      </w:r>
      <w:r>
        <w:rPr>
          <w:rFonts w:ascii="Arial" w:cs="Arial" w:eastAsia="Arial" w:hAnsi="Arial"/>
          <w:sz w:val="16"/>
          <w:szCs w:val="16"/>
          <w:i w:val="1"/>
          <w:iCs w:val="1"/>
          <w:color w:val="auto"/>
        </w:rPr>
        <w:t xml:space="preserve">Receivables - Nonrefundable Fees and Other Costs (Subtopic 310-20), Premium Amortization on Purchased Callable Debt Securities.”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2017-08 shortens the amortization period for certain callable debt securities held at a premium, requiring the premium to be amortized to the earliest call date. ASU 2017-08 does not require an accounting change for securities held at a discount; the discount continues to be amortized to maturity. This guidance is</w:t>
      </w:r>
    </w:p>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effective for annual reporting periods beginning after December 15, 2018, including interim periods within those fiscal years, with early adoption permitted.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does not expect this guidance to have a material impact on its Consolidated Financial Statements.</w:t>
      </w:r>
    </w:p>
    <w:p>
      <w:pPr>
        <w:spacing w:after="0" w:line="21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ASU 2017-09, “</w:t>
      </w:r>
      <w:r>
        <w:rPr>
          <w:rFonts w:ascii="Arial" w:cs="Arial" w:eastAsia="Arial" w:hAnsi="Arial"/>
          <w:sz w:val="15"/>
          <w:szCs w:val="15"/>
          <w:i w:val="1"/>
          <w:iCs w:val="1"/>
          <w:color w:val="auto"/>
        </w:rPr>
        <w:t>Compensation - Stock Compensation (Topic 718): Scope of Modification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ASU 2017-09 provides guidance on determining which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terms and conditions of share-based payment awards, including stock options, require an entity to apply modification accounting under Topic</w:t>
      </w:r>
    </w:p>
    <w:p>
      <w:pPr>
        <w:ind w:right="420" w:firstLine="8"/>
        <w:spacing w:after="0" w:line="290" w:lineRule="auto"/>
        <w:tabs>
          <w:tab w:leader="none" w:pos="40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guidance is effective for annual reporting periods beginning after December 15, 2017, including interim periods within those fiscal years, with early adoption permitted. The Company does not expect this guidance to have a material impact on its Consolidated Financial Statements.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Securities are classified as held to maturity when First Busey has the ability and management has the intent to hold those securities to maturity. Accordingly, they are stated at cost, adjusted for amortization of premiums and accretion of discounts.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amortized cost, unrealized gains and losses and fair values of securities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Amortized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28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38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September 30, 2017:</w:t>
            </w: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Available for sale</w:t>
            </w:r>
          </w:p>
        </w:tc>
        <w:tc>
          <w:tcPr>
            <w:tcW w:w="2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58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60,799</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4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60,800</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60" w:type="dxa"/>
            <w:vAlign w:val="bottom"/>
            <w:gridSpan w:val="3"/>
          </w:tcPr>
          <w:p>
            <w:pPr>
              <w:spacing w:after="0" w:line="201" w:lineRule="exact"/>
              <w:rPr>
                <w:sz w:val="20"/>
                <w:szCs w:val="20"/>
                <w:color w:val="auto"/>
              </w:rPr>
            </w:pPr>
            <w:r>
              <w:rPr>
                <w:rFonts w:ascii="Arial" w:cs="Arial" w:eastAsia="Arial" w:hAnsi="Arial"/>
                <w:sz w:val="18"/>
                <w:szCs w:val="18"/>
                <w:color w:val="auto"/>
                <w:w w:val="98"/>
              </w:rPr>
              <w:t>Obligations of U.S. government corporations and</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860" w:type="dxa"/>
            <w:vAlign w:val="bottom"/>
            <w:gridSpan w:val="3"/>
          </w:tcPr>
          <w:p>
            <w:pPr>
              <w:ind w:left="180"/>
              <w:spacing w:after="0"/>
              <w:rPr>
                <w:sz w:val="20"/>
                <w:szCs w:val="20"/>
                <w:color w:val="auto"/>
              </w:rPr>
            </w:pPr>
            <w:r>
              <w:rPr>
                <w:rFonts w:ascii="Arial" w:cs="Arial" w:eastAsia="Arial" w:hAnsi="Arial"/>
                <w:sz w:val="18"/>
                <w:szCs w:val="18"/>
                <w:color w:val="auto"/>
              </w:rPr>
              <w:t>agencies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64,827</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64,456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215,912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217,108</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330,098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329,793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32,608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32,868</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60" w:type="dxa"/>
            <w:vAlign w:val="bottom"/>
            <w:gridSpan w:val="3"/>
          </w:tcPr>
          <w:p>
            <w:pPr>
              <w:ind w:left="180"/>
              <w:spacing w:after="0"/>
              <w:rPr>
                <w:sz w:val="20"/>
                <w:szCs w:val="20"/>
                <w:color w:val="auto"/>
              </w:rPr>
            </w:pPr>
            <w:r>
              <w:rPr>
                <w:rFonts w:ascii="Arial" w:cs="Arial" w:eastAsia="Arial" w:hAnsi="Arial"/>
                <w:sz w:val="18"/>
                <w:szCs w:val="18"/>
                <w:color w:val="auto"/>
              </w:rPr>
              <w:t>Total debt securities</w:t>
            </w:r>
          </w:p>
        </w:tc>
        <w:tc>
          <w:tcPr>
            <w:tcW w:w="3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704,244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707,466</w:t>
            </w: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708,247</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58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42,403</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4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42,837</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60" w:type="dxa"/>
            <w:vAlign w:val="bottom"/>
            <w:gridSpan w:val="3"/>
          </w:tcPr>
          <w:p>
            <w:pPr>
              <w:spacing w:after="0" w:line="201" w:lineRule="exact"/>
              <w:rPr>
                <w:sz w:val="20"/>
                <w:szCs w:val="20"/>
                <w:color w:val="auto"/>
              </w:rPr>
            </w:pPr>
            <w:r>
              <w:rPr>
                <w:rFonts w:ascii="Arial" w:cs="Arial" w:eastAsia="Arial" w:hAnsi="Arial"/>
                <w:sz w:val="18"/>
                <w:szCs w:val="18"/>
                <w:color w:val="auto"/>
              </w:rPr>
              <w:t>Commercial and residential mortgage-backed</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860" w:type="dxa"/>
            <w:vAlign w:val="bottom"/>
            <w:gridSpan w:val="3"/>
          </w:tcPr>
          <w:p>
            <w:pPr>
              <w:ind w:left="180"/>
              <w:spacing w:after="0"/>
              <w:rPr>
                <w:sz w:val="20"/>
                <w:szCs w:val="20"/>
                <w:color w:val="auto"/>
              </w:rPr>
            </w:pPr>
            <w:r>
              <w:rPr>
                <w:rFonts w:ascii="Arial" w:cs="Arial" w:eastAsia="Arial" w:hAnsi="Arial"/>
                <w:sz w:val="18"/>
                <w:szCs w:val="18"/>
                <w:color w:val="auto"/>
              </w:rPr>
              <w:t>securities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239,572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239,651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gridSpan w:val="2"/>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2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8"/>
              </w:rPr>
              <w:t>December 31, 2016:</w:t>
            </w:r>
          </w:p>
        </w:tc>
        <w:tc>
          <w:tcPr>
            <w:tcW w:w="24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58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74,784</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74,944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60" w:type="dxa"/>
            <w:vAlign w:val="bottom"/>
            <w:gridSpan w:val="3"/>
          </w:tcPr>
          <w:p>
            <w:pPr>
              <w:spacing w:after="0" w:line="201" w:lineRule="exact"/>
              <w:rPr>
                <w:sz w:val="20"/>
                <w:szCs w:val="20"/>
                <w:color w:val="auto"/>
              </w:rPr>
            </w:pPr>
            <w:r>
              <w:rPr>
                <w:rFonts w:ascii="Arial" w:cs="Arial" w:eastAsia="Arial" w:hAnsi="Arial"/>
                <w:sz w:val="18"/>
                <w:szCs w:val="18"/>
                <w:color w:val="auto"/>
                <w:w w:val="98"/>
              </w:rPr>
              <w:t>Obligations of U.S. government corporations and</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860" w:type="dxa"/>
            <w:vAlign w:val="bottom"/>
            <w:gridSpan w:val="3"/>
          </w:tcPr>
          <w:p>
            <w:pPr>
              <w:ind w:left="180"/>
              <w:spacing w:after="0"/>
              <w:rPr>
                <w:sz w:val="20"/>
                <w:szCs w:val="20"/>
                <w:color w:val="auto"/>
              </w:rPr>
            </w:pPr>
            <w:r>
              <w:rPr>
                <w:rFonts w:ascii="Arial" w:cs="Arial" w:eastAsia="Arial" w:hAnsi="Arial"/>
                <w:sz w:val="18"/>
                <w:szCs w:val="18"/>
                <w:color w:val="auto"/>
              </w:rPr>
              <w:t>agencies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79,577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79,127</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154,438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154,938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303,641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302,249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142,836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143,343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60" w:type="dxa"/>
            <w:vAlign w:val="bottom"/>
            <w:gridSpan w:val="3"/>
          </w:tcPr>
          <w:p>
            <w:pPr>
              <w:ind w:left="180"/>
              <w:spacing w:after="0"/>
              <w:rPr>
                <w:sz w:val="20"/>
                <w:szCs w:val="20"/>
                <w:color w:val="auto"/>
              </w:rPr>
            </w:pPr>
            <w:r>
              <w:rPr>
                <w:rFonts w:ascii="Arial" w:cs="Arial" w:eastAsia="Arial" w:hAnsi="Arial"/>
                <w:sz w:val="18"/>
                <w:szCs w:val="18"/>
                <w:color w:val="auto"/>
              </w:rPr>
              <w:t>Total debt securities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755,276</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754,601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4,475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5,210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gridSpan w:val="2"/>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759,751</w:t>
            </w:r>
          </w:p>
        </w:tc>
        <w:tc>
          <w:tcPr>
            <w:tcW w:w="2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4,079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(4,019)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759,811</w:t>
            </w:r>
          </w:p>
        </w:tc>
        <w:tc>
          <w:tcPr>
            <w:tcW w:w="80" w:type="dxa"/>
            <w:vAlign w:val="bottom"/>
            <w:tcBorders>
              <w:bottom w:val="single" w:sz="8" w:color="CCEEFF"/>
            </w:tcBorders>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58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44,333</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44,295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3,487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3,388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47,820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-2951480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-2951480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The amortized cost and fair value of debt securities as of September 30, 2017, by contractual maturity or pre-refunded date, are shown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 Mutual funds and other equity securities do not have stated maturity dates and therefore are not included in the following maturity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underlying mortgage-backed securities may be called or prepaid; therefore, actual maturities could differ from the contractual maturities. All mortgage-backed securities were issued by U.S. government agencies and corporations.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Held to maturity</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20" w:type="dxa"/>
            <w:vAlign w:val="bottom"/>
          </w:tcPr>
          <w:p>
            <w:pPr>
              <w:jc w:val="center"/>
              <w:ind w:right="338"/>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00" w:type="dxa"/>
            <w:vAlign w:val="bottom"/>
          </w:tcPr>
          <w:p>
            <w:pPr>
              <w:jc w:val="right"/>
              <w:ind w:right="458"/>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51,883</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249,272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249,465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59,859</w:t>
            </w:r>
          </w:p>
        </w:tc>
        <w:tc>
          <w:tcPr>
            <w:tcW w:w="4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60,116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37,867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38,116</w:t>
            </w:r>
          </w:p>
        </w:tc>
      </w:tr>
    </w:tbl>
    <w:p>
      <w:pPr>
        <w:sectPr>
          <w:pgSz w:w="11900" w:h="16838" w:orient="portrait"/>
          <w:cols w:equalWidth="0" w:num="1">
            <w:col w:w="11460"/>
          </w:cols>
          <w:pgMar w:left="240" w:top="125" w:right="199" w:bottom="0" w:gutter="0" w:footer="0" w:header="0"/>
        </w:sectPr>
      </w:pPr>
    </w:p>
    <w:bookmarkStart w:id="12" w:name="page13"/>
    <w:bookmarkEnd w:id="12"/>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Due after ten years</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306,078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305,301</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181,367</w:t>
            </w:r>
          </w:p>
        </w:tc>
        <w:tc>
          <w:tcPr>
            <w:tcW w:w="4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181,372</w:t>
            </w:r>
          </w:p>
        </w:tc>
      </w:tr>
      <w:tr>
        <w:trPr>
          <w:trHeight w:val="21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704,244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securities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Gross security (losses)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210"/>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tax provision for the net realized gains and losses was $0.1 million and $0.4 million for the three and nine months ended September 30, 2017, respectively. The tax provision for the net realized gains and losses was insignificant for the three months ended September 30, 2016 and was $0.4 million for the nine months ended September 30, 2016.</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Investment securities with carrying amounts of $571.9 million and $547.2 million on September 30, 2017 and December 31, 2016,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Information pertaining to securities with gross unrealized losses at September 30, 2017 and December 31, 2016, aggregated by investment category and length of time that individual securities have been in a continuous loss position,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2"/>
              </w:rPr>
              <w:t>Continuous unrealized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40" w:type="dxa"/>
            <w:vAlign w:val="bottom"/>
          </w:tcPr>
          <w:p>
            <w:pPr>
              <w:spacing w:after="0"/>
              <w:rPr>
                <w:sz w:val="12"/>
                <w:szCs w:val="12"/>
                <w:color w:val="auto"/>
              </w:rPr>
            </w:pPr>
          </w:p>
        </w:tc>
        <w:tc>
          <w:tcPr>
            <w:tcW w:w="236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9"/>
              </w:rPr>
              <w:t>than 12 months, gross</w:t>
            </w:r>
          </w:p>
        </w:tc>
        <w:tc>
          <w:tcPr>
            <w:tcW w:w="24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September 30, 2017:</w:t>
            </w: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8"/>
              </w:rPr>
              <w:t>Available for sale</w:t>
            </w:r>
          </w:p>
        </w:tc>
        <w:tc>
          <w:tcPr>
            <w:tcW w:w="1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61,129</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66,122</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141,154</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142,756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294,586</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303,517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subdivisions(1)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Commercial and residential mortgage-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backed securities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86,891</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86,891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(1)Unrealized losses existing for greater than 12 months, gross, was less than one thousand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Total, gross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than 12 months, gross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8"/>
              </w:rPr>
              <w:t>December 31, 2016:</w:t>
            </w: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46,209</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46,209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64,832</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168,898</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gridSpan w:val="2"/>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322,685</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(4,011)</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323,839</w:t>
            </w:r>
          </w:p>
        </w:tc>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67" w:gutter="0" w:footer="0" w:header="0"/>
        </w:sectPr>
      </w:pPr>
    </w:p>
    <w:bookmarkStart w:id="13" w:name="page14"/>
    <w:bookmarkEnd w:id="13"/>
    <w:p>
      <w:pPr>
        <w:spacing w:after="0" w:line="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Securities are periodically evaluated for other-than-temporary impairment (“OTTI”). The total number of securities in the investment portfolio in an unrealized loss position as of September 30, 2017 was 250, and represented a loss of 0.79% of the aggregate carrying value. As of September 30, 2017, the Company does not intend to sell such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OTTI at September 30, 2017.</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had available for sale obligations of state and political subdivisions with aggregate fair values of $217.1 million and $154.9 million as of September 30, 2017 and December 31, 2016, respectively. In addition, the Company had held to maturity obligations of state and political subdivisions with aggregate fair values of $42.8 million and $44.3 million as of September 30, 2017 and December 31, 2016, respectively.</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2017, the aggregate fair value of the Company’s obligations of state and political subdivisions portfolio was comprised of $224.4 million of general obligation bonds and $35.5 million of revenue bonds issued by 350 issuers, primarily consisting of states, counties, cities, towns, villages and school districts. The Company held investments in general obligation bonds in 30 states (including the District of Columbia), including seven states in which the aggregate fair value exceeded $5.0 million. The Company held investments in revenue bonds in 18 states, including two states where the aggregate fair value exceeded $5.0 million.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2016, the fair value of the Company’s obligations of state and political subdivisions portfolio was comprised of $163.6 million of general obligation bonds and $35.6 million of revenue bonds issued by 260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16 states, including two states where the aggregate fair value exceeded $5.0 million.</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general obligation bonds are summarized in the following tables by the issuers’ state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September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Average Exposure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4"/>
            <w:vMerge w:val="continue"/>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Issuers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20,543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20,841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Wisconsin</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13,170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13,196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18,946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19,040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Ohio</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10,692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10,712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34,572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34,684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4"/>
            <w:vMerge w:val="restart"/>
          </w:tcPr>
          <w:p>
            <w:pPr>
              <w:ind w:left="660"/>
              <w:spacing w:after="0"/>
              <w:rPr>
                <w:sz w:val="20"/>
                <w:szCs w:val="20"/>
                <w:color w:val="auto"/>
              </w:rPr>
            </w:pPr>
            <w:r>
              <w:rPr>
                <w:rFonts w:ascii="Arial" w:cs="Arial" w:eastAsia="Arial" w:hAnsi="Arial"/>
                <w:sz w:val="18"/>
                <w:szCs w:val="18"/>
                <w:color w:val="auto"/>
              </w:rPr>
              <w:t>December 31, 2016:</w:t>
            </w: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4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Average Exposure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4"/>
            <w:vMerge w:val="continue"/>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Issuers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23,233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23,472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Wisconsin</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10,242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10,235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Ohio</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11,005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Iowa</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22,028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22,192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163,612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73"/>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general obligation bonds are diversified across many issuers, with $3.4 million being the largest exposure to a single issuer at September 30, 2017 and December 31, 2016. Accordingly, as of September 30, 2017 and December 31, 2016, the Company did not hold general obligation bonds of any single issuer, the aggregate book or market value of which exceeded 10% of the Company’s stockholders’ equity. Of the general obligation bonds in the Company’s portfolio, 98.8% had been rated by at least one nationally recognized statistical rating organization and 1.2% were unrated, based on the aggregate fair value as of September 30, 2017. Of the general obligation bonds in the Company’s portfolio, 98.4% had been rated by at least one nationally recognized statistical rating organization and 1.6% were unrated, based on the fair value as of December 31, 2016.</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revenue bonds are summarized in the following tables by the issuers’ state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September 30, 2017:</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Indiana</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6,953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19,739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gridSpan w:val="2"/>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35,574</w:t>
            </w:r>
          </w:p>
        </w:tc>
        <w:tc>
          <w:tcPr>
            <w:tcW w:w="2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60"/>
          </w:cols>
          <w:pgMar w:left="240" w:top="125" w:right="199" w:bottom="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u w:val="single" w:color="auto"/>
          <w:color w:val="auto"/>
        </w:rPr>
        <w:t>December 31, 2016:</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Indiana</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7,321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7,275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gridSpan w:val="2"/>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35,621</w:t>
            </w:r>
          </w:p>
        </w:tc>
        <w:tc>
          <w:tcPr>
            <w:tcW w:w="2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revenue bonds are diversified across many issuers and revenue sources with $3.6 million and $3.5 million being the largest exposure to a single issuer at each of September 30, 2017 and December 31, 2016, respectively. Accordingly, as of September 30, 2017 and December 31, 2016, the Company did not hold revenue bonds of any single issuer, the aggregate book or market value of which exceeded 10% of the Company’s stockholders’ equity. Of the revenue bonds in the Company’s portfolio, 98.6% had been rated by at least one nationally recognized statistical rating organization and 1.4% were unrated, based on the fair value as of September 30, 2017. Of the revenue bonds in the Company’s portfolio, 97.1% had been rated by at least one nationally recognized statistical rating organization and 2.9% were unrated, based on the fair value as of December 31, 2016. Some of the primary types of revenue bonds held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September 30, 2017, substantially all of the Company’s obligations of state and political subdivision securities are owned by its subsidiary banks</w:t>
      </w:r>
      <w:r>
        <w:rPr>
          <w:rFonts w:ascii="Arial" w:cs="Arial" w:eastAsia="Arial" w:hAnsi="Arial"/>
          <w:sz w:val="18"/>
          <w:szCs w:val="18"/>
          <w:b w:val="1"/>
          <w:bCs w:val="1"/>
          <w:color w:val="auto"/>
        </w:rPr>
        <w:t>,</w:t>
      </w:r>
      <w:r>
        <w:rPr>
          <w:rFonts w:ascii="Arial" w:cs="Arial" w:eastAsia="Arial" w:hAnsi="Arial"/>
          <w:sz w:val="18"/>
          <w:szCs w:val="18"/>
          <w:color w:val="auto"/>
        </w:rPr>
        <w:t xml:space="preserve"> which have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 The investment policy states “Fixed income investments that are not US Treasuries, US Agencies or US Instrumentalities, should be analyzed prior to acquisition to determine that the security has (1) low risk of default by the obligor, and (2) the full and timely repayment of principal and interest is expected over the expected life of the investment.”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securities in First Busey’s obligations of state and political subdivision securities portfolio are subject to periodic review. Factors that may be considered as part of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held for sale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Loans held for sale totaled $139.7 million and $256.3 million at September 30, 2017 and December 31, 2016, respectively. The amount of loans held for sale decreased from December 31, 2016, due to lower mortgage volumes and increased delivery efficiency in 2017. Loans held for sale generate net interest income until loans are delivered to investors, at which point mortgage revenue will be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mortgage revenue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2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Premiums received on sales of</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mortgage loans, including fair value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Less direct origination costs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(8,398)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3"/>
          </w:tcPr>
          <w:p>
            <w:pPr>
              <w:jc w:val="right"/>
              <w:ind w:right="70"/>
              <w:spacing w:after="0"/>
              <w:rPr>
                <w:sz w:val="20"/>
                <w:szCs w:val="20"/>
                <w:color w:val="auto"/>
              </w:rPr>
            </w:pPr>
            <w:r>
              <w:rPr>
                <w:rFonts w:ascii="Arial" w:cs="Arial" w:eastAsia="Arial" w:hAnsi="Arial"/>
                <w:sz w:val="18"/>
                <w:szCs w:val="18"/>
                <w:color w:val="auto"/>
              </w:rPr>
              <w:t>(10,874)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(26,433)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provisions to liability for loans</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sold</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Mortgage servicing revenues</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 Portfolio loans</w:t>
            </w: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gridSpan w:val="7"/>
          </w:tcPr>
          <w:p>
            <w:pPr>
              <w:spacing w:after="0"/>
              <w:rPr>
                <w:sz w:val="20"/>
                <w:szCs w:val="20"/>
                <w:color w:val="auto"/>
              </w:rPr>
            </w:pPr>
            <w:r>
              <w:rPr>
                <w:rFonts w:ascii="Arial" w:cs="Arial" w:eastAsia="Arial" w:hAnsi="Arial"/>
                <w:sz w:val="18"/>
                <w:szCs w:val="18"/>
                <w:color w:val="auto"/>
                <w:w w:val="99"/>
              </w:rPr>
              <w:t xml:space="preserve">Distributions of portfolio loans were as follows </w:t>
            </w:r>
            <w:r>
              <w:rPr>
                <w:rFonts w:ascii="Arial" w:cs="Arial" w:eastAsia="Arial" w:hAnsi="Arial"/>
                <w:sz w:val="18"/>
                <w:szCs w:val="18"/>
                <w:i w:val="1"/>
                <w:iCs w:val="1"/>
                <w:color w:val="auto"/>
                <w:w w:val="99"/>
              </w:rPr>
              <w:t>(dollars in thousands)</w:t>
            </w: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959,888</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2,215,299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1,654,164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247,256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182,078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Retail real estate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1,288,852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1,069,060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Portfolio loans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5,085,864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3,878,900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51,035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47,795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5,034,829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3,831,105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341" w:right="299" w:bottom="184" w:gutter="0" w:footer="0" w:header="0"/>
        </w:sectPr>
      </w:pPr>
    </w:p>
    <w:bookmarkStart w:id="15" w:name="page16"/>
    <w:bookmarkEnd w:id="15"/>
    <w:p>
      <w:pPr>
        <w:spacing w:after="0" w:line="13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deferred loan origination costs included in the table above were $4.0 million as of September 30, 2017 and $2.5 million as of December 31, 2016. Net accretable purchase accounting adjustments included in the table above reduced loans by $21.5 million as of September 30, 2017 and $12.7 million as of December 31, 2016.</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might be originated outside of these areas, but such loans are generally residential mortgage loans originated for sale in the secondary market and reported in loans held for sale balances or to existing customers of the Bank.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 reviews and approves the Company’s lending policies and procedures on a routine basis. The policies for legacy First Community Financial Bank loans are similar in nature to Busey Bank’s policies and the Company is migrating First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Community Financial Bank’s loan production towards the Busey Bank policies.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The integrity and character of the borrower are significant factors in the Company’s loan underwriting decisions. As a part of underwriting, tangible positive or negative evidence of the borrower’s integrity and character are sought out. Additional significant underwriting factors beyond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7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Annual Report on Form 10-K for the year ended December 31, 2016. The significant majority of the Company’s portfolio lending activity occurs in its Illinois and Missouri markets, with the remainder in the Indiana and Florida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A description of the general characteristics of each grade is as follows:</w:t>
      </w:r>
    </w:p>
    <w:p>
      <w:pPr>
        <w:spacing w:after="0" w:line="248" w:lineRule="exact"/>
        <w:rPr>
          <w:sz w:val="20"/>
          <w:szCs w:val="20"/>
          <w:color w:val="auto"/>
        </w:rPr>
      </w:pPr>
    </w:p>
    <w:p>
      <w:pPr>
        <w:jc w:val="both"/>
        <w:ind w:left="680" w:right="640" w:hanging="322"/>
        <w:spacing w:after="0" w:line="264"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This category includes loans that are all considered strong credits, ranging from investment or near investment grade,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who exhibit credit fundamentals that exceed industry standards and loan policy guidelines and loans that exhibit acceptable credit fundamentals.</w:t>
      </w:r>
    </w:p>
    <w:p>
      <w:pPr>
        <w:spacing w:after="0" w:line="181" w:lineRule="exact"/>
        <w:rPr>
          <w:rFonts w:ascii="Arial" w:cs="Arial" w:eastAsia="Arial" w:hAnsi="Arial"/>
          <w:sz w:val="18"/>
          <w:szCs w:val="18"/>
          <w:color w:val="auto"/>
        </w:rPr>
      </w:pPr>
    </w:p>
    <w:p>
      <w:pPr>
        <w:ind w:left="680" w:right="340" w:hanging="322"/>
        <w:spacing w:after="0" w:line="277"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580" w:hanging="322"/>
        <w:spacing w:after="0" w:line="277"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80" w:hanging="322"/>
        <w:spacing w:after="0" w:line="286" w:lineRule="auto"/>
        <w:tabs>
          <w:tab w:leader="none" w:pos="644"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 for which the accrual of interest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65" w:lineRule="exact"/>
        <w:rPr>
          <w:rFonts w:ascii="Arial" w:cs="Arial" w:eastAsia="Arial" w:hAnsi="Arial"/>
          <w:sz w:val="17"/>
          <w:szCs w:val="17"/>
          <w:color w:val="auto"/>
        </w:rPr>
      </w:pPr>
    </w:p>
    <w:p>
      <w:pPr>
        <w:ind w:left="680" w:right="160" w:hanging="322"/>
        <w:spacing w:after="0" w:line="264"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This category includes “Doubtful”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Portfolio loans in the highest grades, represented by the pass and watch categories, totaled $4.9 billion at September 30, 2017, compared to $3.7 billion December 31, 2016. Portfolio loans in the lowest grades, represented by the special mention, substandard and doubtful categories, totaled $174.1 million at</w:t>
      </w:r>
    </w:p>
    <w:p>
      <w:pPr>
        <w:sectPr>
          <w:pgSz w:w="11900" w:h="16975"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September 30, 2017, compared to $165.5 million at December 31, 2016.</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non-posted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 2017</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Pass</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Special</w:t>
            </w:r>
          </w:p>
        </w:tc>
        <w:tc>
          <w:tcPr>
            <w:tcW w:w="140" w:type="dxa"/>
            <w:vAlign w:val="bottom"/>
          </w:tcPr>
          <w:p>
            <w:pPr>
              <w:spacing w:after="0"/>
              <w:rPr>
                <w:sz w:val="10"/>
                <w:szCs w:val="10"/>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Substandard</w:t>
            </w:r>
          </w:p>
        </w:tc>
        <w:tc>
          <w:tcPr>
            <w:tcW w:w="180" w:type="dxa"/>
            <w:vAlign w:val="bottom"/>
          </w:tcPr>
          <w:p>
            <w:pPr>
              <w:spacing w:after="0"/>
              <w:rPr>
                <w:sz w:val="10"/>
                <w:szCs w:val="10"/>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Mention</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1,107,709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2,050,678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23,040</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31,374</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198,095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Retail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1,264,840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6,184</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3,001</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15,036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4,636,358</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73,257</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73,379</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Pass</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Special</w:t>
            </w:r>
          </w:p>
        </w:tc>
        <w:tc>
          <w:tcPr>
            <w:tcW w:w="140" w:type="dxa"/>
            <w:vAlign w:val="bottom"/>
          </w:tcPr>
          <w:p>
            <w:pPr>
              <w:spacing w:after="0"/>
              <w:rPr>
                <w:sz w:val="10"/>
                <w:szCs w:val="10"/>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Substandard</w:t>
            </w:r>
          </w:p>
        </w:tc>
        <w:tc>
          <w:tcPr>
            <w:tcW w:w="180" w:type="dxa"/>
            <w:vAlign w:val="bottom"/>
          </w:tcPr>
          <w:p>
            <w:pPr>
              <w:spacing w:after="0"/>
              <w:rPr>
                <w:sz w:val="10"/>
                <w:szCs w:val="10"/>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Mention</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1,507,513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69,145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40,775</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35,385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134,574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Retail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1,050,671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2,793</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2,158</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13,691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3,532,612</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78,554</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65,478</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of the principal and interest amounts contractually due are brought current and future payments are reasonably assured.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analysis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center"/>
              <w:ind w:left="14"/>
              <w:spacing w:after="0"/>
              <w:rPr>
                <w:sz w:val="20"/>
                <w:szCs w:val="20"/>
                <w:color w:val="auto"/>
              </w:rPr>
            </w:pPr>
            <w:r>
              <w:rPr>
                <w:rFonts w:ascii="Arial" w:cs="Arial" w:eastAsia="Arial" w:hAnsi="Arial"/>
                <w:sz w:val="14"/>
                <w:szCs w:val="14"/>
                <w:b w:val="1"/>
                <w:bCs w:val="1"/>
                <w:color w:val="auto"/>
                <w:w w:val="91"/>
              </w:rPr>
              <w:t>September 30, 2017</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30-59 Days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540"/>
              <w:spacing w:after="0" w:line="142" w:lineRule="exact"/>
              <w:rPr>
                <w:sz w:val="20"/>
                <w:szCs w:val="20"/>
                <w:color w:val="auto"/>
              </w:rPr>
            </w:pPr>
            <w:r>
              <w:rPr>
                <w:rFonts w:ascii="Arial" w:cs="Arial" w:eastAsia="Arial" w:hAnsi="Arial"/>
                <w:sz w:val="14"/>
                <w:szCs w:val="14"/>
                <w:b w:val="1"/>
                <w:bCs w:val="1"/>
                <w:color w:val="auto"/>
                <w:w w:val="92"/>
              </w:rPr>
              <w:t>60-89 Days</w:t>
            </w:r>
          </w:p>
        </w:tc>
        <w:tc>
          <w:tcPr>
            <w:tcW w:w="20" w:type="dxa"/>
            <w:vAlign w:val="bottom"/>
          </w:tcPr>
          <w:p>
            <w:pPr>
              <w:spacing w:after="0"/>
              <w:rPr>
                <w:sz w:val="12"/>
                <w:szCs w:val="12"/>
                <w:color w:val="auto"/>
              </w:rPr>
            </w:pPr>
          </w:p>
        </w:tc>
        <w:tc>
          <w:tcPr>
            <w:tcW w:w="102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Loans</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13,313</w:t>
            </w: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1,838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6,247</w:t>
            </w: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r>
      <w:tr>
        <w:trPr>
          <w:trHeight w:val="217"/>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5"/>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left="14"/>
              <w:spacing w:after="0"/>
              <w:rPr>
                <w:sz w:val="20"/>
                <w:szCs w:val="20"/>
                <w:color w:val="auto"/>
              </w:rPr>
            </w:pPr>
            <w:r>
              <w:rPr>
                <w:rFonts w:ascii="Arial" w:cs="Arial" w:eastAsia="Arial" w:hAnsi="Arial"/>
                <w:sz w:val="14"/>
                <w:szCs w:val="14"/>
                <w:b w:val="1"/>
                <w:bCs w:val="1"/>
                <w:color w:val="auto"/>
                <w:w w:val="91"/>
              </w:rPr>
              <w:t>December 31, 2016</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c>
          <w:tcPr>
            <w:tcW w:w="100" w:type="dxa"/>
            <w:vAlign w:val="bottom"/>
            <w:gridSpan w:val="2"/>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30-59 Days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60-89 Days</w:t>
            </w:r>
          </w:p>
        </w:tc>
        <w:tc>
          <w:tcPr>
            <w:tcW w:w="20" w:type="dxa"/>
            <w:vAlign w:val="bottom"/>
          </w:tcPr>
          <w:p>
            <w:pPr>
              <w:spacing w:after="0"/>
              <w:rPr>
                <w:sz w:val="12"/>
                <w:szCs w:val="12"/>
                <w:color w:val="auto"/>
              </w:rPr>
            </w:pPr>
          </w:p>
        </w:tc>
        <w:tc>
          <w:tcPr>
            <w:tcW w:w="1020" w:type="dxa"/>
            <w:vAlign w:val="bottom"/>
          </w:tcPr>
          <w:p>
            <w:pPr>
              <w:ind w:left="400"/>
              <w:spacing w:after="0" w:line="142" w:lineRule="exact"/>
              <w:rPr>
                <w:sz w:val="20"/>
                <w:szCs w:val="20"/>
                <w:color w:val="auto"/>
              </w:rPr>
            </w:pPr>
            <w:r>
              <w:rPr>
                <w:rFonts w:ascii="Arial" w:cs="Arial" w:eastAsia="Arial" w:hAnsi="Arial"/>
                <w:sz w:val="14"/>
                <w:szCs w:val="14"/>
                <w:b w:val="1"/>
                <w:bCs w:val="1"/>
                <w:color w:val="auto"/>
                <w:w w:val="98"/>
              </w:rPr>
              <w:t>90+ Days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5,154</w:t>
            </w: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2,394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r>
      <w:tr>
        <w:trPr>
          <w:trHeight w:val="217"/>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3,092</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131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substandard or doubtful and loans classified as a troubled debt restructuring (“TDR”) are reviewed by the Company for potential impairment.</w:t>
      </w:r>
    </w:p>
    <w:p>
      <w:pPr>
        <w:spacing w:after="0" w:line="16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Impairment is measured on a loan-by-loan basis for commercial and construction loans based on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unless such loans are the subject of a restructuring agreement.</w:t>
      </w:r>
    </w:p>
    <w:p>
      <w:pPr>
        <w:spacing w:after="0" w:line="15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gross interest income that would have been recorded in the three and nine months ended September 30, 2017 if impaired loans had been current in accordance with their original terms was $0.4 million and $0.9 million, respectively. The amount of interest collected on those loans and recognized on a cash basis that was included in interest income was insignificant for the three and nine months ended September 30, 2017.</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ectPr>
          <w:pgSz w:w="11900" w:h="16838" w:orient="portrait"/>
          <w:cols w:equalWidth="0" w:num="1">
            <w:col w:w="11400"/>
          </w:cols>
          <w:pgMar w:left="240" w:top="125" w:right="259" w:bottom="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exceeds 90 days past due or is placed on non-accrual status, it is classified as non-performing. A summary of restructured loans as of September 30, 2017 and December 31, 2016 is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 2017</w:t>
            </w:r>
          </w:p>
        </w:tc>
        <w:tc>
          <w:tcPr>
            <w:tcW w:w="20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2016</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Restructured loans:</w:t>
            </w:r>
          </w:p>
        </w:tc>
        <w:tc>
          <w:tcPr>
            <w:tcW w:w="1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In compliance with modified terms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11,813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10,593</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 89 days past due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Included in non-performing loans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2,890</w:t>
            </w: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r>
      <w:tr>
        <w:trPr>
          <w:trHeight w:val="210"/>
        </w:trPr>
        <w:tc>
          <w:tcPr>
            <w:tcW w:w="4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Performing loans classified as a TDR during the three months ended September 30, 2017 included one retail real estate modification for short-term interest rate relief, with a recorded investment of $0.2 million. Performing loans classified as TDRs during the nine months ended September 30, 2017 included one commercial modification for short-term principal payment relief, with a recorded investment of $1.7 million and two retail real estate modifications for short-term interest rate relief, with a recorded investment of $0.5 million.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Performing loans classified as TDRs during the three months ended September 30, 2016 included one retail real estate modification for short-term principal payment relief, with a recorded investment of $0.2 million. Performing loans classified as TDRs during the nine months ended September 30, 2016 included three commercial real estate modifications for short-term principal payment relief, with a recorded investment of $0.3 million and three retail real estate modifications for short-term principal payment relief, with a recorded investment of $0.5 million.</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gross interest income that would have been recorded in the three and nine months ended September 30, 2017 and 2016 if performing TDRs had been performing in accordance with their original terms compared with their modified terms was insignificant.</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There were no TDRs that were entered into during the last twelve months that were subsequently classified as non-performing and had payment defaults (a default occurs when a loan is 90 days or more past due or transferred to non-accrual) during the three and nine months ended September 30, 2017.</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were no TDRs that were entered into during the prior twelve months that subsequently were classified as non-performing and had payment defaults during the three months ended September 30, 2016. TDRs that were entered into during the prior twelve months that were subsequently classified as non-performing and had payment defaults during the nine months ended September 30, 2016 consisted of one retail real estate modification totaling $0.1 million and one insignificant retail other modification.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following tables provide details of impaired loans, segregated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Unpaid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Recorded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Recorded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with No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with</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25,055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17,797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19,835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14,132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17,206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14,484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Unpaid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Recorded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Recorded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with No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with</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Recorded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Investment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12,922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9,036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3,118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12,154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13,112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11,733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43,646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29,365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36,717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3,467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103" w:gutter="0" w:footer="0" w:header="0"/>
        </w:sectPr>
      </w:pPr>
    </w:p>
    <w:bookmarkStart w:id="18" w:name="page19"/>
    <w:bookmarkEnd w:id="18"/>
    <w:p>
      <w:pPr>
        <w:spacing w:after="0" w:line="5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allowance for loan losses represents an estimate of the amount of probable losses believed to be inherent in the Company’s loan portfolio at the Consolidated Balance Sheet date. The allowance for loan losses is calculated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September 30, 2017 and December 31, 2016.</w:t>
      </w:r>
    </w:p>
    <w:p>
      <w:pPr>
        <w:spacing w:after="0" w:line="17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ratios component is an annualized loss rate calculated using a sum-of-years digits weighted 20-quarter historical average.</w:t>
      </w:r>
    </w:p>
    <w:p>
      <w:pPr>
        <w:spacing w:after="0" w:line="12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Company’s component for adversely graded loans attempts to quantify the additional risk of loss inherent in the special mention and substandard portfolios. The substandard portfolio has an additional allocation of 3.0% placed on such loans, which is an estimate of the additional loss inherent in these loan grades based upon a review of overall historical charge-offs. As of September 30, 2017, the Company believed this reserve remained adequate. Special mention loans have an additional allocation of 1.0% placed on such loans, which is an estimate of the additional loss inherent in these loan grades. As of September 30, 2017, the Company believed this reserve remained adequate.</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specific portion of the Company’s allowance relates to loans that are impaired, which includes non-performing loans, TDRs and other loans determined to be impaired. Impaired loans are excluded from the determination of the general allowance for non-impaired loans and are allocated specific reserves as discussed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general reserve quantitative allocation that is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Factors; (vi) Impact of Competition, Legal &amp; Regulatory Issues; (vii) Nature and Volume of Loan Portfolio; (viii) Concentrations of Credit; (ix) Net Charge-Off Trends; and (x) Non-Accrual, Past Due and Classified Trends. Management evaluates the probable impact from the degree of risk that each one of these components has on the quality of the loan portfolio on a quarterly basis.</w:t>
      </w:r>
    </w:p>
    <w:p>
      <w:pPr>
        <w:spacing w:after="0" w:line="16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Based on each component’s risk factor, a qualitative adjustment to the reserve may be applied to the appropriate loan categories. During the third quarter of 2017, the Company did not make adjustments to any qualitative factors. The Company will continue to monitor its qualitative factors on a quarterly basis.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 The balance of all acquired loans which did not require a related allowance for loan losses as of September 30, 2017 totaled approximately $1.7 billion.</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following tables detail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300" w:type="dxa"/>
            <w:vAlign w:val="bottom"/>
            <w:tcBorders>
              <w:bottom w:val="single" w:sz="8" w:color="auto"/>
            </w:tcBorders>
            <w:gridSpan w:val="11"/>
          </w:tcPr>
          <w:p>
            <w:pPr>
              <w:jc w:val="center"/>
              <w:ind w:right="400"/>
              <w:spacing w:after="0"/>
              <w:rPr>
                <w:sz w:val="20"/>
                <w:szCs w:val="20"/>
                <w:color w:val="auto"/>
              </w:rPr>
            </w:pPr>
            <w:r>
              <w:rPr>
                <w:rFonts w:ascii="Arial" w:cs="Arial" w:eastAsia="Arial" w:hAnsi="Arial"/>
                <w:sz w:val="14"/>
                <w:szCs w:val="14"/>
                <w:b w:val="1"/>
                <w:bCs w:val="1"/>
                <w:color w:val="auto"/>
                <w:w w:val="93"/>
              </w:rPr>
              <w:t>As of and for the Three Months Ended September 30, 2017</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Retail Other</w:t>
            </w:r>
          </w:p>
        </w:tc>
        <w:tc>
          <w:tcPr>
            <w:tcW w:w="26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11"/>
          </w:tcPr>
          <w:p>
            <w:pPr>
              <w:jc w:val="center"/>
              <w:ind w:right="400"/>
              <w:spacing w:after="0"/>
              <w:rPr>
                <w:sz w:val="20"/>
                <w:szCs w:val="20"/>
                <w:color w:val="auto"/>
              </w:rPr>
            </w:pPr>
            <w:r>
              <w:rPr>
                <w:rFonts w:ascii="Arial" w:cs="Arial" w:eastAsia="Arial" w:hAnsi="Arial"/>
                <w:sz w:val="14"/>
                <w:szCs w:val="14"/>
                <w:b w:val="1"/>
                <w:bCs w:val="1"/>
                <w:color w:val="auto"/>
                <w:w w:val="93"/>
              </w:rPr>
              <w:t>As of and for the Nine Months Ended September 30, 2017</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Retail Other</w:t>
            </w:r>
          </w:p>
        </w:tc>
        <w:tc>
          <w:tcPr>
            <w:tcW w:w="26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2,894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11"/>
          </w:tcPr>
          <w:p>
            <w:pPr>
              <w:jc w:val="center"/>
              <w:ind w:right="400"/>
              <w:spacing w:after="0"/>
              <w:rPr>
                <w:sz w:val="20"/>
                <w:szCs w:val="20"/>
                <w:color w:val="auto"/>
              </w:rPr>
            </w:pPr>
            <w:r>
              <w:rPr>
                <w:rFonts w:ascii="Arial" w:cs="Arial" w:eastAsia="Arial" w:hAnsi="Arial"/>
                <w:sz w:val="14"/>
                <w:szCs w:val="14"/>
                <w:b w:val="1"/>
                <w:bCs w:val="1"/>
                <w:color w:val="auto"/>
                <w:w w:val="93"/>
              </w:rPr>
              <w:t>As of and for the Three Months Ended September 30, 2016</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Retail Other</w:t>
            </w:r>
          </w:p>
        </w:tc>
        <w:tc>
          <w:tcPr>
            <w:tcW w:w="26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1,506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125" w:right="239" w:bottom="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300" w:type="dxa"/>
            <w:vAlign w:val="bottom"/>
            <w:tcBorders>
              <w:bottom w:val="single" w:sz="8" w:color="auto"/>
            </w:tcBorders>
            <w:gridSpan w:val="11"/>
          </w:tcPr>
          <w:p>
            <w:pPr>
              <w:ind w:left="680"/>
              <w:spacing w:after="0"/>
              <w:rPr>
                <w:sz w:val="20"/>
                <w:szCs w:val="20"/>
                <w:color w:val="auto"/>
              </w:rPr>
            </w:pPr>
            <w:r>
              <w:rPr>
                <w:rFonts w:ascii="Arial" w:cs="Arial" w:eastAsia="Arial" w:hAnsi="Arial"/>
                <w:sz w:val="14"/>
                <w:szCs w:val="14"/>
                <w:b w:val="1"/>
                <w:bCs w:val="1"/>
                <w:color w:val="auto"/>
              </w:rPr>
              <w:t>As of and for the Nine Months Ended September 30, 2016</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2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Real Estate</w:t>
            </w:r>
          </w:p>
        </w:tc>
        <w:tc>
          <w:tcPr>
            <w:tcW w:w="160" w:type="dxa"/>
            <w:vAlign w:val="bottom"/>
          </w:tcPr>
          <w:p>
            <w:pPr>
              <w:spacing w:after="0"/>
              <w:rPr>
                <w:sz w:val="10"/>
                <w:szCs w:val="10"/>
                <w:color w:val="auto"/>
              </w:rPr>
            </w:pPr>
          </w:p>
        </w:tc>
        <w:tc>
          <w:tcPr>
            <w:tcW w:w="12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Retail Other</w:t>
            </w:r>
          </w:p>
        </w:tc>
        <w:tc>
          <w:tcPr>
            <w:tcW w:w="26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Real Estate</w:t>
            </w:r>
          </w:p>
        </w:tc>
        <w:tc>
          <w:tcPr>
            <w:tcW w:w="14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Construction</w:t>
            </w:r>
          </w:p>
        </w:tc>
        <w:tc>
          <w:tcPr>
            <w:tcW w:w="16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Estate</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291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2,114</w:t>
            </w:r>
          </w:p>
        </w:tc>
        <w:tc>
          <w:tcPr>
            <w:tcW w:w="14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343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As of September 30, 2017</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Amount allocated to:</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12,045</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13,522</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14,076</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51,035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1,310,889</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2,195,464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246,232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1,274,343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5,041,432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1,319,908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1,288,852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5,085,864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As of December 31,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Amount allocated to:</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11,508</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11,648</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947,993</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181,584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1,056,942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3,842,183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959,888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1,069,060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OREO</w:t>
      </w:r>
    </w:p>
    <w:p>
      <w:pPr>
        <w:spacing w:after="0" w:line="229"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and is included in other assets in the accompanying Consolidated Balance Sheets.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Properties are evaluated regularly to ensure each recorded amount is supported by its current fair value, and valuation allowances to reduce the carrying amount due to subsequent declines in fair value less estimated costs to dispose are recorded as necessary. Revenue, expense, gains and losses from the operations of foreclosed assets are included in operations. At September 30, 2017, the Company held $1.1 million in commercial OREO, $0.1 million in residential OREO and an insignificant amount of other repossessed assets. At December 31, 2016, the Company held $2.0 million in commercial OREO, $0.5 million in residential OREO and an insignificant amount of other repossessed assets. At September 30, 2017 the Company had $1.2 million of residential real estate in the process of foreclosure.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activity related to OREO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Nine Months Ended</w:t>
            </w:r>
          </w:p>
        </w:tc>
        <w:tc>
          <w:tcPr>
            <w:tcW w:w="20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September 30, 2017</w:t>
            </w:r>
          </w:p>
        </w:tc>
        <w:tc>
          <w:tcPr>
            <w:tcW w:w="20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2016</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Additions, transfers from loans</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2,775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Additions, fair value from Pulaski acquisition</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Additions, fair value from First Community acquisition</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OREO</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(4,069)</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(4,498)</w:t>
            </w:r>
          </w:p>
        </w:tc>
      </w:tr>
    </w:tbl>
    <w:p>
      <w:pPr>
        <w:sectPr>
          <w:pgSz w:w="11900" w:h="16838" w:orient="portrait"/>
          <w:cols w:equalWidth="0" w:num="1">
            <w:col w:w="11460"/>
          </w:cols>
          <w:pgMar w:left="240" w:top="341" w:right="199" w:bottom="0" w:gutter="0" w:footer="0" w:header="0"/>
        </w:sectPr>
      </w:pPr>
    </w:p>
    <w:bookmarkStart w:id="20" w:name="page21"/>
    <w:bookmarkEnd w:id="2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840" w:type="dxa"/>
            <w:vAlign w:val="bottom"/>
            <w:gridSpan w:val="2"/>
          </w:tcPr>
          <w:p>
            <w:pPr>
              <w:ind w:left="320"/>
              <w:spacing w:after="0"/>
              <w:rPr>
                <w:sz w:val="20"/>
                <w:szCs w:val="20"/>
                <w:color w:val="auto"/>
              </w:rPr>
            </w:pPr>
            <w:r>
              <w:rPr>
                <w:rFonts w:ascii="Arial" w:cs="Arial" w:eastAsia="Arial" w:hAnsi="Arial"/>
                <w:sz w:val="18"/>
                <w:szCs w:val="18"/>
                <w:color w:val="auto"/>
              </w:rPr>
              <w:t>Gain on sales of OREO</w:t>
            </w: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OREO</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Deposits</w:t>
            </w:r>
          </w:p>
        </w:tc>
        <w:tc>
          <w:tcPr>
            <w:tcW w:w="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18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1,321,439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Interest-bearing transaction deposits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1,189,573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1,032,928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 and money market deposits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1,860,078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1,421,037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1,002,193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786,200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5,373,283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4,374,298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Interest-bearing transaction deposits included $56.7 million and $36.9 million of reciprocal brokered transaction deposits at September 30, 2017 and December 31, 2016, respectively. Savings deposits and money market deposits included $72.2 million and $22.2 million of reciprocal brokered deposits at September 30, 2017 and December 31, 2016, respectively.</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aggregate amount of time deposits with a minimum denomination of $100,000 was approximately $513.1 million and $350.7 million at September 30, 2017 and December 31, 2016, respectively. The aggregate amount of time deposits with a minimum denomination that meets or exceeds the Federal Deposit Insurance Corporation insurance limit of $250,000 was approximately $178.9 million and $70.7 million at September 30, 2017 and December 31, 2016, respectively. National deposits of $0.6 million and $0.1 million were included in the balance of time deposits as of September 30, 2017 and December 31, 2016, respectively. The Company had reciprocal brokered time deposits of $58.4 million and $93.4 million at September 30, 2017 and December 31, 2016, respectively, included in the balance of time deposits. Further, the Company had brokered deposits of $42.6 million at September 30, 2017 and December 31, 2016, which are included in the balance of time deposits.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w w:val="94"/>
              </w:rPr>
              <w:t xml:space="preserve">As of September 30, 2017, the scheduled maturities of time deposits are as follows </w:t>
            </w:r>
            <w:r>
              <w:rPr>
                <w:rFonts w:ascii="Arial" w:cs="Arial" w:eastAsia="Arial" w:hAnsi="Arial"/>
                <w:sz w:val="18"/>
                <w:szCs w:val="18"/>
                <w:i w:val="1"/>
                <w:iCs w:val="1"/>
                <w:color w:val="auto"/>
                <w:w w:val="94"/>
              </w:rPr>
              <w:t>(dollars in thousands)</w:t>
            </w:r>
            <w:r>
              <w:rPr>
                <w:rFonts w:ascii="Arial" w:cs="Arial" w:eastAsia="Arial" w:hAnsi="Arial"/>
                <w:sz w:val="18"/>
                <w:szCs w:val="18"/>
                <w:color w:val="auto"/>
                <w:w w:val="94"/>
              </w:rPr>
              <w:t>:</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October 1, 2017 — September 30, 2018</w:t>
            </w:r>
          </w:p>
        </w:tc>
        <w:tc>
          <w:tcPr>
            <w:tcW w:w="8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641,038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October 1, 2018 — September 30, 2019</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246,685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October 1, 2019 — September 30, 2020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48,839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October 1, 2020 — September 30, 2021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28,023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October 1, 2021 — September 30, 2022</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0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1,002,193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May 5, 2017, the Company entered into an amendment to a credit agreement with a correspondent bank to extend a revolving loan facility to the Company in the maximum principal amount of $40.0 million. The loan has an annual interest rate of 2.50% plus the one-month LIBOR rate and has a maturity date of April 30, 2018. The loan also bears a non-usage fee calculated based on the average daily principal balance of the loan outstanding during the prior fiscal quarter. The Company had no outstanding amount on September 30, 2017 or December 31, 2016.</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sets forth the distribution of securities sold under agreements to repurchase and short-term borrowings and weighted average interest rates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Securities sold under agreements to repurchase</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219,071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189,157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0.51%</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235,536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216,293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186,277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181,474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24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r>
      <w:tr>
        <w:trPr>
          <w:trHeight w:val="216"/>
        </w:trPr>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212,850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24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212,850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236,700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54,329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96,698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r>
      <w:tr>
        <w:trPr>
          <w:trHeight w:val="216"/>
        </w:trPr>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borrowings, revolving loan</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65"/>
        </w:trPr>
        <w:tc>
          <w:tcPr>
            <w:tcW w:w="6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bl>
    <w:p>
      <w:pPr>
        <w:sectPr>
          <w:pgSz w:w="11900" w:h="16900" w:orient="portrait"/>
          <w:cols w:equalWidth="0" w:num="1">
            <w:col w:w="11400"/>
          </w:cols>
          <w:pgMar w:left="240" w:top="125" w:right="259" w:bottom="0" w:gutter="0" w:footer="0" w:header="0"/>
        </w:sectPr>
      </w:pPr>
    </w:p>
    <w:bookmarkStart w:id="21" w:name="page22"/>
    <w:bookmarkEnd w:id="21"/>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120" w:type="dxa"/>
            <w:vAlign w:val="bottom"/>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9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2,596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Weighted average interest rate during period(1) (2)</w:t>
            </w:r>
          </w:p>
        </w:tc>
        <w:tc>
          <w:tcPr>
            <w:tcW w:w="19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920" w:right="440" w:hanging="264"/>
        <w:spacing w:after="0" w:line="258" w:lineRule="auto"/>
        <w:tabs>
          <w:tab w:leader="none" w:pos="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weighted average interest rate is computed by dividing total annualized interest for the year-to-date period by the average daily balance outstanding.</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interest and non-usage fee.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FHLB, ranging in original maturity from nineteen months to ten years,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collateralized by FHLB deposits, residential and commercial real estate loans and FHLB stock.</w:t>
            </w:r>
          </w:p>
        </w:tc>
        <w:tc>
          <w:tcPr>
            <w:tcW w:w="18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 of September 30, 2017, funds borrowed from the FHLB, listed above, consisted of variable-rate notes maturing through September 2024, with interest rates ranging from 0.75% to 1.06%. The weighted average rate on these long-term advances was 0.87% as of September 30, 2017. As of December 31, 2016, funds borrowed from the FHLB, listed above, consisted of variable-rate notes maturing through September 2024, with interest rates ranging from 0.35% to 0.54%. The weighted average rate on the long-term advances was 0.41% as of December 31, 2016.</w:t>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Additionally, on May 25, 2017, the Company issued $60.0 million of fixed-to-floating rate subordinated notes that mature on May 25, 2027. The subordinated notes, which qualify as Tier 2 capital for First Busey, are at an initial rate of 4.75% for five years and thereafter at an annual floating rate equal to three-month LIBOR plus a spread of 2.919%. The subordinated notes are payable semi-annually on each May 25 and November 25, commencing on November 25, 2017 during the five year fixed-term and thereafter each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$0.6 million and $1.0 million, respectively, at September 30, 2017. The Company used the net proceeds from the offering to finance a portion of the cash consideration for its acquisition of First Community, to redeem a portion of First Community subordinated debentures in July 2017, and to finance a portion of the cash consideration for its acquisition of Mid Illinois in October 2017, with the remaining proceeds to be used for general corporate purposes.</w:t>
      </w:r>
    </w:p>
    <w:p>
      <w:pPr>
        <w:spacing w:after="0" w:line="18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relation to the First Community acquisition, the Company assumed $15.3 million in subordinated debt, of which $9.8 million was simultaneously redeemed. The remaining $5.5 million was issued on September 30, 2013, matures on September 30, 2021 and bears interest payable quarterly, at an annual interest rate of 8.625%. Beginning on September 30, 2018, the Company may, at its option, redeem the note at a redemption price equal to the principal amount outstanding plus accrued but unpaid interest. A $0.3 million purchase accounting premium was recorded on the remaining subordinated debt.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Junior Subordinated Debt Owed to Unconsolidated Trusts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the Company acquired similar statutory trusts maintained by Pulaski, which were adjusted to fair value. The Company had $71.0 million and $70.9 million of junior subordinated debt owed to unconsolidated trusts at September 30, 2017 and December 31, 2016, respectively.</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 The Company does not expect to exercise this right.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September 30, 2017, 100% of the trust preferred securities qualified as Tier 1 capital under the final rule adopted in March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ectPr>
          <w:pgSz w:w="11900" w:h="16900" w:orient="portrait"/>
          <w:cols w:equalWidth="0" w:num="1">
            <w:col w:w="11420"/>
          </w:cols>
          <w:pgMar w:left="240" w:top="140" w:right="239" w:bottom="0" w:gutter="0" w:footer="0" w:header="0"/>
        </w:sectPr>
      </w:pPr>
    </w:p>
    <w:p>
      <w:pPr>
        <w:spacing w:after="0" w:line="204"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3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r>
    </w:tbl>
    <w:p>
      <w:pPr>
        <w:sectPr>
          <w:pgSz w:w="11900" w:h="16900" w:orient="portrait"/>
          <w:cols w:equalWidth="0" w:num="1">
            <w:col w:w="11420"/>
          </w:cols>
          <w:pgMar w:left="240" w:top="140" w:right="239" w:bottom="0" w:gutter="0" w:footer="0" w:header="0"/>
          <w:type w:val="continuous"/>
        </w:sectPr>
      </w:pPr>
    </w:p>
    <w:bookmarkStart w:id="22" w:name="page23"/>
    <w:bookmarkEnd w:id="2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18,784</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15,422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50,433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45,324</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38,256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40,669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Dilutive effect of outstanding options, warrants and restricted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stock units as determined by the application of the treasury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method</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w:t>
            </w:r>
          </w:p>
        </w:tc>
        <w:tc>
          <w:tcPr>
            <w:tcW w:w="8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common shares outstanding, as adjusted for</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90"/>
              </w:rPr>
              <w:t>45,764</w:t>
            </w:r>
          </w:p>
        </w:tc>
        <w:tc>
          <w:tcPr>
            <w:tcW w:w="86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0"/>
              </w:rPr>
              <w:t>38,654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41,069</w:t>
            </w:r>
          </w:p>
        </w:tc>
        <w:tc>
          <w:tcPr>
            <w:tcW w:w="3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34,318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 calculation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0.41</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0.41</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Diluted earnings per common share are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September 30, 2017, 78,540 outstanding options and 191,278 warrants were anti-dilutive and excluded from the calculation of common stock equivalents. At September 30, 2016, 28,350 outstanding options, 132,017 restricted stock units and 191,278 warrants were anti-dilutive and excluded from the calculation of common stock equivalents.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requisite service periods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Company’s 2010 Equity Incentive Plan, the Company is allowed, but not required, to source stock option exercises and grants of RSUs and DSUs from its inventory of treasury stock. As of September 30, 2017, the Company held 550,937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that was originally approved in 2008. During 2015, the Company purchased 333,333 shares under this repurchase plan. At September 30, 2017 the Company had 333,334 shares that may still be purchased under the plan.</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The Company’s 2010 Equity Incentive Plan is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relation to the First Community acquisition, the Company assumed stock options that were previously issued under shareholder approved First Community incentive plans. At the effective time of the merger, each outstanding and unexercised option to purchase shares of First Community common stock held by an employee, whether vested or unvested, was converted into an option to purchase First Busey common stock. The converted option is equal to the number of shares of such First Community stock option multiplied by the option exchange ratio (rounded down to the nearest whole share), at an exercise price per share equal to the exercise price for each share of First Community common stock subject to such First Community stock option divided by the option exchange ratio (rounded up to the nearest whole cent). The option exchange ratio is the sum of the exchange ratio (0.396) multiplied by the closing sales price of a share of First Busey common stock on the NASDAQ Global Select Market on June 30, 2017, plus the cash consideration ($1.35), divided by the closing sales price of a share of First Busey common stock on the NASDAQ Global Select Market on June 30, 2017. Each First Community stock option assumed and converted continues to be subject to the same terms and conditions, as applicable immediately prior to the effective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nine months ended September 30, 2017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940" w:type="dxa"/>
            <w:vAlign w:val="bottom"/>
          </w:tcPr>
          <w:p>
            <w:pPr>
              <w:jc w:val="center"/>
              <w:ind w:left="347"/>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209,382</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15.13</w:t>
            </w:r>
          </w:p>
        </w:tc>
        <w:tc>
          <w:tcPr>
            <w:tcW w:w="2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Converted options from First Community</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121,360</w:t>
            </w:r>
          </w:p>
        </w:tc>
        <w:tc>
          <w:tcPr>
            <w:tcW w:w="9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21.41</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(20,924)</w:t>
            </w:r>
          </w:p>
        </w:tc>
        <w:tc>
          <w:tcPr>
            <w:tcW w:w="9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12.36</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(3,080)</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23.53</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70" w:orient="portrait"/>
          <w:cols w:equalWidth="0" w:num="1">
            <w:col w:w="11420"/>
          </w:cols>
          <w:pgMar w:left="240" w:top="118" w:right="239" w:bottom="0" w:gutter="0" w:footer="0" w:header="0"/>
        </w:sectPr>
      </w:pPr>
    </w:p>
    <w:bookmarkStart w:id="23" w:name="page24"/>
    <w:bookmarkEnd w:id="23"/>
    <w:p>
      <w:pPr>
        <w:spacing w:after="0" w:line="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Expired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Outstanding at end of period</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Exercisable at end of period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(10,850)</w:t>
            </w:r>
          </w:p>
        </w:tc>
        <w:tc>
          <w:tcPr>
            <w:tcW w:w="5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58.05</w:t>
            </w:r>
          </w:p>
        </w:tc>
        <w:tc>
          <w:tcPr>
            <w:tcW w:w="240" w:type="dxa"/>
            <w:vAlign w:val="bottom"/>
          </w:tcPr>
          <w:p>
            <w:pPr>
              <w:spacing w:after="0"/>
              <w:rPr>
                <w:sz w:val="20"/>
                <w:szCs w:val="20"/>
                <w:color w:val="auto"/>
              </w:rPr>
            </w:pPr>
          </w:p>
        </w:tc>
        <w:tc>
          <w:tcPr>
            <w:tcW w:w="2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295,888</w:t>
            </w:r>
          </w:p>
        </w:tc>
        <w:tc>
          <w:tcPr>
            <w:tcW w:w="300" w:type="dxa"/>
            <w:vAlign w:val="bottom"/>
          </w:tcPr>
          <w:p>
            <w:pPr>
              <w:spacing w:after="0"/>
              <w:rPr>
                <w:sz w:val="18"/>
                <w:szCs w:val="18"/>
                <w:color w:val="auto"/>
              </w:rPr>
            </w:pPr>
          </w:p>
        </w:tc>
        <w:tc>
          <w:tcPr>
            <w:tcW w:w="520" w:type="dxa"/>
            <w:vAlign w:val="bottom"/>
            <w:tcBorders>
              <w:top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16.24</w:t>
            </w:r>
          </w:p>
        </w:tc>
        <w:tc>
          <w:tcPr>
            <w:tcW w:w="24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60" w:type="dxa"/>
            <w:vAlign w:val="bottom"/>
          </w:tcPr>
          <w:p>
            <w:pPr>
              <w:jc w:val="right"/>
              <w:spacing w:after="0"/>
              <w:rPr>
                <w:sz w:val="20"/>
                <w:szCs w:val="20"/>
                <w:color w:val="auto"/>
              </w:rPr>
            </w:pPr>
            <w:r>
              <w:rPr>
                <w:rFonts w:ascii="Arial" w:cs="Arial" w:eastAsia="Arial" w:hAnsi="Arial"/>
                <w:sz w:val="18"/>
                <w:szCs w:val="18"/>
                <w:color w:val="auto"/>
              </w:rPr>
              <w:t>217,348</w:t>
            </w:r>
          </w:p>
        </w:tc>
        <w:tc>
          <w:tcPr>
            <w:tcW w:w="300" w:type="dxa"/>
            <w:vAlign w:val="bottom"/>
            <w:vMerge w:val="continue"/>
          </w:tcPr>
          <w:p>
            <w:pPr>
              <w:spacing w:after="0"/>
              <w:rPr>
                <w:sz w:val="18"/>
                <w:szCs w:val="18"/>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13.61</w:t>
            </w:r>
          </w:p>
        </w:tc>
        <w:tc>
          <w:tcPr>
            <w:tcW w:w="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-317500</wp:posOffset>
            </wp:positionV>
            <wp:extent cx="622617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pacing w:after="0" w:line="187" w:lineRule="exact"/>
        <w:rPr>
          <w:sz w:val="20"/>
          <w:szCs w:val="20"/>
          <w:color w:val="auto"/>
        </w:rPr>
      </w:pPr>
    </w:p>
    <w:p>
      <w:pPr>
        <w:sectPr>
          <w:pgSz w:w="11900" w:h="16867" w:orient="portrait"/>
          <w:cols w:equalWidth="0" w:num="2">
            <w:col w:w="4320" w:space="720"/>
            <w:col w:w="6360"/>
          </w:cols>
          <w:pgMar w:left="240" w:top="125" w:right="259" w:bottom="0" w:gutter="0" w:footer="0" w:header="0"/>
        </w:sectPr>
      </w:pPr>
    </w:p>
    <w:p>
      <w:pPr>
        <w:ind w:right="140"/>
        <w:spacing w:after="0" w:line="259" w:lineRule="auto"/>
        <w:rPr>
          <w:sz w:val="20"/>
          <w:szCs w:val="20"/>
          <w:color w:val="auto"/>
        </w:rPr>
      </w:pPr>
      <w:r>
        <w:rPr>
          <w:rFonts w:ascii="Arial" w:cs="Arial" w:eastAsia="Arial" w:hAnsi="Arial"/>
          <w:sz w:val="18"/>
          <w:szCs w:val="18"/>
          <w:color w:val="auto"/>
        </w:rPr>
        <w:t>The Company recorded $0.1 million stock option compensation expense for the three and nine months ended September 30, 2017 related to the converted options from First Community. The Company did not record any stock option compensation expense for the three and nine months ended September 30, 2016. As of September 30, 2017, the Company had $0.6 million of unrecognized stock option expense. This cost is expected to be recognized over a period of 2.1 years.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nine months ended September 30, 2017, is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Restricted</w:t>
            </w: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Units</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552,610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143,235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30.34</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18,330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10,053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(116,498)</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14.73</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(18,716)</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579,468</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26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36,367</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579,468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22.34</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113,504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January 25, 2017, under the terms of the 2010 Equity Incentive Plan, the Company granted 11,404 RSUs to a member of management. As the stock price on the grant date of January 25, 2017 was $30.69, total compensation cost to be recognized is $0.4 million. This cost will be recognized over a period of five years. Subsequent to the requisite service period, the award will vest 100%.</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On June 13, 2017, under the terms of the 2010 Equity Incentive Plan, the Company granted 128,622 RSUs to executives and members of management. As the stock price on the grant date of June 13, 2017 was $30.33, total compensation cost to be recognized is $3.9 million. This cost will be recognized over a period of five years. Subsequent to the requisite service period, the awards will vest 100%.</w:t>
      </w:r>
    </w:p>
    <w:p>
      <w:pPr>
        <w:spacing w:after="0" w:line="181"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 xml:space="preserve">On August 1, 2017 </w:t>
      </w:r>
      <w:r>
        <w:rPr>
          <w:rFonts w:ascii="Arial" w:cs="Arial" w:eastAsia="Arial" w:hAnsi="Arial"/>
          <w:sz w:val="17"/>
          <w:szCs w:val="17"/>
          <w:color w:val="auto"/>
        </w:rPr>
        <w:t>under the terms of the 2010 Equity Incentive Plan, the Company granted 3,209 RSUs to members of management. As the stock price on the</w:t>
      </w:r>
      <w:r>
        <w:rPr>
          <w:rFonts w:ascii="Arial" w:cs="Arial" w:eastAsia="Arial" w:hAnsi="Arial"/>
          <w:sz w:val="18"/>
          <w:szCs w:val="18"/>
          <w:color w:val="auto"/>
        </w:rPr>
        <w:t xml:space="preserve"> </w:t>
      </w:r>
      <w:r>
        <w:rPr>
          <w:rFonts w:ascii="Arial" w:cs="Arial" w:eastAsia="Arial" w:hAnsi="Arial"/>
          <w:sz w:val="17"/>
          <w:szCs w:val="17"/>
          <w:color w:val="auto"/>
        </w:rPr>
        <w:t>grant date of August 1, 2017 was $29.61, total compensation cost to be recognized is $0.1 million. This cost will be recognized over a period of five years. Subsequent to the requisite service period, the awards will vest 100%.</w:t>
      </w:r>
    </w:p>
    <w:p>
      <w:pPr>
        <w:spacing w:after="0" w:line="1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recognized $0.7 million and $0.5 million of compensation expense related to non-vested stock units for the three months ended September 30, 2017 and 2016, respectively. The Company recognized $1.9 million and $1.3 million of compensation expense related to non-vested stock units for the nine months ended September 30, 2017 and 2016, respectively. As of September 30, 2017, there was $8.7 million of total unrecognized compensation cost related to these non-vested stock units. This cost is expected to be recognized over a period of 3.7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the Company was not under examination by any tax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66"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38" w:lineRule="exact"/>
        <w:rPr>
          <w:sz w:val="20"/>
          <w:szCs w:val="20"/>
          <w:color w:val="auto"/>
        </w:rPr>
      </w:pPr>
    </w:p>
    <w:p>
      <w:pPr>
        <w:ind w:left="7860"/>
        <w:spacing w:after="0"/>
        <w:tabs>
          <w:tab w:leader="none" w:pos="986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67" w:orient="portrait"/>
          <w:cols w:equalWidth="0" w:num="1">
            <w:col w:w="11400"/>
          </w:cols>
          <w:pgMar w:left="240" w:top="125" w:right="259"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whose contract amounts represent credit risk:</w:t>
      </w:r>
    </w:p>
    <w:p>
      <w:pPr>
        <w:sectPr>
          <w:pgSz w:w="11900" w:h="16867" w:orient="portrait"/>
          <w:cols w:equalWidth="0" w:num="1">
            <w:col w:w="11400"/>
          </w:cols>
          <w:pgMar w:left="240" w:top="125" w:right="259" w:bottom="0" w:gutter="0" w:footer="0" w:header="0"/>
          <w:type w:val="continuous"/>
        </w:sectPr>
      </w:pPr>
    </w:p>
    <w:bookmarkStart w:id="24" w:name="page25"/>
    <w:bookmarkEnd w:id="24"/>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31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1,265,398</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875,077</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3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33,273</w:t>
            </w: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20,145</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September 30, 2017 and December 31, 2016, no amounts were recorded as liabilities for the Company’s potential obligations under these guarantees.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will sign contracts for construction projects relating to the Company’s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Capital</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$40.0 million on October 12, 2017. The Company expects to seek regulatory approval for additional capital distributions from Busey Bank in future periods until such time as Busey Bank is no longer in a retained earnings deficit.</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and both of its subsidiary banks are subject to regulatory capital requirements administered by federal and/or state agencies that involve the quantitative measure of their assets, liabilities, and certain off-balance-sheet items, as calculated under regulatory accounting practices. Quantitative measures established by regulations to ensure capital adequacy require the Company and both of its subsidiary banks to maintain minimum dollar amounts and ratios of such to risk weighted assets (as defined in the regulations and set forth in the table below) of total capital, Tier 1 capital and Common Equity Tier 1 capital, and for the banks, Tier 1 capital to average assets. Failure to meet minimum capital requirements may cause regulatory bodies to initiate certain discretionary and/or mandatory actions that, if undertaken, could have a direct material effect on our financial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statements. The Company, as a financial holding company, is required to be “well capitalized” in the capital categories shown in the table below. As of September 30, 2017, the Company and both of its subsidiary banks met all capital adequacy requirements to which they were subject, including the guidelines to be considered “well capitalized.”</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Dodd-Frank Act established minimum capital levels for bank holding companies on a consolidated basis. The components of Tier 1 capital are restricted to capital instruments that, at the time of signing, were considered to be Tier 1 capital for insured depository institutions. Under this legislation, the Company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July 2013, the U.S. federal banking authorities approved the implementation of the Basel III Rule required by the Dodd-Frank Act. The Basel III Rule is applicable to all U.S. banks that are subject to minimum capital requirements, as well as to bank and savings and loan holding companies other than “small bank holding companies” (generally non-public bank holding companies with consolidated assets of less than $1.0 billion). The Basel III Rule not only increased most of the required minimum regulatory capital ratios, but they also introduced a new Common Equity Tier 1 Capital ratio and the concept of a capital conservation buffer.</w:t>
      </w:r>
    </w:p>
    <w:p>
      <w:pPr>
        <w:spacing w:after="0" w:line="18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Basel III Rule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 is being fully implemented.</w:t>
      </w:r>
    </w:p>
    <w:p>
      <w:pPr>
        <w:spacing w:after="0" w:line="16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Basel III Rule also permitted banking organizations with less than $15.0 billion in assets to retain, through a one-time election, the past treatment for accumulated other comprehensive income, which did not affect regulatory capital. First Busey and both of its subsidiary banks made this election in the first quarter of 2015 to avoid variations in the level of their capital depending on fluctuations in the fair value of their securities portfolio. The Basel III</w:t>
      </w:r>
    </w:p>
    <w:p>
      <w:pPr>
        <w:ind w:right="60"/>
        <w:spacing w:after="0" w:line="252" w:lineRule="auto"/>
        <w:rPr>
          <w:sz w:val="20"/>
          <w:szCs w:val="20"/>
          <w:color w:val="auto"/>
        </w:rPr>
      </w:pPr>
      <w:r>
        <w:rPr>
          <w:rFonts w:ascii="Arial" w:cs="Arial" w:eastAsia="Arial" w:hAnsi="Arial"/>
          <w:sz w:val="18"/>
          <w:szCs w:val="18"/>
          <w:color w:val="auto"/>
        </w:rPr>
        <w:t>Rule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w:t>
      </w:r>
    </w:p>
    <w:p>
      <w:pPr>
        <w:spacing w:after="0" w:line="19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table below includes the 1.25% increase as of January 1, 2017 in the minimum capital requirement ratios. The capital buffer requirement effectively raises the minimum required Common Equity Tier 1 Capital ratio to 7.0%, the Tier 1 Capital ratio to 8.5%, and the Total Capital ratio to 10.5% on a fully</w:t>
      </w:r>
    </w:p>
    <w:p>
      <w:pPr>
        <w:sectPr>
          <w:pgSz w:w="11900" w:h="16908" w:orient="portrait"/>
          <w:cols w:equalWidth="0" w:num="1">
            <w:col w:w="11420"/>
          </w:cols>
          <w:pgMar w:left="240" w:top="125" w:right="239" w:bottom="0" w:gutter="0" w:footer="0" w:header="0"/>
        </w:sectPr>
      </w:pPr>
    </w:p>
    <w:bookmarkStart w:id="25" w:name="page26"/>
    <w:bookmarkEnd w:id="25"/>
    <w:p>
      <w:pPr>
        <w:spacing w:after="0" w:line="4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phased-in basis on January 1, 2019. As of September 30, 2017, the Company and both of its subsidiary banks were in compliance with the current phase of the Basel III Rule and management believes that the Company and both of its subsidiary banks would meet all capital adequacy requirements under the Basel</w:t>
      </w:r>
    </w:p>
    <w:p>
      <w:pPr>
        <w:ind w:left="5620" w:right="4240" w:hanging="5612"/>
        <w:spacing w:after="0" w:line="511"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Rule on a fully phased-in basis as if such requirements had been in effect </w:t>
      </w:r>
      <w:r>
        <w:rPr>
          <w:rFonts w:ascii="Arial" w:cs="Arial" w:eastAsia="Arial" w:hAnsi="Arial"/>
          <w:sz w:val="18"/>
          <w:szCs w:val="18"/>
          <w:i w:val="1"/>
          <w:iCs w:val="1"/>
          <w:color w:val="auto"/>
        </w:rPr>
        <w:t>(dollars in thousands)</w:t>
      </w:r>
      <w:r>
        <w:rPr>
          <w:rFonts w:ascii="Arial" w:cs="Arial" w:eastAsia="Arial" w:hAnsi="Arial"/>
          <w:sz w:val="18"/>
          <w:szCs w:val="18"/>
          <w:color w:val="auto"/>
        </w:rPr>
        <w: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rPr>
              <w:t>Minimum</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3"/>
              </w:rPr>
              <w:t>Minimum To Be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Capital Requirement with</w:t>
            </w:r>
          </w:p>
        </w:tc>
        <w:tc>
          <w:tcPr>
            <w:tcW w:w="2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8"/>
              </w:rPr>
              <w:t>Capital Buffer</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85"/>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September 30, 2017:</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Capital (to Risk Weighted Assets)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CCEEFF"/>
            </w:tcBorders>
            <w:gridSpan w:val="2"/>
          </w:tcPr>
          <w:p>
            <w:pPr>
              <w:spacing w:after="0"/>
              <w:rPr>
                <w:sz w:val="18"/>
                <w:szCs w:val="18"/>
                <w:color w:val="auto"/>
              </w:rPr>
            </w:pPr>
          </w:p>
        </w:tc>
        <w:tc>
          <w:tcPr>
            <w:tcW w:w="4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790,889</w:t>
            </w:r>
          </w:p>
        </w:tc>
        <w:tc>
          <w:tcPr>
            <w:tcW w:w="10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14.38%</w:t>
            </w:r>
          </w:p>
        </w:tc>
        <w:tc>
          <w:tcPr>
            <w:tcW w:w="2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508,861</w:t>
            </w: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9.25%</w:t>
            </w: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550,120</w:t>
            </w: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601,898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392,377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424,191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Arial" w:cs="Arial" w:eastAsia="Arial" w:hAnsi="Arial"/>
                <w:sz w:val="18"/>
                <w:szCs w:val="18"/>
                <w:color w:val="auto"/>
              </w:rPr>
              <w:t>First Community Financial Bank</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125,857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112,542</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121,667</w:t>
            </w: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80" w:type="dxa"/>
            <w:vAlign w:val="bottom"/>
            <w:gridSpan w:val="4"/>
          </w:tcPr>
          <w:p>
            <w:pPr>
              <w:spacing w:after="0" w:line="176" w:lineRule="exact"/>
              <w:rPr>
                <w:sz w:val="20"/>
                <w:szCs w:val="20"/>
                <w:color w:val="auto"/>
              </w:rPr>
            </w:pPr>
            <w:r>
              <w:rPr>
                <w:rFonts w:ascii="Arial" w:cs="Arial" w:eastAsia="Arial" w:hAnsi="Arial"/>
                <w:sz w:val="18"/>
                <w:szCs w:val="18"/>
                <w:color w:val="auto"/>
                <w:w w:val="99"/>
              </w:rPr>
              <w:t>Tier 1 Capital (to Risk Weighted Assets)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674,354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398,837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440,096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Arial" w:cs="Arial" w:eastAsia="Arial" w:hAnsi="Arial"/>
                <w:sz w:val="18"/>
                <w:szCs w:val="18"/>
                <w:color w:val="auto"/>
              </w:rPr>
              <w:t>Busey Bank</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552,496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13.02%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307,539</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339,353</w:t>
            </w: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First Community Financial Bank</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124,224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88,209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97,334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gridSpan w:val="7"/>
            <w:shd w:val="clear" w:color="auto" w:fill="CCEEFF"/>
          </w:tcPr>
          <w:p>
            <w:pPr>
              <w:spacing w:after="0" w:line="176" w:lineRule="exact"/>
              <w:rPr>
                <w:sz w:val="20"/>
                <w:szCs w:val="20"/>
                <w:color w:val="auto"/>
              </w:rPr>
            </w:pPr>
            <w:r>
              <w:rPr>
                <w:rFonts w:ascii="Arial" w:cs="Arial" w:eastAsia="Arial" w:hAnsi="Arial"/>
                <w:sz w:val="18"/>
                <w:szCs w:val="18"/>
                <w:color w:val="auto"/>
                <w:w w:val="91"/>
              </w:rPr>
              <w:t>Equity Tier 1 Capital (to Risk Weighted Assets) Common</w:t>
            </w: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Arial" w:cs="Arial" w:eastAsia="Arial" w:hAnsi="Arial"/>
                <w:sz w:val="18"/>
                <w:szCs w:val="18"/>
                <w:color w:val="auto"/>
              </w:rPr>
              <w:t>Consolidated</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600,886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10.92%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316,319</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357,578</w:t>
            </w: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552,496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243,910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275,724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Arial" w:cs="Arial" w:eastAsia="Arial" w:hAnsi="Arial"/>
                <w:sz w:val="18"/>
                <w:szCs w:val="18"/>
                <w:color w:val="auto"/>
              </w:rPr>
              <w:t>First Community Financial Bank</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124,224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69,959</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79,084</w:t>
            </w: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80" w:type="dxa"/>
            <w:vAlign w:val="bottom"/>
            <w:gridSpan w:val="4"/>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674,354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265,020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Arial" w:cs="Arial" w:eastAsia="Arial" w:hAnsi="Arial"/>
                <w:sz w:val="18"/>
                <w:szCs w:val="18"/>
                <w:color w:val="auto"/>
              </w:rPr>
              <w:t>Busey Bank</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552,496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10.61%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208,351</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260,438</w:t>
            </w: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First Community Financial Bank</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124,224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55,590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69,487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Operating Segments and Related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has three reportable operating segments, Banking, Remittance Processing and Wealth Management. The Banking operating segment provides a full range of banking services to individual and corporate customers through its branch network in Illinois, St. Louis, Missouri metropolitan area, southwest Florida and through its branch in Indianapolis, Indiana. Banking services for Busey Bank and First Community Financial Bank are aggregated into the Banking operating segment as they have similar operations and activities.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6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Goodwill</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86"/>
              </w:rPr>
              <w:t>Total Assets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0" w:type="dxa"/>
            <w:vAlign w:val="bottom"/>
            <w:gridSpan w:val="4"/>
          </w:tcPr>
          <w:p>
            <w:pPr>
              <w:ind w:left="240"/>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tcPr>
          <w:p>
            <w:pPr>
              <w:jc w:val="right"/>
              <w:ind w:right="171"/>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Banking</w:t>
            </w:r>
          </w:p>
        </w:tc>
        <w:tc>
          <w:tcPr>
            <w:tcW w:w="1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198,110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82,128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6,853,998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5,369,669</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Remittance Processing</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8,992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33,971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32,379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29,770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right"/>
              <w:ind w:right="130"/>
              <w:spacing w:after="0"/>
              <w:rPr>
                <w:sz w:val="20"/>
                <w:szCs w:val="20"/>
                <w:color w:val="auto"/>
              </w:rPr>
            </w:pPr>
            <w:r>
              <w:rPr>
                <w:rFonts w:ascii="Arial" w:cs="Arial" w:eastAsia="Arial" w:hAnsi="Arial"/>
                <w:sz w:val="18"/>
                <w:szCs w:val="18"/>
                <w:color w:val="auto"/>
              </w:rPr>
              <w:t>(3,950)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218,796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102,814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6,913,789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5,425,170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ind w:left="200"/>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Net interest income:</w:t>
            </w:r>
          </w:p>
        </w:tc>
        <w:tc>
          <w:tcPr>
            <w:tcW w:w="1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Banking</w:t>
            </w:r>
          </w:p>
        </w:tc>
        <w:tc>
          <w:tcPr>
            <w:tcW w:w="1880" w:type="dxa"/>
            <w:vAlign w:val="bottom"/>
            <w:tcBorders>
              <w:top w:val="single" w:sz="8" w:color="CCEEFF"/>
            </w:tcBorders>
            <w:gridSpan w:val="2"/>
          </w:tcPr>
          <w:p>
            <w:pPr>
              <w:spacing w:after="0"/>
              <w:rPr>
                <w:sz w:val="18"/>
                <w:szCs w:val="18"/>
                <w:color w:val="auto"/>
              </w:rPr>
            </w:pPr>
          </w:p>
        </w:tc>
        <w:tc>
          <w:tcPr>
            <w:tcW w:w="1860" w:type="dxa"/>
            <w:vAlign w:val="bottom"/>
            <w:tcBorders>
              <w:top w:val="single" w:sz="8" w:color="CCEEFF"/>
            </w:tcBorders>
            <w:gridSpan w:val="3"/>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5"/>
          </w:tcPr>
          <w:p>
            <w:pPr>
              <w:jc w:val="right"/>
              <w:ind w:right="80"/>
              <w:spacing w:after="0"/>
              <w:rPr>
                <w:sz w:val="20"/>
                <w:szCs w:val="20"/>
                <w:color w:val="auto"/>
              </w:rPr>
            </w:pPr>
            <w:r>
              <w:rPr>
                <w:rFonts w:ascii="Arial" w:cs="Arial" w:eastAsia="Arial" w:hAnsi="Arial"/>
                <w:sz w:val="18"/>
                <w:szCs w:val="18"/>
                <w:color w:val="auto"/>
              </w:rPr>
              <w:t>57,589</w:t>
            </w:r>
          </w:p>
        </w:tc>
        <w:tc>
          <w:tcPr>
            <w:tcW w:w="900" w:type="dxa"/>
            <w:vAlign w:val="bottom"/>
            <w:tcBorders>
              <w:top w:val="single" w:sz="8" w:color="CCEEFF"/>
            </w:tcBorders>
            <w:gridSpan w:val="2"/>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5"/>
          </w:tcPr>
          <w:p>
            <w:pPr>
              <w:jc w:val="right"/>
              <w:ind w:right="113"/>
              <w:spacing w:after="0"/>
              <w:rPr>
                <w:sz w:val="20"/>
                <w:szCs w:val="20"/>
                <w:color w:val="auto"/>
              </w:rPr>
            </w:pPr>
            <w:r>
              <w:rPr>
                <w:rFonts w:ascii="Arial" w:cs="Arial" w:eastAsia="Arial" w:hAnsi="Arial"/>
                <w:sz w:val="18"/>
                <w:szCs w:val="18"/>
                <w:color w:val="auto"/>
              </w:rPr>
              <w:t>44,645</w:t>
            </w:r>
          </w:p>
        </w:tc>
        <w:tc>
          <w:tcPr>
            <w:tcW w:w="740" w:type="dxa"/>
            <w:vAlign w:val="bottom"/>
            <w:tcBorders>
              <w:top w:val="single" w:sz="8" w:color="CCEEFF"/>
            </w:tcBorders>
            <w:gridSpan w:val="2"/>
          </w:tcPr>
          <w:p>
            <w:pPr>
              <w:jc w:val="right"/>
              <w:ind w:right="46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4"/>
          </w:tcPr>
          <w:p>
            <w:pPr>
              <w:jc w:val="right"/>
              <w:ind w:right="213"/>
              <w:spacing w:after="0"/>
              <w:rPr>
                <w:sz w:val="20"/>
                <w:szCs w:val="20"/>
                <w:color w:val="auto"/>
              </w:rPr>
            </w:pPr>
            <w:r>
              <w:rPr>
                <w:rFonts w:ascii="Arial" w:cs="Arial" w:eastAsia="Arial" w:hAnsi="Arial"/>
                <w:sz w:val="18"/>
                <w:szCs w:val="18"/>
                <w:color w:val="auto"/>
              </w:rPr>
              <w:t>143,496</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gridSpan w:val="4"/>
          </w:tcPr>
          <w:p>
            <w:pPr>
              <w:jc w:val="right"/>
              <w:ind w:right="100"/>
              <w:spacing w:after="0"/>
              <w:rPr>
                <w:sz w:val="20"/>
                <w:szCs w:val="20"/>
                <w:color w:val="auto"/>
              </w:rPr>
            </w:pPr>
            <w:r>
              <w:rPr>
                <w:rFonts w:ascii="Arial" w:cs="Arial" w:eastAsia="Arial" w:hAnsi="Arial"/>
                <w:sz w:val="18"/>
                <w:szCs w:val="18"/>
                <w:color w:val="auto"/>
              </w:rPr>
              <w:t>111,206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Remittance Processing</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13"/>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Wealth Management</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ind w:right="213"/>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(1,750)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53"/>
              <w:spacing w:after="0"/>
              <w:rPr>
                <w:sz w:val="20"/>
                <w:szCs w:val="20"/>
                <w:color w:val="auto"/>
              </w:rPr>
            </w:pPr>
            <w:r>
              <w:rPr>
                <w:rFonts w:ascii="Arial" w:cs="Arial" w:eastAsia="Arial" w:hAnsi="Arial"/>
                <w:sz w:val="18"/>
                <w:szCs w:val="18"/>
                <w:color w:val="auto"/>
                <w:w w:val="91"/>
              </w:rPr>
              <w:t>(3,453)</w:t>
            </w: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net interest income</w:t>
            </w:r>
          </w:p>
        </w:tc>
        <w:tc>
          <w:tcPr>
            <w:tcW w:w="1660" w:type="dxa"/>
            <w:vAlign w:val="bottom"/>
            <w:tcBorders>
              <w:bottom w:val="single" w:sz="8" w:color="CCEEFF"/>
            </w:tcBorders>
            <w:gridSpan w:val="2"/>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55,941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44,131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140,320</w:t>
            </w:r>
          </w:p>
        </w:tc>
        <w:tc>
          <w:tcPr>
            <w:tcW w:w="2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110,025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4"/>
          </w:tcPr>
          <w:p>
            <w:pPr>
              <w:spacing w:after="0" w:line="176" w:lineRule="exact"/>
              <w:rPr>
                <w:sz w:val="20"/>
                <w:szCs w:val="20"/>
                <w:color w:val="auto"/>
              </w:rPr>
            </w:pPr>
            <w:r>
              <w:rPr>
                <w:rFonts w:ascii="Arial" w:cs="Arial" w:eastAsia="Arial" w:hAnsi="Arial"/>
                <w:sz w:val="18"/>
                <w:szCs w:val="18"/>
                <w:color w:val="auto"/>
              </w:rPr>
              <w:t>Non-interest income:</w:t>
            </w: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18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12,338</w:t>
            </w:r>
          </w:p>
        </w:tc>
        <w:tc>
          <w:tcPr>
            <w:tcW w:w="9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113"/>
              <w:spacing w:after="0"/>
              <w:rPr>
                <w:sz w:val="20"/>
                <w:szCs w:val="20"/>
                <w:color w:val="auto"/>
              </w:rPr>
            </w:pPr>
            <w:r>
              <w:rPr>
                <w:rFonts w:ascii="Arial" w:cs="Arial" w:eastAsia="Arial" w:hAnsi="Arial"/>
                <w:sz w:val="18"/>
                <w:szCs w:val="18"/>
                <w:color w:val="auto"/>
              </w:rPr>
              <w:t>12,684</w:t>
            </w:r>
          </w:p>
        </w:tc>
        <w:tc>
          <w:tcPr>
            <w:tcW w:w="74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13"/>
              <w:spacing w:after="0"/>
              <w:rPr>
                <w:sz w:val="20"/>
                <w:szCs w:val="20"/>
                <w:color w:val="auto"/>
              </w:rPr>
            </w:pPr>
            <w:r>
              <w:rPr>
                <w:rFonts w:ascii="Arial" w:cs="Arial" w:eastAsia="Arial" w:hAnsi="Arial"/>
                <w:sz w:val="18"/>
                <w:szCs w:val="18"/>
                <w:color w:val="auto"/>
              </w:rPr>
              <w:t>33,550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rPr>
              <w:t>Remittance Processing</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3,032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13"/>
              <w:spacing w:after="0"/>
              <w:rPr>
                <w:sz w:val="20"/>
                <w:szCs w:val="20"/>
                <w:color w:val="auto"/>
              </w:rPr>
            </w:pPr>
            <w:r>
              <w:rPr>
                <w:rFonts w:ascii="Arial" w:cs="Arial" w:eastAsia="Arial" w:hAnsi="Arial"/>
                <w:sz w:val="18"/>
                <w:szCs w:val="18"/>
                <w:color w:val="auto"/>
                <w:w w:val="84"/>
              </w:rPr>
              <w:t>2,891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ind w:right="213"/>
              <w:spacing w:after="0"/>
              <w:rPr>
                <w:sz w:val="20"/>
                <w:szCs w:val="20"/>
                <w:color w:val="auto"/>
              </w:rPr>
            </w:pPr>
            <w:r>
              <w:rPr>
                <w:rFonts w:ascii="Arial" w:cs="Arial" w:eastAsia="Arial" w:hAnsi="Arial"/>
                <w:sz w:val="18"/>
                <w:szCs w:val="18"/>
                <w:color w:val="auto"/>
              </w:rPr>
              <w:t>9,061</w:t>
            </w:r>
          </w:p>
        </w:tc>
        <w:tc>
          <w:tcPr>
            <w:tcW w:w="12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5,941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13"/>
              <w:spacing w:after="0"/>
              <w:rPr>
                <w:sz w:val="20"/>
                <w:szCs w:val="20"/>
                <w:color w:val="auto"/>
              </w:rPr>
            </w:pPr>
            <w:r>
              <w:rPr>
                <w:rFonts w:ascii="Arial" w:cs="Arial" w:eastAsia="Arial" w:hAnsi="Arial"/>
                <w:sz w:val="18"/>
                <w:szCs w:val="18"/>
                <w:color w:val="auto"/>
                <w:w w:val="84"/>
              </w:rPr>
              <w:t>5,477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13"/>
              <w:spacing w:after="0"/>
              <w:rPr>
                <w:sz w:val="20"/>
                <w:szCs w:val="20"/>
                <w:color w:val="auto"/>
              </w:rPr>
            </w:pPr>
            <w:r>
              <w:rPr>
                <w:rFonts w:ascii="Arial" w:cs="Arial" w:eastAsia="Arial" w:hAnsi="Arial"/>
                <w:sz w:val="18"/>
                <w:szCs w:val="18"/>
                <w:color w:val="auto"/>
              </w:rPr>
              <w:t>19,649</w:t>
            </w: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17,545</w:t>
            </w: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26" w:name="page27"/>
    <w:bookmarkEnd w:id="26"/>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(474)</w:t>
            </w:r>
          </w:p>
        </w:tc>
        <w:tc>
          <w:tcPr>
            <w:tcW w:w="5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(1,347)</w:t>
            </w:r>
          </w:p>
        </w:tc>
        <w:tc>
          <w:tcPr>
            <w:tcW w:w="4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Non-interest expense:</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Banking</w:t>
            </w:r>
          </w:p>
        </w:tc>
        <w:tc>
          <w:tcPr>
            <w:tcW w:w="2320" w:type="dxa"/>
            <w:vAlign w:val="bottom"/>
            <w:tcBorders>
              <w:top w:val="single" w:sz="8" w:color="CCEEFF"/>
            </w:tcBorders>
            <w:gridSpan w:val="2"/>
          </w:tcPr>
          <w:p>
            <w:pPr>
              <w:spacing w:after="0"/>
              <w:rPr>
                <w:sz w:val="18"/>
                <w:szCs w:val="18"/>
                <w:color w:val="auto"/>
              </w:rPr>
            </w:pPr>
          </w:p>
        </w:tc>
        <w:tc>
          <w:tcPr>
            <w:tcW w:w="1460" w:type="dxa"/>
            <w:vAlign w:val="bottom"/>
            <w:tcBorders>
              <w:top w:val="single" w:sz="8" w:color="CCEEFF"/>
            </w:tcBorders>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38,697</w:t>
            </w:r>
          </w:p>
        </w:tc>
        <w:tc>
          <w:tcPr>
            <w:tcW w:w="500" w:type="dxa"/>
            <w:vAlign w:val="bottom"/>
            <w:tcBorders>
              <w:top w:val="single" w:sz="8" w:color="CCEEFF"/>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31,278</w:t>
            </w:r>
          </w:p>
        </w:tc>
        <w:tc>
          <w:tcPr>
            <w:tcW w:w="540" w:type="dxa"/>
            <w:vAlign w:val="bottom"/>
            <w:tcBorders>
              <w:top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97,318</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80,217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3,896</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11,840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non-interest expense</w:t>
            </w:r>
          </w:p>
        </w:tc>
        <w:tc>
          <w:tcPr>
            <w:tcW w:w="1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46,939</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121,326</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103,451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4"/>
          </w:tcPr>
          <w:p>
            <w:pPr>
              <w:spacing w:after="0" w:line="176" w:lineRule="exact"/>
              <w:rPr>
                <w:sz w:val="20"/>
                <w:szCs w:val="20"/>
                <w:color w:val="auto"/>
              </w:rPr>
            </w:pPr>
            <w:r>
              <w:rPr>
                <w:rFonts w:ascii="Arial" w:cs="Arial" w:eastAsia="Arial" w:hAnsi="Arial"/>
                <w:sz w:val="18"/>
                <w:szCs w:val="18"/>
                <w:color w:val="auto"/>
              </w:rPr>
              <w:t>Income before income taxes:</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1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29,736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24,102</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77,234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856</w:t>
            </w: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2,629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(4,379)</w:t>
            </w: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(10,492)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income before income taxes</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Net income:</w:t>
            </w:r>
          </w:p>
        </w:tc>
        <w:tc>
          <w:tcPr>
            <w:tcW w:w="3000" w:type="dxa"/>
            <w:vAlign w:val="bottom"/>
            <w:tcBorders>
              <w:bottom w:val="single" w:sz="8" w:color="CCEEFF"/>
            </w:tcBorders>
            <w:gridSpan w:val="3"/>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Banking</w:t>
            </w:r>
          </w:p>
        </w:tc>
        <w:tc>
          <w:tcPr>
            <w:tcW w:w="1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18,942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15,590</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49,546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4,760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4"/>
          </w:tcPr>
          <w:p>
            <w:pPr>
              <w:ind w:left="360"/>
              <w:spacing w:after="0"/>
              <w:rPr>
                <w:sz w:val="20"/>
                <w:szCs w:val="20"/>
                <w:color w:val="auto"/>
              </w:rPr>
            </w:pPr>
            <w:r>
              <w:rPr>
                <w:rFonts w:ascii="Arial" w:cs="Arial" w:eastAsia="Arial" w:hAnsi="Arial"/>
                <w:sz w:val="18"/>
                <w:szCs w:val="18"/>
                <w:color w:val="auto"/>
              </w:rPr>
              <w:t>Total net income</w:t>
            </w:r>
          </w:p>
        </w:tc>
        <w:tc>
          <w:tcPr>
            <w:tcW w:w="1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18,784</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50,433</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originates and purchases derivative financial instruments, including interest rate lock commitments issued to residential loan customers for loans that will be held for sale, forward sales commitments to sell residential mortgage loans to loan investors, interest rate swaps and foreign currency forward contracts. See “Note 18: Fair Value Measurements” for further discussion of the fair value measurement of such derivatives.</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Interest Rate Lock Commitments. </w:t>
      </w:r>
      <w:r>
        <w:rPr>
          <w:rFonts w:ascii="Arial" w:cs="Arial" w:eastAsia="Arial" w:hAnsi="Arial"/>
          <w:sz w:val="18"/>
          <w:szCs w:val="18"/>
          <w:color w:val="auto"/>
        </w:rPr>
        <w:t>At September 30 2017, the Company had issued $152.2 million of unexpired interest rate lock commitments to loan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Such interest rate lock commitments that meet the definition of derivative financial instruments under ASC Topic 815, Derivatives and Hedging,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Forward Sales Commitments. </w:t>
      </w:r>
      <w:r>
        <w:rPr>
          <w:rFonts w:ascii="Arial" w:cs="Arial" w:eastAsia="Arial" w:hAnsi="Arial"/>
          <w:sz w:val="16"/>
          <w:szCs w:val="16"/>
          <w:color w:val="auto"/>
        </w:rPr>
        <w:t>At September 30, 2017, the Company had issued $276.6 million of unexpired forward sales commitments to mortgage loan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fair values of derivative assets and liabilities related to interest rate lock commitments and forward sales commitments recorded in the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 2017</w:t>
            </w:r>
          </w:p>
        </w:tc>
        <w:tc>
          <w:tcPr>
            <w:tcW w:w="18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6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3,083</w:t>
            </w: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3,098</w:t>
            </w:r>
          </w:p>
        </w:tc>
      </w:tr>
    </w:tbl>
    <w:p>
      <w:pPr>
        <w:spacing w:after="0" w:line="18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 xml:space="preserve">The gross gains and losses on derivative assets and liabilities related to interest rate lock commitments and forward sales commitments recorded in non-interest income and expense in the unaudited Consolidated Statements of Income for the three and nine months ended September 30, 2017 and 2016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7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18,867</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Gross (losses)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(3,083)</w:t>
            </w:r>
          </w:p>
        </w:tc>
        <w:tc>
          <w:tcPr>
            <w:tcW w:w="5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(10,034)</w:t>
            </w: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(11,102)</w:t>
            </w:r>
          </w:p>
        </w:tc>
        <w:tc>
          <w:tcPr>
            <w:tcW w:w="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(19,804)</w:t>
            </w:r>
          </w:p>
        </w:tc>
      </w:tr>
      <w:tr>
        <w:trPr>
          <w:trHeight w:val="223"/>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Beginning in the second quarter of 2017, the Company entered into interest rate swap contracts to manage the interest rate risk exposure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specific commercial loan relationships, at the time such loans were originated. With a notional value of $162.9 million at September 30, 2017 these contracts support variable rate, commercial loan relationships totaling $81.4 million. While these swap derivatives generally worked together as an economic interest rate hedge,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ectPr>
          <w:pgSz w:w="11900" w:h="16928" w:orient="portrait"/>
          <w:cols w:equalWidth="0" w:num="1">
            <w:col w:w="11460"/>
          </w:cols>
          <w:pgMar w:left="240" w:top="125" w:right="199" w:bottom="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fair values of derivative assets and liabilities related to interest rate swaps recorded in the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September 30, 2017</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gross gains and losses on derivative assets and liabilities related to interest rate swaps recorded in non-interest income and expense in the unaudited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Consolidated Statements of Income for the three and nine months ended September 30, 2017 are summarized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September 30, 2017</w:t>
            </w:r>
          </w:p>
        </w:tc>
        <w:tc>
          <w:tcPr>
            <w:tcW w:w="160" w:type="dxa"/>
            <w:vAlign w:val="bottom"/>
          </w:tcPr>
          <w:p>
            <w:pPr>
              <w:spacing w:after="0"/>
              <w:rPr>
                <w:sz w:val="14"/>
                <w:szCs w:val="14"/>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September 30, 2017</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Gross losses</w:t>
            </w:r>
          </w:p>
        </w:tc>
        <w:tc>
          <w:tcPr>
            <w:tcW w:w="1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r>
      <w:tr>
        <w:trPr>
          <w:trHeight w:val="210"/>
        </w:trPr>
        <w:tc>
          <w:tcPr>
            <w:tcW w:w="7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gains (losses)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First Busey had $2.0 million in cash and $0.4 million in securities pledged to secure its obligation under these contracts at September 30, 2017.</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Foreign Currency Derivatives. </w:t>
      </w:r>
      <w:r>
        <w:rPr>
          <w:rFonts w:ascii="Arial" w:cs="Arial" w:eastAsia="Arial" w:hAnsi="Arial"/>
          <w:sz w:val="17"/>
          <w:szCs w:val="17"/>
          <w:color w:val="auto"/>
        </w:rPr>
        <w:t>The Company had originated certain loan agreements that settled in non-U.S. dollar denominations. At September 30,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outstanding gross balances of such loans. The Company had entered into foreign currency forward contracts to mitigate the economic effect of fluctuations in foreign currency exchange rates on non-U.S. dollar denominated loans, when balances were outstanding. While such forward contracts generally served as an economic hedge to certain loans, the Company did not designate them for hedge accounting treatment. Consequently, changes in fair value of the corresponding derivative financial asset or liability were recorded as either a charge or credit to current earnings during the period in which the changes occurred. The gross gains and losses on these derivative assets and liabilities recorded in non-interest income and expense in the unaudited Consolidated Statements of Income for the nine months ended September 30, 2017 was insignificant.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September 30, 2017.</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therefore, estimates of fair value after the Consolidated Balance Sheet date may differ significantly from the amounts presented herein.</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Securities Available for Sale</w:t>
      </w:r>
      <w:r>
        <w:rPr>
          <w:rFonts w:ascii="Arial" w:cs="Arial" w:eastAsia="Arial" w:hAnsi="Arial"/>
          <w:sz w:val="16"/>
          <w:szCs w:val="16"/>
          <w:color w:val="auto"/>
        </w:rPr>
        <w:t>. Securities classified as available for sale are reported at fair value utilizing level 1 and level 2 measurements. For mutual funds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equity securities, unadjusted quoted prices in active markets for identical assets are utilized to determine fair value at the measurement date and have been classified as level 1 in ASC Topic 820.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w:t>
      </w:r>
    </w:p>
    <w:p>
      <w:pPr>
        <w:sectPr>
          <w:pgSz w:w="11900" w:h="16838" w:orient="portrait"/>
          <w:cols w:equalWidth="0" w:num="1">
            <w:col w:w="11400"/>
          </w:cols>
          <w:pgMar w:left="240" w:top="341" w:right="259" w:bottom="0" w:gutter="0" w:footer="0" w:header="0"/>
        </w:sectPr>
      </w:pPr>
    </w:p>
    <w:bookmarkStart w:id="28" w:name="page29"/>
    <w:bookmarkEnd w:id="28"/>
    <w:p>
      <w:pPr>
        <w:ind w:right="200"/>
        <w:spacing w:after="0" w:line="277" w:lineRule="auto"/>
        <w:rPr>
          <w:sz w:val="20"/>
          <w:szCs w:val="20"/>
          <w:color w:val="auto"/>
        </w:rPr>
      </w:pPr>
      <w:r>
        <w:rPr>
          <w:rFonts w:ascii="Arial" w:cs="Arial" w:eastAsia="Arial" w:hAnsi="Arial"/>
          <w:sz w:val="18"/>
          <w:szCs w:val="18"/>
          <w:color w:val="auto"/>
        </w:rPr>
        <w:t>pricing service applies available information as appropriate through processes such as benchmark curves, benchmarking of like securities, sector groupings, and matrix pricing, to prepare evaluations.</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addition, 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ASC Topic 820.</w:t>
      </w:r>
    </w:p>
    <w:p>
      <w:pPr>
        <w:spacing w:after="0" w:line="16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i w:val="1"/>
          <w:iCs w:val="1"/>
          <w:color w:val="auto"/>
        </w:rPr>
        <w:t xml:space="preserve">Loans held for sale. </w:t>
      </w:r>
      <w:r>
        <w:rPr>
          <w:rFonts w:ascii="Arial" w:cs="Arial" w:eastAsia="Arial" w:hAnsi="Arial"/>
          <w:sz w:val="16"/>
          <w:szCs w:val="16"/>
          <w:color w:val="auto"/>
        </w:rPr>
        <w:t>Loans held for sale are reported at fair value utilizing level 2 measurements. The fair value of the mortgage loans held for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using observable quoted market or contract prices or market price equivalents and are classified as level 2 in ASC Topic 820.</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positive fair values are reported as assets and derivative instruments with negative fair value are reported as liabilities. The fair value of derivative assets and liabilities is determined based on prices that are obtained from a third-party. Values of derivative assets and liabilities are primarily based on observable inputs and are classified as level 2 in ASC Topic 820.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financial assets and financial liabilities measured at fair value on a recurring basis as of September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December 31, 2016,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20" w:type="dxa"/>
            <w:vAlign w:val="bottom"/>
          </w:tcPr>
          <w:p>
            <w:pPr>
              <w:jc w:val="center"/>
              <w:ind w:left="362"/>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6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Level 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jc w:val="center"/>
              <w:ind w:left="362"/>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Inputs</w:t>
            </w:r>
          </w:p>
        </w:tc>
        <w:tc>
          <w:tcPr>
            <w:tcW w:w="1060" w:type="dxa"/>
            <w:vAlign w:val="bottom"/>
          </w:tcPr>
          <w:p>
            <w:pPr>
              <w:jc w:val="center"/>
              <w:ind w:left="222"/>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September 30, 2017</w:t>
            </w:r>
          </w:p>
        </w:tc>
        <w:tc>
          <w:tcPr>
            <w:tcW w:w="35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60,800</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64,456</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217,108</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329,793</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32,868</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3,222</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139,696</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Derivative financial assets</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2,529</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Derivative financial liabilities</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4,172</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20" w:type="dxa"/>
            <w:vAlign w:val="bottom"/>
          </w:tcPr>
          <w:p>
            <w:pPr>
              <w:jc w:val="center"/>
              <w:ind w:left="362"/>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6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Level 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jc w:val="center"/>
              <w:ind w:left="362"/>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Inputs</w:t>
            </w:r>
          </w:p>
        </w:tc>
        <w:tc>
          <w:tcPr>
            <w:tcW w:w="1060" w:type="dxa"/>
            <w:vAlign w:val="bottom"/>
          </w:tcPr>
          <w:p>
            <w:pPr>
              <w:jc w:val="center"/>
              <w:ind w:left="222"/>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December 31, 2016</w:t>
            </w:r>
          </w:p>
        </w:tc>
        <w:tc>
          <w:tcPr>
            <w:tcW w:w="9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74,944</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79,127</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154,938</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302,249</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143,343</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5,210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256,319</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256,319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Derivative financial assets</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6,403</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3,098</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ASC Topic 820.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70" w:gutter="0" w:footer="0" w:header="0"/>
        </w:sectPr>
      </w:pPr>
    </w:p>
    <w:bookmarkStart w:id="29" w:name="page30"/>
    <w:bookmarkEnd w:id="29"/>
    <w:p>
      <w:pPr>
        <w:ind w:right="22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ASC Topic 820.</w:t>
      </w:r>
    </w:p>
    <w:p>
      <w:pPr>
        <w:spacing w:after="0" w:line="14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 xml:space="preserve">The following table summarizes assets and liabilities measured at fair value on a non-recurring basis as of September 30, 2017 and December 31, 2016,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September 30, 2017</w:t>
            </w:r>
          </w:p>
        </w:tc>
        <w:tc>
          <w:tcPr>
            <w:tcW w:w="35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Impaired loans</w:t>
            </w:r>
          </w:p>
        </w:tc>
        <w:tc>
          <w:tcPr>
            <w:tcW w:w="458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tcBorders>
              <w:top w:val="single" w:sz="8" w:color="CCEEFF"/>
            </w:tcBorders>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3"/>
              </w:rPr>
              <w:t>3,301</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December 31, 2016</w:t>
            </w:r>
          </w:p>
        </w:tc>
        <w:tc>
          <w:tcPr>
            <w:tcW w:w="3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Impaired loans</w:t>
            </w:r>
          </w:p>
        </w:tc>
        <w:tc>
          <w:tcPr>
            <w:tcW w:w="4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tcBorders>
              <w:top w:val="single" w:sz="8" w:color="CCEEFF"/>
            </w:tcBorders>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3"/>
              </w:rPr>
              <w:t>3,885</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OREO(1)</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3"/>
              </w:rPr>
              <w:t>Quantitative Information about Level 3 Fair Value Measurements</w:t>
            </w:r>
          </w:p>
        </w:tc>
        <w:tc>
          <w:tcPr>
            <w:tcW w:w="1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6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rPr>
              <w:t>Fair Value</w:t>
            </w:r>
          </w:p>
        </w:tc>
        <w:tc>
          <w:tcPr>
            <w:tcW w:w="1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Valuation</w:t>
            </w:r>
          </w:p>
        </w:tc>
        <w:tc>
          <w:tcPr>
            <w:tcW w:w="23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Unobservable</w:t>
            </w:r>
          </w:p>
        </w:tc>
        <w:tc>
          <w:tcPr>
            <w:tcW w:w="1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Range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Estimate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Techniques</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September 30, 2017</w:t>
            </w:r>
          </w:p>
        </w:tc>
        <w:tc>
          <w:tcPr>
            <w:tcW w:w="19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9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Impaired loans</w:t>
            </w:r>
          </w:p>
        </w:tc>
        <w:tc>
          <w:tcPr>
            <w:tcW w:w="2900" w:type="dxa"/>
            <w:vAlign w:val="bottom"/>
            <w:tcBorders>
              <w:top w:val="single" w:sz="8" w:color="CCEEFF"/>
            </w:tcBorders>
            <w:gridSpan w:val="2"/>
          </w:tcPr>
          <w:p>
            <w:pPr>
              <w:jc w:val="right"/>
              <w:ind w:right="811"/>
              <w:spacing w:after="0" w:line="201"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tcPr>
          <w:p>
            <w:pPr>
              <w:jc w:val="right"/>
              <w:ind w:right="280"/>
              <w:spacing w:after="0" w:line="201" w:lineRule="exact"/>
              <w:rPr>
                <w:sz w:val="20"/>
                <w:szCs w:val="20"/>
                <w:color w:val="auto"/>
              </w:rPr>
            </w:pPr>
            <w:r>
              <w:rPr>
                <w:rFonts w:ascii="Arial" w:cs="Arial" w:eastAsia="Arial" w:hAnsi="Arial"/>
                <w:sz w:val="18"/>
                <w:szCs w:val="18"/>
                <w:color w:val="auto"/>
                <w:w w:val="88"/>
              </w:rPr>
              <w:t>3,301</w:t>
            </w:r>
          </w:p>
        </w:tc>
        <w:tc>
          <w:tcPr>
            <w:tcW w:w="17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gridSpan w:val="2"/>
          </w:tcPr>
          <w:p>
            <w:pPr>
              <w:jc w:val="center"/>
              <w:ind w:right="100"/>
              <w:spacing w:after="0" w:line="201" w:lineRule="exact"/>
              <w:rPr>
                <w:sz w:val="20"/>
                <w:szCs w:val="20"/>
                <w:color w:val="auto"/>
              </w:rPr>
            </w:pPr>
            <w:r>
              <w:rPr>
                <w:rFonts w:ascii="Arial" w:cs="Arial" w:eastAsia="Arial" w:hAnsi="Arial"/>
                <w:sz w:val="18"/>
                <w:szCs w:val="18"/>
                <w:color w:val="auto"/>
                <w:w w:val="92"/>
              </w:rPr>
              <w:t>-21.3%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Appraisal 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OREO</w:t>
            </w:r>
          </w:p>
        </w:tc>
        <w:tc>
          <w:tcPr>
            <w:tcW w:w="1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16</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-71.9%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Appraisal adjustments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tcPr>
          <w:p>
            <w:pPr>
              <w:spacing w:after="0" w:line="176" w:lineRule="exact"/>
              <w:rPr>
                <w:sz w:val="20"/>
                <w:szCs w:val="20"/>
                <w:color w:val="auto"/>
              </w:rPr>
            </w:pPr>
            <w:r>
              <w:rPr>
                <w:rFonts w:ascii="Arial" w:cs="Arial" w:eastAsia="Arial" w:hAnsi="Arial"/>
                <w:sz w:val="18"/>
                <w:szCs w:val="18"/>
                <w:color w:val="auto"/>
                <w:w w:val="89"/>
              </w:rPr>
              <w:t>December 31, 2016</w:t>
            </w:r>
          </w:p>
        </w:tc>
        <w:tc>
          <w:tcPr>
            <w:tcW w:w="1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Impaired loans</w:t>
            </w:r>
          </w:p>
        </w:tc>
        <w:tc>
          <w:tcPr>
            <w:tcW w:w="2900" w:type="dxa"/>
            <w:vAlign w:val="bottom"/>
            <w:gridSpan w:val="2"/>
            <w:shd w:val="clear" w:color="auto" w:fill="CCEEFF"/>
          </w:tcPr>
          <w:p>
            <w:pPr>
              <w:jc w:val="right"/>
              <w:ind w:right="811"/>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88"/>
              </w:rPr>
              <w:t>3,885</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-19.2%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Appraisal adjustments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tcPr>
          <w:p>
            <w:pPr>
              <w:spacing w:after="0" w:line="201" w:lineRule="exact"/>
              <w:rPr>
                <w:sz w:val="20"/>
                <w:szCs w:val="20"/>
                <w:color w:val="auto"/>
              </w:rPr>
            </w:pPr>
            <w:r>
              <w:rPr>
                <w:rFonts w:ascii="Arial" w:cs="Arial" w:eastAsia="Arial" w:hAnsi="Arial"/>
                <w:sz w:val="18"/>
                <w:szCs w:val="18"/>
                <w:color w:val="auto"/>
              </w:rPr>
              <w:t>OREO(1)</w:t>
            </w:r>
          </w:p>
        </w:tc>
        <w:tc>
          <w:tcPr>
            <w:tcW w:w="1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auto"/>
                <w:w w:val="92"/>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Appraisal 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2017</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spacing w:after="0"/>
              <w:rPr>
                <w:sz w:val="10"/>
                <w:szCs w:val="10"/>
                <w:color w:val="auto"/>
              </w:rPr>
            </w:pPr>
          </w:p>
        </w:tc>
        <w:tc>
          <w:tcPr>
            <w:tcW w:w="900" w:type="dxa"/>
            <w:vAlign w:val="bottom"/>
          </w:tcPr>
          <w:p>
            <w:pPr>
              <w:jc w:val="right"/>
              <w:ind w:right="473"/>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spacing w:after="0"/>
              <w:rPr>
                <w:sz w:val="10"/>
                <w:szCs w:val="10"/>
                <w:color w:val="auto"/>
              </w:rPr>
            </w:pPr>
          </w:p>
        </w:tc>
        <w:tc>
          <w:tcPr>
            <w:tcW w:w="880" w:type="dxa"/>
            <w:vAlign w:val="bottom"/>
          </w:tcPr>
          <w:p>
            <w:pPr>
              <w:jc w:val="center"/>
              <w:ind w:right="41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1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214,381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214,381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166,706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2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held to maturity</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281,975</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282,488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47,820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19,780</w:t>
            </w: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19,780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15,562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Portfolio loans,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5,034,829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5,043,585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3,831,105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Other servicing rights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5,373,283</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5,370,642</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4,374,298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4,368,891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219,071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219,071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189,157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212,850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212,850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w w:val="98"/>
              </w:rPr>
              <w:t>Junior subordinated debt owed to unconsolidated trusts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70,973</w:t>
            </w: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70,973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70,868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3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Senior notes, net of unamortized issuance costs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39,370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w w:val="99"/>
              </w:rPr>
              <w:t>Subordinated notes, net of unamortized issuance costs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64,745</w:t>
            </w:r>
          </w:p>
        </w:tc>
        <w:tc>
          <w:tcPr>
            <w:tcW w:w="4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66,186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2016 or is described below.</w:t>
      </w:r>
    </w:p>
    <w:p>
      <w:pPr>
        <w:sectPr>
          <w:pgSz w:w="11900" w:h="16838" w:orient="portrait"/>
          <w:cols w:equalWidth="0" w:num="1">
            <w:col w:w="11420"/>
          </w:cols>
          <w:pgMar w:left="240" w:top="125" w:right="239" w:bottom="0" w:gutter="0" w:footer="0" w:header="0"/>
        </w:sectPr>
      </w:pPr>
    </w:p>
    <w:bookmarkStart w:id="30" w:name="page31"/>
    <w:bookmarkEnd w:id="30"/>
    <w:p>
      <w:pPr>
        <w:jc w:val="both"/>
        <w:ind w:right="60"/>
        <w:spacing w:after="0" w:line="312" w:lineRule="auto"/>
        <w:rPr>
          <w:sz w:val="20"/>
          <w:szCs w:val="20"/>
          <w:color w:val="auto"/>
        </w:rPr>
      </w:pPr>
      <w:r>
        <w:rPr>
          <w:rFonts w:ascii="Arial" w:cs="Arial" w:eastAsia="Arial" w:hAnsi="Arial"/>
          <w:sz w:val="16"/>
          <w:szCs w:val="16"/>
          <w:color w:val="auto"/>
        </w:rPr>
        <w:t>The fair value of other servicing rights relates to servicing that First Busey provides on Small Business Association loans and is estimated by discounting the future cash flows and classified as level 3 in ASC Topic 820. The fair value of senior and subordinated notes, net of unamortized issuance costs, is estimated based on the rates currently available to the Company with similar terms, remaining maturity and credit spread and classified as level 3 in ASC Topic 820.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Liability for Loans Sold</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records an estimated liability for probable amounts due to the Company’s loan investors under contractual obligations related to residential mortgage loans originated for sale that were previously sold and became delinquent or defaulted, or were determined to contain certain documentation or other underwriting deficiencies. Under standard representations and warranties and early payment default clauses in the Company’s mortgage sale agreements, the Company could be required to repurchase mortgage loans sold to investors or reimburse the investors for losses incurred on loans in the event of borrower default within a defined period after origination (generally 90 days), or in the event of breaches of contractual representations or warranties made at the time of sale that are not remedied within a defined period after the Company receives notice of such breaches (generally 90 days). In addition, the Company may be required to refund the profit received from the sale of a loan to an investor if the borrower pays off the loan within a defined period after origination, which is generally 120 days.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establishes a mortgage repurchase liability related to these events that reflects management’s estimate of losses on loans for which the Company could have a repurchase obligation based on a combination of factors. Such factors incorporate the volume of loans sold in current and previous periods, borrower default expectations, historical investor repurchase demand and appeals success rates (where the investor rescinds the demand based on a cure of the defect or acknowledges that the loan satisfies the investor’s applicable representations and warranties), and estimated loss severity. Payments made to investors as reimbursement for losses incurred are charged against the mortgage repurchase liability. Loans repurchased from investors are initially recorded at fair value, which becomes the Company’s new accounting basis. The difference between the loan’s fair value and the payment made to investors as reimbursement for losses incurred is charged to the mortgage repurchase liability. Subsequent to repurchase, such loans are carried as portfolio loans on the Company’s Consolidated Balance Sheets. Loans repurchased with deteriorated credit quality at the date of repurchase are accounted for under ASC 310-30.</w:t>
      </w:r>
    </w:p>
    <w:p>
      <w:pPr>
        <w:spacing w:after="0" w:line="18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liability for loans sold of $2.1 million at September 30, 2017 represents the Company’s best estimate of the probable losses that the Company will incur for various early default provisions and contractual representations and warranties associated with the sales of mortgage loans and is included in other liabilities in the accompanying Consolidated Balance Sheets. Because the level of mortgage loan repurchase losses depends upon economic factors, investor demand strategies and other external conditions that may change over the life of the underlying loans, the level of the liability for mortgage loan repurchase losses is difficult to estimate and requires considerable management judgment. In addition, the Company generally does not service the loans that it sells to investors and is generally unable to track the remaining unpaid balances or delinquency status after sale. As a result, there may be a range of possible losses in excess of the estimated liability that cannot be estimated. Management maintains regular contact with the Company’s investors to monitor and address their repurchase demand practices and concerns.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is management’s discussion and analysis of the financial condition of First Busey Corporation and its subsidiaries (referred to herein as “First Busey,” “Company,” “we,” or “our”) at September 30, 2017 (unaudited), as compared with June 30, 2017 (unaudited), December 31, 2016 and September 30, 2016 (unaudited), and the results of operations for the three and nine months ended September 30, 2017 (unaudited) and 2016 (unaudited), and the three months ended June 30, 2017 (unaudited) when applicable. Management’s discussion and analysis should be read in conjunction with the Company’s consolidated financial statements and notes thereto appearing elsewhere in this Quarterly Report, as well as the Company’s Annual Report on Form 10-K for the year ended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first quarter of 2017, First Busey announced the signing of two definitive agreements to acquire First Community, headquartered in Joliet, Illinois, and Mid Illinois, headquartered in Peoria, Illinois. On July 2, 2017, the Company completed its acquisition of First Community and financial results are reflected in September 30, 2017 balances. The acquisition of First Community allows the Company to significantly expand its geographic presence into attractive southwest suburbs of Chicago. On October 1, 2017, the Company completed its acquisition of Mid Illinois. The Mid Illinois acquisition is a subsequent event and the financial results of Mid Illinois are not recognized in this Form 10-Q. The acquisition of Mid Illinois enhances the Company’s existing deposit, commercial banking and trust and investment presence in the greater Peoria area.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First Busey’s net income for the third quarter of 2017 was $18.8 million, or $0.41 per diluted common share. The Company reported net income of $16.5 million or $0.43 per diluted common share for the second quarter of 2017 and net income of $15.4 million or $0.40 per diluted common share for the third quarter of 2016. First Community Financial Bank’s net income of $3.1 million had a positive impact on the results for the third quarter of 2017 and this acquisition resets the baseline for financial performance in future quarters in a multitude of positive ways. The Company’s year-to-date net income through September 30, 2017 was $50.4 million, or $1.23 per diluted common share, compared to net income of $38.2 million or $1.11 per diluted common share for the comparable period of 2016.</w:t>
      </w:r>
    </w:p>
    <w:p>
      <w:pPr>
        <w:spacing w:after="0" w:line="19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the third quarter of 2017, the Company incurred $3.0 million of pre-tax expenses related to acquisitions, compared to $0.3 million in the second quarter of 2017, which primarily consisted of legal, professional, restructuring, and data processing expenses. During the nine months ended September 30, 2017, the Company incurred $4.4 million of pre-tax acquisition costs and one-time restructuring costs. Excluding these items, the Company’s operating</w:t>
      </w:r>
    </w:p>
    <w:p>
      <w:pPr>
        <w:sectPr>
          <w:pgSz w:w="11900" w:h="16838" w:orient="portrait"/>
          <w:cols w:equalWidth="0" w:num="1">
            <w:col w:w="11400"/>
          </w:cols>
          <w:pgMar w:left="240" w:top="125" w:right="259" w:bottom="0" w:gutter="0" w:footer="0" w:header="0"/>
        </w:sectPr>
      </w:pPr>
    </w:p>
    <w:bookmarkStart w:id="31" w:name="page32"/>
    <w:bookmarkEnd w:id="31"/>
    <w:p>
      <w:pPr>
        <w:ind w:right="140"/>
        <w:spacing w:after="0" w:line="277" w:lineRule="auto"/>
        <w:rPr>
          <w:sz w:val="20"/>
          <w:szCs w:val="20"/>
          <w:color w:val="auto"/>
        </w:rPr>
      </w:pPr>
      <w:r>
        <w:rPr>
          <w:rFonts w:ascii="Arial" w:cs="Arial" w:eastAsia="Arial" w:hAnsi="Arial"/>
          <w:sz w:val="18"/>
          <w:szCs w:val="18"/>
          <w:color w:val="auto"/>
        </w:rPr>
        <w:t>earnings, a non-GAAP financial measure, for the third quarter of 2017 would have been $20.6 million, or $0.45 per diluted common share and $53.1 million or $1.29 per diluted common share for the year-to-date net income through September 30, 2017.</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Revenues from trust fees, commissions and brokers’ fees, and remittance processing activities represented 41.8% and 45.8% of the Company’s non-interest income for the third quarter and year ended September 30, 2017, respectively, providing a balance to revenue from traditional banking activities.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Trust fees and commissions and brokers’ fees of $5.8 million for the third quarter of 2017 decreased seasonally from $6.6 million for the second quarter of 2017 and increased from $5.3 million for the third quarter of 2016. Trust fees and commissions and brokers’ fees grew to $19.3 million for the first nine months of 2017, compared to $17.2 million for the same period of 2016. Net income from the wealth management segment decreased to $1.2 million for the third quarter of 2017, compared to $1.7 million for the second quarter of 2017, but increased from $0.3 million for the third quarter of 2016 which was reduced by restructuring costs of $1.3 million in that period designed to increase efficiency and drive down future costs. Net income from the wealth management segment increased to $4.8 million for the first nine months of 2017 compared to $2.9 million for the same period of 2016, a notable 64.0% increase.</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Remittance processing revenue of $2.9 million for the third quarter of 2017 remained comparable to the second quarter of 2017 and increased slightly from $2.8 million in the third quarter of 2016. For the first nine months of 2017, remittance processing revenue remained relatively stable at $8.6 million, compared to the same period of 2016. Net income from the remittance processing segment was also stable at $0.5 million for the second and third quarter of 2017 as well as the third quarter of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income from the remittance processing segment grew to $1.6 million for the nine months ended September 30, 2017, compared to $1.4 million for the nine months ended September 30, 2016.</w:t>
      </w:r>
    </w:p>
    <w:p>
      <w:pPr>
        <w:spacing w:after="0" w:line="17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Mortgage revenue increased to $3.5 million in the third quarter of 2017 from $2.8 million in the second quarter of 2017, but decreased from $4.8 million for the third quarter of 2016, as mortgage rates and associated costs increased, while purchase inventory declined. Mortgage revenue of $8.4 million decreased for the nine months ended September 30, 2017, compared to $9.1 million for the nine months ended September 30, 2016.</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Commercial loans remain a driver of balance sheet growth, while credit costs remain low. Favorable mix changes continue to occur across our deposit base as our relationship model builds ongoing efficiency into funding sources; all indicators of ongoing balance sheet strength.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While much internal focus has been directed toward growth and managing the integration of its recent acquisitions, the Company’s commitment to credit quality remains strong. Non-performing loans were 0.55% of total portfolio loans as of September 30, 2017, compared to 0.51% as of June 30, 2017 and</w:t>
      </w:r>
    </w:p>
    <w:p>
      <w:pPr>
        <w:ind w:right="20"/>
        <w:spacing w:after="0" w:line="261" w:lineRule="auto"/>
        <w:rPr>
          <w:sz w:val="20"/>
          <w:szCs w:val="20"/>
          <w:color w:val="auto"/>
        </w:rPr>
      </w:pPr>
      <w:r>
        <w:rPr>
          <w:rFonts w:ascii="Arial" w:cs="Arial" w:eastAsia="Arial" w:hAnsi="Arial"/>
          <w:sz w:val="18"/>
          <w:szCs w:val="18"/>
          <w:color w:val="auto"/>
        </w:rPr>
        <w:t>0.53% as of September 30, 2016. As of September 30, 2017, non-performing loans increased to $27.9 million, compared to $20.1 million as of June 30, 2017 and $20.1 million as of September 30, 2016 as a result of the First Community acquisition.</w:t>
      </w:r>
    </w:p>
    <w:p>
      <w:pPr>
        <w:spacing w:after="0" w:line="18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recorded net recoveries of $0.3 million for the third and second quarters of 2017, a decrease from the net recoveries of $0.5 million for the third quarter of 2016. The Company recorded net recoveries of $0.7 million for the first nine months of 2017, a favorable decrease from the net charge-offs of $3.7 million for the same period of 2016. Allowance for loan losses as a percentage of portfolio loans was 1.00% at September 30, 2017, a decrease from 1.25% at June 30, 2017 and 1.26% at September 30, 2016. As a result of acquisitions, the Company is holding acquired loans that are carried net of a fair value adjustment for credit and interest rate marks and are only included in the allowance calculation to the extent that the reserve requirement exceeds the fair value adjustment. The Company recorded provision for loan losses of $1.5 million in the third quarter of 2017, an increase from $0.5 million in the second quarter of 2017, but a decrease from $2.0 million in the third quarter of 2016. The Company recorded provision for loan losses of $2.5 million for the first nine months of 2017, including $1.5 million recorded on new and renewed First Community Financial Bank loan production. The Company recorded provision expense of $4.1 million for the first nine months of 2016.</w:t>
      </w:r>
    </w:p>
    <w:p>
      <w:pPr>
        <w:spacing w:after="0" w:line="18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With a continued commitment to asset quality and the strength of our Consolidated Balance Sheets, near-term loan losses are expected to remain generally low. While these results are encouraging, asset quality metrics can be generally influenced by market-specific economic conditions, and specific measures may fluctuate from period to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key metrics are as follows </w:t>
      </w:r>
      <w:r>
        <w:rPr>
          <w:rFonts w:ascii="Arial" w:cs="Arial" w:eastAsia="Arial" w:hAnsi="Arial"/>
          <w:sz w:val="18"/>
          <w:szCs w:val="18"/>
          <w:i w:val="1"/>
          <w:i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6"/>
              </w:rPr>
              <w:t>As of and for the Three Months Ended</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144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140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11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5,085,864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3,920,464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3,872,952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3,878,900</w:t>
            </w: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loans(1)</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3,782,463</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2,828,261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2,799,193</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2,796,130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51,035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49,201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48,442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47,795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Non-performing loans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27,430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18,935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20,544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21,423</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Loans 90+ days past due</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11,556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9,804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non-performing assets</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2,518</w:t>
            </w: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portfolio loans and non- performing</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183.1%</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245.3%</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221.7%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(1)Includes loans categorized as commercial, commercial real estate and real estate construction.</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2" w:name="page33"/>
    <w:bookmarkEnd w:id="32"/>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of September 30, 2017, Busey Bank had 28 banking centers serving Illinois and First Community Financial Bank had nine banking centers serving Illinois. Our downstate Illinois markets of Champaign, Macon, McLean and Peoria counties are anchored by several strong, well-recognized and stable organizations. 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Inc. operations, a Fortune 100 company, and Bradley University, in addition to a large healthcare presence serving much of the western portion of downstate Illinois. The institutions noted above, coupled with a large agricultural sector, anchor the communities in which they are located, and have provided a comparatively stable foundation for housing, employment and small business. The First Community acquisition provides the Company entrance into the demographically and economically attractive southwest suburban markets of the greater Chicagoland area and is part of the Company’s strategy of expanding into markets with both population and commercial density in the Midwest. The October 1, 2017 acquisition of Mid Illinois adds 13 additional Illinois banking centers in the greater Peoria area.</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State of Illinois, where a large portion of the Company’s customer base is located, continues to be one of the most troubled of any state in the United States with pension under-funding, continued budget deficits and a declining credit outlook. Additionally, the Company is located in markets with significant universities and healthcare companies, which rely heavily on state funding and contracts. Any possible payment lapses by the State of Illinois to its vendors and government sponsored entities may have negative effects on our primary market areas.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2016 acquisition of Pulaski expanded our presence into the St. Louis, Missouri metropolitan area, which is the largest metropolitan area in Missouri and the twentieth largest in the United States. The bi-state metropolitan area includes seven counties in Missouri and eight counties in Illinois. The area is home to 17 Fortune 1000 companies, including Express Scripts, Emerson Electric, Centene and Monsanto. St. Louis has a diverse economy with its major employment sectors including health care, financial services, professional and business services, and retail. Busey Bank has 13 banking centers serving the St. Louis metropolitan area, all of which are located in the city of St. Louis, or the adjacent counties of St. Louis County and St. Charles County. St. Charles County has been one of the fastest-growing counties in the country for decades. The county features a cross-section of industry, as well as extensive retail and some agriculture. The Company’s geographic concentration in only three of the 15 counties included in the St. Louis metropolitan area gives the Company tremendous expansion opportunities into neighboring counties.</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Busey Bank has five banking centers in southwest Florida. Southwest Florida has shown continuing signs of improvement in areas such as job growth and the housing market over the last several years.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Many large corporations are headquartered in Indianapolis and it is host to numerous conventions and sporting events annually. In 2017, the Company has been working to expand its presence in Indianapolis.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THREE MONTHS ENDED SEPTEMBER 30, 2017 AND 2016 (UNAUDITED)</w:t>
      </w:r>
    </w:p>
    <w:p>
      <w:pPr>
        <w:spacing w:after="0" w:line="20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Change in income/</w:t>
            </w:r>
          </w:p>
        </w:tc>
        <w:tc>
          <w:tcPr>
            <w:tcW w:w="680" w:type="dxa"/>
            <w:vAlign w:val="bottom"/>
          </w:tcPr>
          <w:p>
            <w:pPr>
              <w:spacing w:after="0"/>
              <w:rPr>
                <w:sz w:val="13"/>
                <w:szCs w:val="13"/>
                <w:color w:val="auto"/>
              </w:rPr>
            </w:pPr>
          </w:p>
        </w:tc>
      </w:tr>
      <w:tr>
        <w:trPr>
          <w:trHeight w:val="161"/>
        </w:trPr>
        <w:tc>
          <w:tcPr>
            <w:tcW w:w="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expense due to(1)</w:t>
            </w:r>
          </w:p>
        </w:tc>
        <w:tc>
          <w:tcPr>
            <w:tcW w:w="680" w:type="dxa"/>
            <w:vAlign w:val="bottom"/>
            <w:tcBorders>
              <w:bottom w:val="single" w:sz="8" w:color="auto"/>
            </w:tcBorders>
          </w:tcPr>
          <w:p>
            <w:pPr>
              <w:spacing w:after="0"/>
              <w:rPr>
                <w:sz w:val="14"/>
                <w:szCs w:val="14"/>
                <w:color w:val="auto"/>
              </w:rPr>
            </w:pPr>
          </w:p>
        </w:tc>
      </w:tr>
      <w:tr>
        <w:trPr>
          <w:trHeight w:val="129"/>
        </w:trPr>
        <w:tc>
          <w:tcPr>
            <w:tcW w:w="980" w:type="dxa"/>
            <w:vAlign w:val="bottom"/>
          </w:tcPr>
          <w:p>
            <w:pPr>
              <w:ind w:left="220"/>
              <w:spacing w:after="0" w:line="129" w:lineRule="exact"/>
              <w:rPr>
                <w:sz w:val="20"/>
                <w:szCs w:val="20"/>
                <w:color w:val="auto"/>
              </w:rPr>
            </w:pPr>
            <w:r>
              <w:rPr>
                <w:rFonts w:ascii="Arial" w:cs="Arial" w:eastAsia="Arial" w:hAnsi="Arial"/>
                <w:sz w:val="14"/>
                <w:szCs w:val="14"/>
                <w:b w:val="1"/>
                <w:bCs w:val="1"/>
                <w:color w:val="auto"/>
              </w:rPr>
              <w:t>Average</w:t>
            </w:r>
          </w:p>
        </w:tc>
        <w:tc>
          <w:tcPr>
            <w:tcW w:w="1000" w:type="dxa"/>
            <w:vAlign w:val="bottom"/>
          </w:tcPr>
          <w:p>
            <w:pPr>
              <w:ind w:left="300"/>
              <w:spacing w:after="0" w:line="129" w:lineRule="exact"/>
              <w:rPr>
                <w:sz w:val="20"/>
                <w:szCs w:val="20"/>
                <w:color w:val="auto"/>
              </w:rPr>
            </w:pPr>
            <w:r>
              <w:rPr>
                <w:rFonts w:ascii="Arial" w:cs="Arial" w:eastAsia="Arial" w:hAnsi="Arial"/>
                <w:sz w:val="14"/>
                <w:szCs w:val="14"/>
                <w:b w:val="1"/>
                <w:bCs w:val="1"/>
                <w:color w:val="auto"/>
              </w:rPr>
              <w:t>Income/</w:t>
            </w:r>
          </w:p>
        </w:tc>
        <w:tc>
          <w:tcPr>
            <w:tcW w:w="80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90"/>
              </w:rPr>
              <w:t>Yield/</w:t>
            </w:r>
          </w:p>
        </w:tc>
        <w:tc>
          <w:tcPr>
            <w:tcW w:w="180" w:type="dxa"/>
            <w:vAlign w:val="bottom"/>
          </w:tcPr>
          <w:p>
            <w:pPr>
              <w:spacing w:after="0"/>
              <w:rPr>
                <w:sz w:val="11"/>
                <w:szCs w:val="11"/>
                <w:color w:val="auto"/>
              </w:rPr>
            </w:pPr>
          </w:p>
        </w:tc>
        <w:tc>
          <w:tcPr>
            <w:tcW w:w="960" w:type="dxa"/>
            <w:vAlign w:val="bottom"/>
          </w:tcPr>
          <w:p>
            <w:pPr>
              <w:ind w:left="220"/>
              <w:spacing w:after="0" w:line="129" w:lineRule="exact"/>
              <w:rPr>
                <w:sz w:val="20"/>
                <w:szCs w:val="20"/>
                <w:color w:val="auto"/>
              </w:rPr>
            </w:pPr>
            <w:r>
              <w:rPr>
                <w:rFonts w:ascii="Arial" w:cs="Arial" w:eastAsia="Arial" w:hAnsi="Arial"/>
                <w:sz w:val="14"/>
                <w:szCs w:val="14"/>
                <w:b w:val="1"/>
                <w:bCs w:val="1"/>
                <w:color w:val="auto"/>
              </w:rPr>
              <w:t>Average</w:t>
            </w:r>
          </w:p>
        </w:tc>
        <w:tc>
          <w:tcPr>
            <w:tcW w:w="1020" w:type="dxa"/>
            <w:vAlign w:val="bottom"/>
          </w:tcPr>
          <w:p>
            <w:pPr>
              <w:ind w:left="320"/>
              <w:spacing w:after="0" w:line="129" w:lineRule="exact"/>
              <w:rPr>
                <w:sz w:val="20"/>
                <w:szCs w:val="20"/>
                <w:color w:val="auto"/>
              </w:rPr>
            </w:pPr>
            <w:r>
              <w:rPr>
                <w:rFonts w:ascii="Arial" w:cs="Arial" w:eastAsia="Arial" w:hAnsi="Arial"/>
                <w:sz w:val="14"/>
                <w:szCs w:val="14"/>
                <w:b w:val="1"/>
                <w:bCs w:val="1"/>
                <w:color w:val="auto"/>
              </w:rPr>
              <w:t>Income/</w:t>
            </w:r>
          </w:p>
        </w:tc>
        <w:tc>
          <w:tcPr>
            <w:tcW w:w="76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90"/>
              </w:rPr>
              <w:t>Yield/</w:t>
            </w:r>
          </w:p>
        </w:tc>
        <w:tc>
          <w:tcPr>
            <w:tcW w:w="180" w:type="dxa"/>
            <w:vAlign w:val="bottom"/>
          </w:tcPr>
          <w:p>
            <w:pPr>
              <w:spacing w:after="0"/>
              <w:rPr>
                <w:sz w:val="11"/>
                <w:szCs w:val="11"/>
                <w:color w:val="auto"/>
              </w:rPr>
            </w:pPr>
          </w:p>
        </w:tc>
        <w:tc>
          <w:tcPr>
            <w:tcW w:w="700" w:type="dxa"/>
            <w:vAlign w:val="bottom"/>
          </w:tcPr>
          <w:p>
            <w:pPr>
              <w:ind w:left="140"/>
              <w:spacing w:after="0" w:line="129" w:lineRule="exact"/>
              <w:rPr>
                <w:sz w:val="20"/>
                <w:szCs w:val="20"/>
                <w:color w:val="auto"/>
              </w:rPr>
            </w:pPr>
            <w:r>
              <w:rPr>
                <w:rFonts w:ascii="Arial" w:cs="Arial" w:eastAsia="Arial" w:hAnsi="Arial"/>
                <w:sz w:val="14"/>
                <w:szCs w:val="14"/>
                <w:b w:val="1"/>
                <w:bCs w:val="1"/>
                <w:color w:val="auto"/>
                <w:w w:val="97"/>
              </w:rPr>
              <w:t>Average</w:t>
            </w:r>
          </w:p>
        </w:tc>
        <w:tc>
          <w:tcPr>
            <w:tcW w:w="1240" w:type="dxa"/>
            <w:vAlign w:val="bottom"/>
          </w:tcPr>
          <w:p>
            <w:pPr>
              <w:jc w:val="center"/>
              <w:ind w:left="12"/>
              <w:spacing w:after="0" w:line="129"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r>
      <w:tr>
        <w:trPr>
          <w:trHeight w:val="174"/>
        </w:trPr>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Balance</w:t>
            </w:r>
          </w:p>
        </w:tc>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Expense</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Rate(6)</w:t>
            </w:r>
          </w:p>
        </w:tc>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Balance</w:t>
            </w: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Expense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Rate(6)</w:t>
            </w: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Volume</w:t>
            </w:r>
          </w:p>
        </w:tc>
        <w:tc>
          <w:tcPr>
            <w:tcW w:w="124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Yield/Rate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-7620</wp:posOffset>
            </wp:positionV>
            <wp:extent cx="5394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44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4450"/>
                    </a:xfrm>
                    <a:prstGeom prst="rect">
                      <a:avLst/>
                    </a:prstGeom>
                    <a:noFill/>
                  </pic:spPr>
                </pic:pic>
              </a:graphicData>
            </a:graphic>
          </wp:anchor>
        </w:drawing>
      </w:r>
    </w:p>
    <w:p>
      <w:pPr>
        <w:sectPr>
          <w:pgSz w:w="11900" w:h="16842" w:orient="portrait"/>
          <w:cols w:equalWidth="0" w:num="1">
            <w:col w:w="11380"/>
          </w:cols>
          <w:pgMar w:left="240" w:top="584" w:right="27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ind w:left="180"/>
              <w:spacing w:after="0" w:line="138" w:lineRule="exact"/>
              <w:rPr>
                <w:sz w:val="20"/>
                <w:szCs w:val="20"/>
                <w:color w:val="auto"/>
              </w:rPr>
            </w:pPr>
            <w:r>
              <w:rPr>
                <w:rFonts w:ascii="Arial" w:cs="Arial" w:eastAsia="Arial" w:hAnsi="Arial"/>
                <w:sz w:val="14"/>
                <w:szCs w:val="14"/>
                <w:color w:val="auto"/>
                <w:w w:val="99"/>
              </w:rPr>
              <w:t>Interest-bearing bank deposits and federal</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tcPr>
          <w:p>
            <w:pPr>
              <w:ind w:left="360"/>
              <w:spacing w:after="0" w:line="159" w:lineRule="exact"/>
              <w:rPr>
                <w:sz w:val="20"/>
                <w:szCs w:val="20"/>
                <w:color w:val="auto"/>
              </w:rPr>
            </w:pPr>
            <w:r>
              <w:rPr>
                <w:rFonts w:ascii="Arial" w:cs="Arial" w:eastAsia="Arial" w:hAnsi="Arial"/>
                <w:sz w:val="14"/>
                <w:szCs w:val="14"/>
                <w:color w:val="auto"/>
              </w:rPr>
              <w:t>funds sold</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110,976</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348</w:t>
            </w:r>
          </w:p>
        </w:tc>
        <w:tc>
          <w:tcPr>
            <w:tcW w:w="18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205,861</w:t>
            </w:r>
          </w:p>
        </w:tc>
        <w:tc>
          <w:tcPr>
            <w:tcW w:w="180" w:type="dxa"/>
            <w:vAlign w:val="bottom"/>
          </w:tcPr>
          <w:p>
            <w:pPr>
              <w:spacing w:after="0"/>
              <w:rPr>
                <w:sz w:val="13"/>
                <w:szCs w:val="1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217</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0.42%</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(135)</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266</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 securities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360"/>
              <w:spacing w:after="0" w:line="149" w:lineRule="exact"/>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135,404</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564</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192,882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564</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w:t>
            </w:r>
          </w:p>
        </w:tc>
        <w:tc>
          <w:tcPr>
            <w:tcW w:w="2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197</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Obligations of states and political</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subdivisions(1)</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260,421</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1,919</w:t>
            </w: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2.92%</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212,799</w:t>
            </w:r>
          </w:p>
        </w:tc>
        <w:tc>
          <w:tcPr>
            <w:tcW w:w="18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1,546</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2.89%</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355</w:t>
            </w:r>
          </w:p>
        </w:tc>
        <w:tc>
          <w:tcPr>
            <w:tcW w:w="16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360"/>
              <w:spacing w:after="0" w:line="149" w:lineRule="exact"/>
              <w:rPr>
                <w:sz w:val="20"/>
                <w:szCs w:val="20"/>
                <w:color w:val="auto"/>
              </w:rPr>
            </w:pPr>
            <w:r>
              <w:rPr>
                <w:rFonts w:ascii="Arial" w:cs="Arial" w:eastAsia="Arial" w:hAnsi="Arial"/>
                <w:sz w:val="14"/>
                <w:szCs w:val="14"/>
                <w:color w:val="auto"/>
              </w:rPr>
              <w:t>Other securities</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613,530</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3,502</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2.26%</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427,882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2,283</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2.12%</w:t>
            </w: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1,056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163</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Loans held for sale</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127,369</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257,893</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2,393</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3.69%</w:t>
            </w:r>
          </w:p>
        </w:tc>
        <w:tc>
          <w:tcPr>
            <w:tcW w:w="2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(1,228)</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Portfolio loans(1) (2)</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5,035,025</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55,971</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4.41%</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3,797,567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41,031</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4.30%</w:t>
            </w: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13,834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1,106</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Total interest-earning assets(1) (3)</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4.01%</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3.75%</w:t>
            </w: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6,282,725</w:t>
            </w:r>
          </w:p>
        </w:tc>
        <w:tc>
          <w:tcPr>
            <w:tcW w:w="26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63,509</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5,094,884</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48,034</w:t>
            </w: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13,685</w:t>
            </w: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1,790</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15,475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and due from banks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100,004</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75,242</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Premises and equipment</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99,284</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80,956</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(51,380)</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(45,761)</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430,744</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293,897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6,861,377</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5,499,218</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Interest-bearing transaction deposits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1,204,141</w:t>
            </w: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0.23%</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858,525</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280</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Savings and money market deposits</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1,867,388</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1,093</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0.23%</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1,629,988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627</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0.15%</w:t>
            </w: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384</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Time deposits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1,010,224</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2,055</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0.81%</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859,107</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1,192</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0.55%</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625</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Short-term borrowings: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w w:val="91"/>
              </w:rPr>
              <w:t>Repurchase agreements and federal funds</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purchased</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215,776</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291</w:t>
            </w: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0.54%</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188,557</w:t>
            </w:r>
          </w:p>
        </w:tc>
        <w:tc>
          <w:tcPr>
            <w:tcW w:w="18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102</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0.22%</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w:t>
            </w:r>
          </w:p>
        </w:tc>
        <w:tc>
          <w:tcPr>
            <w:tcW w:w="16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172</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360"/>
              <w:spacing w:after="0" w:line="149" w:lineRule="exact"/>
              <w:rPr>
                <w:sz w:val="20"/>
                <w:szCs w:val="20"/>
                <w:color w:val="auto"/>
              </w:rPr>
            </w:pPr>
            <w:r>
              <w:rPr>
                <w:rFonts w:ascii="Arial" w:cs="Arial" w:eastAsia="Arial" w:hAnsi="Arial"/>
                <w:sz w:val="14"/>
                <w:szCs w:val="14"/>
                <w:color w:val="auto"/>
              </w:rPr>
              <w:t>Other (4)</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139,204</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447</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147,032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263</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0.71%</w:t>
            </w:r>
          </w:p>
        </w:tc>
        <w:tc>
          <w:tcPr>
            <w:tcW w:w="2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Long-term debt(5)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158,267</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3.36%</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0.27%</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1,182</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ind w:left="180"/>
              <w:spacing w:after="0" w:line="138" w:lineRule="exact"/>
              <w:rPr>
                <w:sz w:val="20"/>
                <w:szCs w:val="20"/>
                <w:color w:val="auto"/>
              </w:rPr>
            </w:pPr>
            <w:r>
              <w:rPr>
                <w:rFonts w:ascii="Arial" w:cs="Arial" w:eastAsia="Arial" w:hAnsi="Arial"/>
                <w:sz w:val="14"/>
                <w:szCs w:val="14"/>
                <w:color w:val="auto"/>
              </w:rPr>
              <w:t>Junior subordinated debt owed to</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tcPr>
          <w:p>
            <w:pPr>
              <w:ind w:left="360"/>
              <w:spacing w:after="0" w:line="159" w:lineRule="exact"/>
              <w:rPr>
                <w:sz w:val="20"/>
                <w:szCs w:val="20"/>
                <w:color w:val="auto"/>
              </w:rPr>
            </w:pPr>
            <w:r>
              <w:rPr>
                <w:rFonts w:ascii="Arial" w:cs="Arial" w:eastAsia="Arial" w:hAnsi="Arial"/>
                <w:sz w:val="14"/>
                <w:szCs w:val="14"/>
                <w:color w:val="auto"/>
              </w:rPr>
              <w:t>unconsolidated trusts</w:t>
            </w:r>
          </w:p>
        </w:tc>
        <w:tc>
          <w:tcPr>
            <w:tcW w:w="22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70,939</w:t>
            </w:r>
          </w:p>
        </w:tc>
        <w:tc>
          <w:tcPr>
            <w:tcW w:w="2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649</w:t>
            </w:r>
          </w:p>
        </w:tc>
        <w:tc>
          <w:tcPr>
            <w:tcW w:w="18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3.63%</w:t>
            </w:r>
          </w:p>
        </w:tc>
        <w:tc>
          <w:tcPr>
            <w:tcW w:w="2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70,802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538</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3.02%</w:t>
            </w:r>
          </w:p>
        </w:tc>
        <w:tc>
          <w:tcPr>
            <w:tcW w:w="2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110</w:t>
            </w:r>
          </w:p>
        </w:tc>
        <w:tc>
          <w:tcPr>
            <w:tcW w:w="1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Total interest-bearing liabilities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0.56%</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0.32%</w:t>
            </w: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4,665,939</w:t>
            </w:r>
          </w:p>
        </w:tc>
        <w:tc>
          <w:tcPr>
            <w:tcW w:w="26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6,578</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3,834,011</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3,057</w:t>
            </w: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569</w:t>
            </w: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2,952</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3,521</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interest spread(1)</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3.45%</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1,328,770</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1,023,963</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44,453</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52,398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822,215</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588,846</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6,861,377</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5,499,218</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 earning assets(1) (3)</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6,282,725</w:t>
            </w: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63,509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5,094,884</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48,034</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6,282,725</w:t>
            </w:r>
          </w:p>
        </w:tc>
        <w:tc>
          <w:tcPr>
            <w:tcW w:w="2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6,578</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5,094,884</w:t>
            </w:r>
          </w:p>
        </w:tc>
        <w:tc>
          <w:tcPr>
            <w:tcW w:w="1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3,057</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0.24%</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Net interest margin(1)</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56,931</w:t>
            </w:r>
          </w:p>
        </w:tc>
        <w:tc>
          <w:tcPr>
            <w:tcW w:w="180" w:type="dxa"/>
            <w:vAlign w:val="bottom"/>
          </w:tcPr>
          <w:p>
            <w:pPr>
              <w:spacing w:after="0"/>
              <w:rPr>
                <w:sz w:val="15"/>
                <w:szCs w:val="15"/>
                <w:color w:val="auto"/>
              </w:rPr>
            </w:pPr>
          </w:p>
        </w:tc>
        <w:tc>
          <w:tcPr>
            <w:tcW w:w="860" w:type="dxa"/>
            <w:vAlign w:val="bottom"/>
            <w:gridSpan w:val="2"/>
          </w:tcPr>
          <w:p>
            <w:pPr>
              <w:jc w:val="right"/>
              <w:ind w:right="60"/>
              <w:spacing w:after="0" w:line="176" w:lineRule="exact"/>
              <w:rPr>
                <w:sz w:val="20"/>
                <w:szCs w:val="20"/>
                <w:color w:val="auto"/>
              </w:rPr>
            </w:pPr>
            <w:r>
              <w:rPr>
                <w:rFonts w:ascii="Arial" w:cs="Arial" w:eastAsia="Arial" w:hAnsi="Arial"/>
                <w:sz w:val="11"/>
                <w:szCs w:val="11"/>
                <w:color w:val="auto"/>
              </w:rPr>
              <w:t>3.60</w:t>
            </w:r>
            <w:r>
              <w:rPr>
                <w:rFonts w:ascii="Arial" w:cs="Arial" w:eastAsia="Arial" w:hAnsi="Arial"/>
                <w:sz w:val="20"/>
                <w:szCs w:val="20"/>
                <w:color w:val="auto"/>
                <w:vertAlign w:val="superscript"/>
              </w:rPr>
              <w:t>%</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44,977</w:t>
            </w:r>
          </w:p>
        </w:tc>
        <w:tc>
          <w:tcPr>
            <w:tcW w:w="1080" w:type="dxa"/>
            <w:vAlign w:val="bottom"/>
            <w:gridSpan w:val="3"/>
          </w:tcPr>
          <w:p>
            <w:pPr>
              <w:jc w:val="right"/>
              <w:ind w:right="129"/>
              <w:spacing w:after="0" w:line="176" w:lineRule="exact"/>
              <w:rPr>
                <w:sz w:val="20"/>
                <w:szCs w:val="20"/>
                <w:color w:val="auto"/>
              </w:rPr>
            </w:pPr>
            <w:r>
              <w:rPr>
                <w:rFonts w:ascii="Arial" w:cs="Arial" w:eastAsia="Arial" w:hAnsi="Arial"/>
                <w:sz w:val="11"/>
                <w:szCs w:val="11"/>
                <w:color w:val="auto"/>
              </w:rPr>
              <w:t>3.51</w:t>
            </w:r>
            <w:r>
              <w:rPr>
                <w:rFonts w:ascii="Arial" w:cs="Arial" w:eastAsia="Arial" w:hAnsi="Arial"/>
                <w:sz w:val="20"/>
                <w:szCs w:val="20"/>
                <w:color w:val="auto"/>
                <w:vertAlign w:val="superscript"/>
              </w:rPr>
              <w:t>%</w:t>
            </w:r>
            <w:r>
              <w:rPr>
                <w:rFonts w:ascii="Arial" w:cs="Arial" w:eastAsia="Arial" w:hAnsi="Arial"/>
                <w:sz w:val="11"/>
                <w:szCs w:val="11"/>
                <w:color w:val="auto"/>
              </w:rPr>
              <w:t xml:space="preserve"> $</w:t>
            </w:r>
          </w:p>
        </w:tc>
        <w:tc>
          <w:tcPr>
            <w:tcW w:w="540" w:type="dxa"/>
            <w:vAlign w:val="bottom"/>
          </w:tcPr>
          <w:p>
            <w:pPr>
              <w:jc w:val="right"/>
              <w:spacing w:after="0"/>
              <w:rPr>
                <w:sz w:val="20"/>
                <w:szCs w:val="20"/>
                <w:color w:val="auto"/>
              </w:rPr>
            </w:pPr>
            <w:r>
              <w:rPr>
                <w:rFonts w:ascii="Arial" w:cs="Arial" w:eastAsia="Arial" w:hAnsi="Arial"/>
                <w:sz w:val="14"/>
                <w:szCs w:val="14"/>
                <w:color w:val="auto"/>
              </w:rPr>
              <w:t>13,116</w:t>
            </w:r>
          </w:p>
        </w:tc>
        <w:tc>
          <w:tcPr>
            <w:tcW w:w="160" w:type="dxa"/>
            <w:vAlign w:val="bottom"/>
          </w:tcPr>
          <w:p>
            <w:pPr>
              <w:spacing w:after="0"/>
              <w:rPr>
                <w:sz w:val="15"/>
                <w:szCs w:val="15"/>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76" w:lineRule="exact"/>
              <w:rPr>
                <w:sz w:val="20"/>
                <w:szCs w:val="20"/>
                <w:color w:val="auto"/>
              </w:rPr>
            </w:pPr>
            <w:r>
              <w:rPr>
                <w:rFonts w:ascii="Arial" w:cs="Arial" w:eastAsia="Arial" w:hAnsi="Arial"/>
                <w:sz w:val="11"/>
                <w:szCs w:val="11"/>
                <w:color w:val="auto"/>
              </w:rPr>
              <w:t>(1,162</w:t>
            </w:r>
            <w:r>
              <w:rPr>
                <w:rFonts w:ascii="Arial" w:cs="Arial" w:eastAsia="Arial" w:hAnsi="Arial"/>
                <w:sz w:val="20"/>
                <w:szCs w:val="20"/>
                <w:color w:val="auto"/>
                <w:vertAlign w:val="superscript"/>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11,954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(1)On a tax-equivalent basis assuming a federal income tax rate of 35%.</w:t>
      </w:r>
    </w:p>
    <w:p>
      <w:pPr>
        <w:spacing w:after="0" w:line="221" w:lineRule="auto"/>
        <w:rPr>
          <w:sz w:val="20"/>
          <w:szCs w:val="20"/>
          <w:color w:val="auto"/>
        </w:rPr>
      </w:pPr>
      <w:r>
        <w:rPr>
          <w:rFonts w:ascii="Arial" w:cs="Arial" w:eastAsia="Arial" w:hAnsi="Arial"/>
          <w:sz w:val="14"/>
          <w:szCs w:val="14"/>
          <w:color w:val="auto"/>
        </w:rPr>
        <w:t>(2)Non-accrual loans have been included in average portfolio loans.</w:t>
      </w:r>
    </w:p>
    <w:p>
      <w:pPr>
        <w:spacing w:after="0" w:line="221" w:lineRule="auto"/>
        <w:rPr>
          <w:sz w:val="20"/>
          <w:szCs w:val="20"/>
          <w:color w:val="auto"/>
        </w:rPr>
      </w:pPr>
      <w:r>
        <w:rPr>
          <w:rFonts w:ascii="Arial" w:cs="Arial" w:eastAsia="Arial" w:hAnsi="Arial"/>
          <w:sz w:val="14"/>
          <w:szCs w:val="14"/>
          <w:color w:val="auto"/>
        </w:rPr>
        <w:t>(3)Interest income includes a tax-equivalent adjustment of $1.0 million and $0.8 million for the three months ended September 30, 2017 and 2016, respectively.</w:t>
      </w:r>
    </w:p>
    <w:p>
      <w:pPr>
        <w:spacing w:after="0" w:line="222" w:lineRule="auto"/>
        <w:rPr>
          <w:sz w:val="20"/>
          <w:szCs w:val="20"/>
          <w:color w:val="auto"/>
        </w:rPr>
      </w:pPr>
      <w:r>
        <w:rPr>
          <w:rFonts w:ascii="Arial" w:cs="Arial" w:eastAsia="Arial" w:hAnsi="Arial"/>
          <w:sz w:val="14"/>
          <w:szCs w:val="14"/>
          <w:color w:val="auto"/>
        </w:rPr>
        <w:t>(4)Includes FHLB advances and revolving loan. Interest expense includes a non-usage fee on the revolving loan.</w:t>
      </w:r>
    </w:p>
    <w:p>
      <w:pPr>
        <w:spacing w:after="0" w:line="221" w:lineRule="auto"/>
        <w:rPr>
          <w:sz w:val="20"/>
          <w:szCs w:val="20"/>
          <w:color w:val="auto"/>
        </w:rPr>
      </w:pPr>
      <w:r>
        <w:rPr>
          <w:rFonts w:ascii="Arial" w:cs="Arial" w:eastAsia="Arial" w:hAnsi="Arial"/>
          <w:sz w:val="14"/>
          <w:szCs w:val="14"/>
          <w:color w:val="auto"/>
        </w:rPr>
        <w:t>(5)Includes FHLB long-term debt, senior notes and subordinated notes.</w:t>
      </w:r>
    </w:p>
    <w:p>
      <w:pPr>
        <w:spacing w:after="0"/>
        <w:rPr>
          <w:sz w:val="20"/>
          <w:szCs w:val="20"/>
          <w:color w:val="auto"/>
        </w:rPr>
      </w:pPr>
      <w:r>
        <w:rPr>
          <w:rFonts w:ascii="Arial" w:cs="Arial" w:eastAsia="Arial" w:hAnsi="Arial"/>
          <w:sz w:val="14"/>
          <w:szCs w:val="14"/>
          <w:color w:val="auto"/>
        </w:rPr>
        <w:t>(6)Annualized.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 AND 2016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Change in income/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3"/>
              </w:rPr>
              <w:t>expense due to(1)</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Income/</w:t>
            </w:r>
          </w:p>
        </w:tc>
        <w:tc>
          <w:tcPr>
            <w:tcW w:w="68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7"/>
              </w:rPr>
              <w:t>Average</w:t>
            </w:r>
          </w:p>
        </w:tc>
        <w:tc>
          <w:tcPr>
            <w:tcW w:w="10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Income/</w:t>
            </w:r>
          </w:p>
        </w:tc>
        <w:tc>
          <w:tcPr>
            <w:tcW w:w="66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52"/>
              <w:spacing w:after="0" w:line="12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1"/>
                <w:szCs w:val="11"/>
                <w:color w:val="auto"/>
              </w:rPr>
            </w:pPr>
          </w:p>
        </w:tc>
        <w:tc>
          <w:tcPr>
            <w:tcW w:w="9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1"/>
                <w:szCs w:val="11"/>
                <w:color w:val="auto"/>
              </w:rPr>
            </w:pPr>
          </w:p>
        </w:tc>
        <w:tc>
          <w:tcPr>
            <w:tcW w:w="60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Rate(6)</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Balance</w:t>
            </w:r>
          </w:p>
        </w:tc>
        <w:tc>
          <w:tcPr>
            <w:tcW w:w="10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Rate(6)</w:t>
            </w:r>
          </w:p>
        </w:tc>
        <w:tc>
          <w:tcPr>
            <w:tcW w:w="100" w:type="dxa"/>
            <w:vAlign w:val="bottom"/>
          </w:tcPr>
          <w:p>
            <w:pPr>
              <w:spacing w:after="0"/>
              <w:rPr>
                <w:sz w:val="14"/>
                <w:szCs w:val="14"/>
                <w:color w:val="auto"/>
              </w:rPr>
            </w:pPr>
          </w:p>
        </w:tc>
        <w:tc>
          <w:tcPr>
            <w:tcW w:w="8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w w:val="94"/>
              </w:rPr>
              <w:t>Volume</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Yield/Rate</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ind w:left="180"/>
              <w:spacing w:after="0" w:line="138" w:lineRule="exact"/>
              <w:rPr>
                <w:sz w:val="20"/>
                <w:szCs w:val="20"/>
                <w:color w:val="auto"/>
              </w:rPr>
            </w:pPr>
            <w:r>
              <w:rPr>
                <w:rFonts w:ascii="Arial" w:cs="Arial" w:eastAsia="Arial" w:hAnsi="Arial"/>
                <w:sz w:val="14"/>
                <w:szCs w:val="14"/>
                <w:color w:val="auto"/>
                <w:w w:val="99"/>
              </w:rPr>
              <w:t>Interest-bearing bank deposits and federal</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tcPr>
          <w:p>
            <w:pPr>
              <w:ind w:left="360"/>
              <w:spacing w:after="0" w:line="159" w:lineRule="exact"/>
              <w:rPr>
                <w:sz w:val="20"/>
                <w:szCs w:val="20"/>
                <w:color w:val="auto"/>
              </w:rPr>
            </w:pPr>
            <w:r>
              <w:rPr>
                <w:rFonts w:ascii="Arial" w:cs="Arial" w:eastAsia="Arial" w:hAnsi="Arial"/>
                <w:sz w:val="14"/>
                <w:szCs w:val="14"/>
                <w:color w:val="auto"/>
              </w:rPr>
              <w:t>funds sold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128,835</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980</w:t>
            </w:r>
          </w:p>
        </w:tc>
        <w:tc>
          <w:tcPr>
            <w:tcW w:w="18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1.02%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254,434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888</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(587)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360"/>
              <w:spacing w:after="0" w:line="149" w:lineRule="exact"/>
              <w:rPr>
                <w:sz w:val="20"/>
                <w:szCs w:val="20"/>
                <w:color w:val="auto"/>
              </w:rPr>
            </w:pPr>
            <w:r>
              <w:rPr>
                <w:rFonts w:ascii="Arial" w:cs="Arial" w:eastAsia="Arial" w:hAnsi="Arial"/>
                <w:sz w:val="14"/>
                <w:szCs w:val="14"/>
                <w:color w:val="auto"/>
              </w:rPr>
              <w:t>U.S. Government obligations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142,377</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1,504</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1.41%</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195,168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1,678</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2"/>
                <w:szCs w:val="12"/>
                <w:color w:val="auto"/>
              </w:rPr>
            </w:pPr>
          </w:p>
        </w:tc>
        <w:tc>
          <w:tcPr>
            <w:tcW w:w="8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(511)</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w:t>
            </w: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Obligations of states and political</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subdivisions(1)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214,264</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4,762</w:t>
            </w: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2.97%</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215,436</w:t>
            </w: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4,616</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3"/>
                <w:szCs w:val="13"/>
                <w:color w:val="auto"/>
              </w:rPr>
            </w:pPr>
          </w:p>
        </w:tc>
        <w:tc>
          <w:tcPr>
            <w:tcW w:w="920" w:type="dxa"/>
            <w:vAlign w:val="bottom"/>
            <w:tcBorders>
              <w:right w:val="single" w:sz="8" w:color="CCEEFF"/>
            </w:tcBorders>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360"/>
              <w:spacing w:after="0" w:line="149" w:lineRule="exact"/>
              <w:rPr>
                <w:sz w:val="20"/>
                <w:szCs w:val="20"/>
                <w:color w:val="auto"/>
              </w:rPr>
            </w:pPr>
            <w:r>
              <w:rPr>
                <w:rFonts w:ascii="Arial" w:cs="Arial" w:eastAsia="Arial" w:hAnsi="Arial"/>
                <w:sz w:val="14"/>
                <w:szCs w:val="14"/>
                <w:color w:val="auto"/>
              </w:rPr>
              <w:t>Other securities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521,044</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8,971</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437,577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6,991</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2.13%</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578</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Loans held for sale</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123,508</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133,216</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3,776</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(274)</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Portfolio loans(1) (2)</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4,267,393</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136,260</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4.27%</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3,254,698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101,398</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4.16%</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32,187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2,675</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Total interest-earning assets(1) (3)</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3.86%</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5,397,421</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155,920</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4,490,529</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119,347</w:t>
            </w: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32,191</w:t>
            </w: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4,382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36,573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and due from banks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85,037</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69,267</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Premises and equipment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85,507</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73,112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(49,793)</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(46,899)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325,061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225,637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5,843,233</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4,811,646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8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Interest-bearing transaction deposits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1,081,515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1,316</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802,051</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576</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Savings and money market deposits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1,606,943</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2,349</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1,458,431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1,640</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0.15%</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566</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Time deposits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844,874</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691,485</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2,782</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Short-term borrowings: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w w:val="91"/>
              </w:rPr>
              <w:t>Repurchase agreements and federal funds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purchased</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186,282</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618</w:t>
            </w: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0.44%</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177,074</w:t>
            </w: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274</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tcBorders>
              <w:right w:val="single" w:sz="8" w:color="CCEEFF"/>
            </w:tcBorders>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329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360"/>
              <w:spacing w:after="0" w:line="149" w:lineRule="exact"/>
              <w:rPr>
                <w:sz w:val="20"/>
                <w:szCs w:val="20"/>
                <w:color w:val="auto"/>
              </w:rPr>
            </w:pPr>
            <w:r>
              <w:rPr>
                <w:rFonts w:ascii="Arial" w:cs="Arial" w:eastAsia="Arial" w:hAnsi="Arial"/>
                <w:sz w:val="14"/>
                <w:szCs w:val="14"/>
                <w:color w:val="auto"/>
              </w:rPr>
              <w:t>Other (4)</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54,329</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93,762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461</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0.66%</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Long-term debt(5)</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119,756</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1,813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ind w:left="180"/>
              <w:spacing w:after="0" w:line="138" w:lineRule="exact"/>
              <w:rPr>
                <w:sz w:val="20"/>
                <w:szCs w:val="20"/>
                <w:color w:val="auto"/>
              </w:rPr>
            </w:pPr>
            <w:r>
              <w:rPr>
                <w:rFonts w:ascii="Arial" w:cs="Arial" w:eastAsia="Arial" w:hAnsi="Arial"/>
                <w:sz w:val="14"/>
                <w:szCs w:val="14"/>
                <w:color w:val="auto"/>
              </w:rPr>
              <w:t>Junior subordinated debt owed to</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tcPr>
          <w:p>
            <w:pPr>
              <w:ind w:left="360"/>
              <w:spacing w:after="0" w:line="159" w:lineRule="exact"/>
              <w:rPr>
                <w:sz w:val="20"/>
                <w:szCs w:val="20"/>
                <w:color w:val="auto"/>
              </w:rPr>
            </w:pPr>
            <w:r>
              <w:rPr>
                <w:rFonts w:ascii="Arial" w:cs="Arial" w:eastAsia="Arial" w:hAnsi="Arial"/>
                <w:sz w:val="14"/>
                <w:szCs w:val="14"/>
                <w:color w:val="auto"/>
              </w:rPr>
              <w:t>unconsolidated trusts</w:t>
            </w:r>
          </w:p>
        </w:tc>
        <w:tc>
          <w:tcPr>
            <w:tcW w:w="140" w:type="dxa"/>
            <w:vAlign w:val="bottom"/>
          </w:tcPr>
          <w:p>
            <w:pPr>
              <w:spacing w:after="0"/>
              <w:rPr>
                <w:sz w:val="13"/>
                <w:szCs w:val="13"/>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70,904</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1,857</w:t>
            </w:r>
          </w:p>
        </w:tc>
        <w:tc>
          <w:tcPr>
            <w:tcW w:w="18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3.50%</w:t>
            </w: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63,762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1,337</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2.80%</w:t>
            </w: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161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359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Total interest-bearing liabilities</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0.44%</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0.29%</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3,964,603</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13,135</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3,366,565</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7,225</w:t>
            </w: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1,428</w:t>
            </w: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4,482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interest spread(1)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1,163,440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912,006</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40,188</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39,915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675,002</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493,160</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7"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5,843,233</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4,811,646</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 earning assets(1) (3)</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5,397,421</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155,920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4,490,529</w:t>
            </w: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119,347</w:t>
            </w: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95"/>
              </w:rPr>
              <w:t>3.55%</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5,397,421</w:t>
            </w: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13,135</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4,490,529</w:t>
            </w: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7,225</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5"/>
              </w:rPr>
              <w:t>0.21%</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Net interest margin(1)</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142,785</w:t>
            </w:r>
          </w:p>
        </w:tc>
        <w:tc>
          <w:tcPr>
            <w:tcW w:w="180" w:type="dxa"/>
            <w:vAlign w:val="bottom"/>
          </w:tcPr>
          <w:p>
            <w:pPr>
              <w:spacing w:after="0"/>
              <w:rPr>
                <w:sz w:val="15"/>
                <w:szCs w:val="15"/>
                <w:color w:val="auto"/>
              </w:rPr>
            </w:pPr>
          </w:p>
        </w:tc>
        <w:tc>
          <w:tcPr>
            <w:tcW w:w="860" w:type="dxa"/>
            <w:vAlign w:val="bottom"/>
            <w:gridSpan w:val="2"/>
          </w:tcPr>
          <w:p>
            <w:pPr>
              <w:jc w:val="right"/>
              <w:ind w:right="60"/>
              <w:spacing w:after="0" w:line="176" w:lineRule="exact"/>
              <w:rPr>
                <w:sz w:val="20"/>
                <w:szCs w:val="20"/>
                <w:color w:val="auto"/>
              </w:rPr>
            </w:pPr>
            <w:r>
              <w:rPr>
                <w:rFonts w:ascii="Arial" w:cs="Arial" w:eastAsia="Arial" w:hAnsi="Arial"/>
                <w:sz w:val="11"/>
                <w:szCs w:val="11"/>
                <w:color w:val="auto"/>
              </w:rPr>
              <w:t>3.54</w:t>
            </w:r>
            <w:r>
              <w:rPr>
                <w:rFonts w:ascii="Arial" w:cs="Arial" w:eastAsia="Arial" w:hAnsi="Arial"/>
                <w:sz w:val="20"/>
                <w:szCs w:val="20"/>
                <w:color w:val="auto"/>
                <w:vertAlign w:val="superscript"/>
              </w:rPr>
              <w:t>%</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112,122</w:t>
            </w:r>
          </w:p>
        </w:tc>
        <w:tc>
          <w:tcPr>
            <w:tcW w:w="1080" w:type="dxa"/>
            <w:vAlign w:val="bottom"/>
            <w:gridSpan w:val="3"/>
          </w:tcPr>
          <w:p>
            <w:pPr>
              <w:ind w:left="440"/>
              <w:spacing w:after="0" w:line="176" w:lineRule="exact"/>
              <w:rPr>
                <w:sz w:val="20"/>
                <w:szCs w:val="20"/>
                <w:color w:val="auto"/>
              </w:rPr>
            </w:pPr>
            <w:r>
              <w:rPr>
                <w:rFonts w:ascii="Arial" w:cs="Arial" w:eastAsia="Arial" w:hAnsi="Arial"/>
                <w:sz w:val="11"/>
                <w:szCs w:val="11"/>
                <w:color w:val="auto"/>
              </w:rPr>
              <w:t>3.34</w:t>
            </w:r>
            <w:r>
              <w:rPr>
                <w:rFonts w:ascii="Arial" w:cs="Arial" w:eastAsia="Arial" w:hAnsi="Arial"/>
                <w:sz w:val="20"/>
                <w:szCs w:val="20"/>
                <w:color w:val="auto"/>
                <w:vertAlign w:val="superscript"/>
              </w:rPr>
              <w:t>%</w:t>
            </w:r>
            <w:r>
              <w:rPr>
                <w:rFonts w:ascii="Arial" w:cs="Arial" w:eastAsia="Arial" w:hAnsi="Arial"/>
                <w:sz w:val="11"/>
                <w:szCs w:val="11"/>
                <w:color w:val="auto"/>
              </w:rPr>
              <w:t xml:space="preserve"> $</w:t>
            </w:r>
          </w:p>
        </w:tc>
        <w:tc>
          <w:tcPr>
            <w:tcW w:w="540" w:type="dxa"/>
            <w:vAlign w:val="bottom"/>
          </w:tcPr>
          <w:p>
            <w:pPr>
              <w:jc w:val="right"/>
              <w:spacing w:after="0"/>
              <w:rPr>
                <w:sz w:val="20"/>
                <w:szCs w:val="20"/>
                <w:color w:val="auto"/>
              </w:rPr>
            </w:pPr>
            <w:r>
              <w:rPr>
                <w:rFonts w:ascii="Arial" w:cs="Arial" w:eastAsia="Arial" w:hAnsi="Arial"/>
                <w:sz w:val="14"/>
                <w:szCs w:val="14"/>
                <w:color w:val="auto"/>
              </w:rPr>
              <w:t>30,763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20"/>
              <w:spacing w:after="0" w:line="176" w:lineRule="exact"/>
              <w:rPr>
                <w:sz w:val="20"/>
                <w:szCs w:val="20"/>
                <w:color w:val="auto"/>
              </w:rPr>
            </w:pPr>
            <w:r>
              <w:rPr>
                <w:rFonts w:ascii="Arial" w:cs="Arial" w:eastAsia="Arial" w:hAnsi="Arial"/>
                <w:sz w:val="11"/>
                <w:szCs w:val="11"/>
                <w:color w:val="auto"/>
              </w:rPr>
              <w:t>(100</w:t>
            </w:r>
            <w:r>
              <w:rPr>
                <w:rFonts w:ascii="Arial" w:cs="Arial" w:eastAsia="Arial" w:hAnsi="Arial"/>
                <w:sz w:val="20"/>
                <w:szCs w:val="20"/>
                <w:color w:val="auto"/>
                <w:vertAlign w:val="superscript"/>
              </w:rPr>
              <w:t>)</w:t>
            </w:r>
            <w:r>
              <w:rPr>
                <w:rFonts w:ascii="Arial" w:cs="Arial" w:eastAsia="Arial" w:hAnsi="Arial"/>
                <w:sz w:val="11"/>
                <w:szCs w:val="11"/>
                <w:color w:val="auto"/>
              </w:rPr>
              <w:t xml:space="preserve">  $</w:t>
            </w:r>
          </w:p>
        </w:tc>
        <w:tc>
          <w:tcPr>
            <w:tcW w:w="500" w:type="dxa"/>
            <w:vAlign w:val="bottom"/>
          </w:tcPr>
          <w:p>
            <w:pPr>
              <w:jc w:val="right"/>
              <w:spacing w:after="0"/>
              <w:rPr>
                <w:sz w:val="20"/>
                <w:szCs w:val="20"/>
                <w:color w:val="auto"/>
              </w:rPr>
            </w:pPr>
            <w:r>
              <w:rPr>
                <w:rFonts w:ascii="Arial" w:cs="Arial" w:eastAsia="Arial" w:hAnsi="Arial"/>
                <w:sz w:val="14"/>
                <w:szCs w:val="14"/>
                <w:color w:val="auto"/>
              </w:rPr>
              <w:t>30,663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(1)On a tax-equivalent basis assuming a federal income tax rate of 35%.</w:t>
      </w:r>
    </w:p>
    <w:p>
      <w:pPr>
        <w:spacing w:after="0" w:line="221" w:lineRule="auto"/>
        <w:rPr>
          <w:sz w:val="20"/>
          <w:szCs w:val="20"/>
          <w:color w:val="auto"/>
        </w:rPr>
      </w:pPr>
      <w:r>
        <w:rPr>
          <w:rFonts w:ascii="Arial" w:cs="Arial" w:eastAsia="Arial" w:hAnsi="Arial"/>
          <w:sz w:val="14"/>
          <w:szCs w:val="14"/>
          <w:color w:val="auto"/>
        </w:rPr>
        <w:t>(2)Non-accrual loans have been included in average portfolio loans.</w:t>
      </w:r>
    </w:p>
    <w:p>
      <w:pPr>
        <w:spacing w:after="0" w:line="221" w:lineRule="auto"/>
        <w:rPr>
          <w:sz w:val="20"/>
          <w:szCs w:val="20"/>
          <w:color w:val="auto"/>
        </w:rPr>
      </w:pPr>
      <w:r>
        <w:rPr>
          <w:rFonts w:ascii="Arial" w:cs="Arial" w:eastAsia="Arial" w:hAnsi="Arial"/>
          <w:sz w:val="14"/>
          <w:szCs w:val="14"/>
          <w:color w:val="auto"/>
        </w:rPr>
        <w:t>(3)Interest income includes a tax-equivalent adjustment of $2.5 million and $2.1 million at September 30, 2017 and 2016, respectively.</w:t>
      </w:r>
    </w:p>
    <w:p>
      <w:pPr>
        <w:spacing w:after="0" w:line="222" w:lineRule="auto"/>
        <w:rPr>
          <w:sz w:val="20"/>
          <w:szCs w:val="20"/>
          <w:color w:val="auto"/>
        </w:rPr>
      </w:pPr>
      <w:r>
        <w:rPr>
          <w:rFonts w:ascii="Arial" w:cs="Arial" w:eastAsia="Arial" w:hAnsi="Arial"/>
          <w:sz w:val="14"/>
          <w:szCs w:val="14"/>
          <w:color w:val="auto"/>
        </w:rPr>
        <w:t>(4)Includes FHLB advances and revolving loan. Interest expense includes a non-usage fee on the revolving loan.</w:t>
      </w:r>
    </w:p>
    <w:p>
      <w:pPr>
        <w:spacing w:after="0" w:line="221" w:lineRule="auto"/>
        <w:rPr>
          <w:sz w:val="20"/>
          <w:szCs w:val="20"/>
          <w:color w:val="auto"/>
        </w:rPr>
      </w:pPr>
      <w:r>
        <w:rPr>
          <w:rFonts w:ascii="Arial" w:cs="Arial" w:eastAsia="Arial" w:hAnsi="Arial"/>
          <w:sz w:val="14"/>
          <w:szCs w:val="14"/>
          <w:color w:val="auto"/>
        </w:rPr>
        <w:t>(5)Includes FHLB long-term debt, senior notes and subordinated notes.</w:t>
      </w:r>
    </w:p>
    <w:p>
      <w:pPr>
        <w:spacing w:after="0"/>
        <w:rPr>
          <w:sz w:val="20"/>
          <w:szCs w:val="20"/>
          <w:color w:val="auto"/>
        </w:rPr>
      </w:pPr>
      <w:r>
        <w:rPr>
          <w:rFonts w:ascii="Arial" w:cs="Arial" w:eastAsia="Arial" w:hAnsi="Arial"/>
          <w:sz w:val="14"/>
          <w:szCs w:val="14"/>
          <w:color w:val="auto"/>
        </w:rPr>
        <w:t>(6)Annualized.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Consolidated Average Balance Sheets and interest rates were impacted by the July 2, 2017 First Community acquisition. Total average interest-earning assets increased $1.2 billion, or 23.3%, to $6.3 billion for the three month period ended September 30, 2017, as compared to $5.1 billion for the same period in 2016. Total average interest-earning assets increased $906.9 million, or 20.2%, to $5.4 billion for the nine month period ended September 30, 2017, as compared to $4.5 billion for the same period in 2016. Total average interest-bearing liability balances increased $831.9 million, or 21.7%, to $4.7 billion for the three month period ended September 30, 2017, as compared to $3.8 billion for the same period in 2016. Total average interest-bearing liability balances increased $598.0 million, or 17.8%, to $4.0 billion for the nine month period ended September 30, 2017, from $3.4 billion for the same period in 2016.</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interest income, on a tax-equivalent basis, increased $12.0 million for the three month period ended September 30, 2017, as compared to the same period of 2016. Net interest income, on a tax-equivalent basis, increased $30.7 million for the nine month period ended September 30, 2017, as compared to the same period of 2016. The Federal Open Market Committee announced on March 15, 2017 that the federal funds rate increased from 0.75% to 1.00%, and then announced another rate increase on June 15, 2017 from 1.00% to 1.25%. These increases in interest rates were modestly favorable to net interest income in 2017 and the Company expects a similar impact in future periods. However, rising interest rates could result in decreased demand for first mortgages as well as mortgage refinancing, activities which contribute to a portion of the Company’s mortgage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margin, our net interest income expressed as a percentage of average earning assets stated on a tax-equivalent basis, increased to 3.60% for the three month period ended September 30, 2017, compared to 3.51% for the same period in 2016 and increased to 3.54% for the nine month period ended September 30, 2017 compared to 3.34% for the same period in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of amortization and accretion of purchase accounting adjustments, the net interest margin for the third quarter of 2017 was 3.40%, an increase from</w:t>
      </w:r>
    </w:p>
    <w:p>
      <w:pPr>
        <w:spacing w:after="0" w:line="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3.30% for the third quarter of 2016. Net of amortization and accretion of purchase accounting adjustments, the net interest margin for the first nine months was 3.37%, an increase from 3.19% for the same period for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were as follows: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r>
    </w:tbl>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net interest spread, which represents the difference between the average rate earned on earning assets and the average rate paid on interest-bearing liabilities, also on a tax-equivalent basis, was 3.45% for the three month period ended September 30, 2017, compared to 3.43% for the same period in 2016 and was 3.42% for the nine month period ended September 30, 2017, compared to 3.26% for the same period in 2016.</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attempts to mitigate the effects of the interest rate environment through effective portfolio management, prudent loan underwriting and operational efficiencies. Please refer to the Notes to Consolidated Financial Statements in the Company’s Annual Report on Form 10-K for the year ended December 31, 2016 for accounting policies underlying the recognition of interest income and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5"/>
              </w:rPr>
              <w:t>Three Months Ended September 30,</w:t>
            </w: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5"/>
              </w:rPr>
              <w:t>Nine Months Ended September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35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2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0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Commissions and brokers’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fees, net</w:t>
            </w: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9"/>
              </w:rPr>
              <w:t>Fees for customer services</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18,658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17,074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1,584</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(1,316)</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Security gains, net</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Total non-interest</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20,837</w:t>
            </w:r>
          </w:p>
        </w:tc>
        <w:tc>
          <w:tcPr>
            <w:tcW w:w="8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20,745</w:t>
            </w:r>
          </w:p>
        </w:tc>
        <w:tc>
          <w:tcPr>
            <w:tcW w:w="1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220" w:type="dxa"/>
            <w:vAlign w:val="bottom"/>
            <w:vMerge w:val="restart"/>
          </w:tcPr>
          <w:p>
            <w:pPr>
              <w:spacing w:after="0"/>
              <w:rPr>
                <w:sz w:val="15"/>
                <w:szCs w:val="15"/>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0.4%</w:t>
            </w:r>
          </w:p>
        </w:tc>
        <w:tc>
          <w:tcPr>
            <w:tcW w:w="2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60,913</w:t>
            </w:r>
          </w:p>
        </w:tc>
        <w:tc>
          <w:tcPr>
            <w:tcW w:w="3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56,168</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4,745</w:t>
            </w:r>
          </w:p>
        </w:tc>
        <w:tc>
          <w:tcPr>
            <w:tcW w:w="220" w:type="dxa"/>
            <w:vAlign w:val="bottom"/>
          </w:tcPr>
          <w:p>
            <w:pPr>
              <w:spacing w:after="0"/>
              <w:rPr>
                <w:sz w:val="15"/>
                <w:szCs w:val="15"/>
                <w:color w:val="auto"/>
              </w:rPr>
            </w:pPr>
          </w:p>
        </w:tc>
        <w:tc>
          <w:tcPr>
            <w:tcW w:w="11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7"/>
        </w:trPr>
        <w:tc>
          <w:tcPr>
            <w:tcW w:w="2180" w:type="dxa"/>
            <w:vAlign w:val="bottom"/>
          </w:tcPr>
          <w:p>
            <w:pPr>
              <w:ind w:left="360"/>
              <w:spacing w:after="0"/>
              <w:rPr>
                <w:sz w:val="20"/>
                <w:szCs w:val="20"/>
                <w:color w:val="auto"/>
              </w:rPr>
            </w:pPr>
            <w:r>
              <w:rPr>
                <w:rFonts w:ascii="Arial" w:cs="Arial" w:eastAsia="Arial" w:hAnsi="Arial"/>
                <w:sz w:val="18"/>
                <w:szCs w:val="18"/>
                <w:color w:val="auto"/>
              </w:rPr>
              <w:t>income</w:t>
            </w:r>
          </w:p>
        </w:tc>
        <w:tc>
          <w:tcPr>
            <w:tcW w:w="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6" w:right="239" w:bottom="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Total non-interest income of $20.8 million for the three month period ended September 30, 2017 increased slightly as compared to $20.7 million for the same period in 2016. Total non-interest income of $60.9 million for the nine month period ended September 30, 2017 increased by 8.4% as compared to $56.2 million for the same period in 2016, which was inclusive of $1.0 million of non-interest income from First Community since the transaction closed on July 2, 2017. All categories of non-interest income reflected growth, outside of mortgage revenue and security gains, net, which are discussed below.</w:t>
      </w:r>
    </w:p>
    <w:p>
      <w:pPr>
        <w:spacing w:after="0" w:line="15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Combined Wealth Management revenue, consisting of trust fees and commissions and brokers’ fees, net, increased to $5.8 million for the three months ended September 30, 2017 compared to $5.3 million for the three months ended September 30, 2016 and increased to $19.3 million for the nine months ended September 30, 2017 compared to $17.2 million for the nine months ended September 30, 2016. As Pulaski and First Community had no legacy trust fee income, the addition of this service offering in their markets is expected to provide attractive growth opportunities in future periods.</w:t>
      </w:r>
    </w:p>
    <w:p>
      <w:pPr>
        <w:spacing w:after="0" w:line="154"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Remittance processing revenue of $2.9 million for the three months ended September 30, 2017 increased slightly compared to $2.8 million for the same period of 2016. For the first nine months of 2017, remittance processing revenue remained stable at $8.6 million. Remittance processing adds important diversity to our revenue stream while widening our array of service offerings to larger commercial clients within our footprint and nationally.</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Fees for customer services increased to $6.6 million for the three month period ended September 30, 2017 as compared to $6.5 million for the same period of 2016 and increased to $18.7 million for the nine month period ended September 30, 2017 as compared to $17.1 million for the same period of 2016. Evolving regulation, product changes and changing behaviors by our client base may impact the fees for customer services in future periods.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Mortgage revenue decreased to $3.5 million for the three month period ended September 30, 2017 compared to $4.8 million for the same period of 2016. Mortgage revenue decreased to $8.4 million for the nine month period ended September 30, 2017 compared to $9.1 million for the same period of 2016, due to lower mortgage volumes and increased delivery efficiency in 2017.</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Security gains, net, increased $0.3 million for the three month period ended September 30, 2017 compared to the same period of 2016. Security gains, net, decreased $0.1 million for the nine month period ended September 30, 2017 compared to the same period of 2016. Security gains, net, vary based on the Company’s decisions around selling securities.</w:t>
      </w:r>
    </w:p>
    <w:p>
      <w:pPr>
        <w:spacing w:after="0" w:line="18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Other income increased to $1.7 million for the three month period ended September 30, 2017 as compared to $1.3 million for the same period of 2016 and increased to $4.8 million for the nine month period ended September 30, 2017 as compared to $3.0 million for the same period of 2016. The other income increase is across multiple revenue sources, with swap origination fee income and fluctuations in private equity investments driving the greater part of the increase.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3"/>
              </w:rPr>
              <w:t>Three Months Ended September 30,</w:t>
            </w: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2"/>
              </w:rPr>
              <w:t>Nine Months Ended September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35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2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0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Salaries, wages and</w:t>
            </w: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benefits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25,497</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67,448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Net occupancy expense of</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premises</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3,401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10,025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8,300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Data processing</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4,430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1,323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13,290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12,677</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intangible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Regulatory expense</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2,274</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19,962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ind w:left="160"/>
              <w:spacing w:after="0" w:line="201" w:lineRule="exact"/>
              <w:rPr>
                <w:sz w:val="20"/>
                <w:szCs w:val="20"/>
                <w:color w:val="auto"/>
              </w:rPr>
            </w:pPr>
            <w:r>
              <w:rPr>
                <w:rFonts w:ascii="Arial" w:cs="Arial" w:eastAsia="Arial" w:hAnsi="Arial"/>
                <w:sz w:val="18"/>
                <w:szCs w:val="18"/>
                <w:color w:val="auto"/>
              </w:rPr>
              <w:t>Total non-interest</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46,939</w:t>
            </w:r>
          </w:p>
        </w:tc>
        <w:tc>
          <w:tcPr>
            <w:tcW w:w="14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39,415</w:t>
            </w:r>
          </w:p>
        </w:tc>
        <w:tc>
          <w:tcPr>
            <w:tcW w:w="18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7,524</w:t>
            </w:r>
          </w:p>
        </w:tc>
        <w:tc>
          <w:tcPr>
            <w:tcW w:w="220" w:type="dxa"/>
            <w:vAlign w:val="bottom"/>
            <w:vMerge w:val="restart"/>
          </w:tcPr>
          <w:p>
            <w:pPr>
              <w:spacing w:after="0"/>
              <w:rPr>
                <w:sz w:val="15"/>
                <w:szCs w:val="15"/>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19.1%</w:t>
            </w: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121,326</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103,451</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17,875</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60" w:type="dxa"/>
            <w:vAlign w:val="bottom"/>
          </w:tcPr>
          <w:p>
            <w:pPr>
              <w:ind w:left="340"/>
              <w:spacing w:after="0"/>
              <w:rPr>
                <w:sz w:val="20"/>
                <w:szCs w:val="20"/>
                <w:color w:val="auto"/>
              </w:rPr>
            </w:pPr>
            <w:r>
              <w:rPr>
                <w:rFonts w:ascii="Arial" w:cs="Arial" w:eastAsia="Arial" w:hAnsi="Arial"/>
                <w:sz w:val="18"/>
                <w:szCs w:val="18"/>
                <w:color w:val="auto"/>
              </w:rPr>
              <w:t>expense</w:t>
            </w:r>
          </w:p>
        </w:tc>
        <w:tc>
          <w:tcPr>
            <w:tcW w:w="20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9,561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26,980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20,453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6,527</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Effective rate on income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Full-time equivalent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employees as of period-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end</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1,320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Total non-interest expense of $46.9 million for the three month period ended September 30, 2017 increased as compared to $39.4 million for the same period in 2016. Total non-interest expense of $121.3 million for the nine month period ended September 30, 2017 increased as compared to $103.5 million for the same period in 2016, which was inclusive of $8.0 million of non-interest expense from First Community since the transaction closed on July 2, 2017. Acquisition expenses relating to the acquisition of First Community and Mid Illinois have impacted and are expected to continue to impact non-interest expense throughout 2017, while acquisition expenses related to the Pulaski acquisition impacted 2016.</w:t>
      </w:r>
    </w:p>
    <w:p>
      <w:pPr>
        <w:spacing w:after="0" w:line="1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Salaries, wages and employee benefits expense of $25.5 million increased $3.8 million for the three month period ended September 30, 2017 as compared to the same period in 2016 and increased $11.9 million, to $67.4 million, for the nine month period ended September 30, 2017 as compared to the same period of 2016. The First Community acquisition added 136 full-time equivalent employees to the Company’s headcount and also resulted in restructuring costs of $0.7 million in the third quarter of 2017, with expected cost reductions in future periods.</w:t>
      </w:r>
    </w:p>
    <w:p>
      <w:pPr>
        <w:sectPr>
          <w:pgSz w:w="11900" w:h="16838" w:orient="portrait"/>
          <w:cols w:equalWidth="0" w:num="1">
            <w:col w:w="11420"/>
          </w:cols>
          <w:pgMar w:left="240" w:top="125" w:right="239" w:bottom="0" w:gutter="0" w:footer="0" w:header="0"/>
        </w:sectPr>
      </w:pPr>
    </w:p>
    <w:bookmarkStart w:id="36" w:name="page37"/>
    <w:bookmarkEnd w:id="36"/>
    <w:p>
      <w:pPr>
        <w:ind w:right="20"/>
        <w:spacing w:after="0" w:line="259" w:lineRule="auto"/>
        <w:rPr>
          <w:sz w:val="20"/>
          <w:szCs w:val="20"/>
          <w:color w:val="auto"/>
        </w:rPr>
      </w:pPr>
      <w:r>
        <w:rPr>
          <w:rFonts w:ascii="Arial" w:cs="Arial" w:eastAsia="Arial" w:hAnsi="Arial"/>
          <w:sz w:val="18"/>
          <w:szCs w:val="18"/>
          <w:color w:val="auto"/>
        </w:rPr>
        <w:t>Combined net occupancy expense of premises and furniture and equipment expenses of $5.5 million and $15.1 million for the three and nine month periods ended September 30, 2017, respectively, increased compared to the same periods in 2016. The Pulaski acquisition added 13 banking centers and several loan production offices. The First Community acquisition added nine banking centers. We continue to evaluate our branch network and operations for appropriate cost control measures while seeking improvements in service delivery to our customers.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Data processing expense for the three month period ended September 30, 2017 of $5.8 million increased from $4.4 million for the same period of 2016. Data processing expense for the nine month period ended September 30, 2017 of $13.3 million increased from $12.7 million for the same period of 2016. Variances are largely related to payment of deconversion expenses related to acquisitions, which were $1.3 million for the three and nine months ended September 30, 2017.</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Amortization of intangible assets increased for the three and nine month periods ended September 30, 2017 compared to the same periods in 2016 related to the Pulaski and First Community acquisitions. Amortization of intangible assets is expected to increase in future periods related to the Mid Illinois acquisition.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expense decreased 3.0% and 20.7% for the three and nine month periods ended September 30, 2017, respectively, compared to the same period in 2016.</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expense of $8.1 million for the three month period ended September 30, 2017 increased $2.2 million compared to the same period in 2016. Other expense of $20.0 million for the nine month period ended September 30, 2017 increased $3.0 million compared to the same period in 2016. The increase was across multiple expense categories, and included pretax acquisition costs of $1.1 million for the three month period ended September 30, 2017 and $2.1 million for the nine month period ended September 30,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effective rate on income taxes, or income taxes divided by income before taxes, of 33.7% and 34.9% for the three and nine months ended September 30, 2017, respectively, was lower than the combined federal and state statutory rate of approximately 40% due to tax preferred interest income, such as municipal bond interest and bank owned life insurance income, accounting for a portion of our taxable income. As taxable income increases, we expect our effective tax rate to increase. The Company continues to monitor evolving federal and state tax legislation and its potential impact on operations on an ongoing basis. Effective July 1, 2017, the combined Illinois corporate income tax rate and replacement tax rate increased from 7.75% to 9.50%, which is reflected in current period expenses and will have an impact on the Company’s tax expense in future periods.</w:t>
      </w:r>
    </w:p>
    <w:p>
      <w:pPr>
        <w:spacing w:after="0" w:line="178"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efficiency ratio represents total non-interest expense, less amortization charges, as a percentage of tax-equivalent net interest income plus non-interest income, less security gains and losses. The efficiency ratio, which is a non-GAAP financial measure commonly used by management and the investment community in the banking industry, measures the amount of expense that is incurred to generate a dollar of revenue. The efficiency ratio of 58.9% for the three month period ended September 30, 2017 increased from 58.0% in the comparable period in 2016 and the efficiency ratio of 58.1% for the nine month period ended September 30, 2017 improved from 60.0% in the comparable period in 2016. Expenses relating to the First Community and Mid Illinois acquisition may have a negative impact on the efficiency ratio for the remainder of 2017; however, the Company expects to realize operating efficiencies creating a positive impact in future years. We will continue to examine appropriate avenues to improve efficiency.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708,247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759,811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(51,564)</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held to maturity</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281,975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47,820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234,155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139,696</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256,319</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(116,623)</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5,034,829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3,831,105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1,203,724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6,913,789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5,425,170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1,488,619</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1,134,133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187,306</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4,051,844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3,240,165</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811,679</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5,373,283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4,374,298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998,985</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219,071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189,157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29,914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212,850</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137,850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Senior notes, net of unamortized issuance costs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39,370</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39,370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 of unamortized issuance costs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64,745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64,745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70,973</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70,868</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6,077,721</w:t>
            </w:r>
          </w:p>
        </w:tc>
        <w:tc>
          <w:tcPr>
            <w:tcW w:w="3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4,830,856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1,246,865</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836,068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594,314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241,754</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priorities continue to focus around balance sheet strength, profitability and growth, in that order. The Company’s balance sheet was significantly impacted by the First Community acquisition in the third quarter of 2017. At the date of the acquisition, the fair value of First Community’s total assets was $1.4 billion, including $1.1 billion in loans, and the fair value of total deposits was $1.1 billion.</w:t>
      </w:r>
    </w:p>
    <w:p>
      <w:pPr>
        <w:sectPr>
          <w:pgSz w:w="11900" w:h="16838" w:orient="portrait"/>
          <w:cols w:equalWidth="0" w:num="1">
            <w:col w:w="11420"/>
          </w:cols>
          <w:pgMar w:left="240" w:top="125" w:right="239" w:bottom="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May 25, 2017, the Company completed an offering of $40.0 million of 3.75% senior notes due May 25, 2022 and $60.0 million of 4.75% fixed-to-floating rate subordinated notes due May 25, 2027. The Company used the net proceeds from the offering to finance a portion of the cash consideration for its acquisition of First Community, to redeem a portion of First Community subordinated debentures in July 2017, and to finance a portion of the cash consideration for its acquisition of Mid Illinois in October 2017, with the remaining proceeds to be used for general corporate purposes.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With our strong capital position, an attractive core funding base, a sound credit foundation, and an active growth plan, we are well positioned for the remainder of 2017 and moving into 2018. New partnerships with talented bankers in St. Louis, Peoria and the Chicagoland area bring an expanding pool of business opportunities to generate value and diversity across new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Loans held for sale totaled $139.7 million and $256.3 million at September 30, 2017 and December 31, 2016, respectively. The amount of loans held for sale decreased from December 31, 2016, due to lower mortgage volumes and increased delivery efficiency in 2017. Loans held for sale generate net interest income until loans are delivered to investors, at which point mortgage revenue will be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897,720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360,490</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19,529</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42,169</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1,381,730</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526,765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145,955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160,849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88,748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65,144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663,773</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510,771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97,800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16,508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13,072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11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3,045,043</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1,470,514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285,637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5,085,864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5,034,829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565,853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346,204</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19,207</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28,624</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878,018</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470,126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155,080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479,026</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468,212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105,620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16,202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1,069,060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12,250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11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1,988,289</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1,356,537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Portfolio loans increased $1.2 billion, or 31.1%, as of September 30, 2017 compared to December 31, 2016 as a result of the First Community acquisition and organic growth. Commercial balances (consisting of commercial, commercial real estate and real estate construction loans) increased $986.4 million from December 31, 2016. Retail real estate and retail other loans increased $220.6 million from December 31, 2016. First Community Financial Bank experienced strong loan growth for the third quarter of 2017, increasing gross portfolio loan balances by $37.3 million since the July 2, 2017 acquisition. In addition, Busey Bank saw growth in its Missouri and Indiana markets where active growth efforts are underway.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Relationship banking, rather than transactional banking, remains a focus for the Company. Relationship banking implies a primary banking relationship with the borrower that includes, at minimum, an active deposit banking relationship in addition to the lending relationship.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allowance for loan losses was $51.0 million, or 1.0% of portfolio loans, and $47.8 million, or 1.2% of portfolio loans, at September 30, 2017 and December 31, 2016, respectively. As a result of acquisitions, the Company is holding $1.7 billion of acquired loans that are carried net of a fair value adjustment of $21.5 million for credit and interest rate marks and are only included in the allowance calculation to the extent that the reserve requirement exceeds the fair value adjustment.</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September 30, 2017,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ectPr>
          <w:pgSz w:w="11900" w:h="16838" w:orient="portrait"/>
          <w:cols w:equalWidth="0" w:num="1">
            <w:col w:w="11420"/>
          </w:cols>
          <w:pgMar w:left="240" w:top="125" w:right="239" w:bottom="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a write-off is charged against the allowance for loan losses. We continue to attempt to identify problem loan situations on a proactive basis. Once problem loans are identified, adjustments to the provision for loan losses are made based upon all information available at that time.</w:t>
      </w:r>
    </w:p>
    <w:p>
      <w:pPr>
        <w:spacing w:after="0" w:line="178"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provision reflects management’s analysis of additional allowance for loan losses necessary to cover probable losses in our loan portfolio. The provision for loan losses decreased to $1.5 million for the third quarter of 2017 compared to $2.0 million in the same period of 2016. The provision for loan losses for the nine months ended September 30, 2017 decreased to $2.5 million compared to $4.1 million in the same period of 2016. First Community Financial Bank recorded $1.5 million in provision expense in the third quarter of 2017 related to new and renewed production.</w:t>
      </w:r>
    </w:p>
    <w:p>
      <w:pPr>
        <w:spacing w:after="0" w:line="17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information concerning non-performing loans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29,041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20,538</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51,035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49,201</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Allowance for loan losses to portfolio loans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w w:val="97"/>
              </w:rPr>
              <w:t>Non-performing loans to portfolio loans, before allowance for</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loan losses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loans and OREO to portfolio loans, before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September 30, 2017 asset metrics reflect the post combination results of acquiring First Community. Total non-performing assets were $29.0 million at September 30, 2017, compared to $24.1 million at December 31, 2016. Non-performing assets as a percentage of total loans and non-performing assets continued to be favorably low at 0.6% on September 30, 2017. Asset quality metrics can be generally influenced by market-specific economic conditions beyond the control of the Company, and specific measures may fluctuate from quarter to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$56.4 million at September 30, 2017, compared to $50.2 million at December 31, 2016. Management continues to monitor these credits and anticipates that restructurings, guarantees, additional collateral or other planned actions will result in full repayment of the debts. As of September 30, 2017, management identified no other loans that represent or result from trends or uncertainties which management reasonably expected to materially impact future operating results, liquidity or capital resources. As of September 30, 2017, management was not aware of any information about any other credits which caused management to have serious doubts as to the ability of such borrower(s) to comply with the loan repayment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the ability to borrow from the FHLB, the Federal Reserve or brokered deposits.</w:t>
      </w:r>
    </w:p>
    <w:p>
      <w:pPr>
        <w:sectPr>
          <w:pgSz w:w="11900" w:h="16838" w:orient="portrait"/>
          <w:cols w:equalWidth="0" w:num="1">
            <w:col w:w="11420"/>
          </w:cols>
          <w:pgMar w:left="240" w:top="341" w:right="239" w:bottom="0" w:gutter="0" w:footer="0" w:header="0"/>
        </w:sectPr>
      </w:pPr>
    </w:p>
    <w:bookmarkStart w:id="39" w:name="page40"/>
    <w:bookmarkEnd w:id="39"/>
    <w:p>
      <w:pPr>
        <w:spacing w:after="0" w:line="2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September 30, 2017,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At September 30, 2017, the Company had outstanding standby letters of credit of $33.3 million and commitments to extend credit of $1.3 billion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September 30, 2017, no amounts were recorded as liabilities for the Company’s potential obligations under these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For 2017, the guidelines, including the capital conservation buffer, required bank holding companies and their subsidiary banks to maintain a total capital to total risk-weighted asset ratio of not less than 9.25%, Tier 1 capital to total risk-weighted asset ratio of not less than 7.25%, Common Equity Tier 1 capital to total risk-weighted asset ratio of not less than 5.75% and a Tier 1 leverage ratio of not less than 4.00%. These minimum capital requirements will increase annually until the Basel III Rule is fully phased-in on January 1, 2019. As of September 30, 2017, First Busey had a total capital to total risk-weighted asset ratio of 14.38%, a Tier 1 capital to risk-weighted asset ratio of 12.26%, Common Equity Tier 1 capital to risk-weighted asset ratio of 10.92% and a Tier 1 leverage ratio of 10.18%; Busey Bank had ratios of 14.19%, 13.02%, 13.02% and 10.61%, respectively; and First Community Financial Bank had ratios of 10.34%, 10.21%, 10.21% and 8.94%,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This Quarterly Report on Form 10-Q contains certain financial information determined by methods other than in accordance with GAAP. These measures include acquisition and other notable pre-tax items, operating earnings, net interest margin net of amortization and accretion of purchase accounting adjustments, and efficiency ratios. Management uses these non-GAAP measures, together with the related GAAP measures, in analysis of the Company’s performance and in making business decisions. Management also uses these measures for peer comparisons.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Management believes that operating earnings, adjusted for acquisition and other notable pre-tax items, is useful in assessing our core operating performance and in understanding the primary drivers of our non-interest income and non-interest expense when comparing periods. Management believes that operating earnings is a useful measure because it excludes expenses that can significantly fluctuate from acquisition to acquisition. In addition, management believes that excluding these expenses provides investors and analysts a measure to better understand the Company’s primary operations when comparing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Operating earnings reconciliation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September 30, 2017</w:t>
            </w:r>
          </w:p>
        </w:tc>
        <w:tc>
          <w:tcPr>
            <w:tcW w:w="160" w:type="dxa"/>
            <w:vAlign w:val="bottom"/>
          </w:tcPr>
          <w:p>
            <w:pPr>
              <w:spacing w:after="0"/>
              <w:rPr>
                <w:sz w:val="14"/>
                <w:szCs w:val="14"/>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September 30, 2017</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50,433</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Mid Illinois acquisition: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First Community acquisition: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Pulaski acquisition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restructuring costs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Related tax benefit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(1,195)</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(1,681)</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Operating earnings</w:t>
            </w:r>
          </w:p>
        </w:tc>
        <w:tc>
          <w:tcPr>
            <w:tcW w:w="9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20,648</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53,129</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efficiency ratios are standard financial measures used in the banking industry to evaluate performance.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non-GAAP disclosures contained herein should not be viewed as substitutes for the results determined to be in accordance with GAAP, nor are they necessarily comparable to non-GAAP performance measures that may be presented by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w:t>
      </w:r>
    </w:p>
    <w:p>
      <w:pPr>
        <w:sectPr>
          <w:pgSz w:w="11900" w:h="16867" w:orient="portrait"/>
          <w:cols w:equalWidth="0" w:num="1">
            <w:col w:w="11460"/>
          </w:cols>
          <w:pgMar w:left="240" w:top="341" w:right="199" w:bottom="0" w:gutter="0" w:footer="0" w:header="0"/>
        </w:sectPr>
      </w:pPr>
    </w:p>
    <w:bookmarkStart w:id="40" w:name="page41"/>
    <w:bookmarkEnd w:id="40"/>
    <w:p>
      <w:pPr>
        <w:ind w:right="280"/>
        <w:spacing w:after="0" w:line="291" w:lineRule="auto"/>
        <w:rPr>
          <w:sz w:val="20"/>
          <w:szCs w:val="20"/>
          <w:color w:val="auto"/>
        </w:rPr>
      </w:pPr>
      <w:r>
        <w:rPr>
          <w:rFonts w:ascii="Arial" w:cs="Arial" w:eastAsia="Arial" w:hAnsi="Arial"/>
          <w:sz w:val="16"/>
          <w:szCs w:val="16"/>
          <w:color w:val="auto"/>
        </w:rPr>
        <w:t>future events. A number of factors, many of which are beyond our ability to control or predict, could cause actual results to differ materially from those in our forward-looking statements. These factors include, among others, the following: (i) the strength of the local, national and international economy;</w:t>
      </w:r>
    </w:p>
    <w:p>
      <w:pPr>
        <w:ind w:left="280" w:hanging="272"/>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state and federal laws, regulations and governmental policies concerning First Busey’s general business; (iii) changes in interest rates and</w:t>
      </w:r>
    </w:p>
    <w:p>
      <w:pPr>
        <w:spacing w:after="0" w:line="32"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prepayment rates of First Busey’s assets; (iv) increased competition in the financial services sector and the inability to attract new customers; (v) changes in technology and the ability to develop and maintain secure and reliable electronic systems; (vi) the loss of key executives or employees; (vii) changes in consumer spending; (viii) unexpected results of current and/or future acquisitions, which may include failure to realize the anticipated benefits of the acquisition and the possibility that the transaction costs may be greater than anticipated; (ix) unexpected outcomes of existing or new litigation involving First Busey; (x) the economic impact of any future terrorist threats or attacks;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pacing w:after="0" w:line="17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2016.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i w:val="1"/>
          <w:iCs w:val="1"/>
          <w:color w:val="auto"/>
        </w:rPr>
        <w:t xml:space="preserve">Fair Value of Investment Securities. </w:t>
      </w:r>
      <w:r>
        <w:rPr>
          <w:rFonts w:ascii="Arial" w:cs="Arial" w:eastAsia="Arial" w:hAnsi="Arial"/>
          <w:sz w:val="16"/>
          <w:szCs w:val="16"/>
          <w:color w:val="auto"/>
        </w:rPr>
        <w:t>Securities are classified as held to maturity when First Busey has the ability and management has the intent to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securities to maturity. Accordingly, they are stated at cost, adjusted for amortization of premiums and accretion of discounts. First Busey had $282.0 million of securities classified as held to maturity at September 30, 2017. First Busey had no securities classified as trading at September 30, 2017.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 As of September 30, 2017, First Busey had $708.2 million of securities classified as available for sale.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equity securities, unadjusted quoted prices in active markets for identical assets are utilized to determine fair value at the measurement date. For all other securities, we obtain fair value measurements from an independent pricing service. The fair value measurements consider observable data that may include dealer quotes, market spreads, cash flows, the U.S. Treasury yield curve, live trading levels, trade execution data, market consensus prepayment speeds, credit information and the security’s terms and conditions, among other things. Due to the limited nature of the market for certain securities, the fair value and potential sale proceeds could be materially different in the event of a sale.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Realized securities gains or losses are reported in security gains (losses), net in the Consolidated Statements of Income. The cost of securities sold is based on the specific identification method. Declines in the fair value of securities below their amortized cost are evaluated to determine whether they are temporary or OTTI. If the Company (a) has the intent to sell a debt security or (b) will more-likely-than-not be required to sell the debt security before its anticipated recovery, then the Company recognizes the entire unrealized loss in earnings as an OTTI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OTTI related to the credit loss is recognized in earnings, and the amount related to all other factors is recognized in other comprehensive income.</w:t>
      </w:r>
    </w:p>
    <w:p>
      <w:pPr>
        <w:spacing w:after="0" w:line="18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Fair Value of Assets Acquired and Liabilities Assumed in Business Combinations. </w:t>
      </w:r>
      <w:r>
        <w:rPr>
          <w:rFonts w:ascii="Arial" w:cs="Arial" w:eastAsia="Arial" w:hAnsi="Arial"/>
          <w:sz w:val="16"/>
          <w:szCs w:val="16"/>
          <w:color w:val="auto"/>
        </w:rPr>
        <w:t>Business combinations are accounted for using the acquisition method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Under the acquisition method of accounting, assets acquired and liabilities assumed are recorded at their estimated fair value on the date of acquisition. Analysis is conducted under the standard of fair value which is defined in ASC Topic 820, Fair Value Measurement, as “the price that would be received to sell an asset or paid to transfer a liability in an orderly transaction between market participants at the measurement date.” The fair value of a loan portfolio acquired in a business combination generally requires greater levels of management estimates and judgment than the remainder of assets acquired or liabilities assumed. At the date of acquisition, when the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The Company must estimate expected cash flows at each future reporting date. Subsequent decreases in the expected cash flows will generally result in a provision for loan losses. Subsequent increases in the expected cash flows will generally be offset against the allowance for loan losses to the extent an allowance has been established or recognized as interest income prospectively.</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 probable losses inherent in the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ectPr>
          <w:pgSz w:w="11900" w:h="16838" w:orient="portrait"/>
          <w:cols w:equalWidth="0" w:num="1">
            <w:col w:w="11420"/>
          </w:cols>
          <w:pgMar w:left="240" w:top="125" w:right="239" w:bottom="0" w:gutter="0" w:footer="0" w:header="0"/>
        </w:sectPr>
      </w:pPr>
    </w:p>
    <w:bookmarkStart w:id="41" w:name="page42"/>
    <w:bookmarkEnd w:id="41"/>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DISCLOSURES ABOUT MARKET RISK</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8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First Busey has an asset-liability committee, whose policy is to meet at least quarterly, to review current market conditions to attempt to structure the Consolidated Balance Sheets to ensure stable net interest income despite potential changes in interest rates with all other variables constant.</w:t>
      </w:r>
    </w:p>
    <w:p>
      <w:pPr>
        <w:spacing w:after="0" w:line="12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w:t>
      </w:r>
    </w:p>
    <w:p>
      <w:pPr>
        <w:spacing w:after="0" w:line="16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of September 30, 2017, due to the current interest rate environment, a downward adjustment below -100 basis points in federal fund rates was not meaningful. As of December 31, 2016, a downward adjustment in federal fund rates was not meaningful. 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Year-One: Basis Point Changes</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34"/>
              <w:spacing w:after="0" w:line="142" w:lineRule="exact"/>
              <w:rPr>
                <w:sz w:val="20"/>
                <w:szCs w:val="20"/>
                <w:color w:val="auto"/>
              </w:rPr>
            </w:pPr>
            <w:r>
              <w:rPr>
                <w:rFonts w:ascii="Arial" w:cs="Arial" w:eastAsia="Arial" w:hAnsi="Arial"/>
                <w:sz w:val="14"/>
                <w:szCs w:val="14"/>
                <w:b w:val="1"/>
                <w:bCs w:val="1"/>
                <w:color w:val="auto"/>
              </w:rPr>
              <w:t>-400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-300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w:t>
            </w:r>
          </w:p>
        </w:tc>
        <w:tc>
          <w:tcPr>
            <w:tcW w:w="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+300</w:t>
            </w:r>
          </w:p>
        </w:tc>
        <w:tc>
          <w:tcPr>
            <w:tcW w:w="1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+400</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14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1.46%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599"/>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gridSpan w:val="2"/>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1040" w:type="dxa"/>
            <w:vAlign w:val="bottom"/>
            <w:tcBorders>
              <w:bottom w:val="single" w:sz="8" w:color="808080"/>
            </w:tcBorders>
            <w:gridSpan w:val="2"/>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r>
        <w:trPr>
          <w:trHeight w:val="713"/>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Year-Two: Basis Point Changes</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-400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-300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+300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+400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6.16%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3.56%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-1141730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-1141730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would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September 30, 2017, under the supervision and with the participation of our Chief Executive Officer, Chief Financial Officer and several other members of our senior management. Based on this evaluation, our Chief Executive Officer and Chief Financial Officer concluded that, as of September 30, 2017,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ectPr>
          <w:pgSz w:w="11900" w:h="16910" w:orient="portrait"/>
          <w:cols w:equalWidth="0" w:num="1">
            <w:col w:w="11460"/>
          </w:cols>
          <w:pgMar w:left="240" w:top="125" w:right="199" w:bottom="0" w:gutter="0" w:footer="0" w:header="0"/>
        </w:sectPr>
      </w:pPr>
    </w:p>
    <w:bookmarkStart w:id="42" w:name="page43"/>
    <w:bookmarkEnd w:id="42"/>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quarter ended September 30, 2017, First Busey did not make any changes in its internal control over financial reporting or other factors that have materially affected, or are reasonably likely to materially affect, its internal control over financial reporting.</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I of the Company’s Annual Report on Form 10-K for the year ended December 31, 2016.</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September 30, 2017. At September 30, 2017, the Company had 333,334 shares that may still be purchased under the plan.</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480" w:type="dxa"/>
            <w:vAlign w:val="bottom"/>
            <w:gridSpan w:val="3"/>
          </w:tcPr>
          <w:p>
            <w:pPr>
              <w:ind w:left="2100"/>
              <w:spacing w:after="0"/>
              <w:rPr>
                <w:sz w:val="20"/>
                <w:szCs w:val="20"/>
                <w:color w:val="auto"/>
              </w:rPr>
            </w:pPr>
            <w:r>
              <w:rPr>
                <w:rFonts w:ascii="Arial" w:cs="Arial" w:eastAsia="Arial" w:hAnsi="Arial"/>
                <w:sz w:val="18"/>
                <w:szCs w:val="18"/>
                <w:b w:val="1"/>
                <w:bCs w:val="1"/>
                <w:color w:val="auto"/>
              </w:rPr>
              <w:t>ITEM 6. EXHIBITS</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Principal Executive Officer, pursuant to Rule 13a-14(a) and Rule 15d-14(a).</w:t>
              </w:r>
            </w:hyperlink>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6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Principal Financial Officer, pursuant to Rule 13a-14(a) and Rule 15d-14(a).</w:t>
              </w:r>
            </w:hyperlink>
          </w:p>
        </w:tc>
        <w:tc>
          <w:tcPr>
            <w:tcW w:w="4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Certification pursuant to 18 U.S.C. Section 1350, as adopted pursuant to Section 906 of the Sarbanes-Oxley Act of 2002, from the Company’s</w:t>
              </w:r>
            </w:hyperlink>
          </w:p>
        </w:tc>
      </w:tr>
      <w:tr>
        <w:trPr>
          <w:trHeight w:val="196"/>
        </w:trPr>
        <w:tc>
          <w:tcPr>
            <w:tcW w:w="1040" w:type="dxa"/>
            <w:vAlign w:val="bottom"/>
          </w:tcPr>
          <w:p>
            <w:pPr>
              <w:spacing w:after="0"/>
              <w:rPr>
                <w:sz w:val="17"/>
                <w:szCs w:val="17"/>
                <w:color w:val="auto"/>
              </w:rPr>
            </w:pPr>
          </w:p>
        </w:tc>
        <w:tc>
          <w:tcPr>
            <w:tcW w:w="10240" w:type="dxa"/>
            <w:vAlign w:val="bottom"/>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Chief Executive Officer.</w:t>
              </w:r>
            </w:hyperlink>
          </w:p>
        </w:tc>
      </w:tr>
      <w:tr>
        <w:trPr>
          <w:trHeight w:val="20"/>
        </w:trPr>
        <w:tc>
          <w:tcPr>
            <w:tcW w:w="1040" w:type="dxa"/>
            <w:vAlign w:val="bottom"/>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8480" w:type="dxa"/>
            <w:vAlign w:val="bottom"/>
            <w:gridSpan w:val="3"/>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Certification pursuant to 18 U.S.C. Section 1350, as adopted pursuant to Section 906 of the Sarbanes-Oxley Act of 2002, from the Company’s</w:t>
              </w:r>
            </w:hyperlink>
          </w:p>
        </w:tc>
      </w:tr>
      <w:tr>
        <w:trPr>
          <w:trHeight w:val="196"/>
        </w:trPr>
        <w:tc>
          <w:tcPr>
            <w:tcW w:w="1040" w:type="dxa"/>
            <w:vAlign w:val="bottom"/>
          </w:tcPr>
          <w:p>
            <w:pPr>
              <w:spacing w:after="0"/>
              <w:rPr>
                <w:sz w:val="17"/>
                <w:szCs w:val="17"/>
                <w:color w:val="auto"/>
              </w:rPr>
            </w:pPr>
          </w:p>
        </w:tc>
        <w:tc>
          <w:tcPr>
            <w:tcW w:w="176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Chief Financial Officer.</w:t>
              </w:r>
            </w:hyperlink>
          </w:p>
        </w:tc>
        <w:tc>
          <w:tcPr>
            <w:tcW w:w="8480" w:type="dxa"/>
            <w:vAlign w:val="bottom"/>
            <w:gridSpan w:val="3"/>
          </w:tcPr>
          <w:p>
            <w:pPr>
              <w:spacing w:after="0"/>
              <w:rPr>
                <w:sz w:val="17"/>
                <w:szCs w:val="17"/>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240" w:type="dxa"/>
            <w:vAlign w:val="bottom"/>
            <w:gridSpan w:val="4"/>
          </w:tcPr>
          <w:p>
            <w:pPr>
              <w:spacing w:after="0"/>
              <w:rPr>
                <w:sz w:val="20"/>
                <w:szCs w:val="20"/>
                <w:color w:val="auto"/>
              </w:rPr>
            </w:pPr>
            <w:r>
              <w:rPr>
                <w:rFonts w:ascii="Arial" w:cs="Arial" w:eastAsia="Arial" w:hAnsi="Arial"/>
                <w:sz w:val="18"/>
                <w:szCs w:val="18"/>
                <w:color w:val="auto"/>
              </w:rPr>
              <w:t>Interactive Data File</w:t>
            </w:r>
          </w:p>
        </w:tc>
      </w:tr>
    </w:tbl>
    <w:p>
      <w:pPr>
        <w:spacing w:after="0" w:line="20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Interactive data files pursuant to Rule 405 of Regulation S-T: (i) Consolidated Balance Sheets at September 30, 2017 and December 31, 2016;</w:t>
      </w:r>
    </w:p>
    <w:p>
      <w:pPr>
        <w:spacing w:after="0" w:line="46" w:lineRule="exact"/>
        <w:rPr>
          <w:sz w:val="20"/>
          <w:szCs w:val="20"/>
          <w:color w:val="auto"/>
        </w:rPr>
      </w:pPr>
    </w:p>
    <w:p>
      <w:pPr>
        <w:ind w:left="1040" w:right="220" w:firstLine="8"/>
        <w:spacing w:after="0" w:line="273" w:lineRule="auto"/>
        <w:tabs>
          <w:tab w:leader="none" w:pos="1305"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Consolidated Statements of Income for the three and nine months ended September 30, 2017 and 2016; (iii) Consolidated Statements of Comprehensive Income for the three and nine months ended September 30, 2017 and 2016; (iv) Consolidated Statements of Stockholders’ Equity for the nine months ended September 30, 2017 and 2016; (v) Consolidated Statements of Cash Flows for the nine months ended September 30, 2017 and 2016;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942" w:orient="portrait"/>
          <w:cols w:equalWidth="0" w:num="1">
            <w:col w:w="11320"/>
          </w:cols>
          <w:pgMar w:left="240" w:top="341" w:right="339" w:bottom="0" w:gutter="0" w:footer="0" w:header="0"/>
        </w:sectPr>
      </w:pPr>
    </w:p>
    <w:bookmarkStart w:id="43" w:name="page44"/>
    <w:bookmarkEnd w:id="43"/>
    <w:p>
      <w:pPr>
        <w:jc w:val="center"/>
        <w:ind w:right="-81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SUSAN 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Susan K. Miller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Deputy Chief Financial Officer and Chief Accounting Officer</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20"/>
          </w:cols>
          <w:pgMar w:left="240" w:top="337" w:right="10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September 30, 2017,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September 30, 2017,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decimal"/>
      <w:start w:val="718"/>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upperLetter"/>
      <w:start w:val="61"/>
    </w:lvl>
  </w:abstractNum>
  <w:abstractNum w:abstractNumId="6">
    <w:nsid w:val="5BD062C2"/>
    <w:multiLevelType w:val="hybridMultilevel"/>
    <w:lvl w:ilvl="0">
      <w:lvlJc w:val="left"/>
      <w:lvlText w:val="(%1)"/>
      <w:numFmt w:val="lowerRoman"/>
      <w:start w:val="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2020-01-18T19:10:47Z</dcterms:created>
  <dcterms:modified xsi:type="dcterms:W3CDTF">2020-01-18T19:10:47Z</dcterms:modified>
</cp:coreProperties>
</file>