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17"/>
          <w:szCs w:val="17"/>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Verdana" w:cs="Verdana" w:eastAsia="Verdana" w:hAnsi="Verdana"/>
          <w:sz w:val="25"/>
          <w:szCs w:val="25"/>
          <w:b w:val="1"/>
          <w:bCs w:val="1"/>
          <w:color w:val="auto"/>
        </w:rPr>
        <w:t>UNITED STATES SECURITIES AND EXCHANGE COMMISSION</w:t>
      </w:r>
    </w:p>
    <w:p>
      <w:pPr>
        <w:jc w:val="center"/>
        <w:spacing w:after="0"/>
        <w:rPr>
          <w:sz w:val="20"/>
          <w:szCs w:val="20"/>
          <w:color w:val="auto"/>
        </w:rPr>
      </w:pPr>
      <w:r>
        <w:rPr>
          <w:rFonts w:ascii="Verdana" w:cs="Verdana" w:eastAsia="Verdana" w:hAnsi="Verdana"/>
          <w:sz w:val="14"/>
          <w:szCs w:val="14"/>
          <w:b w:val="1"/>
          <w:bCs w:val="1"/>
          <w:color w:val="auto"/>
        </w:rPr>
        <w:t>WASHINGTON, D.C. 20549</w:t>
      </w:r>
    </w:p>
    <w:p>
      <w:pPr>
        <w:spacing w:after="0" w:line="70" w:lineRule="exact"/>
        <w:rPr>
          <w:sz w:val="24"/>
          <w:szCs w:val="24"/>
          <w:color w:val="auto"/>
        </w:rPr>
      </w:pPr>
    </w:p>
    <w:p>
      <w:pPr>
        <w:jc w:val="center"/>
        <w:ind w:right="-19"/>
        <w:spacing w:after="0"/>
        <w:rPr>
          <w:sz w:val="20"/>
          <w:szCs w:val="20"/>
          <w:color w:val="auto"/>
        </w:rPr>
      </w:pPr>
      <w:r>
        <w:rPr>
          <w:rFonts w:ascii="Verdana" w:cs="Verdana" w:eastAsia="Verdana" w:hAnsi="Verdana"/>
          <w:sz w:val="25"/>
          <w:szCs w:val="25"/>
          <w:b w:val="1"/>
          <w:bCs w:val="1"/>
          <w:color w:val="auto"/>
        </w:rPr>
        <w:t>FORM 10-K</w:t>
      </w:r>
    </w:p>
    <w:p>
      <w:pPr>
        <w:spacing w:after="0" w:line="90"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Verdana" w:cs="Verdana" w:eastAsia="Verdana" w:hAnsi="Verdana"/>
          <w:sz w:val="14"/>
          <w:szCs w:val="14"/>
          <w:b w:val="1"/>
          <w:bCs w:val="1"/>
          <w:color w:val="auto"/>
        </w:rPr>
        <w:t>ANNUAL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Verdana" w:cs="Verdana" w:eastAsia="Verdana" w:hAnsi="Verdana"/>
          <w:sz w:val="14"/>
          <w:szCs w:val="14"/>
          <w:b w:val="1"/>
          <w:bCs w:val="1"/>
          <w:color w:val="auto"/>
        </w:rPr>
        <w:t>For the fiscal year ended December 31, 2023</w:t>
      </w:r>
    </w:p>
    <w:p>
      <w:pPr>
        <w:spacing w:after="0" w:line="100"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highlight w:val="black"/>
        </w:rPr>
      </w:pPr>
      <w:r>
        <w:rPr>
          <w:rFonts w:ascii="Verdana" w:cs="Verdana" w:eastAsia="Verdana" w:hAnsi="Verdana"/>
          <w:sz w:val="14"/>
          <w:szCs w:val="14"/>
          <w:b w:val="1"/>
          <w:bCs w:val="1"/>
          <w:color w:val="auto"/>
        </w:rPr>
        <w:t>TRANSITION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Verdana" w:cs="Verdana" w:eastAsia="Verdana" w:hAnsi="Verdana"/>
          <w:sz w:val="14"/>
          <w:szCs w:val="14"/>
          <w:b w:val="1"/>
          <w:bCs w:val="1"/>
          <w:color w:val="auto"/>
        </w:rPr>
        <w:t>Commission file number 0-15950</w:t>
      </w:r>
    </w:p>
    <w:p>
      <w:pPr>
        <w:jc w:val="center"/>
        <w:ind w:right="-19"/>
        <w:spacing w:after="0" w:line="238" w:lineRule="auto"/>
        <w:rPr>
          <w:sz w:val="20"/>
          <w:szCs w:val="20"/>
          <w:color w:val="auto"/>
        </w:rPr>
      </w:pPr>
      <w:r>
        <w:rPr>
          <w:rFonts w:ascii="Verdana" w:cs="Verdana" w:eastAsia="Verdana" w:hAnsi="Verdana"/>
          <w:sz w:val="25"/>
          <w:szCs w:val="25"/>
          <w:b w:val="1"/>
          <w:bCs w:val="1"/>
          <w:color w:val="auto"/>
        </w:rPr>
        <w:t>FIRST BUSEY CORPORATION</w:t>
      </w:r>
    </w:p>
    <w:p>
      <w:pPr>
        <w:spacing w:after="0" w:line="1" w:lineRule="exact"/>
        <w:rPr>
          <w:sz w:val="24"/>
          <w:szCs w:val="24"/>
          <w:color w:val="auto"/>
        </w:rPr>
      </w:pPr>
    </w:p>
    <w:p>
      <w:pPr>
        <w:jc w:val="center"/>
        <w:ind w:right="-19"/>
        <w:spacing w:after="0"/>
        <w:rPr>
          <w:sz w:val="20"/>
          <w:szCs w:val="20"/>
          <w:color w:val="auto"/>
        </w:rPr>
      </w:pPr>
      <w:r>
        <w:rPr>
          <w:rFonts w:ascii="Verdana" w:cs="Verdana" w:eastAsia="Verdana" w:hAnsi="Verdana"/>
          <w:sz w:val="14"/>
          <w:szCs w:val="14"/>
          <w:color w:val="auto"/>
        </w:rPr>
        <w:t>(Exact name of registrant as specified in its charter)</w:t>
      </w:r>
    </w:p>
    <w:p>
      <w:pPr>
        <w:spacing w:after="0" w:line="127" w:lineRule="exact"/>
        <w:rPr>
          <w:sz w:val="24"/>
          <w:szCs w:val="24"/>
          <w:color w:val="auto"/>
        </w:rPr>
      </w:pPr>
    </w:p>
    <w:tbl>
      <w:tblPr>
        <w:tblLayout w:type="fixed"/>
        <w:tblInd w:w="560" w:type="dxa"/>
        <w:tblCellMar>
          <w:top w:w="0" w:type="dxa"/>
          <w:left w:w="0" w:type="dxa"/>
          <w:bottom w:w="0" w:type="dxa"/>
          <w:right w:w="0" w:type="dxa"/>
        </w:tblCellMar>
      </w:tblPr>
      <w:tr>
        <w:trPr>
          <w:trHeight w:val="187"/>
        </w:trPr>
        <w:tc>
          <w:tcPr>
            <w:tcW w:w="2920" w:type="dxa"/>
            <w:vAlign w:val="bottom"/>
          </w:tcPr>
          <w:p>
            <w:pPr>
              <w:jc w:val="center"/>
              <w:ind w:left="1528"/>
              <w:spacing w:after="0"/>
              <w:rPr>
                <w:sz w:val="20"/>
                <w:szCs w:val="20"/>
                <w:color w:val="auto"/>
              </w:rPr>
            </w:pPr>
            <w:r>
              <w:rPr>
                <w:rFonts w:ascii="Verdana" w:cs="Verdana" w:eastAsia="Verdana" w:hAnsi="Verdana"/>
                <w:sz w:val="14"/>
                <w:szCs w:val="14"/>
                <w:b w:val="1"/>
                <w:bCs w:val="1"/>
                <w:color w:val="auto"/>
              </w:rPr>
              <w:t>Nevada</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780" w:type="dxa"/>
            <w:vAlign w:val="bottom"/>
            <w:gridSpan w:val="3"/>
          </w:tcPr>
          <w:p>
            <w:pPr>
              <w:jc w:val="right"/>
              <w:ind w:right="1708"/>
              <w:spacing w:after="0"/>
              <w:rPr>
                <w:sz w:val="20"/>
                <w:szCs w:val="20"/>
                <w:color w:val="auto"/>
              </w:rPr>
            </w:pPr>
            <w:r>
              <w:rPr>
                <w:rFonts w:ascii="Verdana" w:cs="Verdana" w:eastAsia="Verdana" w:hAnsi="Verdana"/>
                <w:sz w:val="14"/>
                <w:szCs w:val="14"/>
                <w:b w:val="1"/>
                <w:bCs w:val="1"/>
                <w:color w:val="auto"/>
              </w:rPr>
              <w:t>37-1078406</w:t>
            </w:r>
          </w:p>
        </w:tc>
      </w:tr>
      <w:tr>
        <w:trPr>
          <w:trHeight w:val="229"/>
        </w:trPr>
        <w:tc>
          <w:tcPr>
            <w:tcW w:w="6360" w:type="dxa"/>
            <w:vAlign w:val="bottom"/>
            <w:gridSpan w:val="4"/>
          </w:tcPr>
          <w:p>
            <w:pPr>
              <w:jc w:val="center"/>
              <w:ind w:right="1768"/>
              <w:spacing w:after="0"/>
              <w:rPr>
                <w:sz w:val="20"/>
                <w:szCs w:val="20"/>
                <w:color w:val="auto"/>
              </w:rPr>
            </w:pPr>
            <w:r>
              <w:rPr>
                <w:rFonts w:ascii="Verdana" w:cs="Verdana" w:eastAsia="Verdana" w:hAnsi="Verdana"/>
                <w:sz w:val="14"/>
                <w:szCs w:val="14"/>
                <w:color w:val="auto"/>
              </w:rPr>
              <w:t>(State or other jurisdiction of incorporation of organization)</w:t>
            </w:r>
          </w:p>
        </w:tc>
        <w:tc>
          <w:tcPr>
            <w:tcW w:w="3780" w:type="dxa"/>
            <w:vAlign w:val="bottom"/>
            <w:gridSpan w:val="3"/>
          </w:tcPr>
          <w:p>
            <w:pPr>
              <w:jc w:val="center"/>
              <w:ind w:right="688"/>
              <w:spacing w:after="0"/>
              <w:rPr>
                <w:sz w:val="20"/>
                <w:szCs w:val="20"/>
                <w:color w:val="auto"/>
              </w:rPr>
            </w:pPr>
            <w:r>
              <w:rPr>
                <w:rFonts w:ascii="Verdana" w:cs="Verdana" w:eastAsia="Verdana" w:hAnsi="Verdana"/>
                <w:sz w:val="14"/>
                <w:szCs w:val="14"/>
                <w:color w:val="auto"/>
              </w:rPr>
              <w:t>(I.R.S. Employer Identification No.)</w:t>
            </w:r>
          </w:p>
        </w:tc>
      </w:tr>
      <w:tr>
        <w:trPr>
          <w:trHeight w:val="461"/>
        </w:trPr>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jc w:val="center"/>
              <w:ind w:left="288"/>
              <w:spacing w:after="0"/>
              <w:rPr>
                <w:sz w:val="20"/>
                <w:szCs w:val="20"/>
                <w:color w:val="auto"/>
              </w:rPr>
            </w:pPr>
            <w:r>
              <w:rPr>
                <w:rFonts w:ascii="Verdana" w:cs="Verdana" w:eastAsia="Verdana" w:hAnsi="Verdana"/>
                <w:sz w:val="14"/>
                <w:szCs w:val="14"/>
                <w:b w:val="1"/>
                <w:bCs w:val="1"/>
                <w:color w:val="auto"/>
              </w:rPr>
              <w:t>100 W. University Ave.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76"/>
        </w:trPr>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tcPr>
          <w:p>
            <w:pPr>
              <w:jc w:val="center"/>
              <w:ind w:left="288"/>
              <w:spacing w:after="0"/>
              <w:rPr>
                <w:sz w:val="20"/>
                <w:szCs w:val="20"/>
                <w:color w:val="auto"/>
              </w:rPr>
            </w:pPr>
            <w:r>
              <w:rPr>
                <w:rFonts w:ascii="Verdana" w:cs="Verdana" w:eastAsia="Verdana" w:hAnsi="Verdana"/>
                <w:sz w:val="14"/>
                <w:szCs w:val="14"/>
                <w:b w:val="1"/>
                <w:bCs w:val="1"/>
                <w:color w:val="auto"/>
              </w:rPr>
              <w:t>Champaign, Illinois 61820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tcPr>
          <w:p>
            <w:pPr>
              <w:spacing w:after="0"/>
              <w:rPr>
                <w:sz w:val="15"/>
                <w:szCs w:val="15"/>
                <w:color w:val="auto"/>
              </w:rPr>
            </w:pPr>
          </w:p>
        </w:tc>
      </w:tr>
      <w:tr>
        <w:trPr>
          <w:trHeight w:val="187"/>
        </w:trPr>
        <w:tc>
          <w:tcPr>
            <w:tcW w:w="2920" w:type="dxa"/>
            <w:vAlign w:val="bottom"/>
          </w:tcPr>
          <w:p>
            <w:pPr>
              <w:spacing w:after="0"/>
              <w:rPr>
                <w:sz w:val="16"/>
                <w:szCs w:val="16"/>
                <w:color w:val="auto"/>
              </w:rPr>
            </w:pPr>
          </w:p>
        </w:tc>
        <w:tc>
          <w:tcPr>
            <w:tcW w:w="7220" w:type="dxa"/>
            <w:vAlign w:val="bottom"/>
            <w:gridSpan w:val="6"/>
          </w:tcPr>
          <w:p>
            <w:pPr>
              <w:jc w:val="center"/>
              <w:ind w:right="2868"/>
              <w:spacing w:after="0"/>
              <w:rPr>
                <w:sz w:val="20"/>
                <w:szCs w:val="20"/>
                <w:color w:val="auto"/>
              </w:rPr>
            </w:pPr>
            <w:r>
              <w:rPr>
                <w:rFonts w:ascii="Verdana" w:cs="Verdana" w:eastAsia="Verdana" w:hAnsi="Verdana"/>
                <w:sz w:val="14"/>
                <w:szCs w:val="14"/>
                <w:color w:val="auto"/>
              </w:rPr>
              <w:t>(Address of principal executive offices) (Zip code)</w:t>
            </w:r>
          </w:p>
        </w:tc>
      </w:tr>
      <w:tr>
        <w:trPr>
          <w:trHeight w:val="243"/>
        </w:trPr>
        <w:tc>
          <w:tcPr>
            <w:tcW w:w="10140" w:type="dxa"/>
            <w:vAlign w:val="bottom"/>
            <w:gridSpan w:val="7"/>
          </w:tcPr>
          <w:p>
            <w:pPr>
              <w:jc w:val="center"/>
              <w:spacing w:after="0"/>
              <w:rPr>
                <w:sz w:val="20"/>
                <w:szCs w:val="20"/>
                <w:color w:val="auto"/>
              </w:rPr>
            </w:pPr>
            <w:r>
              <w:rPr>
                <w:rFonts w:ascii="Verdana" w:cs="Verdana" w:eastAsia="Verdana" w:hAnsi="Verdana"/>
                <w:sz w:val="14"/>
                <w:szCs w:val="14"/>
                <w:color w:val="auto"/>
              </w:rPr>
              <w:t xml:space="preserve">Registrant’s telephone number, including area code </w:t>
            </w:r>
            <w:r>
              <w:rPr>
                <w:rFonts w:ascii="Verdana" w:cs="Verdana" w:eastAsia="Verdana" w:hAnsi="Verdana"/>
                <w:sz w:val="14"/>
                <w:szCs w:val="14"/>
                <w:b w:val="1"/>
                <w:bCs w:val="1"/>
                <w:color w:val="auto"/>
              </w:rPr>
              <w:t>(217) 365-4544</w:t>
            </w:r>
          </w:p>
        </w:tc>
      </w:tr>
      <w:tr>
        <w:trPr>
          <w:trHeight w:val="243"/>
        </w:trPr>
        <w:tc>
          <w:tcPr>
            <w:tcW w:w="2920" w:type="dxa"/>
            <w:vAlign w:val="bottom"/>
          </w:tcPr>
          <w:p>
            <w:pPr>
              <w:spacing w:after="0"/>
              <w:rPr>
                <w:sz w:val="21"/>
                <w:szCs w:val="21"/>
                <w:color w:val="auto"/>
              </w:rPr>
            </w:pPr>
          </w:p>
        </w:tc>
        <w:tc>
          <w:tcPr>
            <w:tcW w:w="7220" w:type="dxa"/>
            <w:vAlign w:val="bottom"/>
            <w:gridSpan w:val="6"/>
          </w:tcPr>
          <w:p>
            <w:pPr>
              <w:jc w:val="center"/>
              <w:ind w:right="2868"/>
              <w:spacing w:after="0"/>
              <w:rPr>
                <w:sz w:val="20"/>
                <w:szCs w:val="20"/>
                <w:color w:val="auto"/>
              </w:rPr>
            </w:pPr>
            <w:r>
              <w:rPr>
                <w:rFonts w:ascii="Verdana" w:cs="Verdana" w:eastAsia="Verdana" w:hAnsi="Verdana"/>
                <w:sz w:val="14"/>
                <w:szCs w:val="14"/>
                <w:color w:val="auto"/>
              </w:rPr>
              <w:t>Securities registered pursuant to Section 12(b) of the Act:</w:t>
            </w:r>
          </w:p>
        </w:tc>
      </w:tr>
      <w:tr>
        <w:trPr>
          <w:trHeight w:val="259"/>
        </w:trPr>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jc w:val="center"/>
              <w:spacing w:after="0"/>
              <w:rPr>
                <w:sz w:val="20"/>
                <w:szCs w:val="20"/>
                <w:color w:val="auto"/>
              </w:rPr>
            </w:pPr>
            <w:r>
              <w:rPr>
                <w:rFonts w:ascii="Verdana" w:cs="Verdana" w:eastAsia="Verdana" w:hAnsi="Verdana"/>
                <w:sz w:val="14"/>
                <w:szCs w:val="14"/>
                <w:b w:val="1"/>
                <w:bCs w:val="1"/>
                <w:color w:val="auto"/>
              </w:rPr>
              <w:t>Name of each exchange</w:t>
            </w:r>
          </w:p>
        </w:tc>
      </w:tr>
      <w:tr>
        <w:trPr>
          <w:trHeight w:val="206"/>
        </w:trPr>
        <w:tc>
          <w:tcPr>
            <w:tcW w:w="2920" w:type="dxa"/>
            <w:vAlign w:val="bottom"/>
            <w:tcBorders>
              <w:bottom w:val="single" w:sz="8" w:color="auto"/>
            </w:tcBorders>
          </w:tcPr>
          <w:p>
            <w:pPr>
              <w:jc w:val="center"/>
              <w:ind w:left="308"/>
              <w:spacing w:after="0"/>
              <w:rPr>
                <w:sz w:val="20"/>
                <w:szCs w:val="20"/>
                <w:color w:val="auto"/>
              </w:rPr>
            </w:pPr>
            <w:r>
              <w:rPr>
                <w:rFonts w:ascii="Verdana" w:cs="Verdana" w:eastAsia="Verdana" w:hAnsi="Verdana"/>
                <w:sz w:val="14"/>
                <w:szCs w:val="14"/>
                <w:b w:val="1"/>
                <w:bCs w:val="1"/>
                <w:color w:val="auto"/>
              </w:rPr>
              <w:t>Title of each class</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auto"/>
            </w:tcBorders>
          </w:tcPr>
          <w:p>
            <w:pPr>
              <w:jc w:val="center"/>
              <w:ind w:left="268"/>
              <w:spacing w:after="0"/>
              <w:rPr>
                <w:sz w:val="20"/>
                <w:szCs w:val="20"/>
                <w:color w:val="auto"/>
              </w:rPr>
            </w:pPr>
            <w:r>
              <w:rPr>
                <w:rFonts w:ascii="Verdana" w:cs="Verdana" w:eastAsia="Verdana" w:hAnsi="Verdana"/>
                <w:sz w:val="14"/>
                <w:szCs w:val="14"/>
                <w:b w:val="1"/>
                <w:bCs w:val="1"/>
                <w:color w:val="auto"/>
              </w:rPr>
              <w:t>Trading Symbol</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on which registered</w:t>
            </w:r>
          </w:p>
        </w:tc>
      </w:tr>
      <w:tr>
        <w:trPr>
          <w:trHeight w:val="203"/>
        </w:trPr>
        <w:tc>
          <w:tcPr>
            <w:tcW w:w="2920" w:type="dxa"/>
            <w:vAlign w:val="bottom"/>
          </w:tcPr>
          <w:p>
            <w:pPr>
              <w:jc w:val="center"/>
              <w:ind w:left="308"/>
              <w:spacing w:after="0"/>
              <w:rPr>
                <w:sz w:val="20"/>
                <w:szCs w:val="20"/>
                <w:color w:val="auto"/>
              </w:rPr>
            </w:pPr>
            <w:r>
              <w:rPr>
                <w:rFonts w:ascii="Verdana" w:cs="Verdana" w:eastAsia="Verdana" w:hAnsi="Verdana"/>
                <w:sz w:val="14"/>
                <w:szCs w:val="14"/>
                <w:color w:val="auto"/>
              </w:rPr>
              <w:t>Common Stock ($0.001 par value)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jc w:val="center"/>
              <w:ind w:left="288"/>
              <w:spacing w:after="0"/>
              <w:rPr>
                <w:sz w:val="20"/>
                <w:szCs w:val="20"/>
                <w:color w:val="auto"/>
              </w:rPr>
            </w:pPr>
            <w:r>
              <w:rPr>
                <w:rFonts w:ascii="Verdana" w:cs="Verdana" w:eastAsia="Verdana" w:hAnsi="Verdana"/>
                <w:sz w:val="14"/>
                <w:szCs w:val="14"/>
                <w:color w:val="auto"/>
              </w:rPr>
              <w:t>BUSE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Pr>
          <w:p>
            <w:pPr>
              <w:jc w:val="center"/>
              <w:spacing w:after="0"/>
              <w:rPr>
                <w:sz w:val="20"/>
                <w:szCs w:val="20"/>
                <w:color w:val="auto"/>
              </w:rPr>
            </w:pPr>
            <w:r>
              <w:rPr>
                <w:rFonts w:ascii="Verdana" w:cs="Verdana" w:eastAsia="Verdana" w:hAnsi="Verdana"/>
                <w:sz w:val="14"/>
                <w:szCs w:val="14"/>
                <w:color w:val="auto"/>
              </w:rPr>
              <w:t>The Nasdaq Stock Market LLC</w:t>
            </w:r>
          </w:p>
        </w:tc>
      </w:tr>
    </w:tbl>
    <w:p>
      <w:pPr>
        <w:spacing w:after="0" w:line="286" w:lineRule="exact"/>
        <w:rPr>
          <w:sz w:val="24"/>
          <w:szCs w:val="24"/>
          <w:color w:val="auto"/>
        </w:rPr>
      </w:pPr>
    </w:p>
    <w:p>
      <w:pPr>
        <w:ind w:left="3280"/>
        <w:spacing w:after="0"/>
        <w:rPr>
          <w:sz w:val="20"/>
          <w:szCs w:val="20"/>
          <w:color w:val="auto"/>
        </w:rPr>
      </w:pPr>
      <w:r>
        <w:rPr>
          <w:rFonts w:ascii="Verdana" w:cs="Verdana" w:eastAsia="Verdana" w:hAnsi="Verdana"/>
          <w:sz w:val="14"/>
          <w:szCs w:val="14"/>
          <w:color w:val="auto"/>
        </w:rPr>
        <w:t xml:space="preserve">Securities registered pursuant to Section 12(g) of the Act: </w:t>
      </w:r>
      <w:r>
        <w:rPr>
          <w:rFonts w:ascii="Verdana" w:cs="Verdana" w:eastAsia="Verdana" w:hAnsi="Verdana"/>
          <w:sz w:val="14"/>
          <w:szCs w:val="14"/>
          <w:b w:val="1"/>
          <w:bCs w:val="1"/>
          <w:color w:val="auto"/>
        </w:rPr>
        <w:t>None</w:t>
      </w:r>
    </w:p>
    <w:p>
      <w:pPr>
        <w:spacing w:after="0" w:line="95" w:lineRule="exact"/>
        <w:rPr>
          <w:sz w:val="24"/>
          <w:szCs w:val="24"/>
          <w:color w:val="auto"/>
        </w:rPr>
      </w:pPr>
    </w:p>
    <w:p>
      <w:pPr>
        <w:spacing w:after="0"/>
        <w:rPr>
          <w:sz w:val="20"/>
          <w:szCs w:val="20"/>
          <w:color w:val="auto"/>
        </w:rPr>
      </w:pPr>
      <w:r>
        <w:rPr>
          <w:rFonts w:ascii="Verdana" w:cs="Verdana" w:eastAsia="Verdana" w:hAnsi="Verdana"/>
          <w:sz w:val="13"/>
          <w:szCs w:val="13"/>
          <w:color w:val="auto"/>
        </w:rPr>
        <w:t>Indicate by check mark if the registrant is a well-known seasoned issuer, as defined in Rule 405 of the Securities Act.</w:t>
      </w:r>
    </w:p>
    <w:p>
      <w:pPr>
        <w:spacing w:after="0" w:line="171" w:lineRule="exact"/>
        <w:rPr>
          <w:sz w:val="20"/>
          <w:szCs w:val="20"/>
          <w:color w:val="auto"/>
        </w:rPr>
      </w:pPr>
      <w:r>
        <w:rPr>
          <w:rFonts w:ascii="Verdana" w:cs="Verdana" w:eastAsia="Verdana" w:hAnsi="Verdana"/>
          <w:sz w:val="13"/>
          <w:szCs w:val="13"/>
          <w:color w:val="auto"/>
        </w:rPr>
        <w:t xml:space="preserve">Yes </w:t>
      </w:r>
      <w:r>
        <w:rPr>
          <w:rFonts w:ascii="MS PGothic" w:cs="MS PGothic" w:eastAsia="MS PGothic" w:hAnsi="MS PGothic"/>
          <w:sz w:val="14"/>
          <w:szCs w:val="14"/>
          <w:color w:val="auto"/>
          <w:highlight w:val="black"/>
        </w:rPr>
        <w:t>☑</w:t>
      </w:r>
      <w:r>
        <w:rPr>
          <w:rFonts w:ascii="Verdana" w:cs="Verdana" w:eastAsia="Verdana" w:hAnsi="Verdana"/>
          <w:sz w:val="13"/>
          <w:szCs w:val="13"/>
          <w:color w:val="auto"/>
        </w:rPr>
        <w:t xml:space="preserve"> No </w:t>
      </w:r>
      <w:r>
        <w:rPr>
          <w:rFonts w:ascii="Wingdings" w:cs="Wingdings" w:eastAsia="Wingdings" w:hAnsi="Wingdings"/>
          <w:sz w:val="14"/>
          <w:szCs w:val="14"/>
          <w:b w:val="1"/>
          <w:bCs w:val="1"/>
          <w:color w:val="auto"/>
          <w:highlight w:val="black"/>
        </w:rPr>
        <w:t>o</w:t>
      </w:r>
    </w:p>
    <w:p>
      <w:pPr>
        <w:spacing w:after="0" w:line="77" w:lineRule="exact"/>
        <w:rPr>
          <w:sz w:val="24"/>
          <w:szCs w:val="24"/>
          <w:color w:val="auto"/>
        </w:rPr>
      </w:pPr>
    </w:p>
    <w:p>
      <w:pPr>
        <w:spacing w:after="0"/>
        <w:rPr>
          <w:sz w:val="20"/>
          <w:szCs w:val="20"/>
          <w:color w:val="auto"/>
        </w:rPr>
      </w:pPr>
      <w:r>
        <w:rPr>
          <w:rFonts w:ascii="Verdana" w:cs="Verdana" w:eastAsia="Verdana" w:hAnsi="Verdana"/>
          <w:sz w:val="13"/>
          <w:szCs w:val="13"/>
          <w:color w:val="auto"/>
        </w:rPr>
        <w:t>Indicate by check mark if the registrant is not required to file reports pursuant to Section 13 or Section 15(d) of the Act.</w:t>
      </w:r>
    </w:p>
    <w:p>
      <w:pPr>
        <w:spacing w:after="0" w:line="171" w:lineRule="exact"/>
        <w:rPr>
          <w:sz w:val="20"/>
          <w:szCs w:val="20"/>
          <w:color w:val="auto"/>
        </w:rPr>
      </w:pPr>
      <w:r>
        <w:rPr>
          <w:rFonts w:ascii="Verdana" w:cs="Verdana" w:eastAsia="Verdana" w:hAnsi="Verdana"/>
          <w:sz w:val="13"/>
          <w:szCs w:val="13"/>
          <w:color w:val="auto"/>
        </w:rPr>
        <w:t xml:space="preserve">Yes </w:t>
      </w:r>
      <w:r>
        <w:rPr>
          <w:rFonts w:ascii="Wingdings" w:cs="Wingdings" w:eastAsia="Wingdings" w:hAnsi="Wingdings"/>
          <w:sz w:val="14"/>
          <w:szCs w:val="14"/>
          <w:b w:val="1"/>
          <w:bCs w:val="1"/>
          <w:color w:val="auto"/>
          <w:highlight w:val="black"/>
        </w:rPr>
        <w:t>o</w:t>
      </w:r>
      <w:r>
        <w:rPr>
          <w:rFonts w:ascii="Verdana" w:cs="Verdana" w:eastAsia="Verdana" w:hAnsi="Verdana"/>
          <w:sz w:val="13"/>
          <w:szCs w:val="13"/>
          <w:color w:val="auto"/>
        </w:rPr>
        <w:t xml:space="preserve"> No </w:t>
      </w:r>
      <w:r>
        <w:rPr>
          <w:rFonts w:ascii="MS PGothic" w:cs="MS PGothic" w:eastAsia="MS PGothic" w:hAnsi="MS PGothic"/>
          <w:sz w:val="14"/>
          <w:szCs w:val="14"/>
          <w:color w:val="auto"/>
          <w:highlight w:val="black"/>
        </w:rPr>
        <w:t>☑</w:t>
      </w:r>
    </w:p>
    <w:p>
      <w:pPr>
        <w:spacing w:after="0" w:line="86" w:lineRule="exact"/>
        <w:rPr>
          <w:sz w:val="24"/>
          <w:szCs w:val="24"/>
          <w:color w:val="auto"/>
        </w:rPr>
      </w:pPr>
    </w:p>
    <w:p>
      <w:pPr>
        <w:jc w:val="both"/>
        <w:spacing w:after="0" w:line="205" w:lineRule="auto"/>
        <w:rPr>
          <w:sz w:val="20"/>
          <w:szCs w:val="20"/>
          <w:color w:val="auto"/>
        </w:rPr>
      </w:pPr>
      <w:r>
        <w:rPr>
          <w:rFonts w:ascii="Verdana" w:cs="Verdana" w:eastAsia="Verdana" w:hAnsi="Verdana"/>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1" w:lineRule="exact"/>
        <w:rPr>
          <w:sz w:val="20"/>
          <w:szCs w:val="20"/>
          <w:color w:val="auto"/>
        </w:rPr>
      </w:pPr>
      <w:r>
        <w:rPr>
          <w:rFonts w:ascii="Verdana" w:cs="Verdana" w:eastAsia="Verdana" w:hAnsi="Verdana"/>
          <w:sz w:val="13"/>
          <w:szCs w:val="13"/>
          <w:color w:val="auto"/>
        </w:rPr>
        <w:t xml:space="preserve">Yes </w:t>
      </w:r>
      <w:r>
        <w:rPr>
          <w:rFonts w:ascii="MS PGothic" w:cs="MS PGothic" w:eastAsia="MS PGothic" w:hAnsi="MS PGothic"/>
          <w:sz w:val="14"/>
          <w:szCs w:val="14"/>
          <w:color w:val="auto"/>
          <w:highlight w:val="black"/>
        </w:rPr>
        <w:t>☑</w:t>
      </w:r>
      <w:r>
        <w:rPr>
          <w:rFonts w:ascii="Verdana" w:cs="Verdana" w:eastAsia="Verdana" w:hAnsi="Verdana"/>
          <w:sz w:val="13"/>
          <w:szCs w:val="13"/>
          <w:color w:val="auto"/>
        </w:rPr>
        <w:t xml:space="preserve"> No </w:t>
      </w:r>
      <w:r>
        <w:rPr>
          <w:rFonts w:ascii="Wingdings" w:cs="Wingdings" w:eastAsia="Wingdings" w:hAnsi="Wingdings"/>
          <w:sz w:val="14"/>
          <w:szCs w:val="14"/>
          <w:b w:val="1"/>
          <w:bCs w:val="1"/>
          <w:color w:val="auto"/>
          <w:highlight w:val="black"/>
        </w:rPr>
        <w:t>o</w:t>
      </w:r>
    </w:p>
    <w:p>
      <w:pPr>
        <w:spacing w:after="0" w:line="93" w:lineRule="exact"/>
        <w:rPr>
          <w:sz w:val="24"/>
          <w:szCs w:val="24"/>
          <w:color w:val="auto"/>
        </w:rPr>
      </w:pPr>
    </w:p>
    <w:p>
      <w:pPr>
        <w:ind w:right="20"/>
        <w:spacing w:after="0" w:line="164" w:lineRule="exact"/>
        <w:rPr>
          <w:sz w:val="20"/>
          <w:szCs w:val="20"/>
          <w:color w:val="auto"/>
        </w:rPr>
      </w:pPr>
      <w:r>
        <w:rPr>
          <w:rFonts w:ascii="Verdana" w:cs="Verdana" w:eastAsia="Verdana" w:hAnsi="Verdana"/>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Verdana" w:cs="Verdana" w:eastAsia="Verdana" w:hAnsi="Verdana"/>
          <w:sz w:val="13"/>
          <w:szCs w:val="13"/>
          <w:color w:val="auto"/>
        </w:rPr>
        <w:t xml:space="preserve"> No </w:t>
      </w:r>
      <w:r>
        <w:rPr>
          <w:rFonts w:ascii="Wingdings" w:cs="Wingdings" w:eastAsia="Wingdings" w:hAnsi="Wingdings"/>
          <w:sz w:val="14"/>
          <w:szCs w:val="14"/>
          <w:b w:val="1"/>
          <w:bCs w:val="1"/>
          <w:color w:val="auto"/>
          <w:highlight w:val="black"/>
        </w:rPr>
        <w:t>o</w:t>
      </w:r>
    </w:p>
    <w:p>
      <w:pPr>
        <w:spacing w:after="0" w:line="65" w:lineRule="exact"/>
        <w:rPr>
          <w:sz w:val="24"/>
          <w:szCs w:val="24"/>
          <w:color w:val="auto"/>
        </w:rPr>
      </w:pPr>
    </w:p>
    <w:p>
      <w:pPr>
        <w:jc w:val="both"/>
        <w:ind w:right="20"/>
        <w:spacing w:after="0" w:line="253" w:lineRule="auto"/>
        <w:rPr>
          <w:sz w:val="20"/>
          <w:szCs w:val="20"/>
          <w:color w:val="auto"/>
        </w:rPr>
      </w:pPr>
      <w:r>
        <w:rPr>
          <w:rFonts w:ascii="Verdana" w:cs="Verdana" w:eastAsia="Verdana" w:hAnsi="Verdana"/>
          <w:sz w:val="12"/>
          <w:szCs w:val="12"/>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4180" w:type="dxa"/>
            <w:vAlign w:val="bottom"/>
          </w:tcPr>
          <w:p>
            <w:pPr>
              <w:spacing w:after="0" w:line="171" w:lineRule="exact"/>
              <w:rPr>
                <w:sz w:val="20"/>
                <w:szCs w:val="20"/>
                <w:color w:val="auto"/>
              </w:rPr>
            </w:pPr>
            <w:r>
              <w:rPr>
                <w:rFonts w:ascii="Verdana" w:cs="Verdana" w:eastAsia="Verdana" w:hAnsi="Verdana"/>
                <w:sz w:val="13"/>
                <w:szCs w:val="13"/>
                <w:color w:val="auto"/>
              </w:rPr>
              <w:t xml:space="preserve">Large accelerated filer </w:t>
            </w:r>
            <w:r>
              <w:rPr>
                <w:rFonts w:ascii="MS PGothic" w:cs="MS PGothic" w:eastAsia="MS PGothic" w:hAnsi="MS PGothic"/>
                <w:sz w:val="14"/>
                <w:szCs w:val="14"/>
                <w:color w:val="auto"/>
                <w:highlight w:val="black"/>
              </w:rPr>
              <w:t>☑</w:t>
            </w:r>
          </w:p>
        </w:tc>
        <w:tc>
          <w:tcPr>
            <w:tcW w:w="4200" w:type="dxa"/>
            <w:vAlign w:val="bottom"/>
          </w:tcPr>
          <w:p>
            <w:pPr>
              <w:ind w:left="2320"/>
              <w:spacing w:after="0"/>
              <w:rPr>
                <w:sz w:val="20"/>
                <w:szCs w:val="20"/>
                <w:color w:val="auto"/>
              </w:rPr>
            </w:pPr>
            <w:r>
              <w:rPr>
                <w:rFonts w:ascii="Verdana" w:cs="Verdana" w:eastAsia="Verdana" w:hAnsi="Verdana"/>
                <w:sz w:val="13"/>
                <w:szCs w:val="13"/>
                <w:color w:val="auto"/>
              </w:rPr>
              <w:t xml:space="preserve">Accelerated filer </w:t>
            </w:r>
            <w:r>
              <w:rPr>
                <w:rFonts w:ascii="Wingdings" w:cs="Wingdings" w:eastAsia="Wingdings" w:hAnsi="Wingdings"/>
                <w:sz w:val="14"/>
                <w:szCs w:val="14"/>
                <w:b w:val="1"/>
                <w:bCs w:val="1"/>
                <w:color w:val="auto"/>
                <w:highlight w:val="black"/>
              </w:rPr>
              <w:t>o</w:t>
            </w:r>
          </w:p>
        </w:tc>
      </w:tr>
      <w:tr>
        <w:trPr>
          <w:trHeight w:val="242"/>
        </w:trPr>
        <w:tc>
          <w:tcPr>
            <w:tcW w:w="4180" w:type="dxa"/>
            <w:vAlign w:val="bottom"/>
          </w:tcPr>
          <w:p>
            <w:pPr>
              <w:spacing w:after="0"/>
              <w:rPr>
                <w:sz w:val="20"/>
                <w:szCs w:val="20"/>
                <w:color w:val="auto"/>
              </w:rPr>
            </w:pPr>
            <w:r>
              <w:rPr>
                <w:rFonts w:ascii="Verdana" w:cs="Verdana" w:eastAsia="Verdana" w:hAnsi="Verdana"/>
                <w:sz w:val="13"/>
                <w:szCs w:val="13"/>
                <w:color w:val="auto"/>
              </w:rPr>
              <w:t xml:space="preserve">Non-accelerated filer </w:t>
            </w:r>
            <w:r>
              <w:rPr>
                <w:rFonts w:ascii="Wingdings" w:cs="Wingdings" w:eastAsia="Wingdings" w:hAnsi="Wingdings"/>
                <w:sz w:val="14"/>
                <w:szCs w:val="14"/>
                <w:b w:val="1"/>
                <w:bCs w:val="1"/>
                <w:color w:val="auto"/>
                <w:highlight w:val="black"/>
              </w:rPr>
              <w:t>o</w:t>
            </w:r>
          </w:p>
        </w:tc>
        <w:tc>
          <w:tcPr>
            <w:tcW w:w="4200" w:type="dxa"/>
            <w:vAlign w:val="bottom"/>
          </w:tcPr>
          <w:p>
            <w:pPr>
              <w:ind w:left="2320"/>
              <w:spacing w:after="0" w:line="171" w:lineRule="exact"/>
              <w:rPr>
                <w:sz w:val="20"/>
                <w:szCs w:val="20"/>
                <w:color w:val="auto"/>
              </w:rPr>
            </w:pPr>
            <w:r>
              <w:rPr>
                <w:rFonts w:ascii="Verdana" w:cs="Verdana" w:eastAsia="Verdana" w:hAnsi="Verdana"/>
                <w:sz w:val="13"/>
                <w:szCs w:val="13"/>
                <w:color w:val="auto"/>
                <w:w w:val="94"/>
              </w:rPr>
              <w:t xml:space="preserve">Smaller reporting company </w:t>
            </w:r>
            <w:r>
              <w:rPr>
                <w:rFonts w:ascii="MS PGothic" w:cs="MS PGothic" w:eastAsia="MS PGothic" w:hAnsi="MS PGothic"/>
                <w:sz w:val="14"/>
                <w:szCs w:val="14"/>
                <w:color w:val="auto"/>
                <w:w w:val="94"/>
              </w:rPr>
              <w:t>☐</w:t>
            </w:r>
          </w:p>
        </w:tc>
      </w:tr>
      <w:tr>
        <w:trPr>
          <w:trHeight w:val="243"/>
        </w:trPr>
        <w:tc>
          <w:tcPr>
            <w:tcW w:w="4180" w:type="dxa"/>
            <w:vAlign w:val="bottom"/>
          </w:tcPr>
          <w:p>
            <w:pPr>
              <w:spacing w:after="0" w:line="171" w:lineRule="exact"/>
              <w:rPr>
                <w:sz w:val="20"/>
                <w:szCs w:val="20"/>
                <w:color w:val="auto"/>
              </w:rPr>
            </w:pPr>
            <w:r>
              <w:rPr>
                <w:rFonts w:ascii="Verdana" w:cs="Verdana" w:eastAsia="Verdana" w:hAnsi="Verdana"/>
                <w:sz w:val="13"/>
                <w:szCs w:val="13"/>
                <w:color w:val="auto"/>
              </w:rPr>
              <w:t xml:space="preserve">Emerging growth company </w:t>
            </w:r>
            <w:r>
              <w:rPr>
                <w:rFonts w:ascii="MS PGothic" w:cs="MS PGothic" w:eastAsia="MS PGothic" w:hAnsi="MS PGothic"/>
                <w:sz w:val="14"/>
                <w:szCs w:val="14"/>
                <w:color w:val="auto"/>
              </w:rPr>
              <w:t>☐</w:t>
            </w:r>
          </w:p>
        </w:tc>
        <w:tc>
          <w:tcPr>
            <w:tcW w:w="4200" w:type="dxa"/>
            <w:vAlign w:val="bottom"/>
          </w:tcPr>
          <w:p>
            <w:pPr>
              <w:spacing w:after="0"/>
              <w:rPr>
                <w:sz w:val="21"/>
                <w:szCs w:val="21"/>
                <w:color w:val="auto"/>
              </w:rPr>
            </w:pPr>
          </w:p>
        </w:tc>
      </w:tr>
    </w:tbl>
    <w:p>
      <w:pPr>
        <w:spacing w:after="0" w:line="266" w:lineRule="exact"/>
        <w:rPr>
          <w:sz w:val="24"/>
          <w:szCs w:val="24"/>
          <w:color w:val="auto"/>
        </w:rPr>
      </w:pPr>
    </w:p>
    <w:p>
      <w:pPr>
        <w:jc w:val="both"/>
        <w:ind w:right="20"/>
        <w:spacing w:after="0" w:line="228" w:lineRule="auto"/>
        <w:rPr>
          <w:sz w:val="20"/>
          <w:szCs w:val="20"/>
          <w:color w:val="auto"/>
        </w:rPr>
      </w:pPr>
      <w:r>
        <w:rPr>
          <w:rFonts w:ascii="Verdana" w:cs="Verdana" w:eastAsia="Verdana" w:hAnsi="Verdana"/>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93" w:lineRule="exact"/>
        <w:rPr>
          <w:sz w:val="24"/>
          <w:szCs w:val="24"/>
          <w:color w:val="auto"/>
        </w:rPr>
      </w:pPr>
    </w:p>
    <w:p>
      <w:pPr>
        <w:jc w:val="both"/>
        <w:spacing w:after="0" w:line="164" w:lineRule="exact"/>
        <w:rPr>
          <w:sz w:val="20"/>
          <w:szCs w:val="20"/>
          <w:color w:val="auto"/>
        </w:rPr>
      </w:pPr>
      <w:r>
        <w:rPr>
          <w:rFonts w:ascii="Verdana" w:cs="Verdana" w:eastAsia="Verdana" w:hAnsi="Verdana"/>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highlight w:val="black"/>
        </w:rPr>
        <w:t>☑</w:t>
      </w:r>
    </w:p>
    <w:p>
      <w:pPr>
        <w:spacing w:after="0" w:line="65" w:lineRule="exact"/>
        <w:rPr>
          <w:sz w:val="24"/>
          <w:szCs w:val="24"/>
          <w:color w:val="auto"/>
        </w:rPr>
      </w:pPr>
    </w:p>
    <w:p>
      <w:pPr>
        <w:jc w:val="both"/>
        <w:spacing w:after="0" w:line="219" w:lineRule="auto"/>
        <w:rPr>
          <w:sz w:val="20"/>
          <w:szCs w:val="20"/>
          <w:color w:val="auto"/>
        </w:rPr>
      </w:pPr>
      <w:r>
        <w:rPr>
          <w:rFonts w:ascii="Verdana" w:cs="Verdana" w:eastAsia="Verdana" w:hAnsi="Verdana"/>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highlight w:val="black"/>
        </w:rPr>
        <w:t>o</w:t>
      </w:r>
    </w:p>
    <w:p>
      <w:pPr>
        <w:spacing w:after="0" w:line="92" w:lineRule="exact"/>
        <w:rPr>
          <w:sz w:val="24"/>
          <w:szCs w:val="24"/>
          <w:color w:val="auto"/>
        </w:rPr>
      </w:pPr>
    </w:p>
    <w:p>
      <w:pPr>
        <w:jc w:val="both"/>
        <w:spacing w:after="0" w:line="228" w:lineRule="auto"/>
        <w:rPr>
          <w:sz w:val="20"/>
          <w:szCs w:val="20"/>
          <w:color w:val="auto"/>
        </w:rPr>
      </w:pPr>
      <w:r>
        <w:rPr>
          <w:rFonts w:ascii="Verdana" w:cs="Verdana" w:eastAsia="Verdana" w:hAnsi="Verdana"/>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highlight w:val="black"/>
        </w:rPr>
        <w:t>o</w:t>
      </w:r>
    </w:p>
    <w:p>
      <w:pPr>
        <w:spacing w:after="0" w:line="58" w:lineRule="exact"/>
        <w:rPr>
          <w:sz w:val="24"/>
          <w:szCs w:val="24"/>
          <w:color w:val="auto"/>
        </w:rPr>
      </w:pPr>
    </w:p>
    <w:p>
      <w:pPr>
        <w:spacing w:after="0" w:line="171" w:lineRule="exact"/>
        <w:rPr>
          <w:sz w:val="20"/>
          <w:szCs w:val="20"/>
          <w:color w:val="auto"/>
        </w:rPr>
      </w:pPr>
      <w:r>
        <w:rPr>
          <w:rFonts w:ascii="Verdana" w:cs="Verdana" w:eastAsia="Verdana" w:hAnsi="Verdana"/>
          <w:sz w:val="13"/>
          <w:szCs w:val="13"/>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highlight w:val="black"/>
        </w:rPr>
        <w:t>o</w:t>
      </w:r>
      <w:r>
        <w:rPr>
          <w:rFonts w:ascii="Verdana" w:cs="Verdana" w:eastAsia="Verdana" w:hAnsi="Verdana"/>
          <w:sz w:val="13"/>
          <w:szCs w:val="13"/>
          <w:color w:val="auto"/>
        </w:rPr>
        <w:t xml:space="preserve"> No </w:t>
      </w:r>
      <w:r>
        <w:rPr>
          <w:rFonts w:ascii="MS PGothic" w:cs="MS PGothic" w:eastAsia="MS PGothic" w:hAnsi="MS PGothic"/>
          <w:sz w:val="14"/>
          <w:szCs w:val="14"/>
          <w:color w:val="auto"/>
          <w:highlight w:val="black"/>
        </w:rPr>
        <w:t>☑</w:t>
      </w:r>
    </w:p>
    <w:p>
      <w:pPr>
        <w:spacing w:after="0" w:line="135" w:lineRule="exact"/>
        <w:rPr>
          <w:sz w:val="24"/>
          <w:szCs w:val="24"/>
          <w:color w:val="auto"/>
        </w:rPr>
      </w:pPr>
    </w:p>
    <w:p>
      <w:pPr>
        <w:jc w:val="both"/>
        <w:spacing w:after="0" w:line="206" w:lineRule="auto"/>
        <w:rPr>
          <w:sz w:val="20"/>
          <w:szCs w:val="20"/>
          <w:color w:val="auto"/>
        </w:rPr>
      </w:pPr>
      <w:r>
        <w:rPr>
          <w:rFonts w:ascii="Verdana" w:cs="Verdana" w:eastAsia="Verdana" w:hAnsi="Verdana"/>
          <w:sz w:val="13"/>
          <w:szCs w:val="13"/>
          <w:color w:val="auto"/>
        </w:rPr>
        <w:t>The aggregate market value of the voting and non-voting common equity held by non-affiliates on the last business day of the registrant’s most recently completed second fiscal quarter was $1.0 billion, determined using a per share closing price for the registrant’s common stock on that date of $20.10, as quoted on The Nasdaq Global Select Market.</w:t>
      </w:r>
    </w:p>
    <w:p>
      <w:pPr>
        <w:spacing w:after="0" w:line="93" w:lineRule="exact"/>
        <w:rPr>
          <w:sz w:val="24"/>
          <w:szCs w:val="24"/>
          <w:color w:val="auto"/>
        </w:rPr>
      </w:pPr>
    </w:p>
    <w:p>
      <w:pPr>
        <w:spacing w:after="0"/>
        <w:rPr>
          <w:sz w:val="20"/>
          <w:szCs w:val="20"/>
          <w:color w:val="auto"/>
        </w:rPr>
      </w:pPr>
      <w:r>
        <w:rPr>
          <w:rFonts w:ascii="Verdana" w:cs="Verdana" w:eastAsia="Verdana" w:hAnsi="Verdana"/>
          <w:sz w:val="13"/>
          <w:szCs w:val="13"/>
          <w:color w:val="auto"/>
        </w:rPr>
        <w:t>As of February 22, 2024, there were 55,247,094 shares of the registrant’s common stock, $0.001 par value, outstanding.</w:t>
      </w:r>
    </w:p>
    <w:p>
      <w:pPr>
        <w:spacing w:after="0" w:line="107" w:lineRule="exact"/>
        <w:rPr>
          <w:sz w:val="24"/>
          <w:szCs w:val="24"/>
          <w:color w:val="auto"/>
        </w:rPr>
      </w:pPr>
    </w:p>
    <w:p>
      <w:pPr>
        <w:jc w:val="center"/>
        <w:ind w:right="-19"/>
        <w:spacing w:after="0"/>
        <w:rPr>
          <w:sz w:val="20"/>
          <w:szCs w:val="20"/>
          <w:color w:val="auto"/>
        </w:rPr>
      </w:pPr>
      <w:r>
        <w:rPr>
          <w:rFonts w:ascii="Verdana" w:cs="Verdana" w:eastAsia="Verdana" w:hAnsi="Verdana"/>
          <w:sz w:val="14"/>
          <w:szCs w:val="14"/>
          <w:b w:val="1"/>
          <w:bCs w:val="1"/>
          <w:color w:val="auto"/>
        </w:rPr>
        <w:t>DOCUMENTS INCORPORATED BY REFERENCE</w:t>
      </w:r>
    </w:p>
    <w:p>
      <w:pPr>
        <w:spacing w:after="0" w:line="64" w:lineRule="exact"/>
        <w:rPr>
          <w:sz w:val="24"/>
          <w:szCs w:val="24"/>
          <w:color w:val="auto"/>
        </w:rPr>
      </w:pPr>
    </w:p>
    <w:p>
      <w:pPr>
        <w:jc w:val="both"/>
        <w:spacing w:after="0" w:line="217" w:lineRule="auto"/>
        <w:rPr>
          <w:sz w:val="20"/>
          <w:szCs w:val="20"/>
          <w:color w:val="auto"/>
        </w:rPr>
      </w:pPr>
      <w:r>
        <w:rPr>
          <w:rFonts w:ascii="Verdana" w:cs="Verdana" w:eastAsia="Verdana" w:hAnsi="Verdana"/>
          <w:sz w:val="13"/>
          <w:szCs w:val="13"/>
          <w:color w:val="auto"/>
        </w:rPr>
        <w:t>Portions of the definitive Proxy Statement for the 2024 Annual Meeting of Stockholders of First Busey Corporation to be held May 22, 2024, are incorporated by reference in this Form 10-K in response 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 w:name="page2"/>
    <w:bookmarkEnd w:id="1"/>
    <w:p>
      <w:pPr>
        <w:spacing w:after="0"/>
        <w:rPr>
          <w:sz w:val="20"/>
          <w:szCs w:val="20"/>
          <w:color w:val="auto"/>
        </w:rPr>
      </w:pPr>
      <w:r>
        <w:rPr>
          <w:rFonts w:ascii="Verdana" w:cs="Verdana" w:eastAsia="Verdana" w:hAnsi="Verdana"/>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(This page intentionally left blank)</w:t>
      </w:r>
    </w:p>
    <w:p>
      <w:pPr>
        <w:spacing w:after="0" w:line="18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 w:name="page3"/>
    <w:bookmarkEnd w:id="2"/>
    <w:p>
      <w:pPr>
        <w:spacing w:after="0"/>
        <w:rPr>
          <w:sz w:val="20"/>
          <w:szCs w:val="20"/>
          <w:color w:val="auto"/>
        </w:rPr>
      </w:pPr>
      <w:r>
        <w:rPr>
          <w:rFonts w:ascii="Verdana" w:cs="Verdana" w:eastAsia="Verdana" w:hAnsi="Verdana"/>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60"/>
        <w:spacing w:after="0"/>
        <w:rPr>
          <w:sz w:val="20"/>
          <w:szCs w:val="20"/>
          <w:color w:val="auto"/>
        </w:rPr>
      </w:pPr>
      <w:r>
        <w:rPr>
          <w:rFonts w:ascii="Verdana" w:cs="Verdana" w:eastAsia="Verdana" w:hAnsi="Verdana"/>
          <w:sz w:val="18"/>
          <w:szCs w:val="18"/>
          <w:b w:val="1"/>
          <w:bCs w:val="1"/>
          <w:color w:val="auto"/>
        </w:rPr>
        <w:t>FIRST BUSEY CORPORATION</w:t>
      </w:r>
    </w:p>
    <w:p>
      <w:pPr>
        <w:ind w:left="4180"/>
        <w:spacing w:after="0"/>
        <w:rPr>
          <w:sz w:val="20"/>
          <w:szCs w:val="20"/>
          <w:color w:val="auto"/>
        </w:rPr>
      </w:pPr>
      <w:r>
        <w:rPr>
          <w:rFonts w:ascii="Verdana" w:cs="Verdana" w:eastAsia="Verdana" w:hAnsi="Verdana"/>
          <w:sz w:val="18"/>
          <w:szCs w:val="18"/>
          <w:b w:val="1"/>
          <w:bCs w:val="1"/>
          <w:color w:val="auto"/>
        </w:rPr>
        <w:t>FORM 10-K ANNUAL REPORT</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Table of Contents</w:t>
      </w: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1060" w:type="dxa"/>
            <w:vAlign w:val="bottom"/>
          </w:tcPr>
          <w:p>
            <w:pPr>
              <w:spacing w:after="0"/>
              <w:rPr>
                <w:sz w:val="20"/>
                <w:szCs w:val="20"/>
                <w:color w:val="auto"/>
              </w:rPr>
            </w:pPr>
            <w:r>
              <w:rPr>
                <w:rFonts w:ascii="Verdana" w:cs="Verdana" w:eastAsia="Verdana" w:hAnsi="Verdana"/>
                <w:sz w:val="18"/>
                <w:szCs w:val="18"/>
                <w:color w:val="auto"/>
              </w:rPr>
              <w:t>GLOSSARY</w:t>
            </w:r>
          </w:p>
        </w:tc>
        <w:tc>
          <w:tcPr>
            <w:tcW w:w="104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Verdana" w:cs="Verdana" w:eastAsia="Verdana" w:hAnsi="Verdana"/>
                <w:sz w:val="18"/>
                <w:szCs w:val="18"/>
                <w:color w:val="auto"/>
              </w:rPr>
              <w:t>4</w:t>
            </w:r>
          </w:p>
        </w:tc>
      </w:tr>
      <w:tr>
        <w:trPr>
          <w:trHeight w:val="540"/>
        </w:trPr>
        <w:tc>
          <w:tcPr>
            <w:tcW w:w="1060" w:type="dxa"/>
            <w:vAlign w:val="bottom"/>
          </w:tcPr>
          <w:p>
            <w:pPr>
              <w:spacing w:after="0"/>
              <w:rPr>
                <w:sz w:val="20"/>
                <w:szCs w:val="20"/>
                <w:color w:val="auto"/>
              </w:rPr>
            </w:pPr>
            <w:r>
              <w:rPr>
                <w:rFonts w:ascii="Verdana" w:cs="Verdana" w:eastAsia="Verdana" w:hAnsi="Verdana"/>
                <w:sz w:val="18"/>
                <w:szCs w:val="18"/>
                <w:color w:val="auto"/>
              </w:rPr>
              <w:t>PART I</w:t>
            </w: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BUSINESS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6</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1A</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RISK FACTORS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35</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1B</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UNRESOLVED STAFF COMMENTS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49</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1C</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CYBERSECURITY</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49</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2</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PROPERTIES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50</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3</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LEGAL PROCEEDINGS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50</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4</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MINE SAFETY DISCLOSURES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50</w:t>
            </w:r>
          </w:p>
        </w:tc>
      </w:tr>
      <w:tr>
        <w:trPr>
          <w:trHeight w:val="521"/>
        </w:trPr>
        <w:tc>
          <w:tcPr>
            <w:tcW w:w="1060" w:type="dxa"/>
            <w:vAlign w:val="bottom"/>
          </w:tcPr>
          <w:p>
            <w:pPr>
              <w:spacing w:after="0"/>
              <w:rPr>
                <w:sz w:val="20"/>
                <w:szCs w:val="20"/>
                <w:color w:val="auto"/>
              </w:rPr>
            </w:pPr>
            <w:r>
              <w:rPr>
                <w:rFonts w:ascii="Verdana" w:cs="Verdana" w:eastAsia="Verdana" w:hAnsi="Verdana"/>
                <w:sz w:val="18"/>
                <w:szCs w:val="18"/>
                <w:color w:val="auto"/>
              </w:rPr>
              <w:t>PART II</w:t>
            </w: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5</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MARKET FOR REGISTRANT’S COMMON EQUITY, RELATED STOCKHOLDER MATTERS,</w:t>
            </w:r>
          </w:p>
        </w:tc>
        <w:tc>
          <w:tcPr>
            <w:tcW w:w="600" w:type="dxa"/>
            <w:vAlign w:val="bottom"/>
          </w:tcPr>
          <w:p>
            <w:pPr>
              <w:spacing w:after="0"/>
              <w:rPr>
                <w:sz w:val="24"/>
                <w:szCs w:val="24"/>
                <w:color w:val="auto"/>
              </w:rPr>
            </w:pPr>
          </w:p>
        </w:tc>
      </w:tr>
      <w:tr>
        <w:trPr>
          <w:trHeight w:val="235"/>
        </w:trPr>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Verdana" w:cs="Verdana" w:eastAsia="Verdana" w:hAnsi="Verdana"/>
                <w:sz w:val="18"/>
                <w:szCs w:val="18"/>
                <w:color w:val="auto"/>
              </w:rPr>
              <w:t>AND ISSUER PURCHASES OF EQUITY SECURITIES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50</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6</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[RESERVED]</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52</w:t>
            </w:r>
          </w:p>
        </w:tc>
      </w:tr>
      <w:tr>
        <w:trPr>
          <w:trHeight w:val="251"/>
        </w:trPr>
        <w:tc>
          <w:tcPr>
            <w:tcW w:w="106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7</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MANAGEMENT’S DISCUSSION AND ANALYSIS OF FINANCIAL CONDITION AND RESULTS</w:t>
            </w:r>
          </w:p>
        </w:tc>
        <w:tc>
          <w:tcPr>
            <w:tcW w:w="600" w:type="dxa"/>
            <w:vAlign w:val="bottom"/>
          </w:tcPr>
          <w:p>
            <w:pPr>
              <w:spacing w:after="0"/>
              <w:rPr>
                <w:sz w:val="21"/>
                <w:szCs w:val="21"/>
                <w:color w:val="auto"/>
              </w:rPr>
            </w:pPr>
          </w:p>
        </w:tc>
      </w:tr>
      <w:tr>
        <w:trPr>
          <w:trHeight w:val="235"/>
        </w:trPr>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Verdana" w:cs="Verdana" w:eastAsia="Verdana" w:hAnsi="Verdana"/>
                <w:sz w:val="18"/>
                <w:szCs w:val="18"/>
                <w:color w:val="auto"/>
              </w:rPr>
              <w:t>OF OPERATIONS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53</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7A</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QUANTITATIVE AND QUALITATIVE DISCLOSURES ABOUT MARKET RISK</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90</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8</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FINANCIAL STATEMENTS AND SUPPLEMENTARY DATA</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91</w:t>
            </w:r>
          </w:p>
        </w:tc>
      </w:tr>
      <w:tr>
        <w:trPr>
          <w:trHeight w:val="251"/>
        </w:trPr>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20" w:type="dxa"/>
            <w:vAlign w:val="bottom"/>
          </w:tcPr>
          <w:p>
            <w:pPr>
              <w:ind w:left="520"/>
              <w:spacing w:after="0"/>
              <w:rPr>
                <w:sz w:val="20"/>
                <w:szCs w:val="20"/>
                <w:color w:val="auto"/>
              </w:rPr>
            </w:pPr>
            <w:r>
              <w:rPr>
                <w:rFonts w:ascii="Verdana" w:cs="Verdana" w:eastAsia="Verdana" w:hAnsi="Verdana"/>
                <w:sz w:val="18"/>
                <w:szCs w:val="18"/>
                <w:color w:val="auto"/>
              </w:rPr>
              <w:t>Report of Independent Registered Public Accounting Firm</w:t>
            </w:r>
          </w:p>
        </w:tc>
        <w:tc>
          <w:tcPr>
            <w:tcW w:w="600" w:type="dxa"/>
            <w:vAlign w:val="bottom"/>
          </w:tcPr>
          <w:p>
            <w:pPr>
              <w:spacing w:after="0"/>
              <w:rPr>
                <w:sz w:val="21"/>
                <w:szCs w:val="21"/>
                <w:color w:val="auto"/>
              </w:rPr>
            </w:pPr>
          </w:p>
        </w:tc>
      </w:tr>
      <w:tr>
        <w:trPr>
          <w:trHeight w:val="235"/>
        </w:trPr>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20" w:type="dxa"/>
            <w:vAlign w:val="bottom"/>
          </w:tcPr>
          <w:p>
            <w:pPr>
              <w:ind w:left="520"/>
              <w:spacing w:after="0"/>
              <w:rPr>
                <w:sz w:val="20"/>
                <w:szCs w:val="20"/>
                <w:color w:val="auto"/>
              </w:rPr>
            </w:pPr>
            <w:r>
              <w:rPr>
                <w:rFonts w:ascii="Verdana" w:cs="Verdana" w:eastAsia="Verdana" w:hAnsi="Verdana"/>
                <w:sz w:val="18"/>
                <w:szCs w:val="18"/>
                <w:color w:val="auto"/>
              </w:rPr>
              <w:t>(PCAOB ID 49)</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92</w:t>
            </w:r>
          </w:p>
        </w:tc>
      </w:tr>
      <w:tr>
        <w:trPr>
          <w:trHeight w:val="270"/>
        </w:trPr>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420" w:type="dxa"/>
            <w:vAlign w:val="bottom"/>
          </w:tcPr>
          <w:p>
            <w:pPr>
              <w:ind w:left="520"/>
              <w:spacing w:after="0"/>
              <w:rPr>
                <w:sz w:val="20"/>
                <w:szCs w:val="20"/>
                <w:color w:val="auto"/>
              </w:rPr>
            </w:pPr>
            <w:r>
              <w:rPr>
                <w:rFonts w:ascii="Verdana" w:cs="Verdana" w:eastAsia="Verdana" w:hAnsi="Verdana"/>
                <w:sz w:val="18"/>
                <w:szCs w:val="18"/>
                <w:color w:val="auto"/>
              </w:rPr>
              <w:t>Consolidated Financial Statements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270"/>
        </w:trPr>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420" w:type="dxa"/>
            <w:vAlign w:val="bottom"/>
          </w:tcPr>
          <w:p>
            <w:pPr>
              <w:ind w:left="520"/>
              <w:spacing w:after="0"/>
              <w:rPr>
                <w:sz w:val="20"/>
                <w:szCs w:val="20"/>
                <w:color w:val="auto"/>
              </w:rPr>
            </w:pPr>
            <w:r>
              <w:rPr>
                <w:rFonts w:ascii="Verdana" w:cs="Verdana" w:eastAsia="Verdana" w:hAnsi="Verdana"/>
                <w:sz w:val="18"/>
                <w:szCs w:val="18"/>
                <w:color w:val="auto"/>
              </w:rPr>
              <w:t>Notes to Consolidated Financial Statements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100</w:t>
            </w:r>
          </w:p>
        </w:tc>
      </w:tr>
      <w:tr>
        <w:trPr>
          <w:trHeight w:val="251"/>
        </w:trPr>
        <w:tc>
          <w:tcPr>
            <w:tcW w:w="106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9</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CHANGES IN AND DISAGREEMENTS WITH ACCOUNTANTS ON ACCOUNTING AND</w:t>
            </w:r>
          </w:p>
        </w:tc>
        <w:tc>
          <w:tcPr>
            <w:tcW w:w="600" w:type="dxa"/>
            <w:vAlign w:val="bottom"/>
          </w:tcPr>
          <w:p>
            <w:pPr>
              <w:spacing w:after="0"/>
              <w:rPr>
                <w:sz w:val="21"/>
                <w:szCs w:val="21"/>
                <w:color w:val="auto"/>
              </w:rPr>
            </w:pPr>
          </w:p>
        </w:tc>
      </w:tr>
      <w:tr>
        <w:trPr>
          <w:trHeight w:val="235"/>
        </w:trPr>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Verdana" w:cs="Verdana" w:eastAsia="Verdana" w:hAnsi="Verdana"/>
                <w:sz w:val="18"/>
                <w:szCs w:val="18"/>
                <w:color w:val="auto"/>
              </w:rPr>
              <w:t>FINANCIAL DISCLOSURE</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177</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9A</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CONTROLS AND PROCEDURES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177</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9B</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OTHER INFORMATION</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180</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9C</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DISCLOSURE REGARDING FOREIGN JURISDICTIONS THAT PREVENT INSPECTIONS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180</w:t>
            </w:r>
          </w:p>
        </w:tc>
      </w:tr>
      <w:tr>
        <w:trPr>
          <w:trHeight w:val="540"/>
        </w:trPr>
        <w:tc>
          <w:tcPr>
            <w:tcW w:w="1060" w:type="dxa"/>
            <w:vAlign w:val="bottom"/>
          </w:tcPr>
          <w:p>
            <w:pPr>
              <w:spacing w:after="0"/>
              <w:rPr>
                <w:sz w:val="20"/>
                <w:szCs w:val="20"/>
                <w:color w:val="auto"/>
              </w:rPr>
            </w:pPr>
            <w:r>
              <w:rPr>
                <w:rFonts w:ascii="Verdana" w:cs="Verdana" w:eastAsia="Verdana" w:hAnsi="Verdana"/>
                <w:sz w:val="18"/>
                <w:szCs w:val="18"/>
                <w:color w:val="auto"/>
              </w:rPr>
              <w:t>PART III</w:t>
            </w: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10</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DIRECTORS, EXECUTIVE OFFICERS AND CORPORATE GOVERNANCE</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180</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11</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EXECUTIVE COMPENSATION</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180</w:t>
            </w:r>
          </w:p>
        </w:tc>
      </w:tr>
      <w:tr>
        <w:trPr>
          <w:trHeight w:val="251"/>
        </w:trPr>
        <w:tc>
          <w:tcPr>
            <w:tcW w:w="106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12</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SECURITY OWNERSHIP OF CERTAIN BENEFICIAL OWNERS AND MANAGEMENT AND</w:t>
            </w:r>
          </w:p>
        </w:tc>
        <w:tc>
          <w:tcPr>
            <w:tcW w:w="600" w:type="dxa"/>
            <w:vAlign w:val="bottom"/>
          </w:tcPr>
          <w:p>
            <w:pPr>
              <w:spacing w:after="0"/>
              <w:rPr>
                <w:sz w:val="21"/>
                <w:szCs w:val="21"/>
                <w:color w:val="auto"/>
              </w:rPr>
            </w:pPr>
          </w:p>
        </w:tc>
      </w:tr>
      <w:tr>
        <w:trPr>
          <w:trHeight w:val="235"/>
        </w:trPr>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Verdana" w:cs="Verdana" w:eastAsia="Verdana" w:hAnsi="Verdana"/>
                <w:sz w:val="18"/>
                <w:szCs w:val="18"/>
                <w:color w:val="auto"/>
              </w:rPr>
              <w:t>RELATED STOCKHOLDER MATTERS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181</w:t>
            </w:r>
          </w:p>
        </w:tc>
      </w:tr>
      <w:tr>
        <w:trPr>
          <w:trHeight w:val="251"/>
        </w:trPr>
        <w:tc>
          <w:tcPr>
            <w:tcW w:w="106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13</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CERTAIN RELATIONSHIPS AND RELATED TRANSACTIONS, AND DIRECTOR</w:t>
            </w:r>
          </w:p>
        </w:tc>
        <w:tc>
          <w:tcPr>
            <w:tcW w:w="600" w:type="dxa"/>
            <w:vAlign w:val="bottom"/>
          </w:tcPr>
          <w:p>
            <w:pPr>
              <w:spacing w:after="0"/>
              <w:rPr>
                <w:sz w:val="21"/>
                <w:szCs w:val="21"/>
                <w:color w:val="auto"/>
              </w:rPr>
            </w:pPr>
          </w:p>
        </w:tc>
      </w:tr>
      <w:tr>
        <w:trPr>
          <w:trHeight w:val="235"/>
        </w:trPr>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Verdana" w:cs="Verdana" w:eastAsia="Verdana" w:hAnsi="Verdana"/>
                <w:sz w:val="18"/>
                <w:szCs w:val="18"/>
                <w:color w:val="auto"/>
              </w:rPr>
              <w:t>INDEPENDENCE</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181</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14</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PRINCIPAL ACCOUNTANT FEES AND SERVICES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181</w:t>
            </w:r>
          </w:p>
        </w:tc>
      </w:tr>
      <w:tr>
        <w:trPr>
          <w:trHeight w:val="540"/>
        </w:trPr>
        <w:tc>
          <w:tcPr>
            <w:tcW w:w="1060" w:type="dxa"/>
            <w:vAlign w:val="bottom"/>
          </w:tcPr>
          <w:p>
            <w:pPr>
              <w:spacing w:after="0"/>
              <w:rPr>
                <w:sz w:val="20"/>
                <w:szCs w:val="20"/>
                <w:color w:val="auto"/>
              </w:rPr>
            </w:pPr>
            <w:r>
              <w:rPr>
                <w:rFonts w:ascii="Verdana" w:cs="Verdana" w:eastAsia="Verdana" w:hAnsi="Verdana"/>
                <w:sz w:val="18"/>
                <w:szCs w:val="18"/>
                <w:color w:val="auto"/>
              </w:rPr>
              <w:t>PART IV</w:t>
            </w: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15</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EXHIBIT AND FINANCIAL STATEMENT SCHEDULES</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182</w:t>
            </w:r>
          </w:p>
        </w:tc>
      </w:tr>
      <w:tr>
        <w:trPr>
          <w:trHeight w:val="270"/>
        </w:trPr>
        <w:tc>
          <w:tcPr>
            <w:tcW w:w="1060" w:type="dxa"/>
            <w:vAlign w:val="bottom"/>
          </w:tcPr>
          <w:p>
            <w:pPr>
              <w:spacing w:after="0"/>
              <w:rPr>
                <w:sz w:val="23"/>
                <w:szCs w:val="23"/>
                <w:color w:val="auto"/>
              </w:rPr>
            </w:pPr>
          </w:p>
        </w:tc>
        <w:tc>
          <w:tcPr>
            <w:tcW w:w="1040" w:type="dxa"/>
            <w:vAlign w:val="bottom"/>
          </w:tcPr>
          <w:p>
            <w:pPr>
              <w:ind w:left="80"/>
              <w:spacing w:after="0"/>
              <w:rPr>
                <w:sz w:val="20"/>
                <w:szCs w:val="20"/>
                <w:color w:val="auto"/>
              </w:rPr>
            </w:pPr>
            <w:r>
              <w:rPr>
                <w:rFonts w:ascii="Verdana" w:cs="Verdana" w:eastAsia="Verdana" w:hAnsi="Verdana"/>
                <w:sz w:val="18"/>
                <w:szCs w:val="18"/>
                <w:color w:val="auto"/>
              </w:rPr>
              <w:t>ITEM 16</w:t>
            </w:r>
          </w:p>
        </w:tc>
        <w:tc>
          <w:tcPr>
            <w:tcW w:w="8420" w:type="dxa"/>
            <w:vAlign w:val="bottom"/>
          </w:tcPr>
          <w:p>
            <w:pPr>
              <w:ind w:left="180"/>
              <w:spacing w:after="0"/>
              <w:rPr>
                <w:sz w:val="20"/>
                <w:szCs w:val="20"/>
                <w:color w:val="auto"/>
              </w:rPr>
            </w:pPr>
            <w:r>
              <w:rPr>
                <w:rFonts w:ascii="Verdana" w:cs="Verdana" w:eastAsia="Verdana" w:hAnsi="Verdana"/>
                <w:sz w:val="18"/>
                <w:szCs w:val="18"/>
                <w:color w:val="auto"/>
              </w:rPr>
              <w:t>FORM 10-K SUMMARY</w:t>
            </w:r>
          </w:p>
        </w:tc>
        <w:tc>
          <w:tcPr>
            <w:tcW w:w="600" w:type="dxa"/>
            <w:vAlign w:val="bottom"/>
          </w:tcPr>
          <w:p>
            <w:pPr>
              <w:jc w:val="right"/>
              <w:spacing w:after="0"/>
              <w:rPr>
                <w:sz w:val="20"/>
                <w:szCs w:val="20"/>
                <w:color w:val="auto"/>
              </w:rPr>
            </w:pPr>
            <w:r>
              <w:rPr>
                <w:rFonts w:ascii="Verdana" w:cs="Verdana" w:eastAsia="Verdana" w:hAnsi="Verdana"/>
                <w:sz w:val="18"/>
                <w:szCs w:val="18"/>
                <w:color w:val="auto"/>
              </w:rPr>
              <w:t>182</w:t>
            </w:r>
          </w:p>
        </w:tc>
      </w:tr>
      <w:tr>
        <w:trPr>
          <w:trHeight w:val="540"/>
        </w:trPr>
        <w:tc>
          <w:tcPr>
            <w:tcW w:w="2100" w:type="dxa"/>
            <w:vAlign w:val="bottom"/>
            <w:gridSpan w:val="2"/>
          </w:tcPr>
          <w:p>
            <w:pPr>
              <w:spacing w:after="0"/>
              <w:rPr>
                <w:sz w:val="20"/>
                <w:szCs w:val="20"/>
                <w:color w:val="auto"/>
              </w:rPr>
            </w:pPr>
            <w:r>
              <w:rPr>
                <w:rFonts w:ascii="Verdana" w:cs="Verdana" w:eastAsia="Verdana" w:hAnsi="Verdana"/>
                <w:sz w:val="18"/>
                <w:szCs w:val="18"/>
                <w:color w:val="auto"/>
              </w:rPr>
              <w:t>EXHIBIT INDEX</w:t>
            </w:r>
          </w:p>
        </w:tc>
        <w:tc>
          <w:tcPr>
            <w:tcW w:w="8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Verdana" w:cs="Verdana" w:eastAsia="Verdana" w:hAnsi="Verdana"/>
                <w:sz w:val="18"/>
                <w:szCs w:val="18"/>
                <w:color w:val="auto"/>
              </w:rPr>
              <w:t>183</w:t>
            </w:r>
          </w:p>
        </w:tc>
      </w:tr>
      <w:tr>
        <w:trPr>
          <w:trHeight w:val="270"/>
        </w:trPr>
        <w:tc>
          <w:tcPr>
            <w:tcW w:w="2100" w:type="dxa"/>
            <w:vAlign w:val="bottom"/>
            <w:gridSpan w:val="2"/>
          </w:tcPr>
          <w:p>
            <w:pPr>
              <w:spacing w:after="0"/>
              <w:rPr>
                <w:sz w:val="20"/>
                <w:szCs w:val="20"/>
                <w:color w:val="auto"/>
              </w:rPr>
            </w:pPr>
            <w:r>
              <w:rPr>
                <w:rFonts w:ascii="Verdana" w:cs="Verdana" w:eastAsia="Verdana" w:hAnsi="Verdana"/>
                <w:sz w:val="18"/>
                <w:szCs w:val="18"/>
                <w:color w:val="auto"/>
              </w:rPr>
              <w:t>SIGNATURES</w:t>
            </w:r>
          </w:p>
        </w:tc>
        <w:tc>
          <w:tcPr>
            <w:tcW w:w="8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Verdana" w:cs="Verdana" w:eastAsia="Verdana" w:hAnsi="Verdana"/>
                <w:sz w:val="18"/>
                <w:szCs w:val="18"/>
                <w:color w:val="auto"/>
              </w:rPr>
              <w:t>188</w:t>
            </w:r>
          </w:p>
        </w:tc>
      </w:tr>
    </w:tbl>
    <w:p>
      <w:pPr>
        <w:spacing w:after="0" w:line="14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 w:name="page4"/>
    <w:bookmarkEnd w:id="3"/>
    <w:p>
      <w:pPr>
        <w:spacing w:after="0"/>
        <w:rPr>
          <w:sz w:val="20"/>
          <w:szCs w:val="20"/>
          <w:color w:val="auto"/>
        </w:rPr>
      </w:pPr>
      <w:r>
        <w:rPr>
          <w:rFonts w:ascii="Verdana" w:cs="Verdana" w:eastAsia="Verdana" w:hAnsi="Verdana"/>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080"/>
        <w:spacing w:after="0"/>
        <w:rPr>
          <w:sz w:val="20"/>
          <w:szCs w:val="20"/>
          <w:color w:val="auto"/>
        </w:rPr>
      </w:pPr>
      <w:r>
        <w:rPr>
          <w:rFonts w:ascii="Verdana" w:cs="Verdana" w:eastAsia="Verdana" w:hAnsi="Verdana"/>
          <w:sz w:val="18"/>
          <w:szCs w:val="18"/>
          <w:b w:val="1"/>
          <w:bCs w:val="1"/>
          <w:color w:val="auto"/>
        </w:rPr>
        <w:t>GLOSSARY</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We use acronyms, abbreviations, and other terms throughout this Annual Report, as defined in the glossary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6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b w:val="1"/>
                <w:bCs w:val="1"/>
                <w:color w:val="auto"/>
              </w:rPr>
              <w:t>Term</w:t>
            </w:r>
          </w:p>
        </w:tc>
        <w:tc>
          <w:tcPr>
            <w:tcW w:w="100" w:type="dxa"/>
            <w:vAlign w:val="bottom"/>
            <w:tcBorders>
              <w:bottom w:val="single" w:sz="8" w:color="E0E7ED"/>
            </w:tcBorders>
          </w:tcPr>
          <w:p>
            <w:pPr>
              <w:spacing w:after="0"/>
              <w:rPr>
                <w:sz w:val="15"/>
                <w:szCs w:val="15"/>
                <w:color w:val="auto"/>
              </w:rPr>
            </w:pPr>
          </w:p>
        </w:tc>
        <w:tc>
          <w:tcPr>
            <w:tcW w:w="888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b w:val="1"/>
                <w:bCs w:val="1"/>
                <w:color w:val="auto"/>
              </w:rPr>
              <w:t>Definition</w:t>
            </w:r>
          </w:p>
        </w:tc>
      </w:tr>
      <w:tr>
        <w:trPr>
          <w:trHeight w:val="270"/>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2020 Equity Plan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 Amended 2020 Equity Incentive Plan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2021 ESPP</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First Busey Corporation 2021 Employee Stock Purchase Plan</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401(k) Plan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 Profit Sharing Plan and Trust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ACL</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Allowance for credit losses</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Annual Report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Annual report filed with the SEC on Form 10-K pursuant to Section 13 or 15(d) of the Exchange</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AOCI</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Accumulated other comprehensive income (loss)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ASC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Accounting Standards Codification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Accounting Standards Update</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Basel III</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2010 capital accord adopted by the international Basel Committee on Banking Supervision</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Basel III Rule</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Regulations promulgated by U.S. federal banking agencies – the OCC, the Federal Reserve, and</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rPr>
              <w:t>the FDIC – to both enforce implementation of certain aspects of the Basel III capital reforms and</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rPr>
              <w:t>effect certain changes required by the Dodd-Frank Wall Street Reform and Consumer Protection</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Act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BHCA</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Bank Holding Company Act of 1956, as amended</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bps</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basis points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CAC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Cummins-American Corp.</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CECL</w:t>
            </w:r>
          </w:p>
        </w:tc>
        <w:tc>
          <w:tcPr>
            <w:tcW w:w="8880" w:type="dxa"/>
            <w:vAlign w:val="bottom"/>
          </w:tcPr>
          <w:p>
            <w:pPr>
              <w:ind w:left="20"/>
              <w:spacing w:after="0"/>
              <w:rPr>
                <w:sz w:val="20"/>
                <w:szCs w:val="20"/>
                <w:color w:val="auto"/>
              </w:rPr>
            </w:pPr>
            <w:r>
              <w:rPr>
                <w:rFonts w:ascii="Verdana" w:cs="Verdana" w:eastAsia="Verdana" w:hAnsi="Verdana"/>
                <w:sz w:val="18"/>
                <w:szCs w:val="18"/>
                <w:color w:val="auto"/>
                <w:w w:val="99"/>
              </w:rPr>
              <w:t>ASU 2016-13, codified as ASC Topic 326 “Financial Instruments-Credit Losses,” which established</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rPr>
              <w:t>the Current Expected Credit Losses methodology for measuring credit losses on financial</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instruments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CFPB</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Consumer Financial Protection Bureau</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COSO</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Committee of Sponsoring Organizations of the Treadway Commission</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COVID-19</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Coronavirus disease 2019</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CRA</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Community Reinvestment Act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CRE</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Commercial real estate</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CRE Guidance</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Concentrations in Commercial Real Estate Lending, Sound Risk Management Practices guidance</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issued jointly by the OCC, the Federal Reserve, and the FDIC</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Current Report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Current report filed with the SEC on Form 8-K pursuant to Section 13 or 15(d) of the Securities</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Exchange Act of 1934</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DFPR</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Illinois Department of Financial and Professional Regulation</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DIF</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Deposit Insurance Fund of the FDIC</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Dodd-Frank Act</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Dodd-Frank Wall Street Reform and Consumer Protection Act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DSU</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Deferred stock unit</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Durbin Amendment</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The Durbin Amendment to the Dodd-Frank Act, requiring the Federal Reserve to establish a</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maximum permissible interchange fee for many types of debit transactions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Exchange Act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Securities Exchange Act of 1934, as amended</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Fair value</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The price that would be received to sell an asset, or paid to transfer a liability, in an orderly</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rPr>
              <w:t>transaction between market participants at the measurement date, as defined in ASC Topic 820</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“Fair Value Measurement”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FASB</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Financial Accounting Standards Board</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FDIC</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Federal Deposit Insurance Corporation</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Federal Reserve</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Board of Governors of the Federal Reserve System</w:t>
            </w:r>
          </w:p>
        </w:tc>
      </w:tr>
      <w:tr>
        <w:trPr>
          <w:trHeight w:val="554"/>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5660"/>
              <w:spacing w:after="0"/>
              <w:rPr>
                <w:sz w:val="20"/>
                <w:szCs w:val="20"/>
                <w:color w:val="auto"/>
              </w:rPr>
            </w:pPr>
            <w:r>
              <w:rPr>
                <w:rFonts w:ascii="Verdana" w:cs="Verdana" w:eastAsia="Verdana" w:hAnsi="Verdana"/>
                <w:sz w:val="18"/>
                <w:szCs w:val="18"/>
                <w:color w:val="808285"/>
                <w:w w:val="99"/>
              </w:rPr>
              <w:t xml:space="preserve">First Busey Corporation | 2023 </w:t>
            </w:r>
            <w:r>
              <w:rPr>
                <w:rFonts w:ascii="Verdana" w:cs="Verdana" w:eastAsia="Verdana" w:hAnsi="Verdana"/>
                <w:sz w:val="18"/>
                <w:szCs w:val="18"/>
                <w:b w:val="1"/>
                <w:bCs w:val="1"/>
                <w:color w:val="376484"/>
                <w:w w:val="99"/>
              </w:rPr>
              <w:t>— 4</w:t>
            </w:r>
          </w:p>
        </w:tc>
      </w:tr>
      <w:tr>
        <w:trPr>
          <w:trHeight w:val="641"/>
        </w:trPr>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6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b w:val="1"/>
                <w:bCs w:val="1"/>
                <w:color w:val="auto"/>
              </w:rPr>
              <w:t>Term</w:t>
            </w:r>
          </w:p>
        </w:tc>
        <w:tc>
          <w:tcPr>
            <w:tcW w:w="100" w:type="dxa"/>
            <w:vAlign w:val="bottom"/>
          </w:tcPr>
          <w:p>
            <w:pPr>
              <w:spacing w:after="0"/>
              <w:rPr>
                <w:sz w:val="15"/>
                <w:szCs w:val="15"/>
                <w:color w:val="auto"/>
              </w:rPr>
            </w:pPr>
          </w:p>
        </w:tc>
        <w:tc>
          <w:tcPr>
            <w:tcW w:w="888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b w:val="1"/>
                <w:bCs w:val="1"/>
                <w:color w:val="auto"/>
              </w:rPr>
              <w:t>Definition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FHLB</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Federal Home Loan Bank</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First Busey</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 together with its wholly-owned consolidated subsidiaries; also, “Busey,”</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the “Company,” “we,” “us,” and “our”</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First Busey Risk</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First Busey Risk Management, Inc.</w:t>
            </w:r>
          </w:p>
        </w:tc>
      </w:tr>
      <w:tr>
        <w:trPr>
          <w:trHeight w:val="242"/>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Management</w:t>
            </w:r>
          </w:p>
        </w:tc>
        <w:tc>
          <w:tcPr>
            <w:tcW w:w="8880" w:type="dxa"/>
            <w:vAlign w:val="bottom"/>
          </w:tcPr>
          <w:p>
            <w:pPr>
              <w:spacing w:after="0"/>
              <w:rPr>
                <w:sz w:val="21"/>
                <w:szCs w:val="21"/>
                <w:color w:val="auto"/>
              </w:rPr>
            </w:pP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First Community</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Community Financial Partners, Inc.</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FirsTech</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FirsTech, Inc.</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FOMC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Federal Open Market Committee</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GAAP</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U.S. Generally Accepted Accounting Principles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GAI</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Generative Artificial Intelligence</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Illinois CRA</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Illinois Community Reinvestment Act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ISOS</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Illinois Secretary of State</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LIBOR</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London Interbank Offered Rate</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LOCOM</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Lower of Cost or Market, an accounting approach under which assets are carried at amortized</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historical cost less write-offs and downward fair value adjustments, as may be applicable</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M&amp;M</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Merchants and Manufacturers Bank Corporation</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M&amp;M Bank</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Merchants and Manufacturers Bank</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Nasdaq</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National Association of Securities Dealers Automated Quotations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NMTC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New Markets Tax Credit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OCC</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Office of the Comptroller of the Currency</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OCI</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Other comprehensive income (loss)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OREO</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Other real estate owned</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PCD</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Purchased credit deteriorated</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PCI</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Purchased credit impaired</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PPP</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Paycheck Protection Program</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PSU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Performance stock unit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Pulaski</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Pulaski Financial Corp.</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Quarterly Report</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Quarterly report filed with the SEC on Form 10-Q pursuant to Section 13 or 15(d) of the</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Exchange Act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Regulatory Relief Act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Economic Growth, Regulatory Relief, and Consumer Protection Act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RSU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Restricted stock unit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SBA</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U.S. Small Business Administration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SEC</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U.S. Securities and Exchange Commission</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Securities Act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Securities Act of 1933, as amended</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SOFR</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Secured Overnight Financing Rate published by the Federal Reserve</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Stock Repurchase Plan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Stock repurchase program approved by First Busey Corporation's board of directors on February</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3, 2015</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TDR</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Troubled debt restructuring</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Term Loan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$60 million term loan provided for in the Second Amended and Restated Credit Agreement,</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dated May 28, 2021</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U.S.</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United States of America</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U.S. Treasury</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U.S. Department of the Treasury</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USA PATRIOT Act</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Uniting and Strengthening America by Providing Appropriate Tools Required to Intercept and</w:t>
            </w:r>
          </w:p>
        </w:tc>
      </w:tr>
      <w:tr>
        <w:trPr>
          <w:trHeight w:val="235"/>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Obstruct Terrorism Act of 2001</w:t>
            </w:r>
          </w:p>
        </w:tc>
      </w:tr>
      <w:tr>
        <w:trPr>
          <w:trHeight w:val="567"/>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5660"/>
              <w:spacing w:after="0"/>
              <w:rPr>
                <w:sz w:val="20"/>
                <w:szCs w:val="20"/>
                <w:color w:val="auto"/>
              </w:rPr>
            </w:pPr>
            <w:r>
              <w:rPr>
                <w:rFonts w:ascii="Verdana" w:cs="Verdana" w:eastAsia="Verdana" w:hAnsi="Verdana"/>
                <w:sz w:val="18"/>
                <w:szCs w:val="18"/>
                <w:color w:val="808285"/>
                <w:w w:val="99"/>
              </w:rPr>
              <w:t xml:space="preserve">First Busey Corporation | 2023 </w:t>
            </w:r>
            <w:r>
              <w:rPr>
                <w:rFonts w:ascii="Verdana" w:cs="Verdana" w:eastAsia="Verdana" w:hAnsi="Verdana"/>
                <w:sz w:val="18"/>
                <w:szCs w:val="18"/>
                <w:b w:val="1"/>
                <w:bCs w:val="1"/>
                <w:color w:val="376484"/>
                <w:w w:val="99"/>
              </w:rPr>
              <w:t>— 5</w:t>
            </w:r>
          </w:p>
        </w:tc>
      </w:tr>
      <w:tr>
        <w:trPr>
          <w:trHeight w:val="641"/>
        </w:trPr>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320" w:type="dxa"/>
            <w:vAlign w:val="bottom"/>
          </w:tcPr>
          <w:p>
            <w:pPr>
              <w:ind w:left="5280"/>
              <w:spacing w:after="0"/>
              <w:rPr>
                <w:sz w:val="20"/>
                <w:szCs w:val="20"/>
                <w:color w:val="auto"/>
              </w:rPr>
            </w:pPr>
            <w:r>
              <w:rPr>
                <w:rFonts w:ascii="Verdana" w:cs="Verdana" w:eastAsia="Verdana" w:hAnsi="Verdana"/>
                <w:sz w:val="18"/>
                <w:szCs w:val="18"/>
                <w:b w:val="1"/>
                <w:bCs w:val="1"/>
                <w:color w:val="auto"/>
              </w:rPr>
              <w:t>PART I</w:t>
            </w:r>
          </w:p>
        </w:tc>
        <w:tc>
          <w:tcPr>
            <w:tcW w:w="1900" w:type="dxa"/>
            <w:vAlign w:val="bottom"/>
          </w:tcPr>
          <w:p>
            <w:pPr>
              <w:spacing w:after="0"/>
              <w:rPr>
                <w:sz w:val="20"/>
                <w:szCs w:val="20"/>
                <w:color w:val="auto"/>
              </w:rPr>
            </w:pPr>
          </w:p>
        </w:tc>
      </w:tr>
      <w:tr>
        <w:trPr>
          <w:trHeight w:val="392"/>
        </w:trPr>
        <w:tc>
          <w:tcPr>
            <w:tcW w:w="9320" w:type="dxa"/>
            <w:vAlign w:val="bottom"/>
          </w:tcPr>
          <w:p>
            <w:pPr>
              <w:ind w:left="4680"/>
              <w:spacing w:after="0"/>
              <w:rPr>
                <w:sz w:val="20"/>
                <w:szCs w:val="20"/>
                <w:color w:val="auto"/>
              </w:rPr>
            </w:pPr>
            <w:r>
              <w:rPr>
                <w:rFonts w:ascii="Verdana" w:cs="Verdana" w:eastAsia="Verdana" w:hAnsi="Verdana"/>
                <w:sz w:val="18"/>
                <w:szCs w:val="18"/>
                <w:b w:val="1"/>
                <w:bCs w:val="1"/>
                <w:color w:val="auto"/>
              </w:rPr>
              <w:t>ITEM 1. BUSINESS</w:t>
            </w:r>
          </w:p>
        </w:tc>
        <w:tc>
          <w:tcPr>
            <w:tcW w:w="1900" w:type="dxa"/>
            <w:vAlign w:val="bottom"/>
          </w:tcPr>
          <w:p>
            <w:pPr>
              <w:spacing w:after="0"/>
              <w:rPr>
                <w:sz w:val="24"/>
                <w:szCs w:val="24"/>
                <w:color w:val="auto"/>
              </w:rPr>
            </w:pPr>
          </w:p>
        </w:tc>
      </w:tr>
      <w:tr>
        <w:trPr>
          <w:trHeight w:val="392"/>
        </w:trPr>
        <w:tc>
          <w:tcPr>
            <w:tcW w:w="9320" w:type="dxa"/>
            <w:vAlign w:val="bottom"/>
          </w:tcPr>
          <w:p>
            <w:pPr>
              <w:spacing w:after="0"/>
              <w:rPr>
                <w:sz w:val="20"/>
                <w:szCs w:val="20"/>
                <w:color w:val="auto"/>
              </w:rPr>
            </w:pPr>
            <w:r>
              <w:rPr>
                <w:rFonts w:ascii="Verdana" w:cs="Verdana" w:eastAsia="Verdana" w:hAnsi="Verdana"/>
                <w:sz w:val="18"/>
                <w:szCs w:val="18"/>
                <w:b w:val="1"/>
                <w:bCs w:val="1"/>
                <w:color w:val="auto"/>
              </w:rPr>
              <w:t>Contents of Item 1. Business</w:t>
            </w:r>
          </w:p>
        </w:tc>
        <w:tc>
          <w:tcPr>
            <w:tcW w:w="1900" w:type="dxa"/>
            <w:vAlign w:val="bottom"/>
          </w:tcPr>
          <w:p>
            <w:pPr>
              <w:spacing w:after="0"/>
              <w:rPr>
                <w:sz w:val="24"/>
                <w:szCs w:val="24"/>
                <w:color w:val="auto"/>
              </w:rPr>
            </w:pPr>
          </w:p>
        </w:tc>
      </w:tr>
      <w:tr>
        <w:trPr>
          <w:trHeight w:val="459"/>
        </w:trPr>
        <w:tc>
          <w:tcPr>
            <w:tcW w:w="9320" w:type="dxa"/>
            <w:vAlign w:val="bottom"/>
          </w:tcPr>
          <w:p>
            <w:pPr>
              <w:ind w:left="20"/>
              <w:spacing w:after="0"/>
              <w:rPr>
                <w:sz w:val="20"/>
                <w:szCs w:val="20"/>
                <w:color w:val="auto"/>
              </w:rPr>
            </w:pPr>
            <w:r>
              <w:rPr>
                <w:rFonts w:ascii="Verdana" w:cs="Verdana" w:eastAsia="Verdana" w:hAnsi="Verdana"/>
                <w:sz w:val="18"/>
                <w:szCs w:val="18"/>
                <w:color w:val="auto"/>
              </w:rPr>
              <w:t>ORGANIZATION</w:t>
            </w:r>
          </w:p>
        </w:tc>
        <w:tc>
          <w:tcPr>
            <w:tcW w:w="1900" w:type="dxa"/>
            <w:vAlign w:val="bottom"/>
          </w:tcPr>
          <w:p>
            <w:pPr>
              <w:jc w:val="right"/>
              <w:spacing w:after="0"/>
              <w:rPr>
                <w:sz w:val="20"/>
                <w:szCs w:val="20"/>
                <w:color w:val="auto"/>
              </w:rPr>
            </w:pPr>
            <w:r>
              <w:rPr>
                <w:rFonts w:ascii="Verdana" w:cs="Verdana" w:eastAsia="Verdana" w:hAnsi="Verdana"/>
                <w:sz w:val="18"/>
                <w:szCs w:val="18"/>
                <w:color w:val="auto"/>
              </w:rPr>
              <w:t>6</w:t>
            </w:r>
          </w:p>
        </w:tc>
      </w:tr>
      <w:tr>
        <w:trPr>
          <w:trHeight w:val="283"/>
        </w:trPr>
        <w:tc>
          <w:tcPr>
            <w:tcW w:w="9320" w:type="dxa"/>
            <w:vAlign w:val="bottom"/>
          </w:tcPr>
          <w:p>
            <w:pPr>
              <w:ind w:left="20"/>
              <w:spacing w:after="0"/>
              <w:rPr>
                <w:sz w:val="20"/>
                <w:szCs w:val="20"/>
                <w:color w:val="auto"/>
              </w:rPr>
            </w:pPr>
            <w:r>
              <w:rPr>
                <w:rFonts w:ascii="Verdana" w:cs="Verdana" w:eastAsia="Verdana" w:hAnsi="Verdana"/>
                <w:sz w:val="18"/>
                <w:szCs w:val="18"/>
                <w:color w:val="auto"/>
              </w:rPr>
              <w:t>ACQUISITIONS</w:t>
            </w:r>
          </w:p>
        </w:tc>
        <w:tc>
          <w:tcPr>
            <w:tcW w:w="1900" w:type="dxa"/>
            <w:vAlign w:val="bottom"/>
          </w:tcPr>
          <w:p>
            <w:pPr>
              <w:jc w:val="right"/>
              <w:spacing w:after="0"/>
              <w:rPr>
                <w:sz w:val="20"/>
                <w:szCs w:val="20"/>
                <w:color w:val="auto"/>
              </w:rPr>
            </w:pPr>
            <w:r>
              <w:rPr>
                <w:rFonts w:ascii="Verdana" w:cs="Verdana" w:eastAsia="Verdana" w:hAnsi="Verdana"/>
                <w:sz w:val="18"/>
                <w:szCs w:val="18"/>
                <w:color w:val="auto"/>
              </w:rPr>
              <w:t>7</w:t>
            </w:r>
          </w:p>
        </w:tc>
      </w:tr>
      <w:tr>
        <w:trPr>
          <w:trHeight w:val="283"/>
        </w:trPr>
        <w:tc>
          <w:tcPr>
            <w:tcW w:w="9320" w:type="dxa"/>
            <w:vAlign w:val="bottom"/>
          </w:tcPr>
          <w:p>
            <w:pPr>
              <w:ind w:left="20"/>
              <w:spacing w:after="0"/>
              <w:rPr>
                <w:sz w:val="20"/>
                <w:szCs w:val="20"/>
                <w:color w:val="auto"/>
              </w:rPr>
            </w:pPr>
            <w:r>
              <w:rPr>
                <w:rFonts w:ascii="Verdana" w:cs="Verdana" w:eastAsia="Verdana" w:hAnsi="Verdana"/>
                <w:sz w:val="18"/>
                <w:szCs w:val="18"/>
                <w:color w:val="auto"/>
              </w:rPr>
              <w:t>BANKING CENTER MARKETS</w:t>
            </w:r>
          </w:p>
        </w:tc>
        <w:tc>
          <w:tcPr>
            <w:tcW w:w="1900" w:type="dxa"/>
            <w:vAlign w:val="bottom"/>
          </w:tcPr>
          <w:p>
            <w:pPr>
              <w:jc w:val="right"/>
              <w:spacing w:after="0"/>
              <w:rPr>
                <w:sz w:val="20"/>
                <w:szCs w:val="20"/>
                <w:color w:val="auto"/>
              </w:rPr>
            </w:pPr>
            <w:r>
              <w:rPr>
                <w:rFonts w:ascii="Verdana" w:cs="Verdana" w:eastAsia="Verdana" w:hAnsi="Verdana"/>
                <w:sz w:val="18"/>
                <w:szCs w:val="18"/>
                <w:color w:val="auto"/>
              </w:rPr>
              <w:t>8</w:t>
            </w:r>
          </w:p>
        </w:tc>
      </w:tr>
      <w:tr>
        <w:trPr>
          <w:trHeight w:val="283"/>
        </w:trPr>
        <w:tc>
          <w:tcPr>
            <w:tcW w:w="9320" w:type="dxa"/>
            <w:vAlign w:val="bottom"/>
          </w:tcPr>
          <w:p>
            <w:pPr>
              <w:ind w:left="20"/>
              <w:spacing w:after="0"/>
              <w:rPr>
                <w:sz w:val="20"/>
                <w:szCs w:val="20"/>
                <w:color w:val="auto"/>
              </w:rPr>
            </w:pPr>
            <w:r>
              <w:rPr>
                <w:rFonts w:ascii="Verdana" w:cs="Verdana" w:eastAsia="Verdana" w:hAnsi="Verdana"/>
                <w:sz w:val="18"/>
                <w:szCs w:val="18"/>
                <w:color w:val="auto"/>
              </w:rPr>
              <w:t>HUMAN CAPITAL</w:t>
            </w:r>
          </w:p>
        </w:tc>
        <w:tc>
          <w:tcPr>
            <w:tcW w:w="1900" w:type="dxa"/>
            <w:vAlign w:val="bottom"/>
          </w:tcPr>
          <w:p>
            <w:pPr>
              <w:jc w:val="right"/>
              <w:spacing w:after="0"/>
              <w:rPr>
                <w:sz w:val="20"/>
                <w:szCs w:val="20"/>
                <w:color w:val="auto"/>
              </w:rPr>
            </w:pPr>
            <w:r>
              <w:rPr>
                <w:rFonts w:ascii="Verdana" w:cs="Verdana" w:eastAsia="Verdana" w:hAnsi="Verdana"/>
                <w:sz w:val="18"/>
                <w:szCs w:val="18"/>
                <w:color w:val="auto"/>
              </w:rPr>
              <w:t>10</w:t>
            </w:r>
          </w:p>
        </w:tc>
      </w:tr>
      <w:tr>
        <w:trPr>
          <w:trHeight w:val="283"/>
        </w:trPr>
        <w:tc>
          <w:tcPr>
            <w:tcW w:w="9320" w:type="dxa"/>
            <w:vAlign w:val="bottom"/>
          </w:tcPr>
          <w:p>
            <w:pPr>
              <w:ind w:left="20"/>
              <w:spacing w:after="0"/>
              <w:rPr>
                <w:sz w:val="20"/>
                <w:szCs w:val="20"/>
                <w:color w:val="auto"/>
              </w:rPr>
            </w:pPr>
            <w:r>
              <w:rPr>
                <w:rFonts w:ascii="Verdana" w:cs="Verdana" w:eastAsia="Verdana" w:hAnsi="Verdana"/>
                <w:sz w:val="18"/>
                <w:szCs w:val="18"/>
                <w:color w:val="auto"/>
              </w:rPr>
              <w:t>CORPORATE GOVERNANCE</w:t>
            </w:r>
          </w:p>
        </w:tc>
        <w:tc>
          <w:tcPr>
            <w:tcW w:w="1900" w:type="dxa"/>
            <w:vAlign w:val="bottom"/>
          </w:tcPr>
          <w:p>
            <w:pPr>
              <w:jc w:val="right"/>
              <w:spacing w:after="0"/>
              <w:rPr>
                <w:sz w:val="20"/>
                <w:szCs w:val="20"/>
                <w:color w:val="auto"/>
              </w:rPr>
            </w:pPr>
            <w:r>
              <w:rPr>
                <w:rFonts w:ascii="Verdana" w:cs="Verdana" w:eastAsia="Verdana" w:hAnsi="Verdana"/>
                <w:sz w:val="18"/>
                <w:szCs w:val="18"/>
                <w:color w:val="auto"/>
              </w:rPr>
              <w:t>11</w:t>
            </w:r>
          </w:p>
        </w:tc>
      </w:tr>
      <w:tr>
        <w:trPr>
          <w:trHeight w:val="283"/>
        </w:trPr>
        <w:tc>
          <w:tcPr>
            <w:tcW w:w="9320" w:type="dxa"/>
            <w:vAlign w:val="bottom"/>
          </w:tcPr>
          <w:p>
            <w:pPr>
              <w:ind w:left="20"/>
              <w:spacing w:after="0"/>
              <w:rPr>
                <w:sz w:val="20"/>
                <w:szCs w:val="20"/>
                <w:color w:val="auto"/>
              </w:rPr>
            </w:pPr>
            <w:r>
              <w:rPr>
                <w:rFonts w:ascii="Verdana" w:cs="Verdana" w:eastAsia="Verdana" w:hAnsi="Verdana"/>
                <w:sz w:val="18"/>
                <w:szCs w:val="18"/>
                <w:color w:val="auto"/>
              </w:rPr>
              <w:t>SUPERVISION, REGULATION, AND OTHER FACTORS</w:t>
            </w:r>
          </w:p>
        </w:tc>
        <w:tc>
          <w:tcPr>
            <w:tcW w:w="1900" w:type="dxa"/>
            <w:vAlign w:val="bottom"/>
          </w:tcPr>
          <w:p>
            <w:pPr>
              <w:jc w:val="right"/>
              <w:spacing w:after="0"/>
              <w:rPr>
                <w:sz w:val="20"/>
                <w:szCs w:val="20"/>
                <w:color w:val="auto"/>
              </w:rPr>
            </w:pPr>
            <w:r>
              <w:rPr>
                <w:rFonts w:ascii="Verdana" w:cs="Verdana" w:eastAsia="Verdana" w:hAnsi="Verdana"/>
                <w:sz w:val="18"/>
                <w:szCs w:val="18"/>
                <w:color w:val="auto"/>
              </w:rPr>
              <w:t>11</w:t>
            </w:r>
          </w:p>
        </w:tc>
      </w:tr>
      <w:tr>
        <w:trPr>
          <w:trHeight w:val="284"/>
        </w:trPr>
        <w:tc>
          <w:tcPr>
            <w:tcW w:w="9320" w:type="dxa"/>
            <w:vAlign w:val="bottom"/>
          </w:tcPr>
          <w:p>
            <w:pPr>
              <w:ind w:left="20"/>
              <w:spacing w:after="0"/>
              <w:rPr>
                <w:sz w:val="20"/>
                <w:szCs w:val="20"/>
                <w:color w:val="auto"/>
              </w:rPr>
            </w:pPr>
            <w:r>
              <w:rPr>
                <w:rFonts w:ascii="Verdana" w:cs="Verdana" w:eastAsia="Verdana" w:hAnsi="Verdana"/>
                <w:sz w:val="18"/>
                <w:szCs w:val="18"/>
                <w:color w:val="auto"/>
              </w:rPr>
              <w:t>SECURITIES AND EXCHANGE COMMISSION REPORTING AND OTHER INFORMATION</w:t>
            </w:r>
          </w:p>
        </w:tc>
        <w:tc>
          <w:tcPr>
            <w:tcW w:w="1900" w:type="dxa"/>
            <w:vAlign w:val="bottom"/>
          </w:tcPr>
          <w:p>
            <w:pPr>
              <w:jc w:val="right"/>
              <w:spacing w:after="0"/>
              <w:rPr>
                <w:sz w:val="20"/>
                <w:szCs w:val="20"/>
                <w:color w:val="auto"/>
              </w:rPr>
            </w:pPr>
            <w:r>
              <w:rPr>
                <w:rFonts w:ascii="Verdana" w:cs="Verdana" w:eastAsia="Verdana" w:hAnsi="Verdana"/>
                <w:sz w:val="18"/>
                <w:szCs w:val="18"/>
                <w:color w:val="auto"/>
              </w:rPr>
              <w:t>24</w:t>
            </w:r>
          </w:p>
        </w:tc>
      </w:tr>
      <w:tr>
        <w:trPr>
          <w:trHeight w:val="283"/>
        </w:trPr>
        <w:tc>
          <w:tcPr>
            <w:tcW w:w="9320" w:type="dxa"/>
            <w:vAlign w:val="bottom"/>
          </w:tcPr>
          <w:p>
            <w:pPr>
              <w:ind w:left="20"/>
              <w:spacing w:after="0"/>
              <w:rPr>
                <w:sz w:val="20"/>
                <w:szCs w:val="20"/>
                <w:color w:val="auto"/>
              </w:rPr>
            </w:pPr>
            <w:r>
              <w:rPr>
                <w:rFonts w:ascii="Verdana" w:cs="Verdana" w:eastAsia="Verdana" w:hAnsi="Verdana"/>
                <w:sz w:val="18"/>
                <w:szCs w:val="18"/>
                <w:color w:val="auto"/>
              </w:rPr>
              <w:t>NON-GAAP FINANCIAL INFORMATION</w:t>
            </w:r>
          </w:p>
        </w:tc>
        <w:tc>
          <w:tcPr>
            <w:tcW w:w="1900" w:type="dxa"/>
            <w:vAlign w:val="bottom"/>
          </w:tcPr>
          <w:p>
            <w:pPr>
              <w:jc w:val="right"/>
              <w:spacing w:after="0"/>
              <w:rPr>
                <w:sz w:val="20"/>
                <w:szCs w:val="20"/>
                <w:color w:val="auto"/>
              </w:rPr>
            </w:pPr>
            <w:r>
              <w:rPr>
                <w:rFonts w:ascii="Verdana" w:cs="Verdana" w:eastAsia="Verdana" w:hAnsi="Verdana"/>
                <w:sz w:val="18"/>
                <w:szCs w:val="18"/>
                <w:color w:val="auto"/>
              </w:rPr>
              <w:t>24</w:t>
            </w:r>
          </w:p>
        </w:tc>
      </w:tr>
      <w:tr>
        <w:trPr>
          <w:trHeight w:val="283"/>
        </w:trPr>
        <w:tc>
          <w:tcPr>
            <w:tcW w:w="9320" w:type="dxa"/>
            <w:vAlign w:val="bottom"/>
          </w:tcPr>
          <w:p>
            <w:pPr>
              <w:ind w:left="20"/>
              <w:spacing w:after="0"/>
              <w:rPr>
                <w:sz w:val="20"/>
                <w:szCs w:val="20"/>
                <w:color w:val="auto"/>
              </w:rPr>
            </w:pPr>
            <w:r>
              <w:rPr>
                <w:rFonts w:ascii="Verdana" w:cs="Verdana" w:eastAsia="Verdana" w:hAnsi="Verdana"/>
                <w:sz w:val="18"/>
                <w:szCs w:val="18"/>
                <w:color w:val="auto"/>
              </w:rPr>
              <w:t>SPECIAL CAUTIONARY NOTE REGARDING FORWARD-LOOKING STATEMENTS</w:t>
            </w:r>
          </w:p>
        </w:tc>
        <w:tc>
          <w:tcPr>
            <w:tcW w:w="1900" w:type="dxa"/>
            <w:vAlign w:val="bottom"/>
          </w:tcPr>
          <w:p>
            <w:pPr>
              <w:jc w:val="right"/>
              <w:spacing w:after="0"/>
              <w:rPr>
                <w:sz w:val="20"/>
                <w:szCs w:val="20"/>
                <w:color w:val="auto"/>
              </w:rPr>
            </w:pPr>
            <w:r>
              <w:rPr>
                <w:rFonts w:ascii="Verdana" w:cs="Verdana" w:eastAsia="Verdana" w:hAnsi="Verdana"/>
                <w:sz w:val="18"/>
                <w:szCs w:val="18"/>
                <w:color w:val="auto"/>
              </w:rPr>
              <w:t>33</w:t>
            </w:r>
          </w:p>
        </w:tc>
      </w:tr>
    </w:tbl>
    <w:p>
      <w:pPr>
        <w:spacing w:after="0" w:line="29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ORGANIZATION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First Busey Corporation is a $12.3 billion financial holding company. Organized in Nevada in 1980, First Busey Corporation is headquartered in Champaign, Illinois. First Busey Corporation’s common stock is traded on The Nasdaq Global Select Market under the symbol “BUSE.”</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Subsidiaries of First Busey Corporation</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conducts the business of banking and provides related banking services, asset management, brokerage, and fiduciary services through Busey Bank, and provides payment technology solutions through FirsTech. Busey also has various other subsidiaries that are not significant to the consolidated entity.</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Busey Bank</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Bank is an Illinois state-chartered bank organized in 1868 with its headquarters in Champaign, Illinois. Busey Bank has 46 banking centers in Illinois, eight in Missouri, three in southwest Florida, and one in Indianapolis, Indiana.</w:t>
      </w:r>
    </w:p>
    <w:p>
      <w:pPr>
        <w:spacing w:after="0" w:line="158"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Bank offers a range of diversified financial products and services for consumers and businesses, including online and mobile banking capabilities to conveniently serve our customers’ needs. Commercial services include commercial, commercial real estate, real estate construction, and agricultural loans, as well as commercial depository services such as cash management. Retail banking services include residential real estate, home equity lines of credit, consumer loans, customary types of demand and savings deposits, money transfers, safe deposit services, and individual retirement accounts and other fiduciary services through our banking center, automated teller machines, and technology-based networks.</w:t>
      </w:r>
    </w:p>
    <w:p>
      <w:pPr>
        <w:spacing w:after="0" w:line="16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Bank’s principal sources of income are interest and fees on loans and investments, wealth management fees, service fees, and payment technology solutions revenue. Principal expenses are interest paid on deposits and borrowings and general operating expenses. Busey Bank’s primary markets are central Illinois; northern Illinois, including the Chicago metropolitan area; the St. Louis, Missouri, metropolitan area; southwest Florida; and central Indiana.</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 w:name="page7"/>
    <w:bookmarkEnd w:id="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Bank provides a full range of asset management, investment, brokerage, fiduciary, philanthropic advisory, tax preparation, and farm management services to individuals, businesses, and foundations through its Wealth Management business. As of December 31, 2023, $12.1 billion of assets were under care. For individuals, Busey Bank provides investment management, trust and estate advisory services, and financial planning. For businesses, it provides investment management, business succession planning, and employee retirement plan services. For foundations, Busey Bank provides investment management, investment strategy consulting, and fiduciary services. Brokerage-related services are offered by Busey Investment Services, a division of Busey Bank, through a third-party arrangement. In addition, Busey Bank provides professional farm management and brokerage services to the agricultural industry.</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FirsTech</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FirsTech, a wholly-owned subsidiary of Busey Bank, provides comprehensive and innovative payment technology solutions. FirsTech's multi-channel payment platform allows businesses to collect payments from their customers in a variety of ways to enable fast, frictionless payments. Payment method vehicles include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 FirsTech's client base represents a diverse set of industries, with a higher concentration in highly regulated industries, such as financial institutions, utility, insurance, and telecommunications industries.</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First Busey Risk Management</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First Busey Risk Management, previously a wholly-owned subsidiary of First Busey Corporation, incorporated in Nevada, was dissolved on December 18, 2023. It was a captive insurance company that insured against certain risks unique to the operations of First Busey Corporation and its subsidiaries for which insurance may not have been available or economically feasible in the insurance marketplace. First Busey Risk Management pooled resources with several other similar insurance company subsidiaries of financial institutions to spread a limited amount of risk among themselves.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ACQUISITIONS</w:t>
      </w:r>
    </w:p>
    <w:p>
      <w:pPr>
        <w:spacing w:after="0" w:line="18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Over the last several years, Busey completed the following acquisitions as part of our strategy to expand into new service areas and to provide broader coverage in areas where we already maintain a presence: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b w:val="1"/>
                <w:bCs w:val="1"/>
                <w:color w:val="auto"/>
              </w:rPr>
              <w:t>Acquisition Date</w:t>
            </w:r>
          </w:p>
        </w:tc>
        <w:tc>
          <w:tcPr>
            <w:tcW w:w="80" w:type="dxa"/>
            <w:vAlign w:val="bottom"/>
            <w:tcBorders>
              <w:bottom w:val="single" w:sz="8" w:color="E0E7ED"/>
            </w:tcBorders>
          </w:tcPr>
          <w:p>
            <w:pPr>
              <w:spacing w:after="0"/>
              <w:rPr>
                <w:sz w:val="15"/>
                <w:szCs w:val="15"/>
                <w:color w:val="auto"/>
              </w:rPr>
            </w:pPr>
          </w:p>
        </w:tc>
        <w:tc>
          <w:tcPr>
            <w:tcW w:w="900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b w:val="1"/>
                <w:bCs w:val="1"/>
                <w:color w:val="auto"/>
              </w:rPr>
              <w:t>Companies Acquired</w:t>
            </w:r>
          </w:p>
        </w:tc>
      </w:tr>
      <w:tr>
        <w:trPr>
          <w:trHeight w:val="270"/>
        </w:trPr>
        <w:tc>
          <w:tcPr>
            <w:tcW w:w="22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January 8, 2015</w:t>
            </w:r>
          </w:p>
        </w:tc>
        <w:tc>
          <w:tcPr>
            <w:tcW w:w="9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Herget Financial Corp. and its wholly-owned bank subsidiary, Herget Bank, National Association</w:t>
            </w:r>
          </w:p>
        </w:tc>
      </w:tr>
      <w:tr>
        <w:trPr>
          <w:trHeight w:val="263"/>
        </w:trPr>
        <w:tc>
          <w:tcPr>
            <w:tcW w:w="2240" w:type="dxa"/>
            <w:vAlign w:val="bottom"/>
            <w:gridSpan w:val="2"/>
          </w:tcPr>
          <w:p>
            <w:pPr>
              <w:ind w:left="20"/>
              <w:spacing w:after="0"/>
              <w:rPr>
                <w:sz w:val="20"/>
                <w:szCs w:val="20"/>
                <w:color w:val="auto"/>
              </w:rPr>
            </w:pPr>
            <w:r>
              <w:rPr>
                <w:rFonts w:ascii="Verdana" w:cs="Verdana" w:eastAsia="Verdana" w:hAnsi="Verdana"/>
                <w:sz w:val="18"/>
                <w:szCs w:val="18"/>
                <w:color w:val="auto"/>
              </w:rPr>
              <w:t>April 30, 2016</w:t>
            </w:r>
          </w:p>
        </w:tc>
        <w:tc>
          <w:tcPr>
            <w:tcW w:w="9000" w:type="dxa"/>
            <w:vAlign w:val="bottom"/>
          </w:tcPr>
          <w:p>
            <w:pPr>
              <w:ind w:left="20"/>
              <w:spacing w:after="0"/>
              <w:rPr>
                <w:sz w:val="20"/>
                <w:szCs w:val="20"/>
                <w:color w:val="auto"/>
              </w:rPr>
            </w:pPr>
            <w:r>
              <w:rPr>
                <w:rFonts w:ascii="Verdana" w:cs="Verdana" w:eastAsia="Verdana" w:hAnsi="Verdana"/>
                <w:sz w:val="18"/>
                <w:szCs w:val="18"/>
                <w:color w:val="auto"/>
              </w:rPr>
              <w:t>Pulaski Financial Corp. and its wholly-owned subsidiary, Pulaski Bank, National Association</w:t>
            </w:r>
          </w:p>
        </w:tc>
      </w:tr>
      <w:tr>
        <w:trPr>
          <w:trHeight w:val="244"/>
        </w:trPr>
        <w:tc>
          <w:tcPr>
            <w:tcW w:w="22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July 2, 2017</w:t>
            </w:r>
          </w:p>
        </w:tc>
        <w:tc>
          <w:tcPr>
            <w:tcW w:w="9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Community Financial Partners, Inc. and its wholly-owned subsidiary, First Community</w:t>
            </w:r>
          </w:p>
        </w:tc>
      </w:tr>
      <w:tr>
        <w:trPr>
          <w:trHeight w:val="248"/>
        </w:trPr>
        <w:tc>
          <w:tcPr>
            <w:tcW w:w="21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9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Financial Bank</w:t>
            </w:r>
          </w:p>
        </w:tc>
      </w:tr>
      <w:tr>
        <w:trPr>
          <w:trHeight w:val="238"/>
        </w:trPr>
        <w:tc>
          <w:tcPr>
            <w:tcW w:w="2240" w:type="dxa"/>
            <w:vAlign w:val="bottom"/>
            <w:gridSpan w:val="2"/>
          </w:tcPr>
          <w:p>
            <w:pPr>
              <w:ind w:left="20"/>
              <w:spacing w:after="0"/>
              <w:rPr>
                <w:sz w:val="20"/>
                <w:szCs w:val="20"/>
                <w:color w:val="auto"/>
              </w:rPr>
            </w:pPr>
            <w:r>
              <w:rPr>
                <w:rFonts w:ascii="Verdana" w:cs="Verdana" w:eastAsia="Verdana" w:hAnsi="Verdana"/>
                <w:sz w:val="18"/>
                <w:szCs w:val="18"/>
                <w:color w:val="auto"/>
              </w:rPr>
              <w:t>October 1, 2017</w:t>
            </w:r>
          </w:p>
        </w:tc>
        <w:tc>
          <w:tcPr>
            <w:tcW w:w="9000" w:type="dxa"/>
            <w:vAlign w:val="bottom"/>
          </w:tcPr>
          <w:p>
            <w:pPr>
              <w:ind w:left="20"/>
              <w:spacing w:after="0"/>
              <w:rPr>
                <w:sz w:val="20"/>
                <w:szCs w:val="20"/>
                <w:color w:val="auto"/>
              </w:rPr>
            </w:pPr>
            <w:r>
              <w:rPr>
                <w:rFonts w:ascii="Verdana" w:cs="Verdana" w:eastAsia="Verdana" w:hAnsi="Verdana"/>
                <w:sz w:val="18"/>
                <w:szCs w:val="18"/>
                <w:color w:val="auto"/>
              </w:rPr>
              <w:t>Mid Illinois Bancorp, Inc. and its wholly-owned subsidiary, South Side Trust &amp; Savings Bank of</w:t>
            </w:r>
          </w:p>
        </w:tc>
      </w:tr>
      <w:tr>
        <w:trPr>
          <w:trHeight w:val="242"/>
        </w:trPr>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0" w:type="dxa"/>
            <w:vAlign w:val="bottom"/>
          </w:tcPr>
          <w:p>
            <w:pPr>
              <w:ind w:left="20"/>
              <w:spacing w:after="0"/>
              <w:rPr>
                <w:sz w:val="20"/>
                <w:szCs w:val="20"/>
                <w:color w:val="auto"/>
              </w:rPr>
            </w:pPr>
            <w:r>
              <w:rPr>
                <w:rFonts w:ascii="Verdana" w:cs="Verdana" w:eastAsia="Verdana" w:hAnsi="Verdana"/>
                <w:sz w:val="18"/>
                <w:szCs w:val="18"/>
                <w:color w:val="auto"/>
              </w:rPr>
              <w:t>Peoria</w:t>
            </w:r>
          </w:p>
        </w:tc>
      </w:tr>
      <w:tr>
        <w:trPr>
          <w:trHeight w:val="277"/>
        </w:trPr>
        <w:tc>
          <w:tcPr>
            <w:tcW w:w="22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January 31, 2019</w:t>
            </w:r>
          </w:p>
        </w:tc>
        <w:tc>
          <w:tcPr>
            <w:tcW w:w="9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The Bank Ed Corp. and its wholly-owned subsidiary, TheBANK of Edwardsville</w:t>
            </w:r>
          </w:p>
        </w:tc>
      </w:tr>
      <w:tr>
        <w:trPr>
          <w:trHeight w:val="263"/>
        </w:trPr>
        <w:tc>
          <w:tcPr>
            <w:tcW w:w="2240" w:type="dxa"/>
            <w:vAlign w:val="bottom"/>
            <w:gridSpan w:val="2"/>
          </w:tcPr>
          <w:p>
            <w:pPr>
              <w:ind w:left="20"/>
              <w:spacing w:after="0"/>
              <w:rPr>
                <w:sz w:val="20"/>
                <w:szCs w:val="20"/>
                <w:color w:val="auto"/>
              </w:rPr>
            </w:pPr>
            <w:r>
              <w:rPr>
                <w:rFonts w:ascii="Verdana" w:cs="Verdana" w:eastAsia="Verdana" w:hAnsi="Verdana"/>
                <w:sz w:val="18"/>
                <w:szCs w:val="18"/>
                <w:color w:val="auto"/>
              </w:rPr>
              <w:t>August 31, 2019</w:t>
            </w:r>
          </w:p>
        </w:tc>
        <w:tc>
          <w:tcPr>
            <w:tcW w:w="9000" w:type="dxa"/>
            <w:vAlign w:val="bottom"/>
          </w:tcPr>
          <w:p>
            <w:pPr>
              <w:ind w:left="20"/>
              <w:spacing w:after="0"/>
              <w:rPr>
                <w:sz w:val="20"/>
                <w:szCs w:val="20"/>
                <w:color w:val="auto"/>
              </w:rPr>
            </w:pPr>
            <w:r>
              <w:rPr>
                <w:rFonts w:ascii="Verdana" w:cs="Verdana" w:eastAsia="Verdana" w:hAnsi="Verdana"/>
                <w:sz w:val="18"/>
                <w:szCs w:val="18"/>
                <w:color w:val="auto"/>
              </w:rPr>
              <w:t>Investors' Security Trust Company</w:t>
            </w:r>
          </w:p>
        </w:tc>
      </w:tr>
      <w:tr>
        <w:trPr>
          <w:trHeight w:val="277"/>
        </w:trPr>
        <w:tc>
          <w:tcPr>
            <w:tcW w:w="22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May 31, 2021</w:t>
            </w:r>
          </w:p>
        </w:tc>
        <w:tc>
          <w:tcPr>
            <w:tcW w:w="9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Cummins-American Corp. and its wholly-owned subsidiary, Glenview State Bank</w:t>
            </w:r>
          </w:p>
        </w:tc>
      </w:tr>
      <w:tr>
        <w:trPr>
          <w:trHeight w:val="238"/>
        </w:trPr>
        <w:tc>
          <w:tcPr>
            <w:tcW w:w="2240" w:type="dxa"/>
            <w:vAlign w:val="bottom"/>
            <w:gridSpan w:val="2"/>
          </w:tcPr>
          <w:p>
            <w:pPr>
              <w:ind w:left="20"/>
              <w:spacing w:after="0"/>
              <w:rPr>
                <w:sz w:val="20"/>
                <w:szCs w:val="20"/>
                <w:color w:val="auto"/>
              </w:rPr>
            </w:pPr>
            <w:r>
              <w:rPr>
                <w:rFonts w:ascii="Verdana" w:cs="Verdana" w:eastAsia="Verdana" w:hAnsi="Verdana"/>
                <w:sz w:val="18"/>
                <w:szCs w:val="18"/>
                <w:color w:val="auto"/>
              </w:rPr>
              <w:t>Planned for 2024</w:t>
            </w:r>
          </w:p>
        </w:tc>
        <w:tc>
          <w:tcPr>
            <w:tcW w:w="9000" w:type="dxa"/>
            <w:vAlign w:val="bottom"/>
          </w:tcPr>
          <w:p>
            <w:pPr>
              <w:ind w:left="20"/>
              <w:spacing w:after="0"/>
              <w:rPr>
                <w:sz w:val="20"/>
                <w:szCs w:val="20"/>
                <w:color w:val="auto"/>
              </w:rPr>
            </w:pPr>
            <w:r>
              <w:rPr>
                <w:rFonts w:ascii="Verdana" w:cs="Verdana" w:eastAsia="Verdana" w:hAnsi="Verdana"/>
                <w:sz w:val="18"/>
                <w:szCs w:val="18"/>
                <w:color w:val="auto"/>
              </w:rPr>
              <w:t>Merchants and Manufacturers Bank Corporation, and its wholly-owned subsidiary, Merchants and</w:t>
            </w:r>
          </w:p>
        </w:tc>
      </w:tr>
      <w:tr>
        <w:trPr>
          <w:trHeight w:val="235"/>
        </w:trPr>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0" w:type="dxa"/>
            <w:vAlign w:val="bottom"/>
          </w:tcPr>
          <w:p>
            <w:pPr>
              <w:ind w:left="20"/>
              <w:spacing w:after="0"/>
              <w:rPr>
                <w:sz w:val="20"/>
                <w:szCs w:val="20"/>
                <w:color w:val="auto"/>
              </w:rPr>
            </w:pPr>
            <w:r>
              <w:rPr>
                <w:rFonts w:ascii="Verdana" w:cs="Verdana" w:eastAsia="Verdana" w:hAnsi="Verdana"/>
                <w:sz w:val="18"/>
                <w:szCs w:val="18"/>
                <w:color w:val="auto"/>
              </w:rPr>
              <w:t>Manufacturers Bank</w:t>
            </w:r>
          </w:p>
        </w:tc>
      </w:tr>
      <w:tr>
        <w:trPr>
          <w:trHeight w:val="567"/>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0" w:type="dxa"/>
            <w:vAlign w:val="bottom"/>
          </w:tcPr>
          <w:p>
            <w:pPr>
              <w:ind w:left="5780"/>
              <w:spacing w:after="0"/>
              <w:rPr>
                <w:sz w:val="20"/>
                <w:szCs w:val="20"/>
                <w:color w:val="auto"/>
              </w:rPr>
            </w:pPr>
            <w:r>
              <w:rPr>
                <w:rFonts w:ascii="Verdana" w:cs="Verdana" w:eastAsia="Verdana" w:hAnsi="Verdana"/>
                <w:sz w:val="18"/>
                <w:szCs w:val="18"/>
                <w:color w:val="808285"/>
                <w:w w:val="99"/>
              </w:rPr>
              <w:t xml:space="preserve">First Busey Corporation | 2023 </w:t>
            </w:r>
            <w:r>
              <w:rPr>
                <w:rFonts w:ascii="Verdana" w:cs="Verdana" w:eastAsia="Verdana" w:hAnsi="Verdana"/>
                <w:sz w:val="18"/>
                <w:szCs w:val="18"/>
                <w:b w:val="1"/>
                <w:bCs w:val="1"/>
                <w:color w:val="376484"/>
                <w:w w:val="99"/>
              </w:rPr>
              <w:t>— 7</w:t>
            </w:r>
          </w:p>
        </w:tc>
      </w:tr>
      <w:tr>
        <w:trPr>
          <w:trHeight w:val="641"/>
        </w:trPr>
        <w:tc>
          <w:tcPr>
            <w:tcW w:w="2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 w:name="page8"/>
    <w:bookmarkEnd w:id="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Further information related to completed acquisitions has been presented in the Annual Reports previously filed with the SEC corresponding to the year of each acquisition.</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Acquisition of Merchants and Manufacturers Bank Corporation Planned for The Second Quarter of 2024</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On November 27, 2023, First Busey Corporation announced the signing of a definitive agreement with M&amp;M, pursuant to which Busey will acquire M&amp;M and its wholly-owned subsidiary, M&amp;M Bank, through a merger transaction. This partnership will add M&amp;M’s Life Equity Loan</w:t>
      </w:r>
      <w:r>
        <w:rPr>
          <w:rFonts w:ascii="Verdana" w:cs="Verdana" w:eastAsia="Verdana" w:hAnsi="Verdana"/>
          <w:sz w:val="11"/>
          <w:szCs w:val="11"/>
          <w:color w:val="auto"/>
        </w:rPr>
        <w:t>®</w:t>
      </w:r>
      <w:r>
        <w:rPr>
          <w:rFonts w:ascii="Verdana" w:cs="Verdana" w:eastAsia="Verdana" w:hAnsi="Verdana"/>
          <w:sz w:val="18"/>
          <w:szCs w:val="18"/>
          <w:color w:val="auto"/>
        </w:rPr>
        <w:t xml:space="preserve"> products to Busey’s existing suite of services, and expand Busey’s presence in the Chicago Metropolitan Statistical Area.</w:t>
      </w:r>
    </w:p>
    <w:p>
      <w:pPr>
        <w:spacing w:after="0" w:line="17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Under the terms of the merger agreement, M&amp;M’s stockholders will have the right to receive for each share of M&amp;M common stock, at the election of each stockholder and subject to proration and adjustment, either (1) $117.74 in cash,</w:t>
      </w:r>
    </w:p>
    <w:p>
      <w:pPr>
        <w:spacing w:after="0" w:line="2" w:lineRule="exact"/>
        <w:rPr>
          <w:sz w:val="20"/>
          <w:szCs w:val="20"/>
          <w:color w:val="auto"/>
        </w:rPr>
      </w:pPr>
    </w:p>
    <w:p>
      <w:pPr>
        <w:jc w:val="both"/>
        <w:ind w:firstLine="8"/>
        <w:spacing w:after="0" w:line="221" w:lineRule="exact"/>
        <w:tabs>
          <w:tab w:leader="none" w:pos="373"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5.7294 shares of Busey common stock, or (3) mixed consideration of $34.55 in cash and 4.0481 shares of Busey common stock, with total consideration to consist of approximately 71% stock and 29% cash. Based upon Busey’s 20</w:t>
      </w:r>
      <w:r>
        <w:rPr>
          <w:rFonts w:ascii="MS PGothic" w:cs="MS PGothic" w:eastAsia="MS PGothic" w:hAnsi="MS PGothic"/>
          <w:sz w:val="18"/>
          <w:szCs w:val="18"/>
          <w:color w:val="auto"/>
        </w:rPr>
        <w:t>‑</w:t>
      </w:r>
      <w:r>
        <w:rPr>
          <w:rFonts w:ascii="Verdana" w:cs="Verdana" w:eastAsia="Verdana" w:hAnsi="Verdana"/>
          <w:sz w:val="18"/>
          <w:szCs w:val="18"/>
          <w:color w:val="auto"/>
        </w:rPr>
        <w:t>day volume-weighted average closing price as of November 24, 2023, the aggregate implied transaction value is approximately $41.6 million.</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merger is expected to be finalized in the second quarter of 2024, subject to customary closing conditions and required approvals, including regulatory approvals and the approval of M&amp;M’s stockholders. It is anticipated that M&amp;M Bank will be merged with and into Busey Bank at a date following the completion of the merger. At the time of the bank merger, M&amp;M Bank’s banking centers will become banking centers of Busey Bank, except for M&amp;M’s banking center located at 990 Essington Rd., Joliet, Illinois, which is expected to be closed in connection with the bank merger.</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23. Acquisitions</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in the Notes to the Consolidated Financial Statements for further information relating to this acquisition.</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BANKING CENTER MARKETS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Bank serves the Illinois banking market with 46 banking centers.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Ten of our banking centers in Illinois are located within the Chicago Metropolitan Statistical Area, and 12 of our banking centers in Illinois are located within the St. Louis Metropolitan Statistical Area.</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Bank has eight banking centers in Missouri. St. Louis, Missouri has a diverse economy with major employment sectors including health care, financial services, professional and business services, and retail. We have a total of 20 banking centers within the boundaries of the St. Louis Metropolitan Statistical Area, including branches in both Illinois and Missouri.</w:t>
      </w:r>
    </w:p>
    <w:p>
      <w:pPr>
        <w:spacing w:after="0" w:line="17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Bank has three banking centers in southwest Florida, an area which has experienced strong population growth, job growth, and an expanded housing market, as well as the benefits of a tourism and winter resort economy.</w:t>
      </w:r>
    </w:p>
    <w:p>
      <w:pPr>
        <w:spacing w:after="0" w:line="14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Bank has one banking center in the Indianapolis, Indiana area, which is the most populous city of Indiana with a diverse economy, particularly because it serves as the headquarters of many large corporations.</w:t>
      </w:r>
    </w:p>
    <w:p>
      <w:pPr>
        <w:spacing w:after="0" w:line="19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 w:name="page9"/>
    <w:bookmarkEnd w:id="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Market Competition</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Bank competes actively with national and state banks, savings and loan associations, and credit unions for deposits and loans mainly in Illinois; the St. Louis, Missouri, metropolitan area; southwest Florida; and central Indiana. Busey Bank competes for real estate and other loans primarily on the basis of type of loan, interest rates and loan fees, and the quality of services provided. Busey Bank and FirsTech compete with other financial institutions, including asset management and trust companies, security broker/dealers, personal loan companies, insurance companies, finance companies, leasing companies, mortgage companies, payment technology solution companies, financial technology companies, and certain governmental agencies, all of which actively engage in marketing various types of loans, deposit accounts, wealth management, and other products and services.</w:t>
      </w:r>
    </w:p>
    <w:p>
      <w:pPr>
        <w:spacing w:after="0" w:line="16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Bank faces substantial competition in attracting deposits from other commercial banks, savings institutions, digital banks, money market and mutual funds, credit unions, insurance agencies, brokerage firms, and other investment vehicles. Customers for banking services are generally influenced by convenience, quality of service, personal contacts, price of services, and availability of products. Busey Bank attracts a significant amount of deposits through its banking centers, primarily from the communities in which those banking centers are located; therefore, competition for those deposits is principally from other commercial banks, savings institutions, and credit unions located in the same communities. Busey Bank competes for deposits by offering a variety of deposit accounts at competitive rates, high-quality customer service, convenient business hours, technology enabled solutions including internet and mobile banking, and convenient banking centers with inter-branch deposit and withdrawal privileges.</w:t>
      </w:r>
    </w:p>
    <w:p>
      <w:pPr>
        <w:spacing w:after="0" w:line="172"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Based on information obtained from the FDIC Summary of Deposits dated June 30, 2023, the most recent report available, out of 366 financial institutions headquartered in the State of Illinois, Busey Bank ranked fourth in total deposits within the Illinois market. Further, Busey Bank ranked in the top 10 in total deposits in nine Illinois counties: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Borders>
              <w:bottom w:val="single" w:sz="8" w:color="auto"/>
            </w:tcBorders>
          </w:tcPr>
          <w:p>
            <w:pPr>
              <w:spacing w:after="0"/>
              <w:rPr>
                <w:sz w:val="15"/>
                <w:szCs w:val="15"/>
                <w:color w:val="auto"/>
              </w:rPr>
            </w:pPr>
          </w:p>
        </w:tc>
        <w:tc>
          <w:tcPr>
            <w:tcW w:w="8260" w:type="dxa"/>
            <w:vAlign w:val="bottom"/>
            <w:tcBorders>
              <w:bottom w:val="single" w:sz="8" w:color="auto"/>
            </w:tcBorders>
            <w:gridSpan w:val="3"/>
          </w:tcPr>
          <w:p>
            <w:pPr>
              <w:ind w:left="1940"/>
              <w:spacing w:after="0"/>
              <w:rPr>
                <w:sz w:val="20"/>
                <w:szCs w:val="20"/>
                <w:color w:val="auto"/>
              </w:rPr>
            </w:pPr>
            <w:r>
              <w:rPr>
                <w:rFonts w:ascii="Verdana" w:cs="Verdana" w:eastAsia="Verdana" w:hAnsi="Verdana"/>
                <w:sz w:val="13"/>
                <w:szCs w:val="13"/>
                <w:b w:val="1"/>
                <w:bCs w:val="1"/>
                <w:color w:val="auto"/>
              </w:rPr>
              <w:t>As of June 30, 2023</w:t>
            </w:r>
          </w:p>
        </w:tc>
        <w:tc>
          <w:tcPr>
            <w:tcW w:w="0" w:type="dxa"/>
            <w:vAlign w:val="bottom"/>
          </w:tcPr>
          <w:p>
            <w:pPr>
              <w:spacing w:after="0"/>
              <w:rPr>
                <w:sz w:val="1"/>
                <w:szCs w:val="1"/>
                <w:color w:val="auto"/>
              </w:rPr>
            </w:pPr>
          </w:p>
        </w:tc>
      </w:tr>
      <w:tr>
        <w:trPr>
          <w:trHeight w:val="121"/>
        </w:trPr>
        <w:tc>
          <w:tcPr>
            <w:tcW w:w="298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County</w:t>
            </w:r>
          </w:p>
        </w:tc>
        <w:tc>
          <w:tcPr>
            <w:tcW w:w="5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6"/>
              </w:rPr>
              <w:t>Busey Bank</w:t>
            </w:r>
          </w:p>
        </w:tc>
        <w:tc>
          <w:tcPr>
            <w:tcW w:w="0" w:type="dxa"/>
            <w:vAlign w:val="bottom"/>
          </w:tcPr>
          <w:p>
            <w:pPr>
              <w:spacing w:after="0"/>
              <w:rPr>
                <w:sz w:val="1"/>
                <w:szCs w:val="1"/>
                <w:color w:val="auto"/>
              </w:rPr>
            </w:pPr>
          </w:p>
        </w:tc>
      </w:tr>
      <w:tr>
        <w:trPr>
          <w:trHeight w:val="170"/>
        </w:trPr>
        <w:tc>
          <w:tcPr>
            <w:tcW w:w="2980" w:type="dxa"/>
            <w:vAlign w:val="bottom"/>
            <w:tcBorders>
              <w:bottom w:val="single" w:sz="8" w:color="auto"/>
            </w:tcBorders>
            <w:vMerge w:val="continue"/>
          </w:tcPr>
          <w:p>
            <w:pPr>
              <w:spacing w:after="0"/>
              <w:rPr>
                <w:sz w:val="14"/>
                <w:szCs w:val="14"/>
                <w:color w:val="auto"/>
              </w:rPr>
            </w:pPr>
          </w:p>
        </w:tc>
        <w:tc>
          <w:tcPr>
            <w:tcW w:w="5880" w:type="dxa"/>
            <w:vAlign w:val="bottom"/>
            <w:tcBorders>
              <w:bottom w:val="single" w:sz="8" w:color="auto"/>
            </w:tcBorders>
          </w:tcPr>
          <w:p>
            <w:pPr>
              <w:spacing w:after="0"/>
              <w:rPr>
                <w:sz w:val="14"/>
                <w:szCs w:val="14"/>
                <w:color w:val="auto"/>
              </w:rPr>
            </w:pPr>
          </w:p>
        </w:tc>
        <w:tc>
          <w:tcPr>
            <w:tcW w:w="120" w:type="dxa"/>
            <w:vAlign w:val="bottom"/>
            <w:tcBorders>
              <w:bottom w:val="single" w:sz="8" w:color="E0E7ED"/>
            </w:tcBorders>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Market Share Ranking</w:t>
            </w:r>
          </w:p>
        </w:tc>
        <w:tc>
          <w:tcPr>
            <w:tcW w:w="0" w:type="dxa"/>
            <w:vAlign w:val="bottom"/>
          </w:tcPr>
          <w:p>
            <w:pPr>
              <w:spacing w:after="0"/>
              <w:rPr>
                <w:sz w:val="1"/>
                <w:szCs w:val="1"/>
                <w:color w:val="auto"/>
              </w:rPr>
            </w:pPr>
          </w:p>
        </w:tc>
      </w:tr>
      <w:tr>
        <w:trPr>
          <w:trHeight w:val="269"/>
        </w:trPr>
        <w:tc>
          <w:tcPr>
            <w:tcW w:w="2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Champaign</w:t>
            </w:r>
          </w:p>
        </w:tc>
        <w:tc>
          <w:tcPr>
            <w:tcW w:w="8260" w:type="dxa"/>
            <w:vAlign w:val="bottom"/>
            <w:gridSpan w:val="3"/>
            <w:shd w:val="clear" w:color="auto" w:fill="E0E7ED"/>
          </w:tcPr>
          <w:p>
            <w:pPr>
              <w:jc w:val="center"/>
              <w:ind w:left="5893"/>
              <w:spacing w:after="0"/>
              <w:rPr>
                <w:sz w:val="20"/>
                <w:szCs w:val="20"/>
                <w:color w:val="auto"/>
              </w:rPr>
            </w:pPr>
            <w:r>
              <w:rPr>
                <w:rFonts w:ascii="Verdana" w:cs="Verdana" w:eastAsia="Verdana" w:hAnsi="Verdana"/>
                <w:sz w:val="18"/>
                <w:szCs w:val="18"/>
                <w:color w:val="auto"/>
              </w:rPr>
              <w:t>1</w:t>
            </w:r>
          </w:p>
        </w:tc>
        <w:tc>
          <w:tcPr>
            <w:tcW w:w="0" w:type="dxa"/>
            <w:vAlign w:val="bottom"/>
          </w:tcPr>
          <w:p>
            <w:pPr>
              <w:spacing w:after="0"/>
              <w:rPr>
                <w:sz w:val="1"/>
                <w:szCs w:val="1"/>
                <w:color w:val="auto"/>
              </w:rPr>
            </w:pPr>
          </w:p>
        </w:tc>
      </w:tr>
      <w:tr>
        <w:trPr>
          <w:trHeight w:val="263"/>
        </w:trPr>
        <w:tc>
          <w:tcPr>
            <w:tcW w:w="2980" w:type="dxa"/>
            <w:vAlign w:val="bottom"/>
          </w:tcPr>
          <w:p>
            <w:pPr>
              <w:ind w:left="20"/>
              <w:spacing w:after="0"/>
              <w:rPr>
                <w:sz w:val="20"/>
                <w:szCs w:val="20"/>
                <w:color w:val="auto"/>
              </w:rPr>
            </w:pPr>
            <w:r>
              <w:rPr>
                <w:rFonts w:ascii="Verdana" w:cs="Verdana" w:eastAsia="Verdana" w:hAnsi="Verdana"/>
                <w:sz w:val="18"/>
                <w:szCs w:val="18"/>
                <w:color w:val="auto"/>
              </w:rPr>
              <w:t>Macon</w:t>
            </w:r>
          </w:p>
        </w:tc>
        <w:tc>
          <w:tcPr>
            <w:tcW w:w="8260" w:type="dxa"/>
            <w:vAlign w:val="bottom"/>
            <w:gridSpan w:val="3"/>
          </w:tcPr>
          <w:p>
            <w:pPr>
              <w:jc w:val="center"/>
              <w:ind w:left="5893"/>
              <w:spacing w:after="0"/>
              <w:rPr>
                <w:sz w:val="20"/>
                <w:szCs w:val="20"/>
                <w:color w:val="auto"/>
              </w:rPr>
            </w:pPr>
            <w:r>
              <w:rPr>
                <w:rFonts w:ascii="Verdana" w:cs="Verdana" w:eastAsia="Verdana" w:hAnsi="Verdana"/>
                <w:sz w:val="18"/>
                <w:szCs w:val="18"/>
                <w:color w:val="auto"/>
              </w:rPr>
              <w:t>1</w:t>
            </w:r>
          </w:p>
        </w:tc>
        <w:tc>
          <w:tcPr>
            <w:tcW w:w="0" w:type="dxa"/>
            <w:vAlign w:val="bottom"/>
          </w:tcPr>
          <w:p>
            <w:pPr>
              <w:spacing w:after="0"/>
              <w:rPr>
                <w:sz w:val="1"/>
                <w:szCs w:val="1"/>
                <w:color w:val="auto"/>
              </w:rPr>
            </w:pPr>
          </w:p>
        </w:tc>
      </w:tr>
      <w:tr>
        <w:trPr>
          <w:trHeight w:val="277"/>
        </w:trPr>
        <w:tc>
          <w:tcPr>
            <w:tcW w:w="2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Madison</w:t>
            </w:r>
          </w:p>
        </w:tc>
        <w:tc>
          <w:tcPr>
            <w:tcW w:w="8260" w:type="dxa"/>
            <w:vAlign w:val="bottom"/>
            <w:gridSpan w:val="3"/>
            <w:shd w:val="clear" w:color="auto" w:fill="E0E7ED"/>
          </w:tcPr>
          <w:p>
            <w:pPr>
              <w:jc w:val="center"/>
              <w:ind w:left="5893"/>
              <w:spacing w:after="0"/>
              <w:rPr>
                <w:sz w:val="20"/>
                <w:szCs w:val="20"/>
                <w:color w:val="auto"/>
              </w:rPr>
            </w:pPr>
            <w:r>
              <w:rPr>
                <w:rFonts w:ascii="Verdana" w:cs="Verdana" w:eastAsia="Verdana" w:hAnsi="Verdana"/>
                <w:sz w:val="18"/>
                <w:szCs w:val="18"/>
                <w:color w:val="auto"/>
              </w:rPr>
              <w:t>1</w:t>
            </w:r>
          </w:p>
        </w:tc>
        <w:tc>
          <w:tcPr>
            <w:tcW w:w="0" w:type="dxa"/>
            <w:vAlign w:val="bottom"/>
          </w:tcPr>
          <w:p>
            <w:pPr>
              <w:spacing w:after="0"/>
              <w:rPr>
                <w:sz w:val="1"/>
                <w:szCs w:val="1"/>
                <w:color w:val="auto"/>
              </w:rPr>
            </w:pPr>
          </w:p>
        </w:tc>
      </w:tr>
      <w:tr>
        <w:trPr>
          <w:trHeight w:val="263"/>
        </w:trPr>
        <w:tc>
          <w:tcPr>
            <w:tcW w:w="2980" w:type="dxa"/>
            <w:vAlign w:val="bottom"/>
          </w:tcPr>
          <w:p>
            <w:pPr>
              <w:ind w:left="20"/>
              <w:spacing w:after="0"/>
              <w:rPr>
                <w:sz w:val="20"/>
                <w:szCs w:val="20"/>
                <w:color w:val="auto"/>
              </w:rPr>
            </w:pPr>
            <w:r>
              <w:rPr>
                <w:rFonts w:ascii="Verdana" w:cs="Verdana" w:eastAsia="Verdana" w:hAnsi="Verdana"/>
                <w:sz w:val="18"/>
                <w:szCs w:val="18"/>
                <w:color w:val="auto"/>
              </w:rPr>
              <w:t>Grundy</w:t>
            </w:r>
          </w:p>
        </w:tc>
        <w:tc>
          <w:tcPr>
            <w:tcW w:w="8260" w:type="dxa"/>
            <w:vAlign w:val="bottom"/>
            <w:gridSpan w:val="3"/>
          </w:tcPr>
          <w:p>
            <w:pPr>
              <w:jc w:val="center"/>
              <w:ind w:left="5893"/>
              <w:spacing w:after="0"/>
              <w:rPr>
                <w:sz w:val="20"/>
                <w:szCs w:val="20"/>
                <w:color w:val="auto"/>
              </w:rPr>
            </w:pPr>
            <w:r>
              <w:rPr>
                <w:rFonts w:ascii="Verdana" w:cs="Verdana" w:eastAsia="Verdana" w:hAnsi="Verdana"/>
                <w:sz w:val="18"/>
                <w:szCs w:val="18"/>
                <w:color w:val="auto"/>
              </w:rPr>
              <w:t>3</w:t>
            </w:r>
          </w:p>
        </w:tc>
        <w:tc>
          <w:tcPr>
            <w:tcW w:w="0" w:type="dxa"/>
            <w:vAlign w:val="bottom"/>
          </w:tcPr>
          <w:p>
            <w:pPr>
              <w:spacing w:after="0"/>
              <w:rPr>
                <w:sz w:val="1"/>
                <w:szCs w:val="1"/>
                <w:color w:val="auto"/>
              </w:rPr>
            </w:pPr>
          </w:p>
        </w:tc>
      </w:tr>
      <w:tr>
        <w:trPr>
          <w:trHeight w:val="277"/>
        </w:trPr>
        <w:tc>
          <w:tcPr>
            <w:tcW w:w="2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St. Clair</w:t>
            </w:r>
          </w:p>
        </w:tc>
        <w:tc>
          <w:tcPr>
            <w:tcW w:w="8260" w:type="dxa"/>
            <w:vAlign w:val="bottom"/>
            <w:gridSpan w:val="3"/>
            <w:shd w:val="clear" w:color="auto" w:fill="E0E7ED"/>
          </w:tcPr>
          <w:p>
            <w:pPr>
              <w:jc w:val="center"/>
              <w:ind w:left="5893"/>
              <w:spacing w:after="0"/>
              <w:rPr>
                <w:sz w:val="20"/>
                <w:szCs w:val="20"/>
                <w:color w:val="auto"/>
              </w:rPr>
            </w:pPr>
            <w:r>
              <w:rPr>
                <w:rFonts w:ascii="Verdana" w:cs="Verdana" w:eastAsia="Verdana" w:hAnsi="Verdana"/>
                <w:sz w:val="18"/>
                <w:szCs w:val="18"/>
                <w:color w:val="auto"/>
              </w:rPr>
              <w:t>3</w:t>
            </w:r>
          </w:p>
        </w:tc>
        <w:tc>
          <w:tcPr>
            <w:tcW w:w="0" w:type="dxa"/>
            <w:vAlign w:val="bottom"/>
          </w:tcPr>
          <w:p>
            <w:pPr>
              <w:spacing w:after="0"/>
              <w:rPr>
                <w:sz w:val="1"/>
                <w:szCs w:val="1"/>
                <w:color w:val="auto"/>
              </w:rPr>
            </w:pPr>
          </w:p>
        </w:tc>
      </w:tr>
      <w:tr>
        <w:trPr>
          <w:trHeight w:val="263"/>
        </w:trPr>
        <w:tc>
          <w:tcPr>
            <w:tcW w:w="2980" w:type="dxa"/>
            <w:vAlign w:val="bottom"/>
          </w:tcPr>
          <w:p>
            <w:pPr>
              <w:ind w:left="20"/>
              <w:spacing w:after="0"/>
              <w:rPr>
                <w:sz w:val="20"/>
                <w:szCs w:val="20"/>
                <w:color w:val="auto"/>
              </w:rPr>
            </w:pPr>
            <w:r>
              <w:rPr>
                <w:rFonts w:ascii="Verdana" w:cs="Verdana" w:eastAsia="Verdana" w:hAnsi="Verdana"/>
                <w:sz w:val="18"/>
                <w:szCs w:val="18"/>
                <w:color w:val="auto"/>
              </w:rPr>
              <w:t>Tazewell</w:t>
            </w:r>
          </w:p>
        </w:tc>
        <w:tc>
          <w:tcPr>
            <w:tcW w:w="8260" w:type="dxa"/>
            <w:vAlign w:val="bottom"/>
            <w:gridSpan w:val="3"/>
          </w:tcPr>
          <w:p>
            <w:pPr>
              <w:jc w:val="center"/>
              <w:ind w:left="5893"/>
              <w:spacing w:after="0"/>
              <w:rPr>
                <w:sz w:val="20"/>
                <w:szCs w:val="20"/>
                <w:color w:val="auto"/>
              </w:rPr>
            </w:pPr>
            <w:r>
              <w:rPr>
                <w:rFonts w:ascii="Verdana" w:cs="Verdana" w:eastAsia="Verdana" w:hAnsi="Verdana"/>
                <w:sz w:val="18"/>
                <w:szCs w:val="18"/>
                <w:color w:val="auto"/>
              </w:rPr>
              <w:t>3</w:t>
            </w:r>
          </w:p>
        </w:tc>
        <w:tc>
          <w:tcPr>
            <w:tcW w:w="0" w:type="dxa"/>
            <w:vAlign w:val="bottom"/>
          </w:tcPr>
          <w:p>
            <w:pPr>
              <w:spacing w:after="0"/>
              <w:rPr>
                <w:sz w:val="1"/>
                <w:szCs w:val="1"/>
                <w:color w:val="auto"/>
              </w:rPr>
            </w:pPr>
          </w:p>
        </w:tc>
      </w:tr>
      <w:tr>
        <w:trPr>
          <w:trHeight w:val="277"/>
        </w:trPr>
        <w:tc>
          <w:tcPr>
            <w:tcW w:w="2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McLean</w:t>
            </w:r>
          </w:p>
        </w:tc>
        <w:tc>
          <w:tcPr>
            <w:tcW w:w="8260" w:type="dxa"/>
            <w:vAlign w:val="bottom"/>
            <w:gridSpan w:val="3"/>
            <w:shd w:val="clear" w:color="auto" w:fill="E0E7ED"/>
          </w:tcPr>
          <w:p>
            <w:pPr>
              <w:jc w:val="center"/>
              <w:ind w:left="5893"/>
              <w:spacing w:after="0"/>
              <w:rPr>
                <w:sz w:val="20"/>
                <w:szCs w:val="20"/>
                <w:color w:val="auto"/>
              </w:rPr>
            </w:pPr>
            <w:r>
              <w:rPr>
                <w:rFonts w:ascii="Verdana" w:cs="Verdana" w:eastAsia="Verdana" w:hAnsi="Verdana"/>
                <w:sz w:val="18"/>
                <w:szCs w:val="18"/>
                <w:color w:val="auto"/>
              </w:rPr>
              <w:t>4</w:t>
            </w:r>
          </w:p>
        </w:tc>
        <w:tc>
          <w:tcPr>
            <w:tcW w:w="0" w:type="dxa"/>
            <w:vAlign w:val="bottom"/>
          </w:tcPr>
          <w:p>
            <w:pPr>
              <w:spacing w:after="0"/>
              <w:rPr>
                <w:sz w:val="1"/>
                <w:szCs w:val="1"/>
                <w:color w:val="auto"/>
              </w:rPr>
            </w:pPr>
          </w:p>
        </w:tc>
      </w:tr>
      <w:tr>
        <w:trPr>
          <w:trHeight w:val="263"/>
        </w:trPr>
        <w:tc>
          <w:tcPr>
            <w:tcW w:w="2980" w:type="dxa"/>
            <w:vAlign w:val="bottom"/>
          </w:tcPr>
          <w:p>
            <w:pPr>
              <w:ind w:left="20"/>
              <w:spacing w:after="0"/>
              <w:rPr>
                <w:sz w:val="20"/>
                <w:szCs w:val="20"/>
                <w:color w:val="auto"/>
              </w:rPr>
            </w:pPr>
            <w:r>
              <w:rPr>
                <w:rFonts w:ascii="Verdana" w:cs="Verdana" w:eastAsia="Verdana" w:hAnsi="Verdana"/>
                <w:sz w:val="18"/>
                <w:szCs w:val="18"/>
                <w:color w:val="auto"/>
              </w:rPr>
              <w:t>Peoria</w:t>
            </w:r>
          </w:p>
        </w:tc>
        <w:tc>
          <w:tcPr>
            <w:tcW w:w="8260" w:type="dxa"/>
            <w:vAlign w:val="bottom"/>
            <w:gridSpan w:val="3"/>
          </w:tcPr>
          <w:p>
            <w:pPr>
              <w:jc w:val="center"/>
              <w:ind w:left="5893"/>
              <w:spacing w:after="0"/>
              <w:rPr>
                <w:sz w:val="20"/>
                <w:szCs w:val="20"/>
                <w:color w:val="auto"/>
              </w:rPr>
            </w:pPr>
            <w:r>
              <w:rPr>
                <w:rFonts w:ascii="Verdana" w:cs="Verdana" w:eastAsia="Verdana" w:hAnsi="Verdana"/>
                <w:sz w:val="18"/>
                <w:szCs w:val="18"/>
                <w:color w:val="auto"/>
              </w:rPr>
              <w:t>4</w:t>
            </w:r>
          </w:p>
        </w:tc>
        <w:tc>
          <w:tcPr>
            <w:tcW w:w="0" w:type="dxa"/>
            <w:vAlign w:val="bottom"/>
          </w:tcPr>
          <w:p>
            <w:pPr>
              <w:spacing w:after="0"/>
              <w:rPr>
                <w:sz w:val="1"/>
                <w:szCs w:val="1"/>
                <w:color w:val="auto"/>
              </w:rPr>
            </w:pPr>
          </w:p>
        </w:tc>
      </w:tr>
      <w:tr>
        <w:trPr>
          <w:trHeight w:val="277"/>
        </w:trPr>
        <w:tc>
          <w:tcPr>
            <w:tcW w:w="2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Will</w:t>
            </w:r>
          </w:p>
        </w:tc>
        <w:tc>
          <w:tcPr>
            <w:tcW w:w="8260" w:type="dxa"/>
            <w:vAlign w:val="bottom"/>
            <w:gridSpan w:val="3"/>
            <w:shd w:val="clear" w:color="auto" w:fill="E0E7ED"/>
          </w:tcPr>
          <w:p>
            <w:pPr>
              <w:jc w:val="center"/>
              <w:ind w:left="5893"/>
              <w:spacing w:after="0"/>
              <w:rPr>
                <w:sz w:val="20"/>
                <w:szCs w:val="20"/>
                <w:color w:val="auto"/>
              </w:rPr>
            </w:pPr>
            <w:r>
              <w:rPr>
                <w:rFonts w:ascii="Verdana" w:cs="Verdana" w:eastAsia="Verdana" w:hAnsi="Verdana"/>
                <w:sz w:val="18"/>
                <w:szCs w:val="18"/>
                <w:color w:val="auto"/>
              </w:rPr>
              <w:t>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 w:name="page10"/>
    <w:bookmarkEnd w:id="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HUMAN CAPITAL</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 is built upon a strong commitment to associate, customer, stockholder, and community experiences with our associates as the cornerstone of this unwavering commitment. Busey’s vision, Service Excellence in Everything We Do, starts with dedication to our associates. We are deeply humbled to be consistently recognized nationally and locally throughout our footprint, including being named among America’s Best Banks by </w:t>
      </w:r>
      <w:r>
        <w:rPr>
          <w:rFonts w:ascii="Verdana" w:cs="Verdana" w:eastAsia="Verdana" w:hAnsi="Verdana"/>
          <w:sz w:val="18"/>
          <w:szCs w:val="18"/>
          <w:i w:val="1"/>
          <w:iCs w:val="1"/>
          <w:color w:val="auto"/>
        </w:rPr>
        <w:t>Forbes</w:t>
      </w:r>
      <w:r>
        <w:rPr>
          <w:rFonts w:ascii="Verdana" w:cs="Verdana" w:eastAsia="Verdana" w:hAnsi="Verdana"/>
          <w:sz w:val="18"/>
          <w:szCs w:val="18"/>
          <w:color w:val="auto"/>
        </w:rPr>
        <w:t xml:space="preserve"> and the Best Banks to Work For by </w:t>
      </w:r>
      <w:r>
        <w:rPr>
          <w:rFonts w:ascii="Verdana" w:cs="Verdana" w:eastAsia="Verdana" w:hAnsi="Verdana"/>
          <w:sz w:val="18"/>
          <w:szCs w:val="18"/>
          <w:i w:val="1"/>
          <w:iCs w:val="1"/>
          <w:color w:val="auto"/>
        </w:rPr>
        <w:t xml:space="preserve">American Banker </w:t>
      </w:r>
      <w:r>
        <w:rPr>
          <w:rFonts w:ascii="Verdana" w:cs="Verdana" w:eastAsia="Verdana" w:hAnsi="Verdana"/>
          <w:sz w:val="18"/>
          <w:szCs w:val="18"/>
          <w:color w:val="auto"/>
        </w:rPr>
        <w:t>since 2016; the Best Places to Work in Money Management by Pension and Investments since 2018; and</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a Leading Disability Employer by the National Organization on Disability. Locally, Busey has been voted as a Best Places to Work in Illinois since 2016 and a Best Company to Work For in Florida since 2017. From exceeding the needs of customers and colleagues to serving our communities selflessly, our associates show unmatched dedication to Busey. Their shared experiences are what make these and other awards possible. Since we opened our doors over 155 years ago, we have maintained our core values, creating a strong foundation and shaping our inclusive culture.</w:t>
      </w:r>
    </w:p>
    <w:p>
      <w:pPr>
        <w:spacing w:after="0" w:line="157"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Busey remains committed to bringing diversity and inclusion to our organization, the banking profession, and the communities where we live and work. Busey is dedicated to attracting and retaining talent across a variety of backgrounds and experiences. A diverse team—one with varying beliefs and opinions—promotes productivity, creativity, and innovation, while better meeting and exceeding the needs of a diverse customer base. Recruiting, supporting, and retaining a diversified workforce with varying perspectives and ideas, while having an inclusive culture, is the foundation of our core values—One Busey. Our endeavors in this regard are reported to the Employee Benefit and Compensation Committee, as well as the Board's Enterprise Risk Committee, which hold the organization accountable to this core value at the highest levels of management. We maintain an Affirmative Action Plan, the results of which are reviewed by these same groups. Busey supports and empowers women in the workplace as reflected in our gender-diverse workforce. In 2023, women comprised 59% of Busey's total number of associates, and made up 37% of our senior leadership, providing meaningful contributions not only within the organization but throughout the communities we serve.</w:t>
      </w:r>
    </w:p>
    <w:p>
      <w:pPr>
        <w:spacing w:after="0" w:line="179" w:lineRule="exact"/>
        <w:rPr>
          <w:sz w:val="20"/>
          <w:szCs w:val="20"/>
          <w:color w:val="auto"/>
        </w:rPr>
      </w:pPr>
    </w:p>
    <w:p>
      <w:pPr>
        <w:jc w:val="both"/>
        <w:spacing w:after="0" w:line="250" w:lineRule="auto"/>
        <w:rPr>
          <w:sz w:val="20"/>
          <w:szCs w:val="20"/>
          <w:color w:val="auto"/>
        </w:rPr>
      </w:pPr>
      <w:r>
        <w:rPr>
          <w:rFonts w:ascii="Verdana" w:cs="Verdana" w:eastAsia="Verdana" w:hAnsi="Verdana"/>
          <w:sz w:val="17"/>
          <w:szCs w:val="17"/>
          <w:color w:val="auto"/>
        </w:rPr>
        <w:t>Associate engagement is an important barometer of our cultural health. We regularly solicit feedback to understand the views of our associates about their work environment and Busey’s culture. The results from engagement surveys are used to implement programs and processes designed to enhance engagement and improve the associate experience. With a strong 91% participation rate and an approach focused on continuous improvement, 2022 results increased to the highest scores in Busey’s history. One such way to keep associates informed and engaged is through our quarterly update calls, which are conducted by Busey leadership. These calls provide important information about the financial health of the Company, but more importantly they provide a cultural touchpoint to solidify Busey’s commitment to our number one asset</w:t>
      </w:r>
    </w:p>
    <w:p>
      <w:pPr>
        <w:spacing w:after="0" w:line="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our associates. A tenet of our engaged culture is a commitment to investing in associates through unique, award-winning training and development programs. In 2023, 55% of our associate base engaged in talent and leadership development programs. Since 2017, Busey has been a proud recipient of the Association for Talent Development’s BEST Award, which is presented to organizations that demonstrate enterprise-wide success as a result of employee talent development.</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Additionally, we care about the health and well-being of our associates and their families, as evidenced by a strong investment and a 96% participation rate in our innovative, holistic health and wellness program, B Well. Investments in B Well include a stress management and mental wellness component, lifesaving biometric screenings, a corporate health and wellness coach, onsite wellness center, health club reimbursements, on-demand wellness streaming service and Health Savings Account investments funded by the Company. In 2023, Busey was honored to be recognized among the 2022 Illinois' Healthiest Employers by global health insurer Cigna and Crain’s Content Studio, marking the fifth year the Company was named among this elite group.</w:t>
      </w:r>
    </w:p>
    <w:p>
      <w:pPr>
        <w:spacing w:after="0" w:line="21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 w:name="page11"/>
    <w:bookmarkEnd w:id="1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of December 31, 2023, Busey and our subsidiaries had a total of 1,479 full-time equivalents. Geographic distribution of our associates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right="240"/>
              <w:spacing w:after="0"/>
              <w:rPr>
                <w:sz w:val="20"/>
                <w:szCs w:val="20"/>
                <w:color w:val="auto"/>
              </w:rPr>
            </w:pPr>
            <w:r>
              <w:rPr>
                <w:rFonts w:ascii="Verdana" w:cs="Verdana" w:eastAsia="Verdana" w:hAnsi="Verdana"/>
                <w:sz w:val="13"/>
                <w:szCs w:val="13"/>
                <w:b w:val="1"/>
                <w:bCs w:val="1"/>
                <w:color w:val="auto"/>
                <w:w w:val="96"/>
              </w:rPr>
              <w:t>As of December 31, 2023</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00" w:type="dxa"/>
            <w:vAlign w:val="bottom"/>
          </w:tcPr>
          <w:p>
            <w:pPr>
              <w:spacing w:after="0"/>
              <w:rPr>
                <w:sz w:val="14"/>
                <w:szCs w:val="14"/>
                <w:color w:val="auto"/>
              </w:rPr>
            </w:pPr>
          </w:p>
        </w:tc>
        <w:tc>
          <w:tcPr>
            <w:tcW w:w="1400" w:type="dxa"/>
            <w:vAlign w:val="bottom"/>
          </w:tcPr>
          <w:p>
            <w:pPr>
              <w:jc w:val="right"/>
              <w:ind w:right="253"/>
              <w:spacing w:after="0"/>
              <w:rPr>
                <w:sz w:val="20"/>
                <w:szCs w:val="20"/>
                <w:color w:val="auto"/>
              </w:rPr>
            </w:pPr>
            <w:r>
              <w:rPr>
                <w:rFonts w:ascii="Verdana" w:cs="Verdana" w:eastAsia="Verdana" w:hAnsi="Verdana"/>
                <w:sz w:val="13"/>
                <w:szCs w:val="13"/>
                <w:b w:val="1"/>
                <w:bCs w:val="1"/>
                <w:color w:val="auto"/>
              </w:rPr>
              <w:t>Full-time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3"/>
          </w:tcPr>
          <w:p>
            <w:pPr>
              <w:jc w:val="center"/>
              <w:ind w:right="400"/>
              <w:spacing w:after="0"/>
              <w:rPr>
                <w:sz w:val="20"/>
                <w:szCs w:val="20"/>
                <w:color w:val="auto"/>
              </w:rPr>
            </w:pPr>
            <w:r>
              <w:rPr>
                <w:rFonts w:ascii="Verdana" w:cs="Verdana" w:eastAsia="Verdana" w:hAnsi="Verdana"/>
                <w:sz w:val="13"/>
                <w:szCs w:val="13"/>
                <w:b w:val="1"/>
                <w:bCs w:val="1"/>
                <w:color w:val="auto"/>
                <w:w w:val="97"/>
              </w:rPr>
              <w:t>Part-time</w:t>
            </w:r>
          </w:p>
        </w:tc>
        <w:tc>
          <w:tcPr>
            <w:tcW w:w="1180" w:type="dxa"/>
            <w:vAlign w:val="bottom"/>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255"/>
        </w:trPr>
        <w:tc>
          <w:tcPr>
            <w:tcW w:w="66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Busey associates by state</w:t>
            </w:r>
          </w:p>
        </w:tc>
        <w:tc>
          <w:tcPr>
            <w:tcW w:w="14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4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0" w:type="dxa"/>
            <w:vAlign w:val="bottom"/>
          </w:tcPr>
          <w:p>
            <w:pPr>
              <w:ind w:left="180"/>
              <w:spacing w:after="0"/>
              <w:rPr>
                <w:sz w:val="20"/>
                <w:szCs w:val="20"/>
                <w:color w:val="auto"/>
              </w:rPr>
            </w:pPr>
            <w:r>
              <w:rPr>
                <w:rFonts w:ascii="Verdana" w:cs="Verdana" w:eastAsia="Verdana" w:hAnsi="Verdana"/>
                <w:sz w:val="18"/>
                <w:szCs w:val="18"/>
                <w:color w:val="auto"/>
              </w:rPr>
              <w:t>Illinois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1,094</w:t>
            </w:r>
          </w:p>
        </w:tc>
        <w:tc>
          <w:tcPr>
            <w:tcW w:w="1660" w:type="dxa"/>
            <w:vAlign w:val="bottom"/>
            <w:gridSpan w:val="3"/>
          </w:tcPr>
          <w:p>
            <w:pPr>
              <w:jc w:val="right"/>
              <w:spacing w:after="0"/>
              <w:rPr>
                <w:sz w:val="20"/>
                <w:szCs w:val="20"/>
                <w:color w:val="auto"/>
              </w:rPr>
            </w:pPr>
            <w:r>
              <w:rPr>
                <w:rFonts w:ascii="Verdana" w:cs="Verdana" w:eastAsia="Verdana" w:hAnsi="Verdana"/>
                <w:sz w:val="18"/>
                <w:szCs w:val="18"/>
                <w:color w:val="auto"/>
              </w:rPr>
              <w:t>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Verdana" w:cs="Verdana" w:eastAsia="Verdana" w:hAnsi="Verdana"/>
                <w:sz w:val="18"/>
                <w:szCs w:val="18"/>
                <w:color w:val="auto"/>
              </w:rPr>
              <w:t>1,174</w:t>
            </w:r>
          </w:p>
        </w:tc>
        <w:tc>
          <w:tcPr>
            <w:tcW w:w="0" w:type="dxa"/>
            <w:vAlign w:val="bottom"/>
          </w:tcPr>
          <w:p>
            <w:pPr>
              <w:spacing w:after="0"/>
              <w:rPr>
                <w:sz w:val="1"/>
                <w:szCs w:val="1"/>
                <w:color w:val="auto"/>
              </w:rPr>
            </w:pPr>
          </w:p>
        </w:tc>
      </w:tr>
      <w:tr>
        <w:trPr>
          <w:trHeight w:val="277"/>
        </w:trPr>
        <w:tc>
          <w:tcPr>
            <w:tcW w:w="6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Missouri</w:t>
            </w: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w:t>
            </w:r>
          </w:p>
        </w:tc>
        <w:tc>
          <w:tcPr>
            <w:tcW w:w="166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184</w:t>
            </w:r>
          </w:p>
        </w:tc>
        <w:tc>
          <w:tcPr>
            <w:tcW w:w="0" w:type="dxa"/>
            <w:vAlign w:val="bottom"/>
          </w:tcPr>
          <w:p>
            <w:pPr>
              <w:spacing w:after="0"/>
              <w:rPr>
                <w:sz w:val="1"/>
                <w:szCs w:val="1"/>
                <w:color w:val="auto"/>
              </w:rPr>
            </w:pPr>
          </w:p>
        </w:tc>
      </w:tr>
      <w:tr>
        <w:trPr>
          <w:trHeight w:val="263"/>
        </w:trPr>
        <w:tc>
          <w:tcPr>
            <w:tcW w:w="6600" w:type="dxa"/>
            <w:vAlign w:val="bottom"/>
          </w:tcPr>
          <w:p>
            <w:pPr>
              <w:ind w:left="180"/>
              <w:spacing w:after="0"/>
              <w:rPr>
                <w:sz w:val="20"/>
                <w:szCs w:val="20"/>
                <w:color w:val="auto"/>
              </w:rPr>
            </w:pPr>
            <w:r>
              <w:rPr>
                <w:rFonts w:ascii="Verdana" w:cs="Verdana" w:eastAsia="Verdana" w:hAnsi="Verdana"/>
                <w:sz w:val="18"/>
                <w:szCs w:val="18"/>
                <w:color w:val="auto"/>
              </w:rPr>
              <w:t>Florida</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93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3"/>
          </w:tcPr>
          <w:p>
            <w:pPr>
              <w:jc w:val="right"/>
              <w:ind w:right="48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93</w:t>
            </w:r>
          </w:p>
        </w:tc>
        <w:tc>
          <w:tcPr>
            <w:tcW w:w="0" w:type="dxa"/>
            <w:vAlign w:val="bottom"/>
          </w:tcPr>
          <w:p>
            <w:pPr>
              <w:spacing w:after="0"/>
              <w:rPr>
                <w:sz w:val="1"/>
                <w:szCs w:val="1"/>
                <w:color w:val="auto"/>
              </w:rPr>
            </w:pPr>
          </w:p>
        </w:tc>
      </w:tr>
      <w:tr>
        <w:trPr>
          <w:trHeight w:val="277"/>
        </w:trPr>
        <w:tc>
          <w:tcPr>
            <w:tcW w:w="6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Indiana</w:t>
            </w: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w:t>
            </w:r>
          </w:p>
        </w:tc>
        <w:tc>
          <w:tcPr>
            <w:tcW w:w="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880" w:type="dxa"/>
            <w:vAlign w:val="bottom"/>
            <w:gridSpan w:val="3"/>
            <w:shd w:val="clear" w:color="auto" w:fill="E0E7ED"/>
          </w:tcPr>
          <w:p>
            <w:pPr>
              <w:jc w:val="right"/>
              <w:ind w:right="48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Remote</w:t>
            </w: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E0E7ED"/>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43</w:t>
            </w:r>
          </w:p>
        </w:tc>
        <w:tc>
          <w:tcPr>
            <w:tcW w:w="0" w:type="dxa"/>
            <w:vAlign w:val="bottom"/>
          </w:tcPr>
          <w:p>
            <w:pPr>
              <w:spacing w:after="0"/>
              <w:rPr>
                <w:sz w:val="1"/>
                <w:szCs w:val="1"/>
                <w:color w:val="auto"/>
              </w:rPr>
            </w:pPr>
          </w:p>
        </w:tc>
      </w:tr>
      <w:tr>
        <w:trPr>
          <w:trHeight w:val="290"/>
        </w:trPr>
        <w:tc>
          <w:tcPr>
            <w:tcW w:w="6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number of associates</w:t>
            </w: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1,436</w:t>
            </w:r>
          </w:p>
        </w:tc>
        <w:tc>
          <w:tcPr>
            <w:tcW w:w="166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86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1,522</w:t>
            </w:r>
          </w:p>
        </w:tc>
        <w:tc>
          <w:tcPr>
            <w:tcW w:w="0" w:type="dxa"/>
            <w:vAlign w:val="bottom"/>
          </w:tcPr>
          <w:p>
            <w:pPr>
              <w:spacing w:after="0"/>
              <w:rPr>
                <w:sz w:val="1"/>
                <w:szCs w:val="1"/>
                <w:color w:val="auto"/>
              </w:rPr>
            </w:pPr>
          </w:p>
        </w:tc>
      </w:tr>
      <w:tr>
        <w:trPr>
          <w:trHeight w:val="20"/>
        </w:trPr>
        <w:tc>
          <w:tcPr>
            <w:tcW w:w="6600" w:type="dxa"/>
            <w:vAlign w:val="bottom"/>
            <w:tcBorders>
              <w:top w:val="single" w:sz="8" w:color="E0E7ED"/>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Full-time equivalents</w:t>
            </w: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1,436</w:t>
            </w:r>
          </w:p>
        </w:tc>
        <w:tc>
          <w:tcPr>
            <w:tcW w:w="166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43</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1,479</w:t>
            </w:r>
          </w:p>
        </w:tc>
        <w:tc>
          <w:tcPr>
            <w:tcW w:w="0" w:type="dxa"/>
            <w:vAlign w:val="bottom"/>
          </w:tcPr>
          <w:p>
            <w:pPr>
              <w:spacing w:after="0"/>
              <w:rPr>
                <w:sz w:val="1"/>
                <w:szCs w:val="1"/>
                <w:color w:val="auto"/>
              </w:rPr>
            </w:pPr>
          </w:p>
        </w:tc>
      </w:tr>
      <w:tr>
        <w:trPr>
          <w:trHeight w:val="20"/>
        </w:trPr>
        <w:tc>
          <w:tcPr>
            <w:tcW w:w="6600" w:type="dxa"/>
            <w:vAlign w:val="bottom"/>
            <w:tcBorders>
              <w:top w:val="single" w:sz="8" w:color="E0E7ED"/>
              <w:bottom w:val="single" w:sz="8" w:color="E0E7ED"/>
            </w:tcBorders>
            <w:vMerge w:val="restart"/>
          </w:tcPr>
          <w:p>
            <w:pPr>
              <w:spacing w:after="0"/>
              <w:rPr>
                <w:sz w:val="20"/>
                <w:szCs w:val="20"/>
                <w:color w:val="auto"/>
              </w:rPr>
            </w:pPr>
            <w:r>
              <w:rPr>
                <w:rFonts w:ascii="Verdana" w:cs="Verdana" w:eastAsia="Verdana" w:hAnsi="Verdana"/>
                <w:sz w:val="18"/>
                <w:szCs w:val="18"/>
                <w:b w:val="1"/>
                <w:bCs w:val="1"/>
                <w:color w:val="auto"/>
              </w:rPr>
              <w:t>CORPORATE GOVERNANCE</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6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32" w:lineRule="exact"/>
        <w:rPr>
          <w:sz w:val="20"/>
          <w:szCs w:val="20"/>
          <w:color w:val="auto"/>
        </w:rPr>
      </w:pPr>
      <w:r>
        <w:rPr>
          <w:rFonts w:ascii="Verdana" w:cs="Verdana" w:eastAsia="Verdana" w:hAnsi="Verdana"/>
          <w:sz w:val="18"/>
          <w:szCs w:val="18"/>
          <w:color w:val="auto"/>
        </w:rPr>
        <w:t xml:space="preserve">Information about Busey’s Board of Directors and Executive Officers is presented under “Officers &amp; Directors” on Busey’s Investor Relations website at </w:t>
      </w:r>
      <w:r>
        <w:rPr>
          <w:rFonts w:ascii="Verdana" w:cs="Verdana" w:eastAsia="Verdana" w:hAnsi="Verdana"/>
          <w:sz w:val="18"/>
          <w:szCs w:val="18"/>
          <w:i w:val="1"/>
          <w:iCs w:val="1"/>
          <w:color w:val="auto"/>
        </w:rPr>
        <w:t>ir.busey.com</w:t>
      </w:r>
      <w:r>
        <w:rPr>
          <w:rFonts w:ascii="Verdana" w:cs="Verdana" w:eastAsia="Verdana" w:hAnsi="Verdana"/>
          <w:sz w:val="18"/>
          <w:szCs w:val="18"/>
          <w:color w:val="auto"/>
        </w:rPr>
        <w:t>. Additionally, a listing of Busey’s executive officers is presented in Part III, Item 10 of this Form 10</w:t>
      </w:r>
      <w:r>
        <w:rPr>
          <w:rFonts w:ascii="MS PGothic" w:cs="MS PGothic" w:eastAsia="MS PGothic" w:hAnsi="MS PGothic"/>
          <w:sz w:val="18"/>
          <w:szCs w:val="18"/>
          <w:color w:val="auto"/>
        </w:rPr>
        <w:t>‑</w:t>
      </w:r>
      <w:r>
        <w:rPr>
          <w:rFonts w:ascii="Verdana" w:cs="Verdana" w:eastAsia="Verdana" w:hAnsi="Verdana"/>
          <w:sz w:val="18"/>
          <w:szCs w:val="18"/>
          <w:color w:val="auto"/>
        </w:rPr>
        <w:t xml:space="preserve">K under the caption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Executive Officers</w:t>
      </w:r>
      <w:r>
        <w:rPr>
          <w:rFonts w:ascii="Verdana" w:cs="Verdana" w:eastAsia="Verdana" w:hAnsi="Verdana"/>
          <w:sz w:val="18"/>
          <w:szCs w:val="18"/>
          <w:i w:val="1"/>
          <w:iCs w:val="1"/>
          <w:color w:val="auto"/>
        </w:rPr>
        <w:t>.”</w:t>
      </w:r>
    </w:p>
    <w:p>
      <w:pPr>
        <w:spacing w:after="0" w:line="142"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Busey has adopted a code of ethics applicable for all of our associates, officers, and directors. The text of this code of ethics is presented under “Governance Documents” on Busey’s Investor Relations website at </w:t>
      </w:r>
      <w:r>
        <w:rPr>
          <w:rFonts w:ascii="Verdana" w:cs="Verdana" w:eastAsia="Verdana" w:hAnsi="Verdana"/>
          <w:sz w:val="18"/>
          <w:szCs w:val="18"/>
          <w:i w:val="1"/>
          <w:iCs w:val="1"/>
          <w:color w:val="auto"/>
        </w:rPr>
        <w:t>ir.busey.com</w:t>
      </w:r>
      <w:r>
        <w:rPr>
          <w:rFonts w:ascii="Verdana" w:cs="Verdana" w:eastAsia="Verdana" w:hAnsi="Verdana"/>
          <w:sz w:val="18"/>
          <w:szCs w:val="18"/>
          <w:color w:val="auto"/>
        </w:rPr>
        <w:t>.</w:t>
      </w:r>
    </w:p>
    <w:p>
      <w:pPr>
        <w:spacing w:after="0" w:line="144"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Reference to Busey’s Investor Relations website does not constitute incorporation by reference of the information contained on the website and it should not be considered part of this document.</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SUPERVISION, REGULATION, AND OTHER FACTORS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General</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FDIC-insured institutions, like Busey Bank, as well as their holding companies and affiliates, are extensively regulated under federal and state law. As a result, Busey’s growth and earnings performance may be affected not only by management decisions, competitive dynamics, and general economic conditions, but also by the requirements of federal and state statutes and by the regulations and policies of various bank regulatory agencies, including the DFPR, the Federal Reserve, the FDIC and the CFPB. Furthermore, taxation laws administered by the Internal Revenue Service and state taxing authorities, accounting rules developed by the FASB, securities laws administered by the SEC and state securities authorities, and anti-money laundering laws enforced by the U.S. Treasury have an impact on Busey’s business. The effect of these statutes, regulations, regulatory policies, and accounting rules are significant to Busey’s operations and results.</w:t>
      </w:r>
    </w:p>
    <w:p>
      <w:pPr>
        <w:spacing w:after="0" w:line="16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Federal and state banking laws impose a comprehensive system of supervision, regulation, and enforcement on the operations of FDIC-insured institutions, their holding companies, and affiliates that is intended primarily for the protection of the FDIC-insured deposits and depositors of banks, rather than stockholders. These laws, and the regulations of the bank regulatory agencies issued under them, affect, among other things, the scope of Busey’s business; the kinds and amounts of investments First Busey and Busey Bank may make; required capital levels relative to assets; the nature and amount of collateral for loans; the establishment of branches; the ability to merge, consolidate and acquire; dealings with First Busey’s and Busey Bank’s insiders and affiliates; and Busey’s payment of dividends.</w:t>
      </w:r>
    </w:p>
    <w:p>
      <w:pPr>
        <w:spacing w:after="0" w:line="230" w:lineRule="exact"/>
        <w:rPr>
          <w:sz w:val="20"/>
          <w:szCs w:val="20"/>
          <w:color w:val="auto"/>
        </w:rPr>
      </w:pPr>
    </w:p>
    <w:p>
      <w:pPr>
        <w:ind w:left="790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 w:name="page12"/>
    <w:bookmarkEnd w:id="1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reaction to the global financial crisis and particularly following the passage of the Dodd-Frank Act in 2010, Busey experienced heightened regulatory requirements and scrutiny. Although the reforms primarily targeted systemically important financial service providers (at the time, those with assets of $50 billion and greater), certain provisions of the law triggered at $10 billion in assets and the influence of other provisions filtered down in varying degrees to community banks over time, causing Busey’s compliance and risk management processes, and the costs thereof, to increase. The Regulatory Relief Act provided meaningful relief for banks and their holding companies that were not considered systemically important (amended to be those with assets under $250 billion). However, the $10 billion threshold remained in place for certain Dodd-Frank Act reforms that are applicable to Busey, as discussed below.</w:t>
      </w:r>
    </w:p>
    <w:p>
      <w:pPr>
        <w:spacing w:after="0" w:line="16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supervisory framework for U.S. banking organizations subjects banks and bank holding companies to regular examination by their respective regulatory agencies, which results in examination reports and ratings that are not publicly available and that can impact the conduct and growth of their businesses. These examinations consider not only compliance with applicable laws and regulations, but also capital levels, asset quality and risk, management ability and performance, earnings, liquidity, and various other factors. The regulatory agencies generally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w:t>
      </w:r>
    </w:p>
    <w:p>
      <w:pPr>
        <w:spacing w:after="0" w:line="16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following is a summary of the material elements of the supervisory and regulatory framework applicable to First Busey and Busey Bank. It does not describe all of the statutes, regulations, and regulatory policies that apply, nor does it restate all of the requirements of those that are described. The descriptions are qualified in their entirety by reference to particular statutory and regulatory provisions.</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$10 billion Threshold</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As indicated in the introduction above, the Dodd-Frank Act included a number of requirements that triggered when a banking entity crossed over $10 billion in assets. Those included requirements for stress testing capital, maintenance of a risk committee, adherence to the Volcker Rule’s complicated prohibitions on proprietary trading and ownership of private funds, limitations on interchange fees for certain debit transactions, clearing of swap agreements, and examination and enforcement related to consumer financial services by the CFPB, in addition to a number of heightened reporting requirements. The Regulatory Relief Act eliminated the stress test and risk committee requirements for banking entities between $10 billion and $50 billion, but the other Dodd-Frank regulations and reporting requirements were not changed.</w:t>
      </w:r>
    </w:p>
    <w:p>
      <w:pPr>
        <w:spacing w:after="0" w:line="16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crossed the $10 billion threshold in 2020. The material consequences to Busey of crossing the $10 billion threshold are as follows: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Interchange Fees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Durbin Amendment to the Dodd-Frank Act required the Federal Reserve to establish a maximum permissible interchange fee for many types of debit transactions. Interchange fees, also known as “swipe” fees, are charges that merchants pay to card-issuing banks, such as Busey Bank, for processing electronic payment transactions. The Federal Reserve set the maximum interchange fee at 21 cents, plus five basis points of the transaction value. The Federal Reserve also adopted a rule to allow a debit card issuer to recover one cent per transaction for fraud prevention purposes if the issuer complies with certain fraud-related requirements required by the Federal Reserve. Fee limits imposed by the Durbin Amendment are applicable to any banking entity with over $10 billion in assets and became applicable to Busey Bank on July 1, 2022, following a six-month transition period. Compliance with the Durbin Amendment has reduced Busey Bank’s earnings on the covered debit transactions.</w:t>
      </w:r>
    </w:p>
    <w:p>
      <w:pPr>
        <w:spacing w:after="0" w:line="21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 w:name="page13"/>
    <w:bookmarkEnd w:id="1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Volcker Rule</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Volcker Rule (also a part of the Dodd-Frank Act) restricts the ability of banking entities (holding companies and their affiliates) with over $10 billion in assets to sponsor or invest in private funds, or to engage in certain types of proprietary trading. In October 2019, the Federal Reserve, OCC, FDIC, Commodity Futures Trading Commission, and SEC finalized rules to tailor the application of the Volcker Rule based on the size and scope of a banking entity’s trading activities and to clarify and amend certain definitions, requirements, and exemptions. Banking entities have two years (with a possibility of extensions) to comply with the Volcker requirements after crossing the $10 billion threshold. Busey does not materially engage in the activities prohibited by the Volcker Rule; therefore, the application of the rule will not have a material effect on Busey’s operations.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CFPB Examination and Enforcement</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Although most of the CFPB’s rules issued under federal consumer financial protection laws are applicable to all providers of consumer financial services, the CFPB only has examination and enforcement authority over banks with more than $10 billion in assets (measured over four consecutive quarters). Busey Bank is under CFPB oversight for consumer banking transactions, and continues to be examined for compliance with consumer laws by its primary federal regulatory agency, the FDIC.</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Clearing Swaps Agreements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Banks with over $10 billion in assets are required to clear swaps agreements on exchanges. Busey Bank began to comply with the exchange requirement beginning in 2021.</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Risk Committee</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Dodd Frank Act required publicly traded bank holding companies with more than $10 billion in total consolidated assets to establish and maintain a risk committee. Pursuant to the Federal Reserve’s final rules issued under the Regulatory Relief Act, that threshold was increased to $50 billion. Although it is not yet required to have a risk committee in place, Busey established a committee comprised of holding company directors in 2018 to oversee risk matters in preparation for future growth.</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Role of Capital</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Regulatory capital represents the net assets of a banking organization available to absorb losses. Because of the risks attendant to their business, FDIC-insured institutions generally are required to hold more capital than other businesses. These requirements directly affects Busey’s earnings capabilities. Although capital historically has been one of the key measures of the financial health of both bank holding companies and banks, its role became fundamentally more important in the wake of the global financial crisis, as the banking regulators recognized that the amount and quality of capital held by banks prior to the crisis was insufficient to absorb losses during periods of severe stress.</w:t>
      </w:r>
    </w:p>
    <w:p>
      <w:pPr>
        <w:spacing w:after="0" w:line="21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 w:name="page14"/>
    <w:bookmarkEnd w:id="1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Capital Levels</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Banks have been required to hold minimum levels of capital based on guidelines established by the bank regulatory agencies since 1983. The minimums have been expressed in terms of ratios of “capital” divided by “total assets.” Beginning in 1989, capital guidelines for U.S. banks have been based upon international capital accords, known as “Basel” rules, adopted by the Basel Committee on Banking Supervision, a committee of central banks and bank supervisors that acts as the primary global standard-setter for prudential regulation, as implemented by the U.S. bank regulatory agencies on an interagency basis. The accords recognized that bank assets for the purpose of the capital ratio calculations needed to be risk weighted (the theory being that riskier assets should require more capital) and that off-balance sheet exposures needed to be factored into the calculations. Following the global financial crisis, the Group of Governors and Heads of Supervision, the oversight body of the Basel Committee on Banking Supervision, announced agreement on a strengthened set of capital requirements for banking organizations around the world, known as Basel III, to address deficiencies recognized in connection with the global financial crisis.</w:t>
      </w:r>
    </w:p>
    <w:p>
      <w:pPr>
        <w:spacing w:after="0" w:line="1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The Basel III Rule</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U.S. federal banking agencies adopted the Basel III Rule in regulations that were effective (with a number of phase-ins) in 2015. The Basel III Rule established capital standards for banks and bank holding companies that are meaningfully more stringent than those in place previously. The Basel III Rule is applicable to all banking organizations that are subject to minimum capital requirements, including federal and state banks and savings and loan associations, as well as to most bank and savings and loan holding companies. First Busey and Busey Bank are each subject to the Basel III Rule as described below.</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Risk-Weighting Assets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Three of the required Basel III capital ratios, as discussed immediately below, are calculated using a denominator of total “risk-weighted” assets. In the calculation of so-called “risk weights,” which was introduced in the first Basel accord, bank assets were divided into four basic risk-weighted categories of zero, 20, 50, and 100%. Basel III required a more complex, detailed and calibrated assessment of risk in the calculation of risk weightings. Although it uses the same technique introduced by Basel I in assigning assets to risk-weight categories, it significantly increases the categories and adds conditions. Risk weights were established as high as 250% for certain commercial real estate exposures, and higher for certain derivatives. The assignment of risk weights continues to be under review by the banking agencies and has culminated in an initiative called “Basel III: Endgame,” which, as proposed, would only apply to banks with $100 billion in assets or more and would not impact Busey.</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Minimum Capital Ratio Requirements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Basel III also increased the required quantity and quality of capital. Not only did it increase most of the required minimum capital ratios in effect prior to January 1, 2015, but in requiring that forms of capital be of higher quality to absorb loss, it also introduced the concept of Common Equity Tier 1 Capital, which consists primarily of common stock, related surplus (net of Treasury stock), retained earnings, and Common Equity Tier 1 minority interests subject to certain regulatory adjustments. The Basel III Rule also changed the definition of capital by establishing more stringent criteria that instruments must meet to be considered Additional Tier 1 Capital (primarily non-cumulative perpetual preferred stock that meets certain requirements) and Tier 2 Capital (primarily other types of preferred stock and subordinated debt, subject to limitations). The Basel III Rule also constrained the inclusion of minority interests, mortgage-servicing assets, and deferred tax assets in capital and required deductions from Common Equity Tier 1 Capital if such assets exceeded a percentage of a banking institution’s Common Equity Tier 1 Capital.</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Basel III Rule requires </w:t>
      </w:r>
      <w:r>
        <w:rPr>
          <w:rFonts w:ascii="Verdana" w:cs="Verdana" w:eastAsia="Verdana" w:hAnsi="Verdana"/>
          <w:sz w:val="18"/>
          <w:szCs w:val="18"/>
          <w:b w:val="1"/>
          <w:bCs w:val="1"/>
          <w:color w:val="auto"/>
        </w:rPr>
        <w:t>minimum</w:t>
      </w:r>
      <w:r>
        <w:rPr>
          <w:rFonts w:ascii="Verdana" w:cs="Verdana" w:eastAsia="Verdana" w:hAnsi="Verdana"/>
          <w:sz w:val="18"/>
          <w:szCs w:val="18"/>
          <w:color w:val="auto"/>
        </w:rPr>
        <w:t xml:space="preserve"> capital ratios as follows:</w:t>
      </w:r>
    </w:p>
    <w:p>
      <w:pPr>
        <w:spacing w:after="0" w:line="186" w:lineRule="exact"/>
        <w:rPr>
          <w:sz w:val="20"/>
          <w:szCs w:val="20"/>
          <w:color w:val="auto"/>
        </w:rPr>
      </w:pPr>
    </w:p>
    <w:p>
      <w:pPr>
        <w:ind w:left="640" w:hanging="308"/>
        <w:spacing w:after="0"/>
        <w:tabs>
          <w:tab w:leader="none" w:pos="640"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A ratio of Common Equity Tier 1 Capital equal to 4.5% of risk-weighted assets;</w:t>
      </w:r>
    </w:p>
    <w:p>
      <w:pPr>
        <w:spacing w:after="0" w:line="22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 w:name="page15"/>
    <w:bookmarkEnd w:id="1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hanging="308"/>
        <w:spacing w:after="0"/>
        <w:tabs>
          <w:tab w:leader="none" w:pos="64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A ratio of Tier 1 Capital equal to 6% of risk-weighted assets;</w:t>
      </w:r>
    </w:p>
    <w:p>
      <w:pPr>
        <w:spacing w:after="0" w:line="172" w:lineRule="exact"/>
        <w:rPr>
          <w:rFonts w:ascii="Verdana" w:cs="Verdana" w:eastAsia="Verdana" w:hAnsi="Verdana"/>
          <w:sz w:val="18"/>
          <w:szCs w:val="18"/>
          <w:color w:val="auto"/>
        </w:rPr>
      </w:pPr>
    </w:p>
    <w:p>
      <w:pPr>
        <w:ind w:left="660" w:right="20" w:hanging="328"/>
        <w:spacing w:after="0" w:line="254" w:lineRule="auto"/>
        <w:tabs>
          <w:tab w:leader="none" w:pos="65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A continuation of the minimum required amount of Total Capital (Tier 1 plus Tier 2) at 8% of risk-weighted assets; and</w:t>
      </w:r>
    </w:p>
    <w:p>
      <w:pPr>
        <w:spacing w:after="0" w:line="144" w:lineRule="exact"/>
        <w:rPr>
          <w:rFonts w:ascii="Verdana" w:cs="Verdana" w:eastAsia="Verdana" w:hAnsi="Verdana"/>
          <w:sz w:val="18"/>
          <w:szCs w:val="18"/>
          <w:color w:val="auto"/>
        </w:rPr>
      </w:pPr>
    </w:p>
    <w:p>
      <w:pPr>
        <w:ind w:left="640" w:hanging="308"/>
        <w:spacing w:after="0"/>
        <w:tabs>
          <w:tab w:leader="none" w:pos="64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A leverage ratio of Tier 1 Capital to total quarterly average assets equal to 4% in all circumstances.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Capital Conservation Buffer</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In addition, institutions that want to make capital distributions (including for dividends and repurchases of stock) and pay discretionary bonuses to executive officers without restriction also must maintain 2.5% in Common Equity Tier 1 Capital attributable to a capital conservation buffer. The purpose of the conservation buffer is to ensure that banking institutions maintain a buffer of capital that can be used to absorb losses during periods of financial and economic stress. Factoring in the conservation buffer increases the minimum ratios depicted above to 7% for Common Equity Tier 1 Capital, 8.5% for Tier 1 Capital and 10.5% for Total Capital.</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Well-Capitalized Requirements</w:t>
      </w:r>
    </w:p>
    <w:p>
      <w:pPr>
        <w:spacing w:after="0" w:line="18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ratios described above are minimum standards for banking organizations to be considered “adequately capitalized.” Bank regulatory agencies uniformly encourage banks to hold more capital and be “well-capitalized” and, to that end, federal law and regulations provide various incentives for banking organizations to maintain regulatory capital at levels in excess of minimum regulatory requirements. For example, a banking organization that is well-capitalized may: (1) qualify for exemptions from prior notice or application requirements otherwise applicable to certain types of activities; (2) qualify for expedited processing of other required notices or applications; and (3) accept, roll-over or renew brokered deposits. Higher capital levels also could be required if warranted by the particular circumstances or risk profiles of individual banking organizations. For example, the Federal Reserve’s capital guidelines contemplate that additional capital may be required to take adequate account of, among other things, interest rate risk, the risks posed by concentrations of credit, nontraditional activities, or securities trading activities. Further, any banking organization experiencing or anticipating significant growth would be expected to maintain capital ratios, including tangible capital positions (</w:t>
      </w:r>
      <w:r>
        <w:rPr>
          <w:rFonts w:ascii="Verdana" w:cs="Verdana" w:eastAsia="Verdana" w:hAnsi="Verdana"/>
          <w:sz w:val="18"/>
          <w:szCs w:val="18"/>
          <w:i w:val="1"/>
          <w:iCs w:val="1"/>
          <w:color w:val="auto"/>
        </w:rPr>
        <w:t>i.e.</w:t>
      </w:r>
      <w:r>
        <w:rPr>
          <w:rFonts w:ascii="Verdana" w:cs="Verdana" w:eastAsia="Verdana" w:hAnsi="Verdana"/>
          <w:sz w:val="18"/>
          <w:szCs w:val="18"/>
          <w:color w:val="auto"/>
        </w:rPr>
        <w:t>, Tier 1 Capital less all intangible assets), well above the minimum levels.</w:t>
      </w:r>
    </w:p>
    <w:p>
      <w:pPr>
        <w:spacing w:after="0" w:line="16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Under the capital regulations of the FDIC and Federal Reserve, in order to be well-capitalized, a banking organization must maintain all of the following:</w:t>
      </w:r>
    </w:p>
    <w:p>
      <w:pPr>
        <w:spacing w:after="0" w:line="144" w:lineRule="exact"/>
        <w:rPr>
          <w:sz w:val="20"/>
          <w:szCs w:val="20"/>
          <w:color w:val="auto"/>
        </w:rPr>
      </w:pPr>
    </w:p>
    <w:p>
      <w:pPr>
        <w:ind w:left="640" w:hanging="308"/>
        <w:spacing w:after="0"/>
        <w:tabs>
          <w:tab w:leader="none" w:pos="640" w:val="left"/>
        </w:tabs>
        <w:numPr>
          <w:ilvl w:val="0"/>
          <w:numId w:val="7"/>
        </w:numPr>
        <w:rPr>
          <w:rFonts w:ascii="Verdana" w:cs="Verdana" w:eastAsia="Verdana" w:hAnsi="Verdana"/>
          <w:sz w:val="18"/>
          <w:szCs w:val="18"/>
          <w:color w:val="auto"/>
        </w:rPr>
      </w:pPr>
      <w:r>
        <w:rPr>
          <w:rFonts w:ascii="Verdana" w:cs="Verdana" w:eastAsia="Verdana" w:hAnsi="Verdana"/>
          <w:sz w:val="18"/>
          <w:szCs w:val="18"/>
          <w:color w:val="auto"/>
        </w:rPr>
        <w:t>A Common Equity Tier 1 Capital ratio to risk-weighted assets of 6.5% or more;</w:t>
      </w:r>
    </w:p>
    <w:p>
      <w:pPr>
        <w:spacing w:after="0" w:line="186" w:lineRule="exact"/>
        <w:rPr>
          <w:rFonts w:ascii="Verdana" w:cs="Verdana" w:eastAsia="Verdana" w:hAnsi="Verdana"/>
          <w:sz w:val="18"/>
          <w:szCs w:val="18"/>
          <w:color w:val="auto"/>
        </w:rPr>
      </w:pPr>
    </w:p>
    <w:p>
      <w:pPr>
        <w:ind w:left="640" w:hanging="308"/>
        <w:spacing w:after="0"/>
        <w:tabs>
          <w:tab w:leader="none" w:pos="640" w:val="left"/>
        </w:tabs>
        <w:numPr>
          <w:ilvl w:val="0"/>
          <w:numId w:val="7"/>
        </w:numPr>
        <w:rPr>
          <w:rFonts w:ascii="Verdana" w:cs="Verdana" w:eastAsia="Verdana" w:hAnsi="Verdana"/>
          <w:sz w:val="18"/>
          <w:szCs w:val="18"/>
          <w:color w:val="auto"/>
        </w:rPr>
      </w:pPr>
      <w:r>
        <w:rPr>
          <w:rFonts w:ascii="Verdana" w:cs="Verdana" w:eastAsia="Verdana" w:hAnsi="Verdana"/>
          <w:sz w:val="18"/>
          <w:szCs w:val="18"/>
          <w:color w:val="auto"/>
        </w:rPr>
        <w:t>A ratio of Tier 1 Capital to total risk-weighted assets of 8% or more;</w:t>
      </w:r>
    </w:p>
    <w:p>
      <w:pPr>
        <w:spacing w:after="0" w:line="172" w:lineRule="exact"/>
        <w:rPr>
          <w:rFonts w:ascii="Verdana" w:cs="Verdana" w:eastAsia="Verdana" w:hAnsi="Verdana"/>
          <w:sz w:val="18"/>
          <w:szCs w:val="18"/>
          <w:color w:val="auto"/>
        </w:rPr>
      </w:pPr>
    </w:p>
    <w:p>
      <w:pPr>
        <w:ind w:left="640" w:hanging="308"/>
        <w:spacing w:after="0"/>
        <w:tabs>
          <w:tab w:leader="none" w:pos="640" w:val="left"/>
        </w:tabs>
        <w:numPr>
          <w:ilvl w:val="0"/>
          <w:numId w:val="7"/>
        </w:numPr>
        <w:rPr>
          <w:rFonts w:ascii="Verdana" w:cs="Verdana" w:eastAsia="Verdana" w:hAnsi="Verdana"/>
          <w:sz w:val="18"/>
          <w:szCs w:val="18"/>
          <w:color w:val="auto"/>
        </w:rPr>
      </w:pPr>
      <w:r>
        <w:rPr>
          <w:rFonts w:ascii="Verdana" w:cs="Verdana" w:eastAsia="Verdana" w:hAnsi="Verdana"/>
          <w:sz w:val="18"/>
          <w:szCs w:val="18"/>
          <w:color w:val="auto"/>
        </w:rPr>
        <w:t>A ratio of Total Capital to total risk-weighted assets of 10% or more; and</w:t>
      </w:r>
    </w:p>
    <w:p>
      <w:pPr>
        <w:spacing w:after="0" w:line="172" w:lineRule="exact"/>
        <w:rPr>
          <w:rFonts w:ascii="Verdana" w:cs="Verdana" w:eastAsia="Verdana" w:hAnsi="Verdana"/>
          <w:sz w:val="18"/>
          <w:szCs w:val="18"/>
          <w:color w:val="auto"/>
        </w:rPr>
      </w:pPr>
    </w:p>
    <w:p>
      <w:pPr>
        <w:ind w:left="640" w:hanging="308"/>
        <w:spacing w:after="0"/>
        <w:tabs>
          <w:tab w:leader="none" w:pos="640" w:val="left"/>
        </w:tabs>
        <w:numPr>
          <w:ilvl w:val="0"/>
          <w:numId w:val="7"/>
        </w:numPr>
        <w:rPr>
          <w:rFonts w:ascii="Verdana" w:cs="Verdana" w:eastAsia="Verdana" w:hAnsi="Verdana"/>
          <w:sz w:val="18"/>
          <w:szCs w:val="18"/>
          <w:color w:val="auto"/>
        </w:rPr>
      </w:pPr>
      <w:r>
        <w:rPr>
          <w:rFonts w:ascii="Verdana" w:cs="Verdana" w:eastAsia="Verdana" w:hAnsi="Verdana"/>
          <w:sz w:val="18"/>
          <w:szCs w:val="18"/>
          <w:color w:val="auto"/>
        </w:rPr>
        <w:t>A leverage ratio of Tier 1 Capital to total adjusted average quarterly assets of 5% or greater.</w:t>
      </w:r>
    </w:p>
    <w:p>
      <w:pPr>
        <w:spacing w:after="0" w:line="186"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It is possible under the Basel III Rule to be well-capitalized while remaining out of compliance with the capital conservation buffer discussed above.</w:t>
      </w:r>
    </w:p>
    <w:p>
      <w:pPr>
        <w:spacing w:after="0" w:line="142" w:lineRule="exact"/>
        <w:rPr>
          <w:sz w:val="20"/>
          <w:szCs w:val="20"/>
          <w:color w:val="auto"/>
        </w:rPr>
      </w:pPr>
    </w:p>
    <w:p>
      <w:pPr>
        <w:spacing w:after="0"/>
        <w:rPr>
          <w:sz w:val="20"/>
          <w:szCs w:val="20"/>
          <w:color w:val="auto"/>
        </w:rPr>
      </w:pPr>
      <w:r>
        <w:rPr>
          <w:rFonts w:ascii="Verdana" w:cs="Verdana" w:eastAsia="Verdana" w:hAnsi="Verdana"/>
          <w:sz w:val="18"/>
          <w:szCs w:val="18"/>
          <w:color w:val="auto"/>
        </w:rPr>
        <w:t>As of December 31, 2023: (1) Busey Bank was not subject to a directive from the FDIC to increase its capital, and</w:t>
      </w:r>
    </w:p>
    <w:p>
      <w:pPr>
        <w:jc w:val="both"/>
        <w:ind w:firstLine="8"/>
        <w:spacing w:after="0" w:line="260" w:lineRule="auto"/>
        <w:tabs>
          <w:tab w:leader="none" w:pos="346" w:val="left"/>
        </w:tabs>
        <w:numPr>
          <w:ilvl w:val="0"/>
          <w:numId w:val="8"/>
        </w:numPr>
        <w:rPr>
          <w:rFonts w:ascii="Verdana" w:cs="Verdana" w:eastAsia="Verdana" w:hAnsi="Verdana"/>
          <w:sz w:val="18"/>
          <w:szCs w:val="18"/>
          <w:color w:val="auto"/>
        </w:rPr>
      </w:pPr>
      <w:r>
        <w:rPr>
          <w:rFonts w:ascii="Verdana" w:cs="Verdana" w:eastAsia="Verdana" w:hAnsi="Verdana"/>
          <w:sz w:val="18"/>
          <w:szCs w:val="18"/>
          <w:color w:val="auto"/>
        </w:rPr>
        <w:t>Busey Bank was well-capitalized, as defined by FDIC regulations. As of December 31, 2023, First Busey had regulatory capital in excess of the Federal Reserve’s requirements and met the requirements to be well-capitalized. First Busey also is in compliance with the capital conservation buffer.</w:t>
      </w:r>
    </w:p>
    <w:p>
      <w:pPr>
        <w:spacing w:after="0" w:line="19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 w:name="page16"/>
    <w:bookmarkEnd w:id="1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Prompt Corrective Action</w:t>
      </w:r>
    </w:p>
    <w:p>
      <w:pPr>
        <w:spacing w:after="0" w:line="17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The concept of an institution being “well-capitalized” is part of a regulatory enforcement regime that provides the federal banking regulators with broad power to take “prompt corrective action” to resolve the problems of depository institutions based on the capital level of each particular institution. The extent of the regulators’ powers depends on whether the institution in question is “adequately capitalized,” “undercapitalized,” “significantly undercapitalized” or “critically undercapitalized,” in each case as defined by regulation. Depending upon the capital category to which an institution is assigned, the regulators’ corrective powers include: (1) requiring the institution to submit a capital restoration plan;</w:t>
      </w:r>
    </w:p>
    <w:p>
      <w:pPr>
        <w:spacing w:after="0" w:line="5" w:lineRule="exact"/>
        <w:rPr>
          <w:sz w:val="20"/>
          <w:szCs w:val="20"/>
          <w:color w:val="auto"/>
        </w:rPr>
      </w:pPr>
    </w:p>
    <w:p>
      <w:pPr>
        <w:jc w:val="both"/>
        <w:ind w:firstLine="8"/>
        <w:spacing w:after="0"/>
        <w:tabs>
          <w:tab w:leader="none" w:pos="343" w:val="left"/>
        </w:tabs>
        <w:numPr>
          <w:ilvl w:val="0"/>
          <w:numId w:val="9"/>
        </w:numPr>
        <w:rPr>
          <w:rFonts w:ascii="Verdana" w:cs="Verdana" w:eastAsia="Verdana" w:hAnsi="Verdana"/>
          <w:sz w:val="18"/>
          <w:szCs w:val="18"/>
          <w:color w:val="auto"/>
        </w:rPr>
      </w:pPr>
      <w:r>
        <w:rPr>
          <w:rFonts w:ascii="Verdana" w:cs="Verdana" w:eastAsia="Verdana" w:hAnsi="Verdana"/>
          <w:sz w:val="18"/>
          <w:szCs w:val="18"/>
          <w:color w:val="auto"/>
        </w:rPr>
        <w:t>limiting the institution’s asset growth and restricting its activities; (3) requiring the institution to issue additional capital stock (including additional voting stock) or to sell itself; (4) restricting transactions between the institution and its affiliates; (5) restricting the interest rate that the institution may pay on deposits; (6) ordering a new election of directors of the institution; (7) requiring that senior executive officers or directors be dismissed; (8) prohibiting the institution from accepting deposits from correspondent banks; (9) requiring the institution to divest certain subsidiaries; (10) prohibiting the payment of principal or interest on subordinated debt; and (11) ultimately, appointing a receiver for the institution.</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Supervision and Regulation of First Busey Corporation</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General</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First Busey Corporation, as the sole stockholder of Busey Bank, is a bank holding company. As a bank holding company, First Busey Corporation is registered with, and subject to regulation, supervision, and enforcement by, the Federal Reserve under the BHCA. First Busey Corporation is legally obligated to act as a source of financial and managerial strength to Busey Bank and to commit resources to support it in circumstances where we might not otherwise do so. Under the BHCA, First Busey Corporation is subject to periodic examination by the Federal Reserve and is required to file with the Federal Reserve periodic reports of its operations and such additional information regarding First Busey Corporation and Busey Bank as the Federal Reserve may require.</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Acquisitions, Activities and Financial Holding Company Election</w:t>
      </w:r>
    </w:p>
    <w:p>
      <w:pPr>
        <w:spacing w:after="0" w:line="18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 xml:space="preserve">The primary purpose of a bank holding company is to control and manage banks. The BHCA generally requires the prior approval of the Federal Reserve for any merger involving a bank holding company or any acquisition by a bank holding company of another bank or bank holding company. Subject to certain conditions (including deposit concentration limits established by the BHCA),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FDIC-insured institution affiliates in the state in which the target bank is located (provided that those limits do not discriminate against out-of-state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effect interstate mergers or acquisitions. For a discussion of the capital requirements,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Business—Supervision, Regulation and Other Factors—The Role of Capital</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above.</w:t>
      </w:r>
    </w:p>
    <w:p>
      <w:pPr>
        <w:spacing w:after="0" w:line="21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 w:name="page17"/>
    <w:bookmarkEnd w:id="1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BHCA generally prohibits bank holding companies from acquiring direct or indirect ownership or control of more than 5% of the voting shares of any company that is not a bank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 as to be a proper incident thereto.” This authority permits First Busey Corporation to engage in a variety of banking-related businesses, including the ownership and operation of a savings association, or any entity engaged in consumer finance, equipment leasing, and mortgage banking and brokerage services. The BHCA does not place territorial restrictions on the domestic activities of nonbank subsidiaries of bank holding companies.</w:t>
      </w:r>
    </w:p>
    <w:p>
      <w:pPr>
        <w:spacing w:after="0" w:line="159"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as long as the activity does not pose a substantial risk to the safety or soundness of FDIC-insured institutions or the financial system generally. First Busey Corporation has elected to operate as a financial holding company. In order to maintain its status as a financial holding company, First Busey and Busey Bank must be well-capitalized, well-managed, and Busey Bank must have a least a satisfactory CRA rating. If the Federal Reserve determines that a financial holding company is not well -capitalized or well-managed, the company has a period of time in which to achieve compliance, but during the period of noncompliance, the Federal Reserve may place any limitations on the company it believes to be appropriate. Furthermore, if the Federal Reserve determines that a financial holding company’s subsidiary bank has not received a satisfactory CRA rating, that company will not be able to commence any new financial activities or acquire a company that engages in such activities.</w:t>
      </w:r>
    </w:p>
    <w:p>
      <w:pPr>
        <w:spacing w:after="0" w:line="16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Change in Control</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Capital Requirements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Bank holding companies are required to maintain capital in accordance with Federal Reserve capital adequacy requirements. For a discussion of capital requirements,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 Business—Supervision, Regulation and Other Factors—</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The Role of Capital</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above.</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Dividend Payments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First Busey Corporation's ability to pay dividends to its stockholders may be affected by both general corporate law considerations and the policies of the Federal Reserve applicable to bank holding companies. As a Nevada corporation, First Busey Corporation is subject to the limitations of Nevada law, which allows First Busey Corporation to pay dividends unless, after such dividend, (1) First Busey Corporation would not be able to pay its debts as they become due in the usual course of business or (2) First Busey Corporation’s total assets would be less than the sum of its total liabilities plus any amount that would be needed, if First Busey Corporation were to be dissolved at the time of the dividend payment, to satisfy the preferential rights upon dissolution of stockholders whose rights are superior to the rights of the stockholders receiving the distribution.</w:t>
      </w:r>
    </w:p>
    <w:p>
      <w:pPr>
        <w:spacing w:after="0" w:line="21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 w:name="page18"/>
    <w:bookmarkEnd w:id="1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0" w:lineRule="auto"/>
        <w:rPr>
          <w:sz w:val="20"/>
          <w:szCs w:val="20"/>
          <w:color w:val="auto"/>
        </w:rPr>
      </w:pPr>
      <w:r>
        <w:rPr>
          <w:rFonts w:ascii="Verdana" w:cs="Verdana" w:eastAsia="Verdana" w:hAnsi="Verdana"/>
          <w:sz w:val="17"/>
          <w:szCs w:val="17"/>
          <w:color w:val="auto"/>
        </w:rPr>
        <w:t>As a general matter, the Federal Reserve has indicated that the board of directors of a bank holding company should eliminate, defer, or significantly reduce dividends to stockholders if: (1) the company’s net income available to stockholders for the past four quarters, net of dividends previously paid during that period, is not sufficient to fully fund the dividends;</w:t>
      </w:r>
    </w:p>
    <w:p>
      <w:pPr>
        <w:spacing w:after="0" w:line="2" w:lineRule="exact"/>
        <w:rPr>
          <w:sz w:val="20"/>
          <w:szCs w:val="20"/>
          <w:color w:val="auto"/>
        </w:rPr>
      </w:pPr>
    </w:p>
    <w:p>
      <w:pPr>
        <w:jc w:val="both"/>
        <w:ind w:firstLine="8"/>
        <w:spacing w:after="0" w:line="239" w:lineRule="auto"/>
        <w:tabs>
          <w:tab w:leader="none" w:pos="372" w:val="left"/>
        </w:tabs>
        <w:numPr>
          <w:ilvl w:val="0"/>
          <w:numId w:val="10"/>
        </w:numPr>
        <w:rPr>
          <w:rFonts w:ascii="Verdana" w:cs="Verdana" w:eastAsia="Verdana" w:hAnsi="Verdana"/>
          <w:sz w:val="18"/>
          <w:szCs w:val="18"/>
          <w:color w:val="auto"/>
        </w:rPr>
      </w:pPr>
      <w:r>
        <w:rPr>
          <w:rFonts w:ascii="Verdana" w:cs="Verdana" w:eastAsia="Verdana" w:hAnsi="Verdana"/>
          <w:sz w:val="18"/>
          <w:szCs w:val="18"/>
          <w:color w:val="auto"/>
        </w:rPr>
        <w:t xml:space="preserve">the prospective rate of earnings retention is inconsistent with the company’s capital needs and overall current and prospective financial condition; or (3)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Rule, institutions that seek the freedom to pay dividends have to maintain 2.5% in Common Equity Tier 1 Capital attributable to the capital conservation buffer.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 Business—</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Supervision, Regulation and Other Factors—The Role of Capital</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above.</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Incentive Compensation</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There have been a number of developments in recent years focused on incentive compensation plans sponsored by bank holding companies and banks, reflecting recognition by the bank regulatory agencies and Congress that flawed incentive compensation practices in the financial industry were one of many factors contributing to the global financial crisis. The result is interagency guidance on sound incentive compensation practices.</w:t>
      </w:r>
    </w:p>
    <w:p>
      <w:pPr>
        <w:spacing w:after="0" w:line="17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The interagency guidance recognized three core principles. Effective incentive plans should: (1) provide employees incentives that appropriately balance risk and reward; (2) be compatible with effective controls and risk-management; and</w:t>
      </w:r>
    </w:p>
    <w:p>
      <w:pPr>
        <w:spacing w:after="0" w:line="2" w:lineRule="exact"/>
        <w:rPr>
          <w:sz w:val="20"/>
          <w:szCs w:val="20"/>
          <w:color w:val="auto"/>
        </w:rPr>
      </w:pPr>
    </w:p>
    <w:p>
      <w:pPr>
        <w:jc w:val="both"/>
        <w:ind w:firstLine="8"/>
        <w:spacing w:after="0" w:line="239" w:lineRule="auto"/>
        <w:tabs>
          <w:tab w:leader="none" w:pos="360" w:val="left"/>
        </w:tabs>
        <w:numPr>
          <w:ilvl w:val="0"/>
          <w:numId w:val="11"/>
        </w:numPr>
        <w:rPr>
          <w:rFonts w:ascii="Verdana" w:cs="Verdana" w:eastAsia="Verdana" w:hAnsi="Verdana"/>
          <w:sz w:val="18"/>
          <w:szCs w:val="18"/>
          <w:color w:val="auto"/>
        </w:rPr>
      </w:pPr>
      <w:r>
        <w:rPr>
          <w:rFonts w:ascii="Verdana" w:cs="Verdana" w:eastAsia="Verdana" w:hAnsi="Verdana"/>
          <w:sz w:val="18"/>
          <w:szCs w:val="18"/>
          <w:color w:val="auto"/>
        </w:rPr>
        <w:t>be supported by strong corporate governance, including active and effective oversight by the organization’s board of directors. Much of the guidance addresses large banking organizations and, because of the size and complexity of their operations, the regulators expect those organizations to maintain systematic and formalized policies, procedures, and systems for ensuring that the incentive compensation arrangements for all executive and non-executive employees covered by this guidance are identified and reviewed, and appropriately balance risks and rewards. Smaller banking organizations, like First Busey, that use incentive compensation arrangements are expected to be less extensive, formalized, and detailed than those of the larger banks.</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Monetary Policy</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monetary policy of the Federal Reserve has a significant effect on the operating results of financial or bank holding companies and their subsidiaries, which was exacerbated by the COVID-19 pandemic. Among the tools available to the Federal Reserve to affect the money supply are open market transactions in U.S. government securities and changes in the discount rate on bank borrowings. These tools are used in varying combinations to influence overall growth and distribution of bank loans, investments, and deposits, and their use may affect interest rates charged on loans or paid on deposits.</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Federal Securities Regulation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First Busey Corporation’s common stock is registered with the SEC under the Securities Act and the Exchange Act. Consequently, First Busey Corporation is subject to the information, proxy solicitation, insider trading and other restrictions and requirements of the SEC under the Exchange Act.</w:t>
      </w:r>
    </w:p>
    <w:p>
      <w:pPr>
        <w:spacing w:after="0" w:line="2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 w:name="page19"/>
    <w:bookmarkEnd w:id="1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Corporate Governance</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Dodd-Frank Act addressed many investor protection, corporate governance, and executive compensation matters that will affect most U.S. publicly traded companies. It increased stockholder influence over boards of directors by requiring companies to give stockholders a nonbinding vote on executive compensation and so-called “golden parachute” payments and by authorizing the SEC to promulgate rules that would allow stockholders to nominate and solicit voters for their own candidates using a company’s proxy materials. The legislation also directed the Federal Reserve to promulgate rules prohibiting excessive compensation paid to executives of bank holding companies, regardless of whether such companies are publicly traded.</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Supervision and Regulation of Busey Bank</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General</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Bank is an Illinois-chartered bank. Its deposit accounts are insured by the DIF to the maximum extent provided under federal law and FDIC regulations, currently $250,000 per insured depositor category. As an Illinois-chartered FDIC-insured bank, Busey Bank is subject to the examination, supervision, reporting, and enforcement requirements of the DFPR, the chartering authority for Illinois banks. Busey Bank is also regulated by the FDIC, designated by federal law as the primary federal regulator of insured state banks that, like Busey Bank, are not members of the Federal Reserve System.</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Deposit Insurance</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As an FDIC-insured institution, Busey Bank is required to pay deposit insurance premium assessments to the FDIC. The FDIC has adopted a risk-based assessment system whereby FDIC-insured institutions pay insurance premiums at rates based on their risk classification. For institutions like Busey Bank that are not considered large and highly complex banking organizations, the risk classification is based on examination ratings and financial ratios. A bank’s assessment is then calculated by multiplying its assessment rate by its assessment base (average consolidated total assets minus its average tangible equity). The total base assessment rates currently range from 1.5 basis points to 30 basis points on an annualized basis. However, the maximum rate is 18 basis points for financial institutions in the top two categories of examination composite ratings.</w:t>
      </w:r>
    </w:p>
    <w:p>
      <w:pPr>
        <w:spacing w:after="0" w:line="16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At least semi-annually, the FDIC updates its loss and income projections for the DIF and, if needed, increases or decreases the assessment rates, following notice and comment on proposed rule making. For this purpose, the reserve ratio is the DIF balance divided by estimated insured deposits. In response to the global financial crisis, the Dodd-Frank Act increased the minimum reserve ratio from 1.15% to 1.35% of the estimated amount of total insured deposits. In the semi-annual update in June 2022, the FDIC projected that the reserve ratio was at risk of not reaching the statutory minimum of 1.35% by September 30, 2028, statutory deadline. Based on this update, the FDIC approved an increase in initial base deposit insurance assessment rate schedules uniformly by two basis points, applicable to all insured depository institutions. The increase was effective on January 1, 2023, applicable to the first quarterly assessment period of 2023 (January 1 through March 31, 2023).</w:t>
      </w:r>
    </w:p>
    <w:p>
      <w:pPr>
        <w:spacing w:after="0" w:line="15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addition, because the total cost of the failures of Silicon Valley Bank and Signature Bank was approximately $16.3 billion, the FDIC adopted a special assessment for banks having deposits above $5 billion, at an annual rate of 13.4 basis points beginning with the first quarterly assessment period of 2024 (January 1 through March 31, 2024) with an invoice payment date of June 28, 2024, and will continue to collect special assessments for an anticipated total of eight quarterly assessment periods. The base for the special assessment is equal to an insured depository institution’s estimated uninsured deposits for the December 31, 2022, reporting period, adjusted to exclude the first $5 billion in estimated uninsured deposits. Busey Bank was not subject to this assessment due to uninsured deposits being below the $5 billion exclusion threshold.</w:t>
      </w:r>
    </w:p>
    <w:p>
      <w:pPr>
        <w:spacing w:after="0" w:line="22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9" w:name="page20"/>
    <w:bookmarkEnd w:id="1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Supervisory Assessments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All Illinois-chartered banks are required to pay supervisory assessments to the DFPR to fund the operations of that agency. The amount of the assessment is calculated on the basis of each bank’s total assets. During the year ended December 31, 2023, Busey Bank paid supervisory assessments to the DFPR totaling approximately $0.7 million.</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Capital Requirements</w:t>
      </w:r>
    </w:p>
    <w:p>
      <w:pPr>
        <w:spacing w:after="0" w:line="18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Banks are generally required to maintain capital levels in excess of other businesses. For a discussion of capital requirements,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 Business—Supervision, Regulation and Other Factors—The Role of Capital</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above.</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Liquidity Requirements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Liquidity is a measure of the ability and ease with which bank assets may be converted to meet financial obligations to pay deposits or other funding sources. Banks are required to implement liquidity risk management frameworks that ensure they maintain sufficient liquidity, including a cushion of unencumbered, high quality, liquid assets to withstand a range of stress events. The level and speed of deposit outflows contributing to the failures of Silicon Valley Bank, Signature Bank, and First Republic Bank in the first half of 2023 was unprecedented and contributed to acute liquidity and funding strain on the financial industry. These events have further underscored the importance of liquidity risk management and contingency funding planning by insured depository institutions like Busey Bank.</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The primary role of liquidity risk management is to: (1) prospectively assess the need for funds to meet obligations; and</w:t>
      </w:r>
    </w:p>
    <w:p>
      <w:pPr>
        <w:jc w:val="both"/>
        <w:ind w:firstLine="8"/>
        <w:spacing w:after="0" w:line="239" w:lineRule="auto"/>
        <w:tabs>
          <w:tab w:leader="none" w:pos="365" w:val="left"/>
        </w:tabs>
        <w:numPr>
          <w:ilvl w:val="0"/>
          <w:numId w:val="12"/>
        </w:numPr>
        <w:rPr>
          <w:rFonts w:ascii="Verdana" w:cs="Verdana" w:eastAsia="Verdana" w:hAnsi="Verdana"/>
          <w:sz w:val="18"/>
          <w:szCs w:val="18"/>
          <w:color w:val="auto"/>
        </w:rPr>
      </w:pPr>
      <w:r>
        <w:rPr>
          <w:rFonts w:ascii="Verdana" w:cs="Verdana" w:eastAsia="Verdana" w:hAnsi="Verdana"/>
          <w:sz w:val="18"/>
          <w:szCs w:val="18"/>
          <w:color w:val="auto"/>
        </w:rPr>
        <w:t>ensure the availability of cash or collateral to fulfill those needs at the appropriate time by coordinating the various sources of funds available to the institution under normal and stressed conditions. Basel III includes a liquidity framework that requires the largest insured institutions to measure their liquidity against specific liquidity tests. One test, referred to as the liquidity coverage ratio, is designed to ensure that the banking entity has an adequate stock of unencumbered high-quality liquid assets that can be converted easily and immediately in private markets into cash to meet liquidity needs for a 30-calendar day liquidity stress scenario. The other test, known as the net stable funding ratio, is designed to promote more medium- and long-term funding of the assets and activities of FDIC-insured institutions over a one-year horizon. These tests provide an incentive for banks and holding companies to increase their holdings in Treasury securities and other sovereign debt as a component of assets, increase the use of long-term debt as a funding source and rely on stable funding like core deposits (in lieu of brokered deposits).</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Although these tests do not, and will not, apply to Busey Bank, management continues to review its liquidity risk management framework in light of regulatory and industry developments.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Dividend Payments</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primary source of funds for First Busey Corporation is dividends from Busey Bank. Under Illinois banking law, Illinois-chartered banks generally may pay dividends only out of undivided profits. The DFPR may restrict the declaration or payment of a dividend by an Illinois-chartered bank. The payment of dividends by any FDIC-insured institution is affected by the requirement to maintain adequate capital pursuant to applicable capital adequacy guidelines and regulations, and a FDIC-insured institution generally is prohibited from paying any dividends if, following payment thereof, the institution would be undercapitalized. Notwithstanding the availability of funds for dividends, the FDIC and the DFPR may prohibit the payment of dividends by Busey Bank if either or both determine such payment would constitute an unsafe or unsound practice. In addition, under the Basel III Rule, institutions that seek the freedom to pay dividends have to maintain 2.5% in Common Equity Tier 1 Capital attributable to the capital conservation buffer.</w:t>
      </w:r>
    </w:p>
    <w:p>
      <w:pPr>
        <w:spacing w:after="0" w:line="21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0" w:name="page21"/>
    <w:bookmarkEnd w:id="2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State Bank Investments and Activities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Bank is permitted to make investments and engage in activities directly or through subsidiaries as authorized by Illinois law. However, under federal law and FDIC regulations, FDIC-insured state banks are prohibited, subject to certain exceptions, from making or retaining equity investments of a type, or in an amount, that are not permissible for a national bank. Federal law and FDIC regulations also prohibit FDIC-insured state banks and their subsidiaries, subject to certain exceptions, from engaging as principal in any activity that is not permitted for a national bank unless the bank meets, and continues to meet, its minimum regulatory capital requirements, and the FDIC determines that the activity would not pose a significant risk to the DIF. These restrictions have not had, and are not currently expected to have, a material impact on the operations of Busey Bank.</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Insider Transactions</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Bank is subject to certain restrictions imposed by federal law on “covered transactions” between Busey Bank and its “affiliates.” First Busey Corporation is an affiliate of Busey Bank for purposes of these restrictions, and covered transactions subject to the restrictions include extensions of credit to First Busey Corporation, investments in the stock or other securities of First Busey Corporation, and the acceptance of the stock or other securities of First Busey Corporation as collateral for loans made by Busey Bank. The Dodd-Frank Act enhanced the requirements for certain transactions with affiliates, including an expansion of the definition of “covered transactions” and an increase in the amount of time for which collateral requirements regarding covered transactions must be maintained.</w:t>
      </w:r>
    </w:p>
    <w:p>
      <w:pPr>
        <w:spacing w:after="0" w:line="16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Certain limitations and reporting requirements are also placed on extensions of credit by Busey Bank to its directors and officers, to directors and officers of First Busey Corporation and its subsidiaries, to principal stockholders of First Busey Corporation, and to “related interests” of such directors, officers, and principal stockholders. In addition, federal law and regulations may affect the terms upon which any person who is a director or officer of First Busey Corporation or Busey Bank, or a principal stockholder of First Busey Corporation, may obtain credit from banks with which Busey Bank maintains a correspondent relationship.</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Safety and Soundness Standards/Risk Management</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Federal banking agencies have adopted operational and managerial standards to promote the safety and soundness of FDIC-insured institutions. The standards apply to internal controls, information systems, internal audit systems, loan documentation, credit underwriting, interest rate exposure, asset growth, compensation, fees and benefits, asset quality, and earnings.</w:t>
      </w:r>
    </w:p>
    <w:p>
      <w:pPr>
        <w:spacing w:after="0" w:line="157"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In general, the safety and soundness standards prescribe the goals to be achieved in each area, and each institution is responsible for establishing its own procedures to achieve those goals. While regulatory standards do not have the force of law, if an institution operates in an unsafe and unsound manner, the FDIC-insured institution’s primary federal regulator may require the institution to submit a plan for achieving and maintaining compliance. If an FDIC-insured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FDIC-insured institution’s rate of growth, require the FDIC-insured institution to increase its capital, restrict the rates the institution pays on deposits, or require the institution to take any action the regulator deems appropriate under the circumstances. Noncompliance with safety and soundness may also constitute grounds for other enforcement action by the federal bank regulatory agencies, including cease and desist orders and civil money penalty assessments.</w:t>
      </w:r>
    </w:p>
    <w:p>
      <w:pPr>
        <w:spacing w:after="0" w:line="2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1" w:name="page22"/>
    <w:bookmarkEnd w:id="2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During the past decade, bank regulatory agencies have increasingly emphasized the importance of sound risk management processes and strong internal controls when evaluating the activities of the FDIC-insured institutions they supervise. Properly managing risk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The key risk themes identified by the Company for 2024 are discussed under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1A. Risk Factors</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below. Busey Bank is expected to have active board and senior management oversight; adequate policies, procedures, and limits; adequate risk measurement, monitoring, and management information systems; and comprehensive internal controls.</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Privacy and Cybersecurity</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Bank is subject to many U.S. federal and state laws and regulations governing requirements for maintaining policies and procedures to protect non-public confidential information of its customers. These laws require Busey Bank to periodically disclose its privacy policies and practices relating to sharing such information and permit consumers to opt out of their ability to share information with unaffiliated third parties under certain circumstances. They also impact Busey Bank’s ability to share certain information with affiliates and non-affiliates for marketing and/or non-marketing purposes, or to contact customers with marketing offers. In addition, Busey Bank is required to implement a comprehensive information security program that includes administrative, technical, and physical safeguards to ensure the security and confidentiality of customer records and information. These security and privacy policies and procedures, for the protection of personal and confidential information, are in effect across all businesses and geographic locations.</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Branching Authority</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Illinois banks, such as Busey Bank, have the authority under Illinois law to establish branches anywhere in the State of Illinois, subject to receipt of all required regulatory approvals. The Dodd-Frank Act permits well-capitalized and well-managed banks to establish new interstate branches or acquire individual branches of a bank in another state (rather than the acquisition of an out-of-state bank in its entirety) without impediments. Federal law permits state and national banks to merge with banks in other states subject to: (1) regulatory approval; (2) federal and state deposit concentration limits; and (3) state law limitations requiring the merging bank to have been in existence for a minimum period of time (not to exceed five years) prior to the merger.</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Community Reinvestment Act Requirements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CRA requires Busey Bank to have a continuing and affirmative obligation in a safe and sound manner to help meet the credit needs of the entire community, including low- and moderate-income neighborhoods. Federal regulators regularly assess Busey Bank’s record of meeting the credit needs of its communities in dedicated examinations. Applications for acquisitions are affected by the evaluation of Busey Bank’s effectiveness in meeting its CRA requirements.</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2" w:name="page23"/>
    <w:bookmarkEnd w:id="2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On October 24, 2023, the bank regulatory agencies issued a final rule to strengthen and modernize CRA regulations (the "CRA Rule"), some of which is effective beginning April 1, 2024. The CRA Rule is designed to update how CRA activities qualify for consideration, where CRA activities are considered, and how CRA activities are evaluated. More specifically, the bank regulatory agencies described the goals of the CRA Rule as follows: (1) to expand access to credit, investment, and basic banking services in low and moderate-income communities; (2) to adapt to changes in the banking industry, including mobile and internet banking by modernizing assessment areas while maintaining a focus on branch based areas;</w:t>
      </w:r>
    </w:p>
    <w:p>
      <w:pPr>
        <w:spacing w:after="0" w:line="5" w:lineRule="exact"/>
        <w:rPr>
          <w:sz w:val="20"/>
          <w:szCs w:val="20"/>
          <w:color w:val="auto"/>
        </w:rPr>
      </w:pPr>
    </w:p>
    <w:p>
      <w:pPr>
        <w:jc w:val="both"/>
        <w:ind w:firstLine="8"/>
        <w:spacing w:after="0" w:line="241" w:lineRule="auto"/>
        <w:tabs>
          <w:tab w:leader="none" w:pos="386" w:val="left"/>
        </w:tabs>
        <w:numPr>
          <w:ilvl w:val="0"/>
          <w:numId w:val="13"/>
        </w:numPr>
        <w:rPr>
          <w:rFonts w:ascii="Verdana" w:cs="Verdana" w:eastAsia="Verdana" w:hAnsi="Verdana"/>
          <w:sz w:val="18"/>
          <w:szCs w:val="18"/>
          <w:color w:val="auto"/>
        </w:rPr>
      </w:pPr>
      <w:r>
        <w:rPr>
          <w:rFonts w:ascii="Verdana" w:cs="Verdana" w:eastAsia="Verdana" w:hAnsi="Verdana"/>
          <w:sz w:val="18"/>
          <w:szCs w:val="18"/>
          <w:color w:val="auto"/>
        </w:rPr>
        <w:t>to provide greater clarity, consistency, and transparency in the application of the regulations through the use of standardized metrics as part of CRA evaluations and clarifying eligible CRA activities focused on low- and moderate-income communities and under-served rural communities; (4) to tailor CRA rules and data collection to bank size and business model; and (5) to maintain a unified approach among the regulators. Management of Busey Bank is assessing the impact of the CRA Rule on its CRA lending and investment activities in its markets.</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In 2022, Busey Bank, like all Illinois chartered banks, became subject to state level CRA standards, following passage of the Illinois CRA. This means that, in addition to the federal CRA review, Busey Bank will be reviewed by the DFPR to assess Busey Bank’s record of meeting the credit needs of its communities. Like the potential impact under the federal CRA, applications for additional acquisitions or activities would be affected by the evaluation of Busey Bank’s effectiveness in meeting its Illinois CRA requirements.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Anti-Money Laundering/Countering the Financing of Terrorism</w:t>
      </w:r>
    </w:p>
    <w:p>
      <w:pPr>
        <w:spacing w:after="0" w:line="186"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The Bank Secrecy Act is the common name for a series of laws and regulations enacted in the United States to combat money laundering and the financing of terrorism. These laws and regulations are designed to deny terrorists and criminals the ability to obtain access to the U.S. financial system and have significant implications for FDIC-insured institutions and other businesses involved in the transfer of money. The so-called Anti-Money Laundering/Countering the Financing of Terrorism regime under the Bank Secrecy Act provides a foundation to promote financial transparency and deter and detect those who seek to misuse the U.S. financial system to launder criminal proceeds, finance terrorist acts, or move funds for other illicit purposes. The laws mandate financial services companies to have policies and procedures with respect to measures designed to address the following matters: (1) customer identification programs; (2) money laundering;</w:t>
      </w:r>
    </w:p>
    <w:p>
      <w:pPr>
        <w:spacing w:after="0" w:line="7" w:lineRule="exact"/>
        <w:rPr>
          <w:sz w:val="20"/>
          <w:szCs w:val="20"/>
          <w:color w:val="auto"/>
        </w:rPr>
      </w:pPr>
    </w:p>
    <w:p>
      <w:pPr>
        <w:ind w:right="20" w:firstLine="8"/>
        <w:spacing w:after="0" w:line="254" w:lineRule="auto"/>
        <w:tabs>
          <w:tab w:leader="none" w:pos="361" w:val="left"/>
        </w:tabs>
        <w:numPr>
          <w:ilvl w:val="0"/>
          <w:numId w:val="14"/>
        </w:numPr>
        <w:rPr>
          <w:rFonts w:ascii="Verdana" w:cs="Verdana" w:eastAsia="Verdana" w:hAnsi="Verdana"/>
          <w:sz w:val="18"/>
          <w:szCs w:val="18"/>
          <w:color w:val="auto"/>
        </w:rPr>
      </w:pPr>
      <w:r>
        <w:rPr>
          <w:rFonts w:ascii="Verdana" w:cs="Verdana" w:eastAsia="Verdana" w:hAnsi="Verdana"/>
          <w:sz w:val="18"/>
          <w:szCs w:val="18"/>
          <w:color w:val="auto"/>
        </w:rPr>
        <w:t>terrorist financing; (4) identifying and reporting suspicious activities and currency transactions; (5) currency crimes; and (6) cooperation between FDIC-insured institutions and law enforcement authorities.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Concentrations in Commercial Real Estate</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Concentration risk exists when FDIC-insured institutions deploy too many assets to any one industry or segment. A concentration in CRE is one example of regulatory concern. The interagency CRE Guidance provides supervisory criteria, including the following numerical indicators, to assist bank examiners in identifying banks with potentially significant CRE loan concentrations that may warrant greater supervisory scrutiny: (1) CRE loans exceeding 300% of capital and increasing 50% or more in the preceding three years; or (2) construction and land development loans exceeding 100% of capital. The CRE Guidance does not limit banks’ levels of CRE lending activities, but rather guides institutions in developing risk management practices and levels of capital that are commensurate with the level and nature of their CRE concentrations. On December 18, 2015, federal banking agencies issued a statement to reinforce prudent risk-management practices related to CRE lending, having observed substantial growth in many CRE asset and lending markets, increased competitive pressures, rising CRE concentrations in banks, and an easing of CRE underwriting standards. Federal bank agencies reminded FDIC-insured institutions to maintain underwriting discipline and exercise prudent risk-management practices to identify, measure, monitor, and manage the risks arising from CRE lending. In addition, FDIC-insured institutions must maintain capital commensurate with the level and nature of their CRE concentration risk. As of December 31, 2023, Busey Bank did not exceed these guidelines.</w:t>
      </w:r>
    </w:p>
    <w:p>
      <w:pPr>
        <w:spacing w:after="0" w:line="23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3" w:name="page24"/>
    <w:bookmarkEnd w:id="2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Consumer Financial Services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The historical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Busey Bank, as well as the authority to prohibit “unfair, deceptive or abusive” acts and practices. The CFPB has examination and enforcement authority over providers with more than $10 billion in assets. Busey Bank is under CFPB oversight for consumer banking transactions.</w:t>
      </w:r>
    </w:p>
    <w:p>
      <w:pPr>
        <w:spacing w:after="0" w:line="159" w:lineRule="exact"/>
        <w:rPr>
          <w:sz w:val="20"/>
          <w:szCs w:val="20"/>
          <w:color w:val="auto"/>
        </w:rPr>
      </w:pPr>
    </w:p>
    <w:p>
      <w:pPr>
        <w:jc w:val="both"/>
        <w:spacing w:after="0" w:line="255" w:lineRule="auto"/>
        <w:rPr>
          <w:sz w:val="20"/>
          <w:szCs w:val="20"/>
          <w:color w:val="auto"/>
        </w:rPr>
      </w:pPr>
      <w:r>
        <w:rPr>
          <w:rFonts w:ascii="Verdana" w:cs="Verdana" w:eastAsia="Verdana" w:hAnsi="Verdana"/>
          <w:sz w:val="17"/>
          <w:szCs w:val="17"/>
          <w:color w:val="auto"/>
        </w:rPr>
        <w:t>Because abuses in connection with residential mortgages were a significant factor contributing to the financial crisis, many new rules issued by the CFPB and required by the Dodd-Frank Act addressed mortgage and mortgage-related products, their underwriting, origination, servicing, and sales. The Dodd-Frank Act significantly expanded underwriting requirements applicable to loans secured by 1-4 family residential real property, and augmented federal law combating predatory lending practices. In addition to numerous disclosure requirements, the Dodd-Frank Act imposed new standards for mortgage loan originations on all lenders, including banks and savings associations, in an effort to strongly encourage lenders to verify a borrower’s ability to repay, while also establishing a presumption of compliance for certain “qualified mortgages.” The CFPB has from time to time released additional rules as to qualified mortgages and the borrower’s ability to repay.</w:t>
      </w:r>
    </w:p>
    <w:p>
      <w:pPr>
        <w:spacing w:after="0" w:line="16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Over the last several years, the CFPB has taken a proactive, multi-front approach to protect consumers from excessive overdraft and non-sufficient funds fees. This includes proposed rules, interpretive opinions and enforcement actions. In January 2024, this included a proposed rule that would prohibit non-sufficient funds fees on transactions declined in real time (debit card purchases, ATM withdrawals, and peer-to-peer payments) and a proposal to subject overdrafts on bank accounts to disclosure rules applicable to other kinds of credit. The actions proposed or taken thus far by the CFPB affects financial institutions, like Busey Bank, with more than $10 billion in assets. Busey Bank’s management expects continued developments in this area that will impact its overdraft practices and may result in a decrease in fee income.</w:t>
      </w:r>
    </w:p>
    <w:p>
      <w:pPr>
        <w:spacing w:after="0" w:line="16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The CFPB’s rules have an impact on Busey Bank’s operations, including by increasing compliance costs and potentially negatively affecting revenue.</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SECURITIES AND EXCHANGE COMMISSION REPORTING AND OTHER INFORMATION</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Busey makes its Annual Reports, Quarterly Reports, Current Reports, and any amendments thereto available, free of charge, on its website at </w:t>
      </w:r>
      <w:r>
        <w:rPr>
          <w:rFonts w:ascii="Verdana" w:cs="Verdana" w:eastAsia="Verdana" w:hAnsi="Verdana"/>
          <w:sz w:val="18"/>
          <w:szCs w:val="18"/>
          <w:i w:val="1"/>
          <w:iCs w:val="1"/>
          <w:color w:val="auto"/>
        </w:rPr>
        <w:t>busey.com</w:t>
      </w:r>
      <w:r>
        <w:rPr>
          <w:rFonts w:ascii="Verdana" w:cs="Verdana" w:eastAsia="Verdana" w:hAnsi="Verdana"/>
          <w:sz w:val="18"/>
          <w:szCs w:val="18"/>
          <w:color w:val="auto"/>
        </w:rPr>
        <w:t xml:space="preserve"> as soon as reasonably practicable after such reports are electronically filed with or furnished to the SEC. Reference to Busey’s website does not constitute incorporation by reference of the information contained on the website and it should not be considered part of this document.</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SEC maintains an internet site at </w:t>
      </w:r>
      <w:r>
        <w:rPr>
          <w:rFonts w:ascii="Verdana" w:cs="Verdana" w:eastAsia="Verdana" w:hAnsi="Verdana"/>
          <w:sz w:val="18"/>
          <w:szCs w:val="18"/>
          <w:i w:val="1"/>
          <w:iCs w:val="1"/>
          <w:color w:val="auto"/>
        </w:rPr>
        <w:t>sec.gov</w:t>
      </w:r>
      <w:r>
        <w:rPr>
          <w:rFonts w:ascii="Verdana" w:cs="Verdana" w:eastAsia="Verdana" w:hAnsi="Verdana"/>
          <w:sz w:val="18"/>
          <w:szCs w:val="18"/>
          <w:color w:val="auto"/>
        </w:rPr>
        <w:t>, which contains reports, proxy and information statements, and other information regarding issuers that file electronically with the SEC, and from which Busey’s SEC filings may be accessed.</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NON-GAAP FINANCIAL INFORMATION</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This Annual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Busey believes the adjusted measures are useful for investors and management to understand the effects of certain non-core and non-recurring noninterest items and provide additional perspective on Busey’s performance over time.</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4" w:name="page25"/>
    <w:bookmarkEnd w:id="2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 listing of Busey's non-GAAP financial measures and ratios are shown in the table below, together with the related GAAP financial measures, followed by a reconciliation of non-GAAP financial measures to what management believes to be the most directly comparable GAAP financial measures.</w:t>
      </w:r>
    </w:p>
    <w:p>
      <w:pPr>
        <w:spacing w:after="0" w:line="2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5" w:name="page26"/>
    <w:bookmarkEnd w:id="2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ind w:left="820"/>
              <w:spacing w:after="0"/>
              <w:rPr>
                <w:sz w:val="20"/>
                <w:szCs w:val="20"/>
                <w:color w:val="auto"/>
              </w:rPr>
            </w:pPr>
            <w:r>
              <w:rPr>
                <w:rFonts w:ascii="Verdana" w:cs="Verdana" w:eastAsia="Verdana" w:hAnsi="Verdana"/>
                <w:sz w:val="14"/>
                <w:szCs w:val="14"/>
                <w:b w:val="1"/>
                <w:bCs w:val="1"/>
                <w:color w:val="auto"/>
              </w:rPr>
              <w:t>GAAP Financial Measures</w:t>
            </w:r>
          </w:p>
        </w:tc>
        <w:tc>
          <w:tcPr>
            <w:tcW w:w="100" w:type="dxa"/>
            <w:vAlign w:val="bottom"/>
          </w:tcPr>
          <w:p>
            <w:pPr>
              <w:spacing w:after="0"/>
              <w:rPr>
                <w:sz w:val="16"/>
                <w:szCs w:val="16"/>
                <w:color w:val="auto"/>
              </w:rPr>
            </w:pPr>
          </w:p>
        </w:tc>
        <w:tc>
          <w:tcPr>
            <w:tcW w:w="3780" w:type="dxa"/>
            <w:vAlign w:val="bottom"/>
            <w:gridSpan w:val="2"/>
          </w:tcPr>
          <w:p>
            <w:pPr>
              <w:ind w:left="300"/>
              <w:spacing w:after="0"/>
              <w:rPr>
                <w:sz w:val="20"/>
                <w:szCs w:val="20"/>
                <w:color w:val="auto"/>
              </w:rPr>
            </w:pPr>
            <w:r>
              <w:rPr>
                <w:rFonts w:ascii="Verdana" w:cs="Verdana" w:eastAsia="Verdana" w:hAnsi="Verdana"/>
                <w:sz w:val="14"/>
                <w:szCs w:val="14"/>
                <w:b w:val="1"/>
                <w:bCs w:val="1"/>
                <w:color w:val="auto"/>
              </w:rPr>
              <w:t>Related Non-GAAP Financial Measures</w:t>
            </w:r>
          </w:p>
        </w:tc>
        <w:tc>
          <w:tcPr>
            <w:tcW w:w="3680" w:type="dxa"/>
            <w:vAlign w:val="bottom"/>
          </w:tcPr>
          <w:p>
            <w:pPr>
              <w:ind w:left="800"/>
              <w:spacing w:after="0"/>
              <w:rPr>
                <w:sz w:val="20"/>
                <w:szCs w:val="20"/>
                <w:color w:val="auto"/>
              </w:rPr>
            </w:pPr>
            <w:r>
              <w:rPr>
                <w:rFonts w:ascii="Verdana" w:cs="Verdana" w:eastAsia="Verdana" w:hAnsi="Verdana"/>
                <w:sz w:val="14"/>
                <w:szCs w:val="14"/>
                <w:b w:val="1"/>
                <w:bCs w:val="1"/>
                <w:color w:val="auto"/>
              </w:rPr>
              <w:t>Related Non-GAAP Ratios</w:t>
            </w:r>
          </w:p>
        </w:tc>
        <w:tc>
          <w:tcPr>
            <w:tcW w:w="0" w:type="dxa"/>
            <w:vAlign w:val="bottom"/>
          </w:tcPr>
          <w:p>
            <w:pPr>
              <w:spacing w:after="0"/>
              <w:rPr>
                <w:sz w:val="1"/>
                <w:szCs w:val="1"/>
                <w:color w:val="auto"/>
              </w:rPr>
            </w:pPr>
          </w:p>
        </w:tc>
      </w:tr>
      <w:tr>
        <w:trPr>
          <w:trHeight w:val="26"/>
        </w:trPr>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interest income</w:t>
            </w:r>
          </w:p>
        </w:tc>
        <w:tc>
          <w:tcPr>
            <w:tcW w:w="100" w:type="dxa"/>
            <w:vAlign w:val="bottom"/>
            <w:shd w:val="clear" w:color="auto" w:fill="E0E7ED"/>
          </w:tcPr>
          <w:p>
            <w:pPr>
              <w:spacing w:after="0"/>
              <w:rPr>
                <w:sz w:val="20"/>
                <w:szCs w:val="20"/>
                <w:color w:val="auto"/>
              </w:rPr>
            </w:pPr>
          </w:p>
        </w:tc>
        <w:tc>
          <w:tcPr>
            <w:tcW w:w="3780" w:type="dxa"/>
            <w:vAlign w:val="bottom"/>
            <w:gridSpan w:val="2"/>
            <w:vMerge w:val="restart"/>
            <w:shd w:val="clear" w:color="auto" w:fill="E0E7ED"/>
          </w:tcPr>
          <w:p>
            <w:pPr>
              <w:ind w:left="20"/>
              <w:spacing w:after="0"/>
              <w:rPr>
                <w:sz w:val="20"/>
                <w:szCs w:val="20"/>
                <w:color w:val="auto"/>
              </w:rPr>
            </w:pPr>
            <w:r>
              <w:rPr>
                <w:rFonts w:ascii="Verdana" w:cs="Verdana" w:eastAsia="Verdana" w:hAnsi="Verdana"/>
                <w:sz w:val="18"/>
                <w:szCs w:val="18"/>
                <w:color w:val="auto"/>
              </w:rPr>
              <w:t>Pre-provision net revenue</w:t>
            </w: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Pre-provision net revenue to average</w:t>
            </w:r>
          </w:p>
        </w:tc>
        <w:tc>
          <w:tcPr>
            <w:tcW w:w="0" w:type="dxa"/>
            <w:vAlign w:val="bottom"/>
          </w:tcPr>
          <w:p>
            <w:pPr>
              <w:spacing w:after="0"/>
              <w:rPr>
                <w:sz w:val="1"/>
                <w:szCs w:val="1"/>
                <w:color w:val="auto"/>
              </w:rPr>
            </w:pPr>
          </w:p>
        </w:tc>
      </w:tr>
      <w:tr>
        <w:trPr>
          <w:trHeight w:val="127"/>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noninterest income</w:t>
            </w:r>
          </w:p>
        </w:tc>
        <w:tc>
          <w:tcPr>
            <w:tcW w:w="100" w:type="dxa"/>
            <w:vAlign w:val="bottom"/>
            <w:shd w:val="clear" w:color="auto" w:fill="E0E7ED"/>
          </w:tcPr>
          <w:p>
            <w:pPr>
              <w:spacing w:after="0"/>
              <w:rPr>
                <w:sz w:val="11"/>
                <w:szCs w:val="11"/>
                <w:color w:val="auto"/>
              </w:rPr>
            </w:pPr>
          </w:p>
        </w:tc>
        <w:tc>
          <w:tcPr>
            <w:tcW w:w="3780" w:type="dxa"/>
            <w:vAlign w:val="bottom"/>
            <w:gridSpan w:val="2"/>
            <w:vMerge w:val="continue"/>
            <w:shd w:val="clear" w:color="auto" w:fill="E0E7ED"/>
          </w:tcPr>
          <w:p>
            <w:pPr>
              <w:spacing w:after="0"/>
              <w:rPr>
                <w:sz w:val="11"/>
                <w:szCs w:val="11"/>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assets</w:t>
            </w:r>
          </w:p>
        </w:tc>
        <w:tc>
          <w:tcPr>
            <w:tcW w:w="0" w:type="dxa"/>
            <w:vAlign w:val="bottom"/>
          </w:tcPr>
          <w:p>
            <w:pPr>
              <w:spacing w:after="0"/>
              <w:rPr>
                <w:sz w:val="1"/>
                <w:szCs w:val="1"/>
                <w:color w:val="auto"/>
              </w:rPr>
            </w:pPr>
          </w:p>
        </w:tc>
      </w:tr>
      <w:tr>
        <w:trPr>
          <w:trHeight w:val="116"/>
        </w:trPr>
        <w:tc>
          <w:tcPr>
            <w:tcW w:w="3660" w:type="dxa"/>
            <w:vAlign w:val="bottom"/>
            <w:tcBorders>
              <w:bottom w:val="single" w:sz="8" w:color="E0E7ED"/>
            </w:tcBorders>
            <w:vMerge w:val="continue"/>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vMerge w:val="continue"/>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E0E7ED"/>
          </w:tcPr>
          <w:p>
            <w:pPr>
              <w:ind w:left="20"/>
              <w:spacing w:after="0" w:line="201" w:lineRule="exact"/>
              <w:rPr>
                <w:sz w:val="20"/>
                <w:szCs w:val="20"/>
                <w:color w:val="auto"/>
              </w:rPr>
            </w:pPr>
            <w:r>
              <w:rPr>
                <w:rFonts w:ascii="Verdana" w:cs="Verdana" w:eastAsia="Verdana" w:hAnsi="Verdana"/>
                <w:sz w:val="18"/>
                <w:szCs w:val="18"/>
                <w:color w:val="auto"/>
              </w:rPr>
              <w:t>Net security gains and losses</w:t>
            </w:r>
          </w:p>
        </w:tc>
        <w:tc>
          <w:tcPr>
            <w:tcW w:w="100" w:type="dxa"/>
            <w:vAlign w:val="bottom"/>
            <w:shd w:val="clear" w:color="auto" w:fill="E0E7ED"/>
          </w:tcPr>
          <w:p>
            <w:pPr>
              <w:spacing w:after="0"/>
              <w:rPr>
                <w:sz w:val="17"/>
                <w:szCs w:val="17"/>
                <w:color w:val="auto"/>
              </w:rPr>
            </w:pPr>
          </w:p>
        </w:tc>
        <w:tc>
          <w:tcPr>
            <w:tcW w:w="3780" w:type="dxa"/>
            <w:vAlign w:val="bottom"/>
            <w:gridSpan w:val="2"/>
            <w:vMerge w:val="restart"/>
            <w:shd w:val="clear" w:color="auto" w:fill="E0E7ED"/>
          </w:tcPr>
          <w:p>
            <w:pPr>
              <w:ind w:left="20"/>
              <w:spacing w:after="0"/>
              <w:rPr>
                <w:sz w:val="20"/>
                <w:szCs w:val="20"/>
                <w:color w:val="auto"/>
              </w:rPr>
            </w:pPr>
            <w:r>
              <w:rPr>
                <w:rFonts w:ascii="Verdana" w:cs="Verdana" w:eastAsia="Verdana" w:hAnsi="Verdana"/>
                <w:sz w:val="18"/>
                <w:szCs w:val="18"/>
                <w:color w:val="auto"/>
              </w:rPr>
              <w:t>Adjusted pre-provision net revenue</w:t>
            </w:r>
          </w:p>
        </w:tc>
        <w:tc>
          <w:tcPr>
            <w:tcW w:w="3680" w:type="dxa"/>
            <w:vAlign w:val="bottom"/>
            <w:shd w:val="clear" w:color="auto" w:fill="E0E7ED"/>
          </w:tcPr>
          <w:p>
            <w:pPr>
              <w:ind w:left="20"/>
              <w:spacing w:after="0" w:line="201" w:lineRule="exact"/>
              <w:rPr>
                <w:sz w:val="20"/>
                <w:szCs w:val="20"/>
                <w:color w:val="auto"/>
              </w:rPr>
            </w:pPr>
            <w:r>
              <w:rPr>
                <w:rFonts w:ascii="Verdana" w:cs="Verdana" w:eastAsia="Verdana" w:hAnsi="Verdana"/>
                <w:sz w:val="18"/>
                <w:szCs w:val="18"/>
                <w:color w:val="auto"/>
              </w:rPr>
              <w:t>Adjusted pre-provision net revenue to</w:t>
            </w:r>
          </w:p>
        </w:tc>
        <w:tc>
          <w:tcPr>
            <w:tcW w:w="0" w:type="dxa"/>
            <w:vAlign w:val="bottom"/>
          </w:tcPr>
          <w:p>
            <w:pPr>
              <w:spacing w:after="0"/>
              <w:rPr>
                <w:sz w:val="1"/>
                <w:szCs w:val="1"/>
                <w:color w:val="auto"/>
              </w:rPr>
            </w:pPr>
          </w:p>
        </w:tc>
      </w:tr>
      <w:tr>
        <w:trPr>
          <w:trHeight w:val="162"/>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100" w:type="dxa"/>
            <w:vAlign w:val="bottom"/>
            <w:shd w:val="clear" w:color="auto" w:fill="E0E7ED"/>
          </w:tcPr>
          <w:p>
            <w:pPr>
              <w:spacing w:after="0"/>
              <w:rPr>
                <w:sz w:val="14"/>
                <w:szCs w:val="14"/>
                <w:color w:val="auto"/>
              </w:rPr>
            </w:pPr>
          </w:p>
        </w:tc>
        <w:tc>
          <w:tcPr>
            <w:tcW w:w="3780" w:type="dxa"/>
            <w:vAlign w:val="bottom"/>
            <w:gridSpan w:val="2"/>
            <w:vMerge w:val="continue"/>
            <w:shd w:val="clear" w:color="auto" w:fill="E0E7ED"/>
          </w:tcPr>
          <w:p>
            <w:pPr>
              <w:spacing w:after="0"/>
              <w:rPr>
                <w:sz w:val="14"/>
                <w:szCs w:val="14"/>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average assets</w:t>
            </w:r>
          </w:p>
        </w:tc>
        <w:tc>
          <w:tcPr>
            <w:tcW w:w="0" w:type="dxa"/>
            <w:vAlign w:val="bottom"/>
          </w:tcPr>
          <w:p>
            <w:pPr>
              <w:spacing w:after="0"/>
              <w:rPr>
                <w:sz w:val="1"/>
                <w:szCs w:val="1"/>
                <w:color w:val="auto"/>
              </w:rPr>
            </w:pPr>
          </w:p>
        </w:tc>
      </w:tr>
      <w:tr>
        <w:trPr>
          <w:trHeight w:val="122"/>
        </w:trPr>
        <w:tc>
          <w:tcPr>
            <w:tcW w:w="3660" w:type="dxa"/>
            <w:vAlign w:val="bottom"/>
            <w:vMerge w:val="continue"/>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vMerge w:val="continue"/>
            <w:shd w:val="clear" w:color="auto" w:fill="E0E7ED"/>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15175" cy="934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93472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3760" w:val="left"/>
        </w:tabs>
        <w:rPr>
          <w:sz w:val="20"/>
          <w:szCs w:val="20"/>
          <w:color w:val="auto"/>
        </w:rPr>
      </w:pPr>
      <w:r>
        <w:rPr>
          <w:rFonts w:ascii="Verdana" w:cs="Verdana" w:eastAsia="Verdana" w:hAnsi="Verdana"/>
          <w:sz w:val="18"/>
          <w:szCs w:val="18"/>
          <w:color w:val="auto"/>
        </w:rPr>
        <w:t>Net income</w:t>
      </w:r>
      <w:r>
        <w:rPr>
          <w:sz w:val="20"/>
          <w:szCs w:val="20"/>
          <w:color w:val="auto"/>
        </w:rPr>
        <w:tab/>
      </w:r>
      <w:r>
        <w:rPr>
          <w:rFonts w:ascii="Verdana" w:cs="Verdana" w:eastAsia="Verdana" w:hAnsi="Verdana"/>
          <w:sz w:val="17"/>
          <w:szCs w:val="17"/>
          <w:color w:val="auto"/>
        </w:rPr>
        <w:t>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608"/>
        </w:trPr>
        <w:tc>
          <w:tcPr>
            <w:tcW w:w="37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common equity</w:t>
            </w:r>
          </w:p>
        </w:tc>
        <w:tc>
          <w:tcPr>
            <w:tcW w:w="37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Average tangible common equity</w:t>
            </w:r>
          </w:p>
        </w:tc>
        <w:tc>
          <w:tcPr>
            <w:tcW w:w="0" w:type="dxa"/>
            <w:vAlign w:val="bottom"/>
          </w:tcPr>
          <w:p>
            <w:pPr>
              <w:spacing w:after="0"/>
              <w:rPr>
                <w:sz w:val="1"/>
                <w:szCs w:val="1"/>
                <w:color w:val="auto"/>
              </w:rPr>
            </w:pPr>
          </w:p>
        </w:tc>
      </w:tr>
      <w:tr>
        <w:trPr>
          <w:trHeight w:val="378"/>
        </w:trPr>
        <w:tc>
          <w:tcPr>
            <w:tcW w:w="3760" w:type="dxa"/>
            <w:vAlign w:val="bottom"/>
            <w:shd w:val="clear" w:color="auto" w:fill="E0E7ED"/>
          </w:tcPr>
          <w:p>
            <w:pPr>
              <w:spacing w:after="0"/>
              <w:rPr>
                <w:sz w:val="24"/>
                <w:szCs w:val="24"/>
                <w:color w:val="auto"/>
              </w:rPr>
            </w:pPr>
          </w:p>
        </w:tc>
        <w:tc>
          <w:tcPr>
            <w:tcW w:w="36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3780" w:type="dxa"/>
            <w:vAlign w:val="bottom"/>
            <w:gridSpan w:val="2"/>
            <w:vMerge w:val="restart"/>
          </w:tcPr>
          <w:p>
            <w:pPr>
              <w:ind w:left="20"/>
              <w:spacing w:after="0"/>
              <w:rPr>
                <w:sz w:val="20"/>
                <w:szCs w:val="20"/>
                <w:color w:val="auto"/>
              </w:rPr>
            </w:pPr>
            <w:r>
              <w:rPr>
                <w:rFonts w:ascii="Verdana" w:cs="Verdana" w:eastAsia="Verdana" w:hAnsi="Verdana"/>
                <w:sz w:val="18"/>
                <w:szCs w:val="18"/>
                <w:color w:val="auto"/>
              </w:rPr>
              <w:t>Tax-equivalent net interest income</w:t>
            </w:r>
          </w:p>
        </w:tc>
        <w:tc>
          <w:tcPr>
            <w:tcW w:w="0" w:type="dxa"/>
            <w:vAlign w:val="bottom"/>
          </w:tcPr>
          <w:p>
            <w:pPr>
              <w:spacing w:after="0"/>
              <w:rPr>
                <w:sz w:val="1"/>
                <w:szCs w:val="1"/>
                <w:color w:val="auto"/>
              </w:rPr>
            </w:pPr>
          </w:p>
        </w:tc>
      </w:tr>
      <w:tr>
        <w:trPr>
          <w:trHeight w:val="364"/>
        </w:trPr>
        <w:tc>
          <w:tcPr>
            <w:tcW w:w="37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Net interest income</w:t>
            </w:r>
          </w:p>
        </w:tc>
        <w:tc>
          <w:tcPr>
            <w:tcW w:w="37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760" w:type="dxa"/>
            <w:vAlign w:val="bottom"/>
            <w:tcBorders>
              <w:bottom w:val="single" w:sz="8" w:color="E0E7ED"/>
            </w:tcBorders>
            <w:vMerge w:val="continue"/>
            <w:shd w:val="clear" w:color="auto" w:fill="E0E7ED"/>
          </w:tcPr>
          <w:p>
            <w:pPr>
              <w:spacing w:after="0"/>
              <w:rPr>
                <w:sz w:val="10"/>
                <w:szCs w:val="10"/>
                <w:color w:val="auto"/>
              </w:rPr>
            </w:pPr>
          </w:p>
        </w:tc>
        <w:tc>
          <w:tcPr>
            <w:tcW w:w="3680" w:type="dxa"/>
            <w:vAlign w:val="bottom"/>
            <w:tcBorders>
              <w:bottom w:val="single" w:sz="8" w:color="6D6D6D"/>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3760" w:type="dxa"/>
            <w:vAlign w:val="bottom"/>
            <w:shd w:val="clear" w:color="auto" w:fill="E0E7ED"/>
          </w:tcPr>
          <w:p>
            <w:pPr>
              <w:spacing w:after="0"/>
              <w:rPr>
                <w:sz w:val="22"/>
                <w:szCs w:val="22"/>
                <w:color w:val="auto"/>
              </w:rPr>
            </w:pPr>
          </w:p>
        </w:tc>
        <w:tc>
          <w:tcPr>
            <w:tcW w:w="3780" w:type="dxa"/>
            <w:vAlign w:val="bottom"/>
            <w:gridSpan w:val="2"/>
          </w:tcPr>
          <w:p>
            <w:pPr>
              <w:ind w:left="20"/>
              <w:spacing w:after="0"/>
              <w:rPr>
                <w:sz w:val="20"/>
                <w:szCs w:val="20"/>
                <w:color w:val="auto"/>
              </w:rPr>
            </w:pPr>
            <w:r>
              <w:rPr>
                <w:rFonts w:ascii="Verdana" w:cs="Verdana" w:eastAsia="Verdana" w:hAnsi="Verdana"/>
                <w:sz w:val="18"/>
                <w:szCs w:val="18"/>
                <w:color w:val="auto"/>
              </w:rPr>
              <w:t>Adjusted net interest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-487680</wp:posOffset>
            </wp:positionV>
            <wp:extent cx="4791710" cy="488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91710"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Verdana" w:cs="Verdana" w:eastAsia="Verdana" w:hAnsi="Verdana"/>
          <w:sz w:val="18"/>
          <w:szCs w:val="18"/>
          <w:color w:val="auto"/>
        </w:rPr>
        <w:t>Adjusted diluted earnings per share</w:t>
      </w:r>
    </w:p>
    <w:p>
      <w:pPr>
        <w:spacing w:after="0" w:line="267" w:lineRule="exact"/>
        <w:rPr>
          <w:sz w:val="20"/>
          <w:szCs w:val="20"/>
          <w:color w:val="auto"/>
        </w:rPr>
      </w:pPr>
    </w:p>
    <w:p>
      <w:pPr>
        <w:spacing w:after="0"/>
        <w:rPr>
          <w:sz w:val="20"/>
          <w:szCs w:val="20"/>
          <w:color w:val="auto"/>
        </w:rPr>
      </w:pPr>
      <w:r>
        <w:rPr>
          <w:rFonts w:ascii="Verdana" w:cs="Verdana" w:eastAsia="Verdana" w:hAnsi="Verdana"/>
          <w:sz w:val="18"/>
          <w:szCs w:val="18"/>
          <w:color w:val="auto"/>
        </w:rPr>
        <w:t>Adjusted return on average assets</w:t>
      </w:r>
    </w:p>
    <w:p>
      <w:pPr>
        <w:spacing w:after="0" w:line="173" w:lineRule="exact"/>
        <w:rPr>
          <w:sz w:val="20"/>
          <w:szCs w:val="20"/>
          <w:color w:val="auto"/>
        </w:rPr>
      </w:pPr>
    </w:p>
    <w:p>
      <w:pPr>
        <w:ind w:right="400"/>
        <w:spacing w:after="0" w:line="254" w:lineRule="auto"/>
        <w:rPr>
          <w:sz w:val="20"/>
          <w:szCs w:val="20"/>
          <w:color w:val="auto"/>
        </w:rPr>
      </w:pPr>
      <w:r>
        <w:rPr>
          <w:rFonts w:ascii="Verdana" w:cs="Verdana" w:eastAsia="Verdana" w:hAnsi="Verdana"/>
          <w:sz w:val="18"/>
          <w:szCs w:val="18"/>
          <w:color w:val="auto"/>
        </w:rPr>
        <w:t>Adjusted return on average tangible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112395</wp:posOffset>
            </wp:positionV>
            <wp:extent cx="2392045"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92045" cy="308610"/>
                    </a:xfrm>
                    <a:prstGeom prst="rect">
                      <a:avLst/>
                    </a:prstGeom>
                    <a:noFill/>
                  </pic:spPr>
                </pic:pic>
              </a:graphicData>
            </a:graphic>
          </wp:anchor>
        </w:drawing>
      </w:r>
    </w:p>
    <w:p>
      <w:pPr>
        <w:spacing w:after="0" w:line="178" w:lineRule="exact"/>
        <w:rPr>
          <w:sz w:val="20"/>
          <w:szCs w:val="20"/>
          <w:color w:val="auto"/>
        </w:rPr>
      </w:pPr>
    </w:p>
    <w:p>
      <w:pPr>
        <w:ind w:right="380"/>
        <w:spacing w:after="0" w:line="254" w:lineRule="auto"/>
        <w:rPr>
          <w:sz w:val="20"/>
          <w:szCs w:val="20"/>
          <w:color w:val="auto"/>
        </w:rPr>
      </w:pPr>
      <w:r>
        <w:rPr>
          <w:rFonts w:ascii="Verdana" w:cs="Verdana" w:eastAsia="Verdana" w:hAnsi="Verdana"/>
          <w:sz w:val="18"/>
          <w:szCs w:val="18"/>
          <w:color w:val="auto"/>
        </w:rPr>
        <w:t>Return on average tangible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wp:posOffset>
            </wp:positionV>
            <wp:extent cx="2331720" cy="316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31720" cy="316865"/>
                    </a:xfrm>
                    <a:prstGeom prst="rect">
                      <a:avLst/>
                    </a:prstGeom>
                    <a:noFill/>
                  </pic:spPr>
                </pic:pic>
              </a:graphicData>
            </a:graphic>
          </wp:anchor>
        </w:drawing>
      </w:r>
    </w:p>
    <w:p>
      <w:pPr>
        <w:spacing w:after="0" w:line="16" w:lineRule="exact"/>
        <w:rPr>
          <w:sz w:val="20"/>
          <w:szCs w:val="20"/>
          <w:color w:val="auto"/>
        </w:rPr>
      </w:pPr>
    </w:p>
    <w:p>
      <w:pPr>
        <w:ind w:right="400"/>
        <w:spacing w:after="0" w:line="254" w:lineRule="auto"/>
        <w:rPr>
          <w:sz w:val="20"/>
          <w:szCs w:val="20"/>
          <w:color w:val="auto"/>
        </w:rPr>
      </w:pPr>
      <w:r>
        <w:rPr>
          <w:rFonts w:ascii="Verdana" w:cs="Verdana" w:eastAsia="Verdana" w:hAnsi="Verdana"/>
          <w:sz w:val="18"/>
          <w:szCs w:val="18"/>
          <w:color w:val="auto"/>
        </w:rPr>
        <w:t>Adjusted return on average tangible common equity</w:t>
      </w:r>
    </w:p>
    <w:p>
      <w:pPr>
        <w:spacing w:after="0" w:line="306" w:lineRule="exact"/>
        <w:rPr>
          <w:sz w:val="20"/>
          <w:szCs w:val="20"/>
          <w:color w:val="auto"/>
        </w:rPr>
      </w:pPr>
    </w:p>
    <w:p>
      <w:pPr>
        <w:ind w:right="1080"/>
        <w:spacing w:after="0" w:line="473" w:lineRule="auto"/>
        <w:rPr>
          <w:sz w:val="20"/>
          <w:szCs w:val="20"/>
          <w:color w:val="auto"/>
        </w:rPr>
      </w:pPr>
      <w:r>
        <w:rPr>
          <w:rFonts w:ascii="Verdana" w:cs="Verdana" w:eastAsia="Verdana" w:hAnsi="Verdana"/>
          <w:sz w:val="17"/>
          <w:szCs w:val="17"/>
          <w:color w:val="auto"/>
        </w:rPr>
        <w:t>Net interest margin Adjusted net interest margin</w:t>
      </w:r>
    </w:p>
    <w:p>
      <w:pPr>
        <w:spacing w:after="0" w:line="1" w:lineRule="exact"/>
        <w:rPr>
          <w:sz w:val="20"/>
          <w:szCs w:val="20"/>
          <w:color w:val="auto"/>
        </w:rPr>
      </w:pPr>
    </w:p>
    <w:p>
      <w:pPr>
        <w:sectPr>
          <w:pgSz w:w="11900" w:h="16838" w:orient="portrait"/>
          <w:cols w:equalWidth="0" w:num="2">
            <w:col w:w="7540" w:space="20"/>
            <w:col w:w="3680"/>
          </w:cols>
          <w:pgMar w:left="320" w:top="310"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32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interest income</w:t>
            </w:r>
          </w:p>
        </w:tc>
        <w:tc>
          <w:tcPr>
            <w:tcW w:w="4320" w:type="dxa"/>
            <w:vAlign w:val="bottom"/>
            <w:tcBorders>
              <w:bottom w:val="single" w:sz="8" w:color="E0E7ED"/>
            </w:tcBorders>
            <w:shd w:val="clear" w:color="auto" w:fill="E0E7ED"/>
          </w:tcPr>
          <w:p>
            <w:pPr>
              <w:spacing w:after="0"/>
              <w:rPr>
                <w:sz w:val="23"/>
                <w:szCs w:val="23"/>
                <w:color w:val="auto"/>
              </w:rPr>
            </w:pPr>
          </w:p>
        </w:tc>
        <w:tc>
          <w:tcPr>
            <w:tcW w:w="3680" w:type="dxa"/>
            <w:vAlign w:val="bottom"/>
            <w:tcBorders>
              <w:bottom w:val="single" w:sz="8" w:color="6D6D6D"/>
            </w:tcBorders>
            <w:shd w:val="clear" w:color="auto" w:fill="E0E7ED"/>
          </w:tcPr>
          <w:p>
            <w:pPr>
              <w:ind w:left="20"/>
              <w:spacing w:after="0"/>
              <w:rPr>
                <w:sz w:val="20"/>
                <w:szCs w:val="20"/>
                <w:color w:val="auto"/>
              </w:rPr>
            </w:pPr>
            <w:r>
              <w:rPr>
                <w:rFonts w:ascii="Verdana" w:cs="Verdana" w:eastAsia="Verdana" w:hAnsi="Verdana"/>
                <w:sz w:val="18"/>
                <w:szCs w:val="18"/>
                <w:color w:val="auto"/>
              </w:rPr>
              <w:t>Efficiency ratio</w:t>
            </w:r>
          </w:p>
        </w:tc>
        <w:tc>
          <w:tcPr>
            <w:tcW w:w="0" w:type="dxa"/>
            <w:vAlign w:val="bottom"/>
          </w:tcPr>
          <w:p>
            <w:pPr>
              <w:spacing w:after="0"/>
              <w:rPr>
                <w:sz w:val="1"/>
                <w:szCs w:val="1"/>
                <w:color w:val="auto"/>
              </w:rPr>
            </w:pPr>
          </w:p>
        </w:tc>
      </w:tr>
      <w:tr>
        <w:trPr>
          <w:trHeight w:val="268"/>
        </w:trPr>
        <w:tc>
          <w:tcPr>
            <w:tcW w:w="32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income</w:t>
            </w:r>
          </w:p>
        </w:tc>
        <w:tc>
          <w:tcPr>
            <w:tcW w:w="4320" w:type="dxa"/>
            <w:vAlign w:val="bottom"/>
            <w:tcBorders>
              <w:bottom w:val="single" w:sz="8" w:color="E0E7ED"/>
            </w:tcBorders>
            <w:shd w:val="clear" w:color="auto" w:fill="E0E7ED"/>
          </w:tcPr>
          <w:p>
            <w:pPr>
              <w:ind w:left="560"/>
              <w:spacing w:after="0"/>
              <w:rPr>
                <w:sz w:val="20"/>
                <w:szCs w:val="20"/>
                <w:color w:val="auto"/>
              </w:rPr>
            </w:pPr>
            <w:r>
              <w:rPr>
                <w:rFonts w:ascii="Verdana" w:cs="Verdana" w:eastAsia="Verdana" w:hAnsi="Verdana"/>
                <w:sz w:val="18"/>
                <w:szCs w:val="18"/>
                <w:color w:val="auto"/>
              </w:rPr>
              <w:t>Tax-equivalent revenue</w:t>
            </w:r>
          </w:p>
        </w:tc>
        <w:tc>
          <w:tcPr>
            <w:tcW w:w="36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Adjusted efficiency ratio</w:t>
            </w:r>
          </w:p>
        </w:tc>
        <w:tc>
          <w:tcPr>
            <w:tcW w:w="0" w:type="dxa"/>
            <w:vAlign w:val="bottom"/>
          </w:tcPr>
          <w:p>
            <w:pPr>
              <w:spacing w:after="0"/>
              <w:rPr>
                <w:sz w:val="1"/>
                <w:szCs w:val="1"/>
                <w:color w:val="auto"/>
              </w:rPr>
            </w:pPr>
          </w:p>
        </w:tc>
      </w:tr>
      <w:tr>
        <w:trPr>
          <w:trHeight w:val="183"/>
        </w:trPr>
        <w:tc>
          <w:tcPr>
            <w:tcW w:w="3220" w:type="dxa"/>
            <w:vAlign w:val="bottom"/>
            <w:tcBorders>
              <w:top w:val="single" w:sz="8" w:color="E0E7ED"/>
            </w:tcBorders>
            <w:shd w:val="clear" w:color="auto" w:fill="E0E7ED"/>
          </w:tcPr>
          <w:p>
            <w:pPr>
              <w:ind w:left="20"/>
              <w:spacing w:after="0" w:line="183" w:lineRule="exact"/>
              <w:rPr>
                <w:sz w:val="20"/>
                <w:szCs w:val="20"/>
                <w:color w:val="auto"/>
              </w:rPr>
            </w:pPr>
            <w:r>
              <w:rPr>
                <w:rFonts w:ascii="Verdana" w:cs="Verdana" w:eastAsia="Verdana" w:hAnsi="Verdana"/>
                <w:sz w:val="18"/>
                <w:szCs w:val="18"/>
                <w:color w:val="auto"/>
              </w:rPr>
              <w:t>Net security gains and losses</w:t>
            </w:r>
          </w:p>
        </w:tc>
        <w:tc>
          <w:tcPr>
            <w:tcW w:w="4320" w:type="dxa"/>
            <w:vAlign w:val="bottom"/>
            <w:tcBorders>
              <w:top w:val="single" w:sz="8" w:color="E0E7ED"/>
            </w:tcBorders>
            <w:shd w:val="clear" w:color="auto" w:fill="E0E7ED"/>
          </w:tcPr>
          <w:p>
            <w:pPr>
              <w:spacing w:after="0"/>
              <w:rPr>
                <w:sz w:val="15"/>
                <w:szCs w:val="15"/>
                <w:color w:val="auto"/>
              </w:rPr>
            </w:pPr>
          </w:p>
        </w:tc>
        <w:tc>
          <w:tcPr>
            <w:tcW w:w="3680" w:type="dxa"/>
            <w:vAlign w:val="bottom"/>
            <w:tcBorders>
              <w:top w:val="single" w:sz="8" w:color="6D6D6D"/>
            </w:tcBorders>
            <w:vMerge w:val="restart"/>
            <w:shd w:val="clear" w:color="auto" w:fill="E0E7ED"/>
          </w:tcPr>
          <w:p>
            <w:pPr>
              <w:ind w:left="20"/>
              <w:spacing w:after="0"/>
              <w:rPr>
                <w:sz w:val="20"/>
                <w:szCs w:val="20"/>
                <w:color w:val="auto"/>
              </w:rPr>
            </w:pPr>
            <w:r>
              <w:rPr>
                <w:rFonts w:ascii="Verdana" w:cs="Verdana" w:eastAsia="Verdana" w:hAnsi="Verdana"/>
                <w:sz w:val="18"/>
                <w:szCs w:val="18"/>
                <w:color w:val="auto"/>
              </w:rPr>
              <w:t>Adjusted core efficiency ratio</w:t>
            </w:r>
          </w:p>
        </w:tc>
        <w:tc>
          <w:tcPr>
            <w:tcW w:w="0" w:type="dxa"/>
            <w:vAlign w:val="bottom"/>
          </w:tcPr>
          <w:p>
            <w:pPr>
              <w:spacing w:after="0"/>
              <w:rPr>
                <w:sz w:val="1"/>
                <w:szCs w:val="1"/>
                <w:color w:val="auto"/>
              </w:rPr>
            </w:pPr>
          </w:p>
        </w:tc>
      </w:tr>
      <w:tr>
        <w:trPr>
          <w:trHeight w:val="81"/>
        </w:trPr>
        <w:tc>
          <w:tcPr>
            <w:tcW w:w="3220" w:type="dxa"/>
            <w:vAlign w:val="bottom"/>
            <w:shd w:val="clear" w:color="auto" w:fill="E0E7ED"/>
          </w:tcPr>
          <w:p>
            <w:pPr>
              <w:spacing w:after="0"/>
              <w:rPr>
                <w:sz w:val="7"/>
                <w:szCs w:val="7"/>
                <w:color w:val="auto"/>
              </w:rPr>
            </w:pPr>
          </w:p>
        </w:tc>
        <w:tc>
          <w:tcPr>
            <w:tcW w:w="4320" w:type="dxa"/>
            <w:vAlign w:val="bottom"/>
            <w:shd w:val="clear" w:color="auto" w:fill="E0E7ED"/>
          </w:tcPr>
          <w:p>
            <w:pPr>
              <w:spacing w:after="0"/>
              <w:rPr>
                <w:sz w:val="7"/>
                <w:szCs w:val="7"/>
                <w:color w:val="auto"/>
              </w:rPr>
            </w:pPr>
          </w:p>
        </w:tc>
        <w:tc>
          <w:tcPr>
            <w:tcW w:w="3680" w:type="dxa"/>
            <w:vAlign w:val="bottom"/>
            <w:vMerge w:val="continue"/>
            <w:shd w:val="clear" w:color="auto" w:fill="E0E7ED"/>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15175" cy="805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0581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20" w:right="380"/>
        <w:spacing w:after="0" w:line="254" w:lineRule="auto"/>
        <w:rPr>
          <w:sz w:val="20"/>
          <w:szCs w:val="20"/>
          <w:color w:val="auto"/>
        </w:rPr>
      </w:pPr>
      <w:r>
        <w:rPr>
          <w:rFonts w:ascii="Verdana" w:cs="Verdana" w:eastAsia="Verdana" w:hAnsi="Verdana"/>
          <w:sz w:val="18"/>
          <w:szCs w:val="18"/>
          <w:color w:val="auto"/>
        </w:rPr>
        <w:t>Total noninterest expense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Total noninterest expense</w:t>
      </w:r>
    </w:p>
    <w:p>
      <w:pPr>
        <w:spacing w:after="0" w:line="332"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Total assets</w:t>
      </w:r>
    </w:p>
    <w:p>
      <w:pPr>
        <w:ind w:left="20"/>
        <w:spacing w:after="0" w:line="254" w:lineRule="auto"/>
        <w:rPr>
          <w:sz w:val="20"/>
          <w:szCs w:val="20"/>
          <w:color w:val="auto"/>
        </w:rPr>
      </w:pPr>
      <w:r>
        <w:rPr>
          <w:rFonts w:ascii="Verdana" w:cs="Verdana" w:eastAsia="Verdana" w:hAnsi="Verdana"/>
          <w:sz w:val="18"/>
          <w:szCs w:val="18"/>
          <w:color w:val="auto"/>
        </w:rPr>
        <w:t>Goodwill and other intangible assets, net</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right="360"/>
        <w:spacing w:after="0" w:line="254" w:lineRule="auto"/>
        <w:rPr>
          <w:sz w:val="20"/>
          <w:szCs w:val="20"/>
          <w:color w:val="auto"/>
        </w:rPr>
      </w:pPr>
      <w:r>
        <w:rPr>
          <w:rFonts w:ascii="Verdana" w:cs="Verdana" w:eastAsia="Verdana" w:hAnsi="Verdana"/>
          <w:sz w:val="18"/>
          <w:szCs w:val="18"/>
          <w:color w:val="auto"/>
        </w:rPr>
        <w:t>Noninterest expense excluding amortization of intangible assets</w:t>
      </w:r>
    </w:p>
    <w:p>
      <w:pPr>
        <w:spacing w:after="0" w:line="144" w:lineRule="exact"/>
        <w:rPr>
          <w:sz w:val="20"/>
          <w:szCs w:val="20"/>
          <w:color w:val="auto"/>
        </w:rPr>
      </w:pPr>
    </w:p>
    <w:p>
      <w:pPr>
        <w:ind w:right="620"/>
        <w:spacing w:after="0" w:line="328" w:lineRule="auto"/>
        <w:rPr>
          <w:sz w:val="20"/>
          <w:szCs w:val="20"/>
          <w:color w:val="auto"/>
        </w:rPr>
      </w:pPr>
      <w:r>
        <w:rPr>
          <w:rFonts w:ascii="Verdana" w:cs="Verdana" w:eastAsia="Verdana" w:hAnsi="Verdana"/>
          <w:sz w:val="18"/>
          <w:szCs w:val="18"/>
          <w:color w:val="auto"/>
        </w:rPr>
        <w:t>Adjusted noninterest expense Adjusted core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69215</wp:posOffset>
            </wp:positionV>
            <wp:extent cx="7115175"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11"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Noninterest expense, excluding non-operating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112395</wp:posOffset>
            </wp:positionV>
            <wp:extent cx="7115175"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Verdana" w:cs="Verdana" w:eastAsia="Verdana" w:hAnsi="Verdana"/>
          <w:sz w:val="18"/>
          <w:szCs w:val="18"/>
          <w:color w:val="auto"/>
        </w:rPr>
        <w:t>Tangible assets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Verdana" w:cs="Verdana" w:eastAsia="Verdana" w:hAnsi="Verdana"/>
          <w:sz w:val="18"/>
          <w:szCs w:val="18"/>
          <w:color w:val="auto"/>
        </w:rPr>
        <w:t>Efficiency ratio</w:t>
      </w:r>
    </w:p>
    <w:p>
      <w:pPr>
        <w:spacing w:after="0" w:line="281" w:lineRule="exact"/>
        <w:rPr>
          <w:sz w:val="20"/>
          <w:szCs w:val="20"/>
          <w:color w:val="auto"/>
        </w:rPr>
      </w:pPr>
    </w:p>
    <w:p>
      <w:pPr>
        <w:ind w:right="1060"/>
        <w:spacing w:after="0" w:line="362" w:lineRule="auto"/>
        <w:rPr>
          <w:sz w:val="20"/>
          <w:szCs w:val="20"/>
          <w:color w:val="auto"/>
        </w:rPr>
      </w:pPr>
      <w:r>
        <w:rPr>
          <w:rFonts w:ascii="Verdana" w:cs="Verdana" w:eastAsia="Verdana" w:hAnsi="Verdana"/>
          <w:sz w:val="17"/>
          <w:szCs w:val="17"/>
          <w:color w:val="auto"/>
        </w:rPr>
        <w:t>Adjusted efficiency ratio Adjusted core efficiency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40"/>
        <w:spacing w:after="0" w:line="254" w:lineRule="auto"/>
        <w:rPr>
          <w:sz w:val="20"/>
          <w:szCs w:val="20"/>
          <w:color w:val="auto"/>
        </w:rPr>
      </w:pPr>
      <w:r>
        <w:rPr>
          <w:rFonts w:ascii="Verdana" w:cs="Verdana" w:eastAsia="Verdana" w:hAnsi="Verdana"/>
          <w:sz w:val="18"/>
          <w:szCs w:val="18"/>
          <w:color w:val="auto"/>
        </w:rPr>
        <w:t>Tangible common equity to tangible assets</w:t>
      </w:r>
    </w:p>
    <w:p>
      <w:pPr>
        <w:spacing w:after="0" w:line="284" w:lineRule="exact"/>
        <w:rPr>
          <w:sz w:val="20"/>
          <w:szCs w:val="20"/>
          <w:color w:val="auto"/>
        </w:rPr>
      </w:pPr>
    </w:p>
    <w:p>
      <w:pPr>
        <w:sectPr>
          <w:pgSz w:w="11900" w:h="16838" w:orient="portrait"/>
          <w:cols w:equalWidth="0" w:num="3">
            <w:col w:w="3380" w:space="400"/>
            <w:col w:w="3320" w:space="460"/>
            <w:col w:w="3680"/>
          </w:cols>
          <w:pgMar w:left="320" w:top="310"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stockholders’ equity</w:t>
            </w:r>
          </w:p>
        </w:tc>
        <w:tc>
          <w:tcPr>
            <w:tcW w:w="100" w:type="dxa"/>
            <w:vAlign w:val="bottom"/>
            <w:shd w:val="clear" w:color="auto" w:fill="E0E7ED"/>
          </w:tcPr>
          <w:p>
            <w:pPr>
              <w:spacing w:after="0"/>
              <w:rPr>
                <w:sz w:val="20"/>
                <w:szCs w:val="20"/>
                <w:color w:val="auto"/>
              </w:rPr>
            </w:pPr>
          </w:p>
        </w:tc>
        <w:tc>
          <w:tcPr>
            <w:tcW w:w="3780" w:type="dxa"/>
            <w:vAlign w:val="bottom"/>
            <w:gridSpan w:val="2"/>
            <w:vMerge w:val="restart"/>
            <w:shd w:val="clear" w:color="auto" w:fill="E0E7ED"/>
          </w:tcPr>
          <w:p>
            <w:pPr>
              <w:ind w:left="20"/>
              <w:spacing w:after="0"/>
              <w:rPr>
                <w:sz w:val="20"/>
                <w:szCs w:val="20"/>
                <w:color w:val="auto"/>
              </w:rPr>
            </w:pPr>
            <w:r>
              <w:rPr>
                <w:rFonts w:ascii="Verdana" w:cs="Verdana" w:eastAsia="Verdana" w:hAnsi="Verdana"/>
                <w:sz w:val="18"/>
                <w:szCs w:val="18"/>
                <w:color w:val="auto"/>
              </w:rPr>
              <w:t>Tangible common equity</w:t>
            </w: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common equity to tangible</w:t>
            </w:r>
          </w:p>
        </w:tc>
        <w:tc>
          <w:tcPr>
            <w:tcW w:w="0" w:type="dxa"/>
            <w:vAlign w:val="bottom"/>
          </w:tcPr>
          <w:p>
            <w:pPr>
              <w:spacing w:after="0"/>
              <w:rPr>
                <w:sz w:val="1"/>
                <w:szCs w:val="1"/>
                <w:color w:val="auto"/>
              </w:rPr>
            </w:pPr>
          </w:p>
        </w:tc>
      </w:tr>
      <w:tr>
        <w:trPr>
          <w:trHeight w:val="135"/>
        </w:trPr>
        <w:tc>
          <w:tcPr>
            <w:tcW w:w="3660" w:type="dxa"/>
            <w:vAlign w:val="bottom"/>
            <w:vMerge w:val="continue"/>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780" w:type="dxa"/>
            <w:vAlign w:val="bottom"/>
            <w:gridSpan w:val="2"/>
            <w:vMerge w:val="continue"/>
            <w:shd w:val="clear" w:color="auto" w:fill="E0E7ED"/>
          </w:tcPr>
          <w:p>
            <w:pPr>
              <w:spacing w:after="0"/>
              <w:rPr>
                <w:sz w:val="11"/>
                <w:szCs w:val="11"/>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assets</w:t>
            </w:r>
          </w:p>
        </w:tc>
        <w:tc>
          <w:tcPr>
            <w:tcW w:w="0" w:type="dxa"/>
            <w:vAlign w:val="bottom"/>
          </w:tcPr>
          <w:p>
            <w:pPr>
              <w:spacing w:after="0"/>
              <w:rPr>
                <w:sz w:val="1"/>
                <w:szCs w:val="1"/>
                <w:color w:val="auto"/>
              </w:rPr>
            </w:pPr>
          </w:p>
        </w:tc>
      </w:tr>
      <w:tr>
        <w:trPr>
          <w:trHeight w:val="107"/>
        </w:trPr>
        <w:tc>
          <w:tcPr>
            <w:tcW w:w="3660" w:type="dxa"/>
            <w:vAlign w:val="bottom"/>
            <w:tcBorders>
              <w:bottom w:val="single" w:sz="8" w:color="E0E7ED"/>
            </w:tcBorders>
            <w:vMerge w:val="restart"/>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Goodwill and other intangible assets,</w:t>
            </w:r>
          </w:p>
        </w:tc>
        <w:tc>
          <w:tcPr>
            <w:tcW w:w="100" w:type="dxa"/>
            <w:vAlign w:val="bottom"/>
            <w:tcBorders>
              <w:bottom w:val="single" w:sz="8" w:color="E0E7ED"/>
            </w:tcBorders>
            <w:shd w:val="clear" w:color="auto" w:fill="E0E7ED"/>
          </w:tcPr>
          <w:p>
            <w:pPr>
              <w:spacing w:after="0"/>
              <w:rPr>
                <w:sz w:val="9"/>
                <w:szCs w:val="9"/>
                <w:color w:val="auto"/>
              </w:rPr>
            </w:pPr>
          </w:p>
        </w:tc>
        <w:tc>
          <w:tcPr>
            <w:tcW w:w="3680" w:type="dxa"/>
            <w:vAlign w:val="bottom"/>
            <w:tcBorders>
              <w:bottom w:val="single" w:sz="8" w:color="6D6D6D"/>
            </w:tcBorders>
            <w:shd w:val="clear" w:color="auto" w:fill="E0E7ED"/>
          </w:tcPr>
          <w:p>
            <w:pPr>
              <w:spacing w:after="0"/>
              <w:rPr>
                <w:sz w:val="9"/>
                <w:szCs w:val="9"/>
                <w:color w:val="auto"/>
              </w:rPr>
            </w:pPr>
          </w:p>
        </w:tc>
        <w:tc>
          <w:tcPr>
            <w:tcW w:w="100" w:type="dxa"/>
            <w:vAlign w:val="bottom"/>
            <w:tcBorders>
              <w:bottom w:val="single" w:sz="8" w:color="E0E7ED"/>
            </w:tcBorders>
            <w:shd w:val="clear" w:color="auto" w:fill="E0E7ED"/>
          </w:tcPr>
          <w:p>
            <w:pPr>
              <w:spacing w:after="0"/>
              <w:rPr>
                <w:sz w:val="9"/>
                <w:szCs w:val="9"/>
                <w:color w:val="auto"/>
              </w:rPr>
            </w:pPr>
          </w:p>
        </w:tc>
        <w:tc>
          <w:tcPr>
            <w:tcW w:w="3680" w:type="dxa"/>
            <w:vAlign w:val="bottom"/>
            <w:tcBorders>
              <w:bottom w:val="single" w:sz="8" w:color="6D6D6D"/>
            </w:tcBorders>
            <w:vMerge w:val="continue"/>
            <w:shd w:val="clear" w:color="auto" w:fill="E0E7ED"/>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shd w:val="clear" w:color="auto" w:fill="E0E7ED"/>
          </w:tcPr>
          <w:p>
            <w:pPr>
              <w:spacing w:after="0"/>
              <w:rPr>
                <w:sz w:val="7"/>
                <w:szCs w:val="7"/>
                <w:color w:val="auto"/>
              </w:rPr>
            </w:pPr>
          </w:p>
        </w:tc>
        <w:tc>
          <w:tcPr>
            <w:tcW w:w="100" w:type="dxa"/>
            <w:vAlign w:val="bottom"/>
            <w:shd w:val="clear" w:color="auto" w:fill="E0E7ED"/>
          </w:tcPr>
          <w:p>
            <w:pPr>
              <w:spacing w:after="0"/>
              <w:rPr>
                <w:sz w:val="7"/>
                <w:szCs w:val="7"/>
                <w:color w:val="auto"/>
              </w:rPr>
            </w:pPr>
          </w:p>
        </w:tc>
        <w:tc>
          <w:tcPr>
            <w:tcW w:w="3680" w:type="dxa"/>
            <w:vAlign w:val="bottom"/>
            <w:shd w:val="clear" w:color="auto" w:fill="E0E7ED"/>
          </w:tcPr>
          <w:p>
            <w:pPr>
              <w:spacing w:after="0"/>
              <w:rPr>
                <w:sz w:val="7"/>
                <w:szCs w:val="7"/>
                <w:color w:val="auto"/>
              </w:rPr>
            </w:pPr>
          </w:p>
        </w:tc>
        <w:tc>
          <w:tcPr>
            <w:tcW w:w="100" w:type="dxa"/>
            <w:vAlign w:val="bottom"/>
            <w:shd w:val="clear" w:color="auto" w:fill="E0E7ED"/>
          </w:tcPr>
          <w:p>
            <w:pPr>
              <w:spacing w:after="0"/>
              <w:rPr>
                <w:sz w:val="7"/>
                <w:szCs w:val="7"/>
                <w:color w:val="auto"/>
              </w:rPr>
            </w:pPr>
          </w:p>
        </w:tc>
        <w:tc>
          <w:tcPr>
            <w:tcW w:w="3680" w:type="dxa"/>
            <w:vAlign w:val="bottom"/>
            <w:shd w:val="clear" w:color="auto" w:fill="E0E7ED"/>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w:t>
            </w:r>
          </w:p>
        </w:tc>
        <w:tc>
          <w:tcPr>
            <w:tcW w:w="100" w:type="dxa"/>
            <w:vAlign w:val="bottom"/>
            <w:shd w:val="clear" w:color="auto" w:fill="E0E7ED"/>
          </w:tcPr>
          <w:p>
            <w:pPr>
              <w:spacing w:after="0"/>
              <w:rPr>
                <w:sz w:val="22"/>
                <w:szCs w:val="22"/>
                <w:color w:val="auto"/>
              </w:rPr>
            </w:pPr>
          </w:p>
        </w:tc>
        <w:tc>
          <w:tcPr>
            <w:tcW w:w="37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Tangible book value</w:t>
            </w: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 per common share</w:t>
            </w:r>
          </w:p>
        </w:tc>
        <w:tc>
          <w:tcPr>
            <w:tcW w:w="0" w:type="dxa"/>
            <w:vAlign w:val="bottom"/>
          </w:tcPr>
          <w:p>
            <w:pPr>
              <w:spacing w:after="0"/>
              <w:rPr>
                <w:sz w:val="1"/>
                <w:szCs w:val="1"/>
                <w:color w:val="auto"/>
              </w:rPr>
            </w:pPr>
          </w:p>
        </w:tc>
      </w:tr>
      <w:tr>
        <w:trPr>
          <w:trHeight w:val="121"/>
        </w:trPr>
        <w:tc>
          <w:tcPr>
            <w:tcW w:w="366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111125</wp:posOffset>
            </wp:positionV>
            <wp:extent cx="239204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92045" cy="17145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25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Portfolio loans</w:t>
            </w:r>
          </w:p>
        </w:tc>
        <w:tc>
          <w:tcPr>
            <w:tcW w:w="5000" w:type="dxa"/>
            <w:vAlign w:val="bottom"/>
            <w:shd w:val="clear" w:color="auto" w:fill="E0E7ED"/>
          </w:tcPr>
          <w:p>
            <w:pPr>
              <w:ind w:left="1240"/>
              <w:spacing w:after="0"/>
              <w:rPr>
                <w:sz w:val="20"/>
                <w:szCs w:val="20"/>
                <w:color w:val="auto"/>
              </w:rPr>
            </w:pPr>
            <w:r>
              <w:rPr>
                <w:rFonts w:ascii="Verdana" w:cs="Verdana" w:eastAsia="Verdana" w:hAnsi="Verdana"/>
                <w:sz w:val="18"/>
                <w:szCs w:val="18"/>
                <w:color w:val="auto"/>
              </w:rPr>
              <w:t>Core loans</w:t>
            </w:r>
          </w:p>
        </w:tc>
      </w:tr>
      <w:tr>
        <w:trPr>
          <w:trHeight w:val="162"/>
        </w:trPr>
        <w:tc>
          <w:tcPr>
            <w:tcW w:w="2540" w:type="dxa"/>
            <w:vAlign w:val="bottom"/>
            <w:shd w:val="clear" w:color="auto" w:fill="E0E7ED"/>
          </w:tcPr>
          <w:p>
            <w:pPr>
              <w:spacing w:after="0"/>
              <w:rPr>
                <w:sz w:val="14"/>
                <w:szCs w:val="14"/>
                <w:color w:val="auto"/>
              </w:rPr>
            </w:pPr>
          </w:p>
        </w:tc>
        <w:tc>
          <w:tcPr>
            <w:tcW w:w="5000" w:type="dxa"/>
            <w:vAlign w:val="bottom"/>
            <w:shd w:val="clear" w:color="auto" w:fill="E0E7ED"/>
          </w:tcPr>
          <w:p>
            <w:pPr>
              <w:spacing w:after="0"/>
              <w:rPr>
                <w:sz w:val="14"/>
                <w:szCs w:val="14"/>
                <w:color w:val="auto"/>
              </w:rPr>
            </w:pPr>
          </w:p>
        </w:tc>
      </w:tr>
      <w:tr>
        <w:trPr>
          <w:trHeight w:val="176"/>
        </w:trPr>
        <w:tc>
          <w:tcPr>
            <w:tcW w:w="2540" w:type="dxa"/>
            <w:vAlign w:val="bottom"/>
          </w:tcPr>
          <w:p>
            <w:pPr>
              <w:spacing w:after="0"/>
              <w:rPr>
                <w:sz w:val="15"/>
                <w:szCs w:val="15"/>
                <w:color w:val="auto"/>
              </w:rPr>
            </w:pPr>
          </w:p>
        </w:tc>
        <w:tc>
          <w:tcPr>
            <w:tcW w:w="5000" w:type="dxa"/>
            <w:vAlign w:val="bottom"/>
          </w:tcPr>
          <w:p>
            <w:pPr>
              <w:spacing w:after="0"/>
              <w:rPr>
                <w:sz w:val="15"/>
                <w:szCs w:val="15"/>
                <w:color w:val="auto"/>
              </w:rPr>
            </w:pPr>
          </w:p>
        </w:tc>
      </w:tr>
      <w:tr>
        <w:trPr>
          <w:trHeight w:val="391"/>
        </w:trPr>
        <w:tc>
          <w:tcPr>
            <w:tcW w:w="25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deposits</w:t>
            </w:r>
          </w:p>
        </w:tc>
        <w:tc>
          <w:tcPr>
            <w:tcW w:w="5000" w:type="dxa"/>
            <w:vAlign w:val="bottom"/>
            <w:shd w:val="clear" w:color="auto" w:fill="E0E7ED"/>
          </w:tcPr>
          <w:p>
            <w:pPr>
              <w:ind w:left="1240"/>
              <w:spacing w:after="0"/>
              <w:rPr>
                <w:sz w:val="20"/>
                <w:szCs w:val="20"/>
                <w:color w:val="auto"/>
              </w:rPr>
            </w:pPr>
            <w:r>
              <w:rPr>
                <w:rFonts w:ascii="Verdana" w:cs="Verdana" w:eastAsia="Verdana" w:hAnsi="Verdana"/>
                <w:sz w:val="18"/>
                <w:szCs w:val="18"/>
                <w:color w:val="auto"/>
              </w:rPr>
              <w:t>Core deposits</w:t>
            </w:r>
          </w:p>
        </w:tc>
      </w:tr>
      <w:tr>
        <w:trPr>
          <w:trHeight w:val="162"/>
        </w:trPr>
        <w:tc>
          <w:tcPr>
            <w:tcW w:w="2540" w:type="dxa"/>
            <w:vAlign w:val="bottom"/>
            <w:shd w:val="clear" w:color="auto" w:fill="E0E7ED"/>
          </w:tcPr>
          <w:p>
            <w:pPr>
              <w:spacing w:after="0"/>
              <w:rPr>
                <w:sz w:val="14"/>
                <w:szCs w:val="14"/>
                <w:color w:val="auto"/>
              </w:rPr>
            </w:pPr>
          </w:p>
        </w:tc>
        <w:tc>
          <w:tcPr>
            <w:tcW w:w="5000" w:type="dxa"/>
            <w:vAlign w:val="bottom"/>
            <w:shd w:val="clear" w:color="auto" w:fill="E0E7ED"/>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140"/>
        <w:spacing w:after="0" w:line="362" w:lineRule="auto"/>
        <w:rPr>
          <w:sz w:val="20"/>
          <w:szCs w:val="20"/>
          <w:color w:val="auto"/>
        </w:rPr>
      </w:pPr>
      <w:r>
        <w:rPr>
          <w:rFonts w:ascii="Verdana" w:cs="Verdana" w:eastAsia="Verdana" w:hAnsi="Verdana"/>
          <w:sz w:val="17"/>
          <w:szCs w:val="17"/>
          <w:color w:val="auto"/>
        </w:rPr>
        <w:t>Core loans to portfolio loans Core loans to core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53340</wp:posOffset>
            </wp:positionV>
            <wp:extent cx="239204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92045" cy="1714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-237490</wp:posOffset>
            </wp:positionV>
            <wp:extent cx="23317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31720" cy="179705"/>
                    </a:xfrm>
                    <a:prstGeom prst="rect">
                      <a:avLst/>
                    </a:prstGeom>
                    <a:noFill/>
                  </pic:spPr>
                </pic:pic>
              </a:graphicData>
            </a:graphic>
          </wp:anchor>
        </w:drawing>
      </w:r>
    </w:p>
    <w:p>
      <w:pPr>
        <w:spacing w:after="0" w:line="86" w:lineRule="exact"/>
        <w:rPr>
          <w:sz w:val="20"/>
          <w:szCs w:val="20"/>
          <w:color w:val="auto"/>
        </w:rPr>
      </w:pPr>
    </w:p>
    <w:p>
      <w:pPr>
        <w:ind w:right="920"/>
        <w:spacing w:after="0" w:line="328" w:lineRule="auto"/>
        <w:rPr>
          <w:sz w:val="20"/>
          <w:szCs w:val="20"/>
          <w:color w:val="auto"/>
        </w:rPr>
      </w:pPr>
      <w:r>
        <w:rPr>
          <w:rFonts w:ascii="Verdana" w:cs="Verdana" w:eastAsia="Verdana" w:hAnsi="Verdana"/>
          <w:sz w:val="18"/>
          <w:szCs w:val="18"/>
          <w:color w:val="auto"/>
        </w:rPr>
        <w:t>Core deposits to total deposits Core loans to core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-221615</wp:posOffset>
            </wp:positionV>
            <wp:extent cx="23317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317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20"/>
            <w:col w:w="3680"/>
          </w:cols>
          <w:pgMar w:left="320" w:top="310" w:right="339" w:bottom="1440" w:gutter="0" w:footer="0" w:header="0"/>
          <w:type w:val="continuous"/>
        </w:sectPr>
      </w:pPr>
    </w:p>
    <w:p>
      <w:pPr>
        <w:spacing w:after="0" w:line="53" w:lineRule="exact"/>
        <w:rPr>
          <w:sz w:val="20"/>
          <w:szCs w:val="20"/>
          <w:color w:val="auto"/>
        </w:rPr>
      </w:pPr>
    </w:p>
    <w:p>
      <w:pPr>
        <w:ind w:left="790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26" w:name="page27"/>
    <w:bookmarkEnd w:id="2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xml:space="preserve">RECONCILIATION OF NON-GAAP FINANCIAL MEASURES </w:t>
      </w:r>
      <w:r>
        <w:rPr>
          <w:rFonts w:ascii="Verdana" w:cs="Verdana" w:eastAsia="Verdana" w:hAnsi="Verdana"/>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320"/>
        <w:spacing w:after="0"/>
        <w:rPr>
          <w:sz w:val="20"/>
          <w:szCs w:val="20"/>
          <w:color w:val="auto"/>
        </w:rPr>
      </w:pPr>
      <w:r>
        <w:rPr>
          <w:rFonts w:ascii="Verdana" w:cs="Verdana" w:eastAsia="Verdana" w:hAnsi="Verdana"/>
          <w:sz w:val="18"/>
          <w:szCs w:val="18"/>
          <w:b w:val="1"/>
          <w:bCs w:val="1"/>
          <w:color w:val="auto"/>
        </w:rPr>
        <w:t>Pre-Provision Net Revenue, Adjusted Pre-Provision Net Revenue,</w:t>
      </w:r>
    </w:p>
    <w:p>
      <w:pPr>
        <w:ind w:left="3040"/>
        <w:spacing w:after="0" w:line="236" w:lineRule="auto"/>
        <w:rPr>
          <w:sz w:val="20"/>
          <w:szCs w:val="20"/>
          <w:color w:val="auto"/>
        </w:rPr>
      </w:pPr>
      <w:r>
        <w:rPr>
          <w:rFonts w:ascii="Verdana" w:cs="Verdana" w:eastAsia="Verdana" w:hAnsi="Verdana"/>
          <w:sz w:val="18"/>
          <w:szCs w:val="18"/>
          <w:b w:val="1"/>
          <w:bCs w:val="1"/>
          <w:color w:val="auto"/>
        </w:rPr>
        <w:t>Pre-Provision Net Revenue to Average Assets, and</w:t>
      </w:r>
    </w:p>
    <w:p>
      <w:pPr>
        <w:spacing w:after="0" w:line="1" w:lineRule="exact"/>
        <w:rPr>
          <w:sz w:val="20"/>
          <w:szCs w:val="20"/>
          <w:color w:val="auto"/>
        </w:rPr>
      </w:pPr>
    </w:p>
    <w:p>
      <w:pPr>
        <w:ind w:left="2840"/>
        <w:spacing w:after="0"/>
        <w:rPr>
          <w:sz w:val="20"/>
          <w:szCs w:val="20"/>
          <w:color w:val="auto"/>
        </w:rPr>
      </w:pPr>
      <w:r>
        <w:rPr>
          <w:rFonts w:ascii="Verdana" w:cs="Verdana" w:eastAsia="Verdana" w:hAnsi="Verdana"/>
          <w:sz w:val="18"/>
          <w:szCs w:val="18"/>
          <w:b w:val="1"/>
          <w:bCs w:val="1"/>
          <w:color w:val="auto"/>
        </w:rPr>
        <w:t>Adjusted Pre-Provision Net Revenue to Average Assets</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0"/>
              <w:spacing w:after="0"/>
              <w:rPr>
                <w:sz w:val="20"/>
                <w:szCs w:val="20"/>
                <w:color w:val="auto"/>
              </w:rPr>
            </w:pPr>
            <w:r>
              <w:rPr>
                <w:rFonts w:ascii="Verdana" w:cs="Verdana" w:eastAsia="Verdana" w:hAnsi="Verdana"/>
                <w:sz w:val="13"/>
                <w:szCs w:val="13"/>
                <w:b w:val="1"/>
                <w:bCs w:val="1"/>
                <w:color w:val="auto"/>
                <w:w w:val="97"/>
              </w:rPr>
              <w:t>Years Ended December 31,</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70"/>
        </w:trPr>
        <w:tc>
          <w:tcPr>
            <w:tcW w:w="4620" w:type="dxa"/>
            <w:vAlign w:val="bottom"/>
            <w:tcBorders>
              <w:bottom w:val="single" w:sz="8" w:color="E0E7ED"/>
            </w:tcBorders>
          </w:tcPr>
          <w:p>
            <w:pPr>
              <w:spacing w:after="0"/>
              <w:rPr>
                <w:sz w:val="14"/>
                <w:szCs w:val="14"/>
                <w:color w:val="auto"/>
              </w:rPr>
            </w:pPr>
          </w:p>
        </w:tc>
        <w:tc>
          <w:tcPr>
            <w:tcW w:w="1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2"/>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2"/>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2"/>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PRE-PROVISION NET REVENUE</w:t>
            </w:r>
          </w:p>
        </w:tc>
        <w:tc>
          <w:tcPr>
            <w:tcW w:w="112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112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319,451</w:t>
            </w:r>
          </w:p>
        </w:tc>
        <w:tc>
          <w:tcPr>
            <w:tcW w:w="38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323,438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270,698</w:t>
            </w: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income</w:t>
            </w:r>
          </w:p>
        </w:tc>
        <w:tc>
          <w:tcPr>
            <w:tcW w:w="11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122,384</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126,803</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132,804</w:t>
            </w: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b w:val="1"/>
                <w:bCs w:val="1"/>
                <w:color w:val="auto"/>
              </w:rPr>
              <w:t>Net security (gains) losses</w:t>
            </w: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2,199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2,133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Verdana" w:cs="Verdana" w:eastAsia="Verdana" w:hAnsi="Verdana"/>
                <w:sz w:val="18"/>
                <w:szCs w:val="18"/>
                <w:color w:val="auto"/>
              </w:rPr>
              <w:t>(3,070)</w:t>
            </w: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expense</w:t>
            </w:r>
          </w:p>
        </w:tc>
        <w:tc>
          <w:tcPr>
            <w:tcW w:w="112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(285,532)</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(283,881)</w:t>
            </w:r>
          </w:p>
        </w:tc>
        <w:tc>
          <w:tcPr>
            <w:tcW w:w="10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(261,780)</w:t>
            </w: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Pre-provision net revenue</w:t>
            </w:r>
          </w:p>
        </w:tc>
        <w:tc>
          <w:tcPr>
            <w:tcW w:w="1120" w:type="dxa"/>
            <w:vAlign w:val="bottom"/>
          </w:tcPr>
          <w:p>
            <w:pPr>
              <w:ind w:left="360"/>
              <w:spacing w:after="0"/>
              <w:rPr>
                <w:sz w:val="20"/>
                <w:szCs w:val="20"/>
                <w:color w:val="auto"/>
              </w:rPr>
            </w:pPr>
            <w:r>
              <w:rPr>
                <w:rFonts w:ascii="Verdana" w:cs="Verdana" w:eastAsia="Verdana" w:hAnsi="Verdana"/>
                <w:sz w:val="18"/>
                <w:szCs w:val="18"/>
                <w:color w:val="auto"/>
              </w:rPr>
              <w:t>[a]</w:t>
            </w:r>
          </w:p>
        </w:tc>
        <w:tc>
          <w:tcPr>
            <w:tcW w:w="300" w:type="dxa"/>
            <w:vAlign w:val="bottom"/>
          </w:tcPr>
          <w:p>
            <w:pPr>
              <w:spacing w:after="0"/>
              <w:rPr>
                <w:sz w:val="22"/>
                <w:szCs w:val="22"/>
                <w:color w:val="auto"/>
              </w:rPr>
            </w:pP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158,502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168,493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138,652</w:t>
            </w: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11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r>
      <w:tr>
        <w:trPr>
          <w:trHeight w:val="263"/>
        </w:trPr>
        <w:tc>
          <w:tcPr>
            <w:tcW w:w="4620" w:type="dxa"/>
            <w:vAlign w:val="bottom"/>
          </w:tcPr>
          <w:p>
            <w:pPr>
              <w:ind w:left="180"/>
              <w:spacing w:after="0"/>
              <w:rPr>
                <w:sz w:val="20"/>
                <w:szCs w:val="20"/>
                <w:color w:val="auto"/>
              </w:rPr>
            </w:pPr>
            <w:r>
              <w:rPr>
                <w:rFonts w:ascii="Verdana" w:cs="Verdana" w:eastAsia="Verdana" w:hAnsi="Verdana"/>
                <w:sz w:val="18"/>
                <w:szCs w:val="18"/>
                <w:color w:val="auto"/>
              </w:rPr>
              <w:t>Acquisition and other restructuring expenses</w:t>
            </w: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4,328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4,537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17,351</w:t>
            </w:r>
          </w:p>
        </w:tc>
      </w:tr>
      <w:tr>
        <w:trPr>
          <w:trHeight w:val="277"/>
        </w:trPr>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unfunded commitments</w:t>
            </w:r>
          </w:p>
        </w:tc>
        <w:tc>
          <w:tcPr>
            <w:tcW w:w="11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461</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61</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32"/>
              <w:spacing w:after="0"/>
              <w:rPr>
                <w:sz w:val="20"/>
                <w:szCs w:val="20"/>
                <w:color w:val="auto"/>
              </w:rPr>
            </w:pPr>
            <w:r>
              <w:rPr>
                <w:rFonts w:ascii="Verdana" w:cs="Verdana" w:eastAsia="Verdana" w:hAnsi="Verdana"/>
                <w:sz w:val="18"/>
                <w:szCs w:val="18"/>
                <w:color w:val="auto"/>
              </w:rPr>
              <w:t>(774)</w:t>
            </w:r>
          </w:p>
        </w:tc>
      </w:tr>
      <w:tr>
        <w:trPr>
          <w:trHeight w:val="263"/>
        </w:trPr>
        <w:tc>
          <w:tcPr>
            <w:tcW w:w="46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Amortization of New Markets Tax Credits</w:t>
            </w:r>
          </w:p>
        </w:tc>
        <w:tc>
          <w:tcPr>
            <w:tcW w:w="112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8,999</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6,333</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5,563</w:t>
            </w:r>
          </w:p>
        </w:tc>
      </w:tr>
      <w:tr>
        <w:trPr>
          <w:trHeight w:val="29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pre-provision net revenue</w:t>
            </w:r>
          </w:p>
        </w:tc>
        <w:tc>
          <w:tcPr>
            <w:tcW w:w="11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[b]</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172,290</w:t>
            </w:r>
          </w:p>
        </w:tc>
        <w:tc>
          <w:tcPr>
            <w:tcW w:w="3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179,424</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160,792</w:t>
            </w:r>
          </w:p>
        </w:tc>
      </w:tr>
      <w:tr>
        <w:trPr>
          <w:trHeight w:val="20"/>
        </w:trPr>
        <w:tc>
          <w:tcPr>
            <w:tcW w:w="4620" w:type="dxa"/>
            <w:vAlign w:val="bottom"/>
            <w:tcBorders>
              <w:top w:val="single" w:sz="8" w:color="E0E7ED"/>
            </w:tcBorders>
          </w:tcPr>
          <w:p>
            <w:pPr>
              <w:spacing w:after="0" w:line="20" w:lineRule="exact"/>
              <w:rPr>
                <w:sz w:val="1"/>
                <w:szCs w:val="1"/>
                <w:color w:val="auto"/>
              </w:rPr>
            </w:pPr>
          </w:p>
        </w:tc>
        <w:tc>
          <w:tcPr>
            <w:tcW w:w="112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total assets</w:t>
            </w:r>
          </w:p>
        </w:tc>
        <w:tc>
          <w:tcPr>
            <w:tcW w:w="11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12,246,218</w:t>
            </w:r>
          </w:p>
        </w:tc>
        <w:tc>
          <w:tcPr>
            <w:tcW w:w="3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12,492,948</w:t>
            </w: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11,904,935</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Pre-provision net revenue to average</w:t>
            </w:r>
          </w:p>
        </w:tc>
        <w:tc>
          <w:tcPr>
            <w:tcW w:w="1440" w:type="dxa"/>
            <w:vAlign w:val="bottom"/>
            <w:shd w:val="clear" w:color="auto" w:fill="E0E7ED"/>
          </w:tcPr>
          <w:p>
            <w:pPr>
              <w:spacing w:after="0"/>
              <w:rPr>
                <w:sz w:val="20"/>
                <w:szCs w:val="20"/>
                <w:color w:val="auto"/>
              </w:rPr>
            </w:pPr>
          </w:p>
        </w:tc>
        <w:tc>
          <w:tcPr>
            <w:tcW w:w="1940" w:type="dxa"/>
            <w:vAlign w:val="bottom"/>
            <w:shd w:val="clear" w:color="auto" w:fill="E0E7ED"/>
          </w:tcPr>
          <w:p>
            <w:pPr>
              <w:spacing w:after="0"/>
              <w:rPr>
                <w:sz w:val="20"/>
                <w:szCs w:val="20"/>
                <w:color w:val="auto"/>
              </w:rPr>
            </w:pPr>
          </w:p>
        </w:tc>
        <w:tc>
          <w:tcPr>
            <w:tcW w:w="186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r>
      <w:tr>
        <w:trPr>
          <w:trHeight w:val="248"/>
        </w:trPr>
        <w:tc>
          <w:tcPr>
            <w:tcW w:w="47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assets</w:t>
            </w:r>
          </w:p>
        </w:tc>
        <w:tc>
          <w:tcPr>
            <w:tcW w:w="144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[a÷c]</w:t>
            </w:r>
          </w:p>
        </w:tc>
        <w:tc>
          <w:tcPr>
            <w:tcW w:w="1940" w:type="dxa"/>
            <w:vAlign w:val="bottom"/>
            <w:shd w:val="clear" w:color="auto" w:fill="E0E7ED"/>
          </w:tcPr>
          <w:p>
            <w:pPr>
              <w:jc w:val="right"/>
              <w:ind w:right="510"/>
              <w:spacing w:after="0"/>
              <w:rPr>
                <w:sz w:val="20"/>
                <w:szCs w:val="20"/>
                <w:color w:val="auto"/>
              </w:rPr>
            </w:pPr>
            <w:r>
              <w:rPr>
                <w:rFonts w:ascii="Verdana" w:cs="Verdana" w:eastAsia="Verdana" w:hAnsi="Verdana"/>
                <w:sz w:val="18"/>
                <w:szCs w:val="18"/>
                <w:color w:val="auto"/>
              </w:rPr>
              <w:t>1.29 %</w:t>
            </w:r>
          </w:p>
        </w:tc>
        <w:tc>
          <w:tcPr>
            <w:tcW w:w="1860" w:type="dxa"/>
            <w:vAlign w:val="bottom"/>
            <w:shd w:val="clear" w:color="auto" w:fill="E0E7ED"/>
          </w:tcPr>
          <w:p>
            <w:pPr>
              <w:jc w:val="right"/>
              <w:ind w:right="510"/>
              <w:spacing w:after="0"/>
              <w:rPr>
                <w:sz w:val="20"/>
                <w:szCs w:val="20"/>
                <w:color w:val="auto"/>
              </w:rPr>
            </w:pPr>
            <w:r>
              <w:rPr>
                <w:rFonts w:ascii="Verdana" w:cs="Verdana" w:eastAsia="Verdana" w:hAnsi="Verdana"/>
                <w:sz w:val="18"/>
                <w:szCs w:val="18"/>
                <w:color w:val="auto"/>
              </w:rPr>
              <w:t>1.35 %</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1.16 %</w:t>
            </w:r>
          </w:p>
        </w:tc>
      </w:tr>
      <w:tr>
        <w:trPr>
          <w:trHeight w:val="238"/>
        </w:trPr>
        <w:tc>
          <w:tcPr>
            <w:tcW w:w="472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Pre-provision net revenue to average</w:t>
            </w:r>
          </w:p>
        </w:tc>
        <w:tc>
          <w:tcPr>
            <w:tcW w:w="1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5"/>
        </w:trPr>
        <w:tc>
          <w:tcPr>
            <w:tcW w:w="4720" w:type="dxa"/>
            <w:vAlign w:val="bottom"/>
          </w:tcPr>
          <w:p>
            <w:pPr>
              <w:ind w:left="20"/>
              <w:spacing w:after="0"/>
              <w:rPr>
                <w:sz w:val="20"/>
                <w:szCs w:val="20"/>
                <w:color w:val="auto"/>
              </w:rPr>
            </w:pPr>
            <w:r>
              <w:rPr>
                <w:rFonts w:ascii="Verdana" w:cs="Verdana" w:eastAsia="Verdana" w:hAnsi="Verdana"/>
                <w:sz w:val="18"/>
                <w:szCs w:val="18"/>
                <w:color w:val="auto"/>
              </w:rPr>
              <w:t>assets</w:t>
            </w:r>
          </w:p>
        </w:tc>
        <w:tc>
          <w:tcPr>
            <w:tcW w:w="1440" w:type="dxa"/>
            <w:vAlign w:val="bottom"/>
          </w:tcPr>
          <w:p>
            <w:pPr>
              <w:ind w:left="260"/>
              <w:spacing w:after="0"/>
              <w:rPr>
                <w:sz w:val="20"/>
                <w:szCs w:val="20"/>
                <w:color w:val="auto"/>
              </w:rPr>
            </w:pPr>
            <w:r>
              <w:rPr>
                <w:rFonts w:ascii="Verdana" w:cs="Verdana" w:eastAsia="Verdana" w:hAnsi="Verdana"/>
                <w:sz w:val="18"/>
                <w:szCs w:val="18"/>
                <w:color w:val="auto"/>
              </w:rPr>
              <w:t>[b÷c]</w:t>
            </w:r>
          </w:p>
        </w:tc>
        <w:tc>
          <w:tcPr>
            <w:tcW w:w="1940" w:type="dxa"/>
            <w:vAlign w:val="bottom"/>
          </w:tcPr>
          <w:p>
            <w:pPr>
              <w:jc w:val="right"/>
              <w:ind w:right="510"/>
              <w:spacing w:after="0"/>
              <w:rPr>
                <w:sz w:val="20"/>
                <w:szCs w:val="20"/>
                <w:color w:val="auto"/>
              </w:rPr>
            </w:pPr>
            <w:r>
              <w:rPr>
                <w:rFonts w:ascii="Verdana" w:cs="Verdana" w:eastAsia="Verdana" w:hAnsi="Verdana"/>
                <w:sz w:val="18"/>
                <w:szCs w:val="18"/>
                <w:color w:val="auto"/>
              </w:rPr>
              <w:t>1.41 %</w:t>
            </w:r>
          </w:p>
        </w:tc>
        <w:tc>
          <w:tcPr>
            <w:tcW w:w="1860" w:type="dxa"/>
            <w:vAlign w:val="bottom"/>
          </w:tcPr>
          <w:p>
            <w:pPr>
              <w:jc w:val="right"/>
              <w:ind w:right="510"/>
              <w:spacing w:after="0"/>
              <w:rPr>
                <w:sz w:val="20"/>
                <w:szCs w:val="20"/>
                <w:color w:val="auto"/>
              </w:rPr>
            </w:pPr>
            <w:r>
              <w:rPr>
                <w:rFonts w:ascii="Verdana" w:cs="Verdana" w:eastAsia="Verdana" w:hAnsi="Verdana"/>
                <w:sz w:val="18"/>
                <w:szCs w:val="18"/>
                <w:color w:val="auto"/>
              </w:rPr>
              <w:t>1.44 %</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1.35 %</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7" w:name="page28"/>
    <w:bookmarkEnd w:id="2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xml:space="preserve">RECONCILIATION OF NON-GAAP FINANCIAL MEASURES </w:t>
      </w:r>
      <w:r>
        <w:rPr>
          <w:rFonts w:ascii="Verdana" w:cs="Verdana" w:eastAsia="Verdana" w:hAnsi="Verdana"/>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line="245" w:lineRule="auto"/>
        <w:rPr>
          <w:sz w:val="20"/>
          <w:szCs w:val="20"/>
          <w:color w:val="auto"/>
        </w:rPr>
      </w:pPr>
      <w:r>
        <w:rPr>
          <w:rFonts w:ascii="Verdana" w:cs="Verdana" w:eastAsia="Verdana" w:hAnsi="Verdana"/>
          <w:sz w:val="18"/>
          <w:szCs w:val="18"/>
          <w:b w:val="1"/>
          <w:bCs w:val="1"/>
          <w:color w:val="auto"/>
        </w:rPr>
        <w:t>Adjusted Net Income, Adjusted Diluted Earnings Per Share, Adjusted Return on Average Assets, Average Tangible Common Equity, Return on Average Tangible Common Equity, and Adjusted Return on Average Tangible Common Equity</w:t>
      </w:r>
    </w:p>
    <w:p>
      <w:pPr>
        <w:spacing w:after="0" w:line="32"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0"/>
              <w:spacing w:after="0"/>
              <w:rPr>
                <w:sz w:val="20"/>
                <w:szCs w:val="20"/>
                <w:color w:val="auto"/>
              </w:rPr>
            </w:pPr>
            <w:r>
              <w:rPr>
                <w:rFonts w:ascii="Verdana" w:cs="Verdana" w:eastAsia="Verdana" w:hAnsi="Verdana"/>
                <w:sz w:val="13"/>
                <w:szCs w:val="13"/>
                <w:b w:val="1"/>
                <w:bCs w:val="1"/>
                <w:color w:val="auto"/>
                <w:w w:val="97"/>
              </w:rPr>
              <w:t>Years Ended December 31,</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70"/>
        </w:trPr>
        <w:tc>
          <w:tcPr>
            <w:tcW w:w="4840" w:type="dxa"/>
            <w:vAlign w:val="bottom"/>
            <w:tcBorders>
              <w:bottom w:val="single" w:sz="8" w:color="E0E7ED"/>
            </w:tcBorders>
          </w:tcPr>
          <w:p>
            <w:pPr>
              <w:spacing w:after="0"/>
              <w:rPr>
                <w:sz w:val="14"/>
                <w:szCs w:val="14"/>
                <w:color w:val="auto"/>
              </w:rPr>
            </w:pPr>
          </w:p>
        </w:tc>
        <w:tc>
          <w:tcPr>
            <w:tcW w:w="9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1"/>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1"/>
              <w:spacing w:after="0"/>
              <w:rPr>
                <w:sz w:val="20"/>
                <w:szCs w:val="20"/>
                <w:color w:val="auto"/>
              </w:rPr>
            </w:pPr>
            <w:r>
              <w:rPr>
                <w:rFonts w:ascii="Verdana" w:cs="Verdana" w:eastAsia="Verdana" w:hAnsi="Verdana"/>
                <w:sz w:val="13"/>
                <w:szCs w:val="13"/>
                <w:b w:val="1"/>
                <w:bCs w:val="1"/>
                <w:color w:val="auto"/>
              </w:rPr>
              <w:t>2021</w:t>
            </w:r>
          </w:p>
        </w:tc>
      </w:tr>
      <w:tr>
        <w:trPr>
          <w:trHeight w:val="223"/>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INCOME ADJUSTED FOR NON-OPERATING</w:t>
            </w:r>
          </w:p>
        </w:tc>
        <w:tc>
          <w:tcPr>
            <w:tcW w:w="9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4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4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480" w:type="dxa"/>
            <w:vAlign w:val="bottom"/>
            <w:shd w:val="clear" w:color="auto" w:fill="E0E7ED"/>
          </w:tcPr>
          <w:p>
            <w:pPr>
              <w:spacing w:after="0"/>
              <w:rPr>
                <w:sz w:val="19"/>
                <w:szCs w:val="19"/>
                <w:color w:val="auto"/>
              </w:rPr>
            </w:pPr>
          </w:p>
        </w:tc>
      </w:tr>
      <w:tr>
        <w:trPr>
          <w:trHeight w:val="248"/>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ITEMS</w:t>
            </w:r>
          </w:p>
        </w:tc>
        <w:tc>
          <w:tcPr>
            <w:tcW w:w="9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r>
      <w:tr>
        <w:trPr>
          <w:trHeight w:val="263"/>
        </w:trPr>
        <w:tc>
          <w:tcPr>
            <w:tcW w:w="4840" w:type="dxa"/>
            <w:vAlign w:val="bottom"/>
          </w:tcPr>
          <w:p>
            <w:pPr>
              <w:ind w:left="20"/>
              <w:spacing w:after="0"/>
              <w:rPr>
                <w:sz w:val="20"/>
                <w:szCs w:val="20"/>
                <w:color w:val="auto"/>
              </w:rPr>
            </w:pPr>
            <w:r>
              <w:rPr>
                <w:rFonts w:ascii="Verdana" w:cs="Verdana" w:eastAsia="Verdana" w:hAnsi="Verdana"/>
                <w:sz w:val="18"/>
                <w:szCs w:val="18"/>
                <w:b w:val="1"/>
                <w:bCs w:val="1"/>
                <w:color w:val="auto"/>
              </w:rPr>
              <w:t>Net income</w:t>
            </w:r>
          </w:p>
        </w:tc>
        <w:tc>
          <w:tcPr>
            <w:tcW w:w="900" w:type="dxa"/>
            <w:vAlign w:val="bottom"/>
          </w:tcPr>
          <w:p>
            <w:pPr>
              <w:ind w:left="140"/>
              <w:spacing w:after="0"/>
              <w:rPr>
                <w:sz w:val="20"/>
                <w:szCs w:val="20"/>
                <w:color w:val="auto"/>
              </w:rPr>
            </w:pPr>
            <w:r>
              <w:rPr>
                <w:rFonts w:ascii="Verdana" w:cs="Verdana" w:eastAsia="Verdana" w:hAnsi="Verdana"/>
                <w:sz w:val="18"/>
                <w:szCs w:val="18"/>
                <w:color w:val="auto"/>
              </w:rPr>
              <w:t>[a]</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122,565</w:t>
            </w:r>
          </w:p>
        </w:tc>
        <w:tc>
          <w:tcPr>
            <w:tcW w:w="38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128,311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123,449</w:t>
            </w:r>
          </w:p>
        </w:tc>
      </w:tr>
      <w:tr>
        <w:trPr>
          <w:trHeight w:val="277"/>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9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r>
      <w:tr>
        <w:trPr>
          <w:trHeight w:val="263"/>
        </w:trPr>
        <w:tc>
          <w:tcPr>
            <w:tcW w:w="4840" w:type="dxa"/>
            <w:vAlign w:val="bottom"/>
          </w:tcPr>
          <w:p>
            <w:pPr>
              <w:ind w:left="180"/>
              <w:spacing w:after="0"/>
              <w:rPr>
                <w:sz w:val="20"/>
                <w:szCs w:val="20"/>
                <w:color w:val="auto"/>
              </w:rPr>
            </w:pPr>
            <w:r>
              <w:rPr>
                <w:rFonts w:ascii="Verdana" w:cs="Verdana" w:eastAsia="Verdana" w:hAnsi="Verdana"/>
                <w:sz w:val="18"/>
                <w:szCs w:val="18"/>
                <w:color w:val="auto"/>
              </w:rPr>
              <w:t>Acquisition expenses:</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48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Salaries, wages, and employee benefits</w:t>
            </w:r>
          </w:p>
        </w:tc>
        <w:tc>
          <w:tcPr>
            <w:tcW w:w="9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587</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7,347</w:t>
            </w:r>
          </w:p>
        </w:tc>
      </w:tr>
      <w:tr>
        <w:trPr>
          <w:trHeight w:val="263"/>
        </w:trPr>
        <w:tc>
          <w:tcPr>
            <w:tcW w:w="4840" w:type="dxa"/>
            <w:vAlign w:val="bottom"/>
          </w:tcPr>
          <w:p>
            <w:pPr>
              <w:ind w:left="360"/>
              <w:spacing w:after="0"/>
              <w:rPr>
                <w:sz w:val="20"/>
                <w:szCs w:val="20"/>
                <w:color w:val="auto"/>
              </w:rPr>
            </w:pPr>
            <w:r>
              <w:rPr>
                <w:rFonts w:ascii="Verdana" w:cs="Verdana" w:eastAsia="Verdana" w:hAnsi="Verdana"/>
                <w:sz w:val="18"/>
                <w:szCs w:val="18"/>
                <w:color w:val="auto"/>
              </w:rPr>
              <w:t>Data processing</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214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3,700</w:t>
            </w:r>
          </w:p>
        </w:tc>
      </w:tr>
      <w:tr>
        <w:trPr>
          <w:trHeight w:val="277"/>
        </w:trPr>
        <w:tc>
          <w:tcPr>
            <w:tcW w:w="48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Professional fees, occupancy, and other</w:t>
            </w:r>
          </w:p>
        </w:tc>
        <w:tc>
          <w:tcPr>
            <w:tcW w:w="9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357</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258</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2,599</w:t>
            </w:r>
          </w:p>
        </w:tc>
      </w:tr>
      <w:tr>
        <w:trPr>
          <w:trHeight w:val="263"/>
        </w:trPr>
        <w:tc>
          <w:tcPr>
            <w:tcW w:w="4840" w:type="dxa"/>
            <w:vAlign w:val="bottom"/>
          </w:tcPr>
          <w:p>
            <w:pPr>
              <w:ind w:left="180"/>
              <w:spacing w:after="0"/>
              <w:rPr>
                <w:sz w:val="20"/>
                <w:szCs w:val="20"/>
                <w:color w:val="auto"/>
              </w:rPr>
            </w:pPr>
            <w:r>
              <w:rPr>
                <w:rFonts w:ascii="Verdana" w:cs="Verdana" w:eastAsia="Verdana" w:hAnsi="Verdana"/>
                <w:sz w:val="18"/>
                <w:szCs w:val="18"/>
                <w:color w:val="auto"/>
              </w:rPr>
              <w:t>Other restructuring expenses:</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48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Salaries, wages, and employee benefits</w:t>
            </w:r>
          </w:p>
        </w:tc>
        <w:tc>
          <w:tcPr>
            <w:tcW w:w="9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3,760</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2,409</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472</w:t>
            </w:r>
          </w:p>
        </w:tc>
      </w:tr>
      <w:tr>
        <w:trPr>
          <w:trHeight w:val="263"/>
        </w:trPr>
        <w:tc>
          <w:tcPr>
            <w:tcW w:w="4840" w:type="dxa"/>
            <w:vAlign w:val="bottom"/>
          </w:tcPr>
          <w:p>
            <w:pPr>
              <w:ind w:left="360"/>
              <w:spacing w:after="0"/>
              <w:rPr>
                <w:sz w:val="20"/>
                <w:szCs w:val="20"/>
                <w:color w:val="auto"/>
              </w:rPr>
            </w:pPr>
            <w:r>
              <w:rPr>
                <w:rFonts w:ascii="Verdana" w:cs="Verdana" w:eastAsia="Verdana" w:hAnsi="Verdana"/>
                <w:sz w:val="18"/>
                <w:szCs w:val="18"/>
                <w:color w:val="auto"/>
              </w:rPr>
              <w:t>Loss on leases or fixed asset impairment</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986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3,227</w:t>
            </w:r>
          </w:p>
        </w:tc>
      </w:tr>
      <w:tr>
        <w:trPr>
          <w:trHeight w:val="277"/>
        </w:trPr>
        <w:tc>
          <w:tcPr>
            <w:tcW w:w="48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Professional fees, occupancy, and other</w:t>
            </w:r>
          </w:p>
        </w:tc>
        <w:tc>
          <w:tcPr>
            <w:tcW w:w="9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211</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83</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6</w:t>
            </w:r>
          </w:p>
        </w:tc>
      </w:tr>
      <w:tr>
        <w:trPr>
          <w:trHeight w:val="270"/>
        </w:trPr>
        <w:tc>
          <w:tcPr>
            <w:tcW w:w="4840" w:type="dxa"/>
            <w:vAlign w:val="bottom"/>
            <w:tcBorders>
              <w:bottom w:val="single" w:sz="8" w:color="E0E7ED"/>
            </w:tcBorders>
          </w:tcPr>
          <w:p>
            <w:pPr>
              <w:ind w:left="180"/>
              <w:spacing w:after="0" w:line="270" w:lineRule="exact"/>
              <w:rPr>
                <w:sz w:val="20"/>
                <w:szCs w:val="20"/>
                <w:color w:val="auto"/>
              </w:rPr>
            </w:pPr>
            <w:r>
              <w:rPr>
                <w:rFonts w:ascii="Verdana" w:cs="Verdana" w:eastAsia="Verdana" w:hAnsi="Verdana"/>
                <w:sz w:val="18"/>
                <w:szCs w:val="18"/>
                <w:color w:val="auto"/>
              </w:rPr>
              <w:t>Related tax benefit</w:t>
            </w:r>
            <w:r>
              <w:rPr>
                <w:rFonts w:ascii="Verdana" w:cs="Verdana" w:eastAsia="Verdana" w:hAnsi="Verdana"/>
                <w:sz w:val="23"/>
                <w:szCs w:val="23"/>
                <w:color w:val="auto"/>
                <w:vertAlign w:val="superscript"/>
              </w:rPr>
              <w:t>1</w:t>
            </w:r>
          </w:p>
        </w:tc>
        <w:tc>
          <w:tcPr>
            <w:tcW w:w="900" w:type="dxa"/>
            <w:vAlign w:val="bottom"/>
            <w:tcBorders>
              <w:bottom w:val="single" w:sz="8" w:color="E0E7E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(881)</w:t>
            </w:r>
          </w:p>
        </w:tc>
        <w:tc>
          <w:tcPr>
            <w:tcW w:w="80" w:type="dxa"/>
            <w:vAlign w:val="bottom"/>
            <w:tcBorders>
              <w:bottom w:val="single" w:sz="8" w:color="E0E7E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(938)</w:t>
            </w:r>
          </w:p>
        </w:tc>
        <w:tc>
          <w:tcPr>
            <w:tcW w:w="100" w:type="dxa"/>
            <w:vAlign w:val="bottom"/>
            <w:tcBorders>
              <w:bottom w:val="single" w:sz="8" w:color="E0E7E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(3,692)</w:t>
            </w:r>
          </w:p>
        </w:tc>
      </w:tr>
      <w:tr>
        <w:trPr>
          <w:trHeight w:val="284"/>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income</w:t>
            </w:r>
          </w:p>
        </w:tc>
        <w:tc>
          <w:tcPr>
            <w:tcW w:w="900" w:type="dxa"/>
            <w:vAlign w:val="bottom"/>
            <w:shd w:val="clear" w:color="auto" w:fill="E0E7ED"/>
          </w:tcPr>
          <w:p>
            <w:pPr>
              <w:ind w:left="140"/>
              <w:spacing w:after="0"/>
              <w:rPr>
                <w:sz w:val="20"/>
                <w:szCs w:val="20"/>
                <w:color w:val="auto"/>
              </w:rPr>
            </w:pPr>
            <w:r>
              <w:rPr>
                <w:rFonts w:ascii="Verdana" w:cs="Verdana" w:eastAsia="Verdana" w:hAnsi="Verdana"/>
                <w:sz w:val="18"/>
                <w:szCs w:val="18"/>
                <w:color w:val="auto"/>
              </w:rPr>
              <w:t>[b]</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126,012</w:t>
            </w:r>
          </w:p>
        </w:tc>
        <w:tc>
          <w:tcPr>
            <w:tcW w:w="3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131,910</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137,108</w:t>
            </w:r>
          </w:p>
        </w:tc>
      </w:tr>
      <w:tr>
        <w:trPr>
          <w:trHeight w:val="20"/>
        </w:trPr>
        <w:tc>
          <w:tcPr>
            <w:tcW w:w="484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70"/>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DILUTED EARNINGS PER SHARE</w:t>
            </w:r>
          </w:p>
        </w:tc>
        <w:tc>
          <w:tcPr>
            <w:tcW w:w="9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4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4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480" w:type="dxa"/>
            <w:vAlign w:val="bottom"/>
            <w:shd w:val="clear" w:color="auto" w:fill="E0E7ED"/>
          </w:tcPr>
          <w:p>
            <w:pPr>
              <w:spacing w:after="0"/>
              <w:rPr>
                <w:sz w:val="23"/>
                <w:szCs w:val="23"/>
                <w:color w:val="auto"/>
              </w:rPr>
            </w:pPr>
          </w:p>
        </w:tc>
      </w:tr>
      <w:tr>
        <w:trPr>
          <w:trHeight w:val="263"/>
        </w:trPr>
        <w:tc>
          <w:tcPr>
            <w:tcW w:w="4840" w:type="dxa"/>
            <w:vAlign w:val="bottom"/>
          </w:tcPr>
          <w:p>
            <w:pPr>
              <w:ind w:left="20"/>
              <w:spacing w:after="0"/>
              <w:rPr>
                <w:sz w:val="20"/>
                <w:szCs w:val="20"/>
                <w:color w:val="auto"/>
              </w:rPr>
            </w:pPr>
            <w:r>
              <w:rPr>
                <w:rFonts w:ascii="Verdana" w:cs="Verdana" w:eastAsia="Verdana" w:hAnsi="Verdana"/>
                <w:sz w:val="18"/>
                <w:szCs w:val="18"/>
                <w:color w:val="auto"/>
              </w:rPr>
              <w:t>Diluted average common shares outstanding</w:t>
            </w:r>
          </w:p>
        </w:tc>
        <w:tc>
          <w:tcPr>
            <w:tcW w:w="900" w:type="dxa"/>
            <w:vAlign w:val="bottom"/>
          </w:tcPr>
          <w:p>
            <w:pPr>
              <w:ind w:left="140"/>
              <w:spacing w:after="0"/>
              <w:rPr>
                <w:sz w:val="20"/>
                <w:szCs w:val="20"/>
                <w:color w:val="auto"/>
              </w:rPr>
            </w:pPr>
            <w:r>
              <w:rPr>
                <w:rFonts w:ascii="Verdana" w:cs="Verdana" w:eastAsia="Verdana" w:hAnsi="Verdana"/>
                <w:sz w:val="18"/>
                <w:szCs w:val="18"/>
                <w:color w:val="auto"/>
              </w:rPr>
              <w:t>[c]</w:t>
            </w:r>
          </w:p>
        </w:tc>
        <w:tc>
          <w:tcPr>
            <w:tcW w:w="3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56,256,148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56,137,164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56,008,805</w:t>
            </w:r>
          </w:p>
        </w:tc>
      </w:tr>
      <w:tr>
        <w:trPr>
          <w:trHeight w:val="277"/>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Diluted earnings per share</w:t>
            </w:r>
          </w:p>
        </w:tc>
        <w:tc>
          <w:tcPr>
            <w:tcW w:w="900" w:type="dxa"/>
            <w:vAlign w:val="bottom"/>
            <w:shd w:val="clear" w:color="auto" w:fill="E0E7ED"/>
          </w:tcPr>
          <w:p>
            <w:pPr>
              <w:ind w:left="140"/>
              <w:spacing w:after="0"/>
              <w:rPr>
                <w:sz w:val="20"/>
                <w:szCs w:val="20"/>
                <w:color w:val="auto"/>
              </w:rPr>
            </w:pPr>
            <w:r>
              <w:rPr>
                <w:rFonts w:ascii="Verdana" w:cs="Verdana" w:eastAsia="Verdana" w:hAnsi="Verdana"/>
                <w:sz w:val="18"/>
                <w:szCs w:val="18"/>
                <w:color w:val="auto"/>
              </w:rPr>
              <w:t>[a÷c]</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2.18</w:t>
            </w:r>
          </w:p>
        </w:tc>
        <w:tc>
          <w:tcPr>
            <w:tcW w:w="3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2.29</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2.20</w:t>
            </w:r>
          </w:p>
        </w:tc>
      </w:tr>
      <w:tr>
        <w:trPr>
          <w:trHeight w:val="263"/>
        </w:trPr>
        <w:tc>
          <w:tcPr>
            <w:tcW w:w="484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Diluted earnings per share</w:t>
            </w:r>
          </w:p>
        </w:tc>
        <w:tc>
          <w:tcPr>
            <w:tcW w:w="900" w:type="dxa"/>
            <w:vAlign w:val="bottom"/>
          </w:tcPr>
          <w:p>
            <w:pPr>
              <w:ind w:left="140"/>
              <w:spacing w:after="0"/>
              <w:rPr>
                <w:sz w:val="20"/>
                <w:szCs w:val="20"/>
                <w:color w:val="auto"/>
              </w:rPr>
            </w:pPr>
            <w:r>
              <w:rPr>
                <w:rFonts w:ascii="Verdana" w:cs="Verdana" w:eastAsia="Verdana" w:hAnsi="Verdana"/>
                <w:sz w:val="18"/>
                <w:szCs w:val="18"/>
                <w:color w:val="auto"/>
              </w:rPr>
              <w:t>[b÷c]</w:t>
            </w:r>
          </w:p>
        </w:tc>
        <w:tc>
          <w:tcPr>
            <w:tcW w:w="3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2.24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2.35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2.45</w:t>
            </w:r>
          </w:p>
        </w:tc>
      </w:tr>
      <w:tr>
        <w:trPr>
          <w:trHeight w:val="277"/>
        </w:trPr>
        <w:tc>
          <w:tcPr>
            <w:tcW w:w="4840" w:type="dxa"/>
            <w:vAlign w:val="bottom"/>
            <w:shd w:val="clear" w:color="auto" w:fill="E0E7ED"/>
          </w:tcPr>
          <w:p>
            <w:pPr>
              <w:spacing w:after="0"/>
              <w:rPr>
                <w:sz w:val="24"/>
                <w:szCs w:val="24"/>
                <w:color w:val="auto"/>
              </w:rPr>
            </w:pPr>
          </w:p>
        </w:tc>
        <w:tc>
          <w:tcPr>
            <w:tcW w:w="9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r>
      <w:tr>
        <w:trPr>
          <w:trHeight w:val="263"/>
        </w:trPr>
        <w:tc>
          <w:tcPr>
            <w:tcW w:w="4840" w:type="dxa"/>
            <w:vAlign w:val="bottom"/>
          </w:tcPr>
          <w:p>
            <w:pPr>
              <w:ind w:left="20"/>
              <w:spacing w:after="0"/>
              <w:rPr>
                <w:sz w:val="20"/>
                <w:szCs w:val="20"/>
                <w:color w:val="auto"/>
              </w:rPr>
            </w:pPr>
            <w:r>
              <w:rPr>
                <w:rFonts w:ascii="Verdana" w:cs="Verdana" w:eastAsia="Verdana" w:hAnsi="Verdana"/>
                <w:sz w:val="18"/>
                <w:szCs w:val="18"/>
                <w:b w:val="1"/>
                <w:bCs w:val="1"/>
                <w:color w:val="auto"/>
              </w:rPr>
              <w:t>RETURN ON AVERAGE ASSETS</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total assets</w:t>
            </w:r>
          </w:p>
        </w:tc>
        <w:tc>
          <w:tcPr>
            <w:tcW w:w="900" w:type="dxa"/>
            <w:vAlign w:val="bottom"/>
            <w:shd w:val="clear" w:color="auto" w:fill="E0E7ED"/>
          </w:tcPr>
          <w:p>
            <w:pPr>
              <w:ind w:left="140"/>
              <w:spacing w:after="0"/>
              <w:rPr>
                <w:sz w:val="20"/>
                <w:szCs w:val="20"/>
                <w:color w:val="auto"/>
              </w:rPr>
            </w:pPr>
            <w:r>
              <w:rPr>
                <w:rFonts w:ascii="Verdana" w:cs="Verdana" w:eastAsia="Verdana" w:hAnsi="Verdana"/>
                <w:sz w:val="18"/>
                <w:szCs w:val="18"/>
                <w:color w:val="auto"/>
              </w:rPr>
              <w:t>[d]</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12,246,218</w:t>
            </w:r>
          </w:p>
        </w:tc>
        <w:tc>
          <w:tcPr>
            <w:tcW w:w="3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12,492,948</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11,904,935</w:t>
            </w:r>
          </w:p>
        </w:tc>
      </w:tr>
      <w:tr>
        <w:trPr>
          <w:trHeight w:val="263"/>
        </w:trPr>
        <w:tc>
          <w:tcPr>
            <w:tcW w:w="484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Return on average assets</w:t>
            </w:r>
          </w:p>
        </w:tc>
        <w:tc>
          <w:tcPr>
            <w:tcW w:w="900" w:type="dxa"/>
            <w:vAlign w:val="bottom"/>
          </w:tcPr>
          <w:p>
            <w:pPr>
              <w:ind w:left="140"/>
              <w:spacing w:after="0"/>
              <w:rPr>
                <w:sz w:val="20"/>
                <w:szCs w:val="20"/>
                <w:color w:val="auto"/>
              </w:rPr>
            </w:pPr>
            <w:r>
              <w:rPr>
                <w:rFonts w:ascii="Verdana" w:cs="Verdana" w:eastAsia="Verdana" w:hAnsi="Verdana"/>
                <w:sz w:val="18"/>
                <w:szCs w:val="18"/>
                <w:color w:val="auto"/>
              </w:rPr>
              <w:t>[a÷d]</w:t>
            </w: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1.00 %</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1.03 %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1.04 %</w:t>
            </w:r>
          </w:p>
        </w:tc>
      </w:tr>
      <w:tr>
        <w:trPr>
          <w:trHeight w:val="277"/>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Return on average assets</w:t>
            </w:r>
          </w:p>
        </w:tc>
        <w:tc>
          <w:tcPr>
            <w:tcW w:w="900" w:type="dxa"/>
            <w:vAlign w:val="bottom"/>
            <w:shd w:val="clear" w:color="auto" w:fill="E0E7ED"/>
          </w:tcPr>
          <w:p>
            <w:pPr>
              <w:ind w:left="140"/>
              <w:spacing w:after="0"/>
              <w:rPr>
                <w:sz w:val="20"/>
                <w:szCs w:val="20"/>
                <w:color w:val="auto"/>
              </w:rPr>
            </w:pPr>
            <w:r>
              <w:rPr>
                <w:rFonts w:ascii="Verdana" w:cs="Verdana" w:eastAsia="Verdana" w:hAnsi="Verdana"/>
                <w:sz w:val="18"/>
                <w:szCs w:val="18"/>
                <w:color w:val="auto"/>
              </w:rPr>
              <w:t>[b÷d]</w:t>
            </w: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1.03 %</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1.06 %</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1.15 %</w:t>
            </w:r>
          </w:p>
        </w:tc>
      </w:tr>
      <w:tr>
        <w:trPr>
          <w:trHeight w:val="270"/>
        </w:trPr>
        <w:tc>
          <w:tcPr>
            <w:tcW w:w="4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8"/>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RETURN ON AVERAGE TANGIBLE COMMON</w:t>
            </w:r>
          </w:p>
        </w:tc>
        <w:tc>
          <w:tcPr>
            <w:tcW w:w="9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r>
      <w:tr>
        <w:trPr>
          <w:trHeight w:val="248"/>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EQUITY</w:t>
            </w:r>
          </w:p>
        </w:tc>
        <w:tc>
          <w:tcPr>
            <w:tcW w:w="9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r>
      <w:tr>
        <w:trPr>
          <w:trHeight w:val="263"/>
        </w:trPr>
        <w:tc>
          <w:tcPr>
            <w:tcW w:w="4840" w:type="dxa"/>
            <w:vAlign w:val="bottom"/>
          </w:tcPr>
          <w:p>
            <w:pPr>
              <w:ind w:left="20"/>
              <w:spacing w:after="0"/>
              <w:rPr>
                <w:sz w:val="20"/>
                <w:szCs w:val="20"/>
                <w:color w:val="auto"/>
              </w:rPr>
            </w:pPr>
            <w:r>
              <w:rPr>
                <w:rFonts w:ascii="Verdana" w:cs="Verdana" w:eastAsia="Verdana" w:hAnsi="Verdana"/>
                <w:sz w:val="18"/>
                <w:szCs w:val="18"/>
                <w:color w:val="auto"/>
              </w:rPr>
              <w:t>Average common equity</w:t>
            </w:r>
          </w:p>
        </w:tc>
        <w:tc>
          <w:tcPr>
            <w:tcW w:w="9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1,197,511</w:t>
            </w:r>
          </w:p>
        </w:tc>
        <w:tc>
          <w:tcPr>
            <w:tcW w:w="38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1,195,171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1,324,862</w:t>
            </w:r>
          </w:p>
        </w:tc>
      </w:tr>
      <w:tr>
        <w:trPr>
          <w:trHeight w:val="270"/>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Average goodwill and other intangible assets, net</w:t>
            </w:r>
          </w:p>
        </w:tc>
        <w:tc>
          <w:tcPr>
            <w:tcW w:w="9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(359,347)</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(370,424)</w:t>
            </w:r>
          </w:p>
        </w:tc>
        <w:tc>
          <w:tcPr>
            <w:tcW w:w="10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(372,593)</w:t>
            </w:r>
          </w:p>
        </w:tc>
      </w:tr>
      <w:tr>
        <w:trPr>
          <w:trHeight w:val="270"/>
        </w:trPr>
        <w:tc>
          <w:tcPr>
            <w:tcW w:w="4840" w:type="dxa"/>
            <w:vAlign w:val="bottom"/>
          </w:tcPr>
          <w:p>
            <w:pPr>
              <w:ind w:left="20"/>
              <w:spacing w:after="0"/>
              <w:rPr>
                <w:sz w:val="20"/>
                <w:szCs w:val="20"/>
                <w:color w:val="auto"/>
              </w:rPr>
            </w:pPr>
            <w:r>
              <w:rPr>
                <w:rFonts w:ascii="Verdana" w:cs="Verdana" w:eastAsia="Verdana" w:hAnsi="Verdana"/>
                <w:sz w:val="18"/>
                <w:szCs w:val="18"/>
                <w:color w:val="auto"/>
              </w:rPr>
              <w:t>Average tangible common equity</w:t>
            </w:r>
          </w:p>
        </w:tc>
        <w:tc>
          <w:tcPr>
            <w:tcW w:w="900" w:type="dxa"/>
            <w:vAlign w:val="bottom"/>
          </w:tcPr>
          <w:p>
            <w:pPr>
              <w:ind w:left="140"/>
              <w:spacing w:after="0"/>
              <w:rPr>
                <w:sz w:val="20"/>
                <w:szCs w:val="20"/>
                <w:color w:val="auto"/>
              </w:rPr>
            </w:pPr>
            <w:r>
              <w:rPr>
                <w:rFonts w:ascii="Verdana" w:cs="Verdana" w:eastAsia="Verdana" w:hAnsi="Verdana"/>
                <w:sz w:val="18"/>
                <w:szCs w:val="18"/>
                <w:color w:val="auto"/>
              </w:rPr>
              <w:t>[e]</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838,164</w:t>
            </w:r>
          </w:p>
        </w:tc>
        <w:tc>
          <w:tcPr>
            <w:tcW w:w="38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824,747</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952,269</w:t>
            </w:r>
          </w:p>
        </w:tc>
      </w:tr>
      <w:tr>
        <w:trPr>
          <w:trHeight w:val="20"/>
        </w:trPr>
        <w:tc>
          <w:tcPr>
            <w:tcW w:w="4840" w:type="dxa"/>
            <w:vAlign w:val="bottom"/>
            <w:tcBorders>
              <w:bottom w:val="single" w:sz="8" w:color="E0E7ED"/>
            </w:tcBorders>
          </w:tcPr>
          <w:p>
            <w:pPr>
              <w:spacing w:after="0" w:line="20" w:lineRule="exact"/>
              <w:rPr>
                <w:sz w:val="1"/>
                <w:szCs w:val="1"/>
                <w:color w:val="auto"/>
              </w:rPr>
            </w:pPr>
          </w:p>
        </w:tc>
        <w:tc>
          <w:tcPr>
            <w:tcW w:w="900" w:type="dxa"/>
            <w:vAlign w:val="bottom"/>
            <w:tcBorders>
              <w:bottom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840" w:type="dxa"/>
            <w:vAlign w:val="bottom"/>
            <w:shd w:val="clear" w:color="auto" w:fill="E0E7ED"/>
          </w:tcPr>
          <w:p>
            <w:pPr>
              <w:spacing w:after="0"/>
              <w:rPr>
                <w:sz w:val="20"/>
                <w:szCs w:val="20"/>
                <w:color w:val="auto"/>
              </w:rPr>
            </w:pPr>
          </w:p>
        </w:tc>
        <w:tc>
          <w:tcPr>
            <w:tcW w:w="9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r>
      <w:tr>
        <w:trPr>
          <w:trHeight w:val="238"/>
        </w:trPr>
        <w:tc>
          <w:tcPr>
            <w:tcW w:w="484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Return on average tangible common</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2"/>
        </w:trPr>
        <w:tc>
          <w:tcPr>
            <w:tcW w:w="4840" w:type="dxa"/>
            <w:vAlign w:val="bottom"/>
          </w:tcPr>
          <w:p>
            <w:pPr>
              <w:ind w:left="20"/>
              <w:spacing w:after="0"/>
              <w:rPr>
                <w:sz w:val="20"/>
                <w:szCs w:val="20"/>
                <w:color w:val="auto"/>
              </w:rPr>
            </w:pPr>
            <w:r>
              <w:rPr>
                <w:rFonts w:ascii="Verdana" w:cs="Verdana" w:eastAsia="Verdana" w:hAnsi="Verdana"/>
                <w:sz w:val="18"/>
                <w:szCs w:val="18"/>
                <w:color w:val="auto"/>
              </w:rPr>
              <w:t>equity</w:t>
            </w:r>
          </w:p>
        </w:tc>
        <w:tc>
          <w:tcPr>
            <w:tcW w:w="900" w:type="dxa"/>
            <w:vAlign w:val="bottom"/>
          </w:tcPr>
          <w:p>
            <w:pPr>
              <w:ind w:left="140"/>
              <w:spacing w:after="0"/>
              <w:rPr>
                <w:sz w:val="20"/>
                <w:szCs w:val="20"/>
                <w:color w:val="auto"/>
              </w:rPr>
            </w:pPr>
            <w:r>
              <w:rPr>
                <w:rFonts w:ascii="Verdana" w:cs="Verdana" w:eastAsia="Verdana" w:hAnsi="Verdana"/>
                <w:sz w:val="18"/>
                <w:szCs w:val="18"/>
                <w:color w:val="auto"/>
              </w:rPr>
              <w:t>[a÷e]</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14.62 %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15.56 %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12.96 %</w:t>
            </w:r>
          </w:p>
        </w:tc>
      </w:tr>
      <w:tr>
        <w:trPr>
          <w:trHeight w:val="244"/>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Return on average tangible common</w:t>
            </w:r>
          </w:p>
        </w:tc>
        <w:tc>
          <w:tcPr>
            <w:tcW w:w="9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r>
      <w:tr>
        <w:trPr>
          <w:trHeight w:val="248"/>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equity</w:t>
            </w:r>
          </w:p>
        </w:tc>
        <w:tc>
          <w:tcPr>
            <w:tcW w:w="900" w:type="dxa"/>
            <w:vAlign w:val="bottom"/>
            <w:shd w:val="clear" w:color="auto" w:fill="E0E7ED"/>
          </w:tcPr>
          <w:p>
            <w:pPr>
              <w:ind w:left="140"/>
              <w:spacing w:after="0"/>
              <w:rPr>
                <w:sz w:val="20"/>
                <w:szCs w:val="20"/>
                <w:color w:val="auto"/>
              </w:rPr>
            </w:pPr>
            <w:r>
              <w:rPr>
                <w:rFonts w:ascii="Verdana" w:cs="Verdana" w:eastAsia="Verdana" w:hAnsi="Verdana"/>
                <w:sz w:val="18"/>
                <w:szCs w:val="18"/>
                <w:color w:val="auto"/>
              </w:rPr>
              <w:t>[b÷e]</w:t>
            </w:r>
          </w:p>
        </w:tc>
        <w:tc>
          <w:tcPr>
            <w:tcW w:w="300" w:type="dxa"/>
            <w:vAlign w:val="bottom"/>
            <w:shd w:val="clear" w:color="auto" w:fill="E0E7ED"/>
          </w:tcPr>
          <w:p>
            <w:pPr>
              <w:spacing w:after="0"/>
              <w:rPr>
                <w:sz w:val="21"/>
                <w:szCs w:val="21"/>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15.03 %</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15.99 %</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14.40 %</w:t>
            </w: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right="140" w:hanging="330"/>
        <w:spacing w:after="0" w:line="207" w:lineRule="auto"/>
        <w:tabs>
          <w:tab w:leader="none" w:pos="491" w:val="left"/>
        </w:tabs>
        <w:numPr>
          <w:ilvl w:val="0"/>
          <w:numId w:val="15"/>
        </w:numPr>
        <w:rPr>
          <w:rFonts w:ascii="Verdana" w:cs="Verdana" w:eastAsia="Verdana" w:hAnsi="Verdana"/>
          <w:sz w:val="13"/>
          <w:szCs w:val="13"/>
          <w:color w:val="auto"/>
        </w:rPr>
      </w:pPr>
      <w:r>
        <w:rPr>
          <w:rFonts w:ascii="Verdana" w:cs="Verdana" w:eastAsia="Verdana" w:hAnsi="Verdana"/>
          <w:sz w:val="13"/>
          <w:szCs w:val="13"/>
          <w:color w:val="auto"/>
        </w:rPr>
        <w:t>Tax benefits were calculated by multiplying acquisition expenses and other restructuring expenses by the effective tax rates for each period. Effective tax rates used in this calculation were 20.4%, 20.7%, and 21.3% for the years ended December 31, 2023, 2022, and 2021, respectively.</w:t>
      </w:r>
    </w:p>
    <w:p>
      <w:pPr>
        <w:spacing w:after="0" w:line="3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8" w:name="page29"/>
    <w:bookmarkEnd w:id="2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xml:space="preserve">RECONCILIATION OF NON-GAAP FINANCIAL MEASURES </w:t>
      </w:r>
      <w:r>
        <w:rPr>
          <w:rFonts w:ascii="Verdana" w:cs="Verdana" w:eastAsia="Verdana" w:hAnsi="Verdana"/>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Adjusted Net Interest Income and Adjusted Net Interest Margin</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0"/>
              <w:spacing w:after="0"/>
              <w:rPr>
                <w:sz w:val="20"/>
                <w:szCs w:val="20"/>
                <w:color w:val="auto"/>
              </w:rPr>
            </w:pPr>
            <w:r>
              <w:rPr>
                <w:rFonts w:ascii="Verdana" w:cs="Verdana" w:eastAsia="Verdana" w:hAnsi="Verdana"/>
                <w:sz w:val="13"/>
                <w:szCs w:val="13"/>
                <w:b w:val="1"/>
                <w:bCs w:val="1"/>
                <w:color w:val="auto"/>
                <w:w w:val="97"/>
              </w:rPr>
              <w:t>Years Ended December 31,</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70"/>
        </w:trPr>
        <w:tc>
          <w:tcPr>
            <w:tcW w:w="4840" w:type="dxa"/>
            <w:vAlign w:val="bottom"/>
            <w:tcBorders>
              <w:bottom w:val="single" w:sz="8" w:color="E0E7ED"/>
            </w:tcBorders>
          </w:tcPr>
          <w:p>
            <w:pPr>
              <w:spacing w:after="0"/>
              <w:rPr>
                <w:sz w:val="14"/>
                <w:szCs w:val="14"/>
                <w:color w:val="auto"/>
              </w:rPr>
            </w:pPr>
          </w:p>
        </w:tc>
        <w:tc>
          <w:tcPr>
            <w:tcW w:w="9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4"/>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4"/>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4"/>
              <w:spacing w:after="0"/>
              <w:rPr>
                <w:sz w:val="20"/>
                <w:szCs w:val="20"/>
                <w:color w:val="auto"/>
              </w:rPr>
            </w:pPr>
            <w:r>
              <w:rPr>
                <w:rFonts w:ascii="Verdana" w:cs="Verdana" w:eastAsia="Verdana" w:hAnsi="Verdana"/>
                <w:sz w:val="13"/>
                <w:szCs w:val="13"/>
                <w:b w:val="1"/>
                <w:bCs w:val="1"/>
                <w:color w:val="auto"/>
              </w:rPr>
              <w:t>2021</w:t>
            </w:r>
          </w:p>
        </w:tc>
      </w:tr>
      <w:tr>
        <w:trPr>
          <w:trHeight w:val="269"/>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9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319,451</w:t>
            </w:r>
          </w:p>
        </w:tc>
        <w:tc>
          <w:tcPr>
            <w:tcW w:w="3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323,438</w:t>
            </w: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270,698</w:t>
            </w:r>
          </w:p>
        </w:tc>
      </w:tr>
      <w:tr>
        <w:trPr>
          <w:trHeight w:val="263"/>
        </w:trPr>
        <w:tc>
          <w:tcPr>
            <w:tcW w:w="484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4840" w:type="dxa"/>
            <w:vAlign w:val="bottom"/>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Tax-equivalent adjustment</w:t>
            </w:r>
            <w:r>
              <w:rPr>
                <w:rFonts w:ascii="Verdana" w:cs="Verdana" w:eastAsia="Verdana" w:hAnsi="Verdana"/>
                <w:sz w:val="23"/>
                <w:szCs w:val="23"/>
                <w:color w:val="auto"/>
                <w:vertAlign w:val="superscript"/>
              </w:rPr>
              <w:t>1</w:t>
            </w:r>
          </w:p>
        </w:tc>
        <w:tc>
          <w:tcPr>
            <w:tcW w:w="90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48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2,173</w:t>
            </w:r>
          </w:p>
        </w:tc>
        <w:tc>
          <w:tcPr>
            <w:tcW w:w="8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48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2,199</w:t>
            </w:r>
          </w:p>
        </w:tc>
        <w:tc>
          <w:tcPr>
            <w:tcW w:w="100" w:type="dxa"/>
            <w:vAlign w:val="bottom"/>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spacing w:after="0"/>
              <w:rPr>
                <w:sz w:val="24"/>
                <w:szCs w:val="24"/>
                <w:color w:val="auto"/>
              </w:rPr>
            </w:pPr>
          </w:p>
        </w:tc>
        <w:tc>
          <w:tcPr>
            <w:tcW w:w="148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2,355</w:t>
            </w:r>
          </w:p>
        </w:tc>
      </w:tr>
      <w:tr>
        <w:trPr>
          <w:trHeight w:val="257"/>
        </w:trPr>
        <w:tc>
          <w:tcPr>
            <w:tcW w:w="4840" w:type="dxa"/>
            <w:vAlign w:val="bottom"/>
          </w:tcPr>
          <w:p>
            <w:pPr>
              <w:ind w:left="180"/>
              <w:spacing w:after="0"/>
              <w:rPr>
                <w:sz w:val="20"/>
                <w:szCs w:val="20"/>
                <w:color w:val="auto"/>
              </w:rPr>
            </w:pPr>
            <w:r>
              <w:rPr>
                <w:rFonts w:ascii="Verdana" w:cs="Verdana" w:eastAsia="Verdana" w:hAnsi="Verdana"/>
                <w:sz w:val="18"/>
                <w:szCs w:val="18"/>
                <w:color w:val="auto"/>
              </w:rPr>
              <w:t>Tax-equivalent net interest income</w:t>
            </w:r>
          </w:p>
        </w:tc>
        <w:tc>
          <w:tcPr>
            <w:tcW w:w="900" w:type="dxa"/>
            <w:vAlign w:val="bottom"/>
          </w:tcPr>
          <w:p>
            <w:pPr>
              <w:ind w:left="140"/>
              <w:spacing w:after="0"/>
              <w:rPr>
                <w:sz w:val="20"/>
                <w:szCs w:val="20"/>
                <w:color w:val="auto"/>
              </w:rPr>
            </w:pPr>
            <w:r>
              <w:rPr>
                <w:rFonts w:ascii="Verdana" w:cs="Verdana" w:eastAsia="Verdana" w:hAnsi="Verdana"/>
                <w:sz w:val="18"/>
                <w:szCs w:val="18"/>
                <w:color w:val="auto"/>
              </w:rPr>
              <w:t>[a]</w:t>
            </w:r>
          </w:p>
        </w:tc>
        <w:tc>
          <w:tcPr>
            <w:tcW w:w="300" w:type="dxa"/>
            <w:vAlign w:val="bottom"/>
          </w:tcPr>
          <w:p>
            <w:pPr>
              <w:spacing w:after="0"/>
              <w:rPr>
                <w:sz w:val="22"/>
                <w:szCs w:val="22"/>
                <w:color w:val="auto"/>
              </w:rPr>
            </w:pPr>
          </w:p>
        </w:tc>
        <w:tc>
          <w:tcPr>
            <w:tcW w:w="1480" w:type="dxa"/>
            <w:vAlign w:val="bottom"/>
          </w:tcPr>
          <w:p>
            <w:pPr>
              <w:jc w:val="right"/>
              <w:ind w:right="194"/>
              <w:spacing w:after="0"/>
              <w:rPr>
                <w:sz w:val="20"/>
                <w:szCs w:val="20"/>
                <w:color w:val="auto"/>
              </w:rPr>
            </w:pPr>
            <w:r>
              <w:rPr>
                <w:rFonts w:ascii="Verdana" w:cs="Verdana" w:eastAsia="Verdana" w:hAnsi="Verdana"/>
                <w:sz w:val="18"/>
                <w:szCs w:val="18"/>
                <w:color w:val="auto"/>
              </w:rPr>
              <w:t>321,624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4"/>
              <w:spacing w:after="0"/>
              <w:rPr>
                <w:sz w:val="20"/>
                <w:szCs w:val="20"/>
                <w:color w:val="auto"/>
              </w:rPr>
            </w:pPr>
            <w:r>
              <w:rPr>
                <w:rFonts w:ascii="Verdana" w:cs="Verdana" w:eastAsia="Verdana" w:hAnsi="Verdana"/>
                <w:sz w:val="18"/>
                <w:szCs w:val="18"/>
                <w:color w:val="auto"/>
              </w:rPr>
              <w:t>325,637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194"/>
              <w:spacing w:after="0"/>
              <w:rPr>
                <w:sz w:val="20"/>
                <w:szCs w:val="20"/>
                <w:color w:val="auto"/>
              </w:rPr>
            </w:pPr>
            <w:r>
              <w:rPr>
                <w:rFonts w:ascii="Verdana" w:cs="Verdana" w:eastAsia="Verdana" w:hAnsi="Verdana"/>
                <w:sz w:val="18"/>
                <w:szCs w:val="18"/>
                <w:color w:val="auto"/>
              </w:rPr>
              <w:t>273,053</w:t>
            </w:r>
          </w:p>
        </w:tc>
      </w:tr>
      <w:tr>
        <w:trPr>
          <w:trHeight w:val="244"/>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Purchase accounting accretion related to business</w:t>
            </w:r>
          </w:p>
        </w:tc>
        <w:tc>
          <w:tcPr>
            <w:tcW w:w="9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r>
      <w:tr>
        <w:trPr>
          <w:trHeight w:val="242"/>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combinations</w:t>
            </w:r>
          </w:p>
        </w:tc>
        <w:tc>
          <w:tcPr>
            <w:tcW w:w="9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480" w:type="dxa"/>
            <w:vAlign w:val="bottom"/>
            <w:tcBorders>
              <w:bottom w:val="single" w:sz="8" w:color="auto"/>
            </w:tcBorders>
            <w:shd w:val="clear" w:color="auto" w:fill="E0E7ED"/>
          </w:tcPr>
          <w:p>
            <w:pPr>
              <w:jc w:val="right"/>
              <w:ind w:right="134"/>
              <w:spacing w:after="0"/>
              <w:rPr>
                <w:sz w:val="20"/>
                <w:szCs w:val="20"/>
                <w:color w:val="auto"/>
              </w:rPr>
            </w:pPr>
            <w:r>
              <w:rPr>
                <w:rFonts w:ascii="Verdana" w:cs="Verdana" w:eastAsia="Verdana" w:hAnsi="Verdana"/>
                <w:sz w:val="18"/>
                <w:szCs w:val="18"/>
                <w:color w:val="auto"/>
              </w:rPr>
              <w:t>(1,477)</w:t>
            </w:r>
          </w:p>
        </w:tc>
        <w:tc>
          <w:tcPr>
            <w:tcW w:w="8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480" w:type="dxa"/>
            <w:vAlign w:val="bottom"/>
            <w:tcBorders>
              <w:bottom w:val="single" w:sz="8" w:color="auto"/>
            </w:tcBorders>
            <w:shd w:val="clear" w:color="auto" w:fill="E0E7ED"/>
          </w:tcPr>
          <w:p>
            <w:pPr>
              <w:jc w:val="right"/>
              <w:ind w:right="134"/>
              <w:spacing w:after="0"/>
              <w:rPr>
                <w:sz w:val="20"/>
                <w:szCs w:val="20"/>
                <w:color w:val="auto"/>
              </w:rPr>
            </w:pPr>
            <w:r>
              <w:rPr>
                <w:rFonts w:ascii="Verdana" w:cs="Verdana" w:eastAsia="Verdana" w:hAnsi="Verdana"/>
                <w:sz w:val="18"/>
                <w:szCs w:val="18"/>
                <w:color w:val="auto"/>
              </w:rPr>
              <w:t>(3,134)</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480" w:type="dxa"/>
            <w:vAlign w:val="bottom"/>
            <w:tcBorders>
              <w:bottom w:val="single" w:sz="8" w:color="auto"/>
            </w:tcBorders>
            <w:shd w:val="clear" w:color="auto" w:fill="E0E7ED"/>
          </w:tcPr>
          <w:p>
            <w:pPr>
              <w:jc w:val="right"/>
              <w:ind w:right="134"/>
              <w:spacing w:after="0"/>
              <w:rPr>
                <w:sz w:val="20"/>
                <w:szCs w:val="20"/>
                <w:color w:val="auto"/>
              </w:rPr>
            </w:pPr>
            <w:r>
              <w:rPr>
                <w:rFonts w:ascii="Verdana" w:cs="Verdana" w:eastAsia="Verdana" w:hAnsi="Verdana"/>
                <w:sz w:val="18"/>
                <w:szCs w:val="18"/>
                <w:color w:val="auto"/>
              </w:rPr>
              <w:t>(7,151)</w:t>
            </w:r>
          </w:p>
        </w:tc>
      </w:tr>
      <w:tr>
        <w:trPr>
          <w:trHeight w:val="270"/>
        </w:trPr>
        <w:tc>
          <w:tcPr>
            <w:tcW w:w="4840" w:type="dxa"/>
            <w:vAlign w:val="bottom"/>
          </w:tcPr>
          <w:p>
            <w:pPr>
              <w:ind w:left="20"/>
              <w:spacing w:after="0"/>
              <w:rPr>
                <w:sz w:val="20"/>
                <w:szCs w:val="20"/>
                <w:color w:val="auto"/>
              </w:rPr>
            </w:pPr>
            <w:r>
              <w:rPr>
                <w:rFonts w:ascii="Verdana" w:cs="Verdana" w:eastAsia="Verdana" w:hAnsi="Verdana"/>
                <w:sz w:val="18"/>
                <w:szCs w:val="18"/>
                <w:color w:val="auto"/>
              </w:rPr>
              <w:t>Adjusted net interest income</w:t>
            </w:r>
          </w:p>
        </w:tc>
        <w:tc>
          <w:tcPr>
            <w:tcW w:w="900" w:type="dxa"/>
            <w:vAlign w:val="bottom"/>
          </w:tcPr>
          <w:p>
            <w:pPr>
              <w:ind w:left="140"/>
              <w:spacing w:after="0"/>
              <w:rPr>
                <w:sz w:val="20"/>
                <w:szCs w:val="20"/>
                <w:color w:val="auto"/>
              </w:rPr>
            </w:pPr>
            <w:r>
              <w:rPr>
                <w:rFonts w:ascii="Verdana" w:cs="Verdana" w:eastAsia="Verdana" w:hAnsi="Verdana"/>
                <w:sz w:val="18"/>
                <w:szCs w:val="18"/>
                <w:color w:val="auto"/>
              </w:rPr>
              <w:t>[b]</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4"/>
              <w:spacing w:after="0"/>
              <w:rPr>
                <w:sz w:val="20"/>
                <w:szCs w:val="20"/>
                <w:color w:val="auto"/>
              </w:rPr>
            </w:pPr>
            <w:r>
              <w:rPr>
                <w:rFonts w:ascii="Verdana" w:cs="Verdana" w:eastAsia="Verdana" w:hAnsi="Verdana"/>
                <w:sz w:val="18"/>
                <w:szCs w:val="18"/>
                <w:color w:val="auto"/>
              </w:rPr>
              <w:t>320,147</w:t>
            </w:r>
          </w:p>
        </w:tc>
        <w:tc>
          <w:tcPr>
            <w:tcW w:w="38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4"/>
              <w:spacing w:after="0"/>
              <w:rPr>
                <w:sz w:val="20"/>
                <w:szCs w:val="20"/>
                <w:color w:val="auto"/>
              </w:rPr>
            </w:pPr>
            <w:r>
              <w:rPr>
                <w:rFonts w:ascii="Verdana" w:cs="Verdana" w:eastAsia="Verdana" w:hAnsi="Verdana"/>
                <w:sz w:val="18"/>
                <w:szCs w:val="18"/>
                <w:color w:val="auto"/>
              </w:rPr>
              <w:t>322,503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tcPr>
          <w:p>
            <w:pPr>
              <w:jc w:val="right"/>
              <w:ind w:right="194"/>
              <w:spacing w:after="0"/>
              <w:rPr>
                <w:sz w:val="20"/>
                <w:szCs w:val="20"/>
                <w:color w:val="auto"/>
              </w:rPr>
            </w:pPr>
            <w:r>
              <w:rPr>
                <w:rFonts w:ascii="Verdana" w:cs="Verdana" w:eastAsia="Verdana" w:hAnsi="Verdana"/>
                <w:sz w:val="18"/>
                <w:szCs w:val="18"/>
                <w:color w:val="auto"/>
              </w:rPr>
              <w:t>265,902</w:t>
            </w:r>
          </w:p>
        </w:tc>
      </w:tr>
      <w:tr>
        <w:trPr>
          <w:trHeight w:val="20"/>
        </w:trPr>
        <w:tc>
          <w:tcPr>
            <w:tcW w:w="4840" w:type="dxa"/>
            <w:vAlign w:val="bottom"/>
            <w:tcBorders>
              <w:bottom w:val="single" w:sz="8" w:color="E0E7ED"/>
            </w:tcBorders>
          </w:tcPr>
          <w:p>
            <w:pPr>
              <w:spacing w:after="0" w:line="20" w:lineRule="exact"/>
              <w:rPr>
                <w:sz w:val="1"/>
                <w:szCs w:val="1"/>
                <w:color w:val="auto"/>
              </w:rPr>
            </w:pPr>
          </w:p>
        </w:tc>
        <w:tc>
          <w:tcPr>
            <w:tcW w:w="900" w:type="dxa"/>
            <w:vAlign w:val="bottom"/>
            <w:tcBorders>
              <w:bottom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840" w:type="dxa"/>
            <w:vAlign w:val="bottom"/>
            <w:shd w:val="clear" w:color="auto" w:fill="E0E7ED"/>
          </w:tcPr>
          <w:p>
            <w:pPr>
              <w:spacing w:after="0"/>
              <w:rPr>
                <w:sz w:val="20"/>
                <w:szCs w:val="20"/>
                <w:color w:val="auto"/>
              </w:rPr>
            </w:pPr>
          </w:p>
        </w:tc>
        <w:tc>
          <w:tcPr>
            <w:tcW w:w="9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r>
      <w:tr>
        <w:trPr>
          <w:trHeight w:val="263"/>
        </w:trPr>
        <w:tc>
          <w:tcPr>
            <w:tcW w:w="4840" w:type="dxa"/>
            <w:vAlign w:val="bottom"/>
          </w:tcPr>
          <w:p>
            <w:pPr>
              <w:ind w:left="20"/>
              <w:spacing w:after="0"/>
              <w:rPr>
                <w:sz w:val="20"/>
                <w:szCs w:val="20"/>
                <w:color w:val="auto"/>
              </w:rPr>
            </w:pPr>
            <w:r>
              <w:rPr>
                <w:rFonts w:ascii="Verdana" w:cs="Verdana" w:eastAsia="Verdana" w:hAnsi="Verdana"/>
                <w:sz w:val="18"/>
                <w:szCs w:val="18"/>
                <w:color w:val="auto"/>
              </w:rPr>
              <w:t>Average interest-earning assets</w:t>
            </w:r>
          </w:p>
        </w:tc>
        <w:tc>
          <w:tcPr>
            <w:tcW w:w="900" w:type="dxa"/>
            <w:vAlign w:val="bottom"/>
          </w:tcPr>
          <w:p>
            <w:pPr>
              <w:ind w:left="140"/>
              <w:spacing w:after="0"/>
              <w:rPr>
                <w:sz w:val="20"/>
                <w:szCs w:val="20"/>
                <w:color w:val="auto"/>
              </w:rPr>
            </w:pPr>
            <w:r>
              <w:rPr>
                <w:rFonts w:ascii="Verdana" w:cs="Verdana" w:eastAsia="Verdana" w:hAnsi="Verdana"/>
                <w:sz w:val="18"/>
                <w:szCs w:val="18"/>
                <w:color w:val="auto"/>
              </w:rPr>
              <w:t>[c]</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4"/>
              <w:spacing w:after="0"/>
              <w:rPr>
                <w:sz w:val="20"/>
                <w:szCs w:val="20"/>
                <w:color w:val="auto"/>
              </w:rPr>
            </w:pPr>
            <w:r>
              <w:rPr>
                <w:rFonts w:ascii="Verdana" w:cs="Verdana" w:eastAsia="Verdana" w:hAnsi="Verdana"/>
                <w:sz w:val="18"/>
                <w:szCs w:val="18"/>
                <w:color w:val="auto"/>
              </w:rPr>
              <w:t>11,164,594</w:t>
            </w:r>
          </w:p>
        </w:tc>
        <w:tc>
          <w:tcPr>
            <w:tcW w:w="38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4"/>
              <w:spacing w:after="0"/>
              <w:rPr>
                <w:sz w:val="20"/>
                <w:szCs w:val="20"/>
                <w:color w:val="auto"/>
              </w:rPr>
            </w:pPr>
            <w:r>
              <w:rPr>
                <w:rFonts w:ascii="Verdana" w:cs="Verdana" w:eastAsia="Verdana" w:hAnsi="Verdana"/>
                <w:sz w:val="18"/>
                <w:szCs w:val="18"/>
                <w:color w:val="auto"/>
              </w:rPr>
              <w:t>11,473,063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tcPr>
          <w:p>
            <w:pPr>
              <w:jc w:val="right"/>
              <w:ind w:right="194"/>
              <w:spacing w:after="0"/>
              <w:rPr>
                <w:sz w:val="20"/>
                <w:szCs w:val="20"/>
                <w:color w:val="auto"/>
              </w:rPr>
            </w:pPr>
            <w:r>
              <w:rPr>
                <w:rFonts w:ascii="Verdana" w:cs="Verdana" w:eastAsia="Verdana" w:hAnsi="Verdana"/>
                <w:sz w:val="18"/>
                <w:szCs w:val="18"/>
                <w:color w:val="auto"/>
              </w:rPr>
              <w:t>10,978,116</w:t>
            </w:r>
          </w:p>
        </w:tc>
      </w:tr>
      <w:tr>
        <w:trPr>
          <w:trHeight w:val="277"/>
        </w:trPr>
        <w:tc>
          <w:tcPr>
            <w:tcW w:w="4840" w:type="dxa"/>
            <w:vAlign w:val="bottom"/>
            <w:shd w:val="clear" w:color="auto" w:fill="E0E7ED"/>
          </w:tcPr>
          <w:p>
            <w:pPr>
              <w:spacing w:after="0"/>
              <w:rPr>
                <w:sz w:val="24"/>
                <w:szCs w:val="24"/>
                <w:color w:val="auto"/>
              </w:rPr>
            </w:pPr>
          </w:p>
        </w:tc>
        <w:tc>
          <w:tcPr>
            <w:tcW w:w="9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92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Net interest margin</w:t>
            </w:r>
          </w:p>
        </w:tc>
        <w:tc>
          <w:tcPr>
            <w:tcW w:w="2240" w:type="dxa"/>
            <w:vAlign w:val="bottom"/>
          </w:tcPr>
          <w:p>
            <w:pPr>
              <w:ind w:left="1060"/>
              <w:spacing w:after="0"/>
              <w:rPr>
                <w:sz w:val="20"/>
                <w:szCs w:val="20"/>
                <w:color w:val="auto"/>
              </w:rPr>
            </w:pPr>
            <w:r>
              <w:rPr>
                <w:rFonts w:ascii="Verdana" w:cs="Verdana" w:eastAsia="Verdana" w:hAnsi="Verdana"/>
                <w:sz w:val="18"/>
                <w:szCs w:val="18"/>
                <w:color w:val="auto"/>
              </w:rPr>
              <w:t>[a÷c]</w:t>
            </w:r>
          </w:p>
        </w:tc>
        <w:tc>
          <w:tcPr>
            <w:tcW w:w="1940" w:type="dxa"/>
            <w:vAlign w:val="bottom"/>
          </w:tcPr>
          <w:p>
            <w:pPr>
              <w:jc w:val="right"/>
              <w:ind w:right="510"/>
              <w:spacing w:after="0"/>
              <w:rPr>
                <w:sz w:val="20"/>
                <w:szCs w:val="20"/>
                <w:color w:val="auto"/>
              </w:rPr>
            </w:pPr>
            <w:r>
              <w:rPr>
                <w:rFonts w:ascii="Verdana" w:cs="Verdana" w:eastAsia="Verdana" w:hAnsi="Verdana"/>
                <w:sz w:val="18"/>
                <w:szCs w:val="18"/>
                <w:color w:val="auto"/>
              </w:rPr>
              <w:t>2.88 %</w:t>
            </w:r>
          </w:p>
        </w:tc>
        <w:tc>
          <w:tcPr>
            <w:tcW w:w="1860" w:type="dxa"/>
            <w:vAlign w:val="bottom"/>
          </w:tcPr>
          <w:p>
            <w:pPr>
              <w:jc w:val="right"/>
              <w:ind w:right="510"/>
              <w:spacing w:after="0"/>
              <w:rPr>
                <w:sz w:val="20"/>
                <w:szCs w:val="20"/>
                <w:color w:val="auto"/>
              </w:rPr>
            </w:pPr>
            <w:r>
              <w:rPr>
                <w:rFonts w:ascii="Verdana" w:cs="Verdana" w:eastAsia="Verdana" w:hAnsi="Verdana"/>
                <w:sz w:val="18"/>
                <w:szCs w:val="18"/>
                <w:color w:val="auto"/>
              </w:rPr>
              <w:t>2.84 %</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2.49 %</w:t>
            </w:r>
          </w:p>
        </w:tc>
      </w:tr>
      <w:tr>
        <w:trPr>
          <w:trHeight w:val="277"/>
        </w:trPr>
        <w:tc>
          <w:tcPr>
            <w:tcW w:w="39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Net interest margin</w:t>
            </w:r>
          </w:p>
        </w:tc>
        <w:tc>
          <w:tcPr>
            <w:tcW w:w="2240" w:type="dxa"/>
            <w:vAlign w:val="bottom"/>
            <w:shd w:val="clear" w:color="auto" w:fill="E0E7ED"/>
          </w:tcPr>
          <w:p>
            <w:pPr>
              <w:ind w:left="1060"/>
              <w:spacing w:after="0"/>
              <w:rPr>
                <w:sz w:val="20"/>
                <w:szCs w:val="20"/>
                <w:color w:val="auto"/>
              </w:rPr>
            </w:pPr>
            <w:r>
              <w:rPr>
                <w:rFonts w:ascii="Verdana" w:cs="Verdana" w:eastAsia="Verdana" w:hAnsi="Verdana"/>
                <w:sz w:val="18"/>
                <w:szCs w:val="18"/>
                <w:color w:val="auto"/>
              </w:rPr>
              <w:t>[b÷c]</w:t>
            </w:r>
          </w:p>
        </w:tc>
        <w:tc>
          <w:tcPr>
            <w:tcW w:w="1940" w:type="dxa"/>
            <w:vAlign w:val="bottom"/>
            <w:shd w:val="clear" w:color="auto" w:fill="E0E7ED"/>
          </w:tcPr>
          <w:p>
            <w:pPr>
              <w:jc w:val="right"/>
              <w:ind w:right="510"/>
              <w:spacing w:after="0"/>
              <w:rPr>
                <w:sz w:val="20"/>
                <w:szCs w:val="20"/>
                <w:color w:val="auto"/>
              </w:rPr>
            </w:pPr>
            <w:r>
              <w:rPr>
                <w:rFonts w:ascii="Verdana" w:cs="Verdana" w:eastAsia="Verdana" w:hAnsi="Verdana"/>
                <w:sz w:val="18"/>
                <w:szCs w:val="18"/>
                <w:color w:val="auto"/>
              </w:rPr>
              <w:t>2.87 %</w:t>
            </w:r>
          </w:p>
        </w:tc>
        <w:tc>
          <w:tcPr>
            <w:tcW w:w="1860" w:type="dxa"/>
            <w:vAlign w:val="bottom"/>
            <w:shd w:val="clear" w:color="auto" w:fill="E0E7ED"/>
          </w:tcPr>
          <w:p>
            <w:pPr>
              <w:jc w:val="right"/>
              <w:ind w:right="510"/>
              <w:spacing w:after="0"/>
              <w:rPr>
                <w:sz w:val="20"/>
                <w:szCs w:val="20"/>
                <w:color w:val="auto"/>
              </w:rPr>
            </w:pPr>
            <w:r>
              <w:rPr>
                <w:rFonts w:ascii="Verdana" w:cs="Verdana" w:eastAsia="Verdana" w:hAnsi="Verdana"/>
                <w:sz w:val="18"/>
                <w:szCs w:val="18"/>
                <w:color w:val="auto"/>
              </w:rPr>
              <w:t>2.81 %</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2.42 %</w:t>
            </w: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16"/>
        </w:numPr>
        <w:rPr>
          <w:rFonts w:ascii="Verdana" w:cs="Verdana" w:eastAsia="Verdana" w:hAnsi="Verdana"/>
          <w:sz w:val="13"/>
          <w:szCs w:val="13"/>
          <w:color w:val="auto"/>
        </w:rPr>
      </w:pPr>
      <w:r>
        <w:rPr>
          <w:rFonts w:ascii="Verdana" w:cs="Verdana" w:eastAsia="Verdana" w:hAnsi="Verdana"/>
          <w:sz w:val="13"/>
          <w:szCs w:val="13"/>
          <w:color w:val="auto"/>
        </w:rPr>
        <w:t>Tax-equivalent adjustments were calculated using an estimated federal income tax rate of 21%, applied to non-taxable interest income on investments and loans.</w:t>
      </w:r>
    </w:p>
    <w:p>
      <w:pPr>
        <w:spacing w:after="0" w:line="3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9" w:name="page30"/>
    <w:bookmarkEnd w:id="2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xml:space="preserve">RECONCILIATION OF NON-GAAP FINANCIAL MEASURES </w:t>
      </w:r>
      <w:r>
        <w:rPr>
          <w:rFonts w:ascii="Verdana" w:cs="Verdana" w:eastAsia="Verdana" w:hAnsi="Verdana"/>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340" w:right="680"/>
        <w:spacing w:after="0" w:line="236" w:lineRule="auto"/>
        <w:rPr>
          <w:sz w:val="20"/>
          <w:szCs w:val="20"/>
          <w:color w:val="auto"/>
        </w:rPr>
      </w:pPr>
      <w:r>
        <w:rPr>
          <w:rFonts w:ascii="Verdana" w:cs="Verdana" w:eastAsia="Verdana" w:hAnsi="Verdana"/>
          <w:sz w:val="18"/>
          <w:szCs w:val="18"/>
          <w:b w:val="1"/>
          <w:bCs w:val="1"/>
          <w:color w:val="auto"/>
        </w:rPr>
        <w:t>Noninterest Expense Excluding Amortization of Intangible Assets, Adjusted Noninterest Expense, Adjusted Core Expense, Noninterest Expense Excluding Non-operating Adjustments,</w:t>
      </w:r>
    </w:p>
    <w:p>
      <w:pPr>
        <w:spacing w:after="0" w:line="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Efficiency Ratio, Adjusted Efficiency Ratio, and Adjusted Core Efficiency Ratio</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spacing w:after="0"/>
              <w:rPr>
                <w:sz w:val="20"/>
                <w:szCs w:val="20"/>
                <w:color w:val="auto"/>
              </w:rPr>
            </w:pPr>
            <w:r>
              <w:rPr>
                <w:rFonts w:ascii="Verdana" w:cs="Verdana" w:eastAsia="Verdana" w:hAnsi="Verdana"/>
                <w:sz w:val="13"/>
                <w:szCs w:val="13"/>
                <w:b w:val="1"/>
                <w:bCs w:val="1"/>
                <w:color w:val="auto"/>
                <w:w w:val="95"/>
              </w:rPr>
              <w:t>Years Ended December 31,</w:t>
            </w: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70"/>
        </w:trPr>
        <w:tc>
          <w:tcPr>
            <w:tcW w:w="5020" w:type="dxa"/>
            <w:vAlign w:val="bottom"/>
            <w:tcBorders>
              <w:bottom w:val="single" w:sz="8" w:color="E0E7ED"/>
            </w:tcBorders>
          </w:tcPr>
          <w:p>
            <w:pPr>
              <w:spacing w:after="0"/>
              <w:rPr>
                <w:sz w:val="14"/>
                <w:szCs w:val="14"/>
                <w:color w:val="auto"/>
              </w:rPr>
            </w:pPr>
          </w:p>
        </w:tc>
        <w:tc>
          <w:tcPr>
            <w:tcW w:w="88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1"/>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1"/>
              <w:spacing w:after="0"/>
              <w:rPr>
                <w:sz w:val="20"/>
                <w:szCs w:val="20"/>
                <w:color w:val="auto"/>
              </w:rPr>
            </w:pPr>
            <w:r>
              <w:rPr>
                <w:rFonts w:ascii="Verdana" w:cs="Verdana" w:eastAsia="Verdana" w:hAnsi="Verdana"/>
                <w:sz w:val="13"/>
                <w:szCs w:val="13"/>
                <w:b w:val="1"/>
                <w:bCs w:val="1"/>
                <w:color w:val="auto"/>
              </w:rPr>
              <w:t>2022</w:t>
            </w:r>
          </w:p>
        </w:tc>
        <w:tc>
          <w:tcPr>
            <w:tcW w:w="8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1"/>
              <w:spacing w:after="0"/>
              <w:rPr>
                <w:sz w:val="20"/>
                <w:szCs w:val="20"/>
                <w:color w:val="auto"/>
              </w:rPr>
            </w:pPr>
            <w:r>
              <w:rPr>
                <w:rFonts w:ascii="Verdana" w:cs="Verdana" w:eastAsia="Verdana" w:hAnsi="Verdana"/>
                <w:sz w:val="13"/>
                <w:szCs w:val="13"/>
                <w:b w:val="1"/>
                <w:bCs w:val="1"/>
                <w:color w:val="auto"/>
              </w:rPr>
              <w:t>2021</w:t>
            </w:r>
          </w:p>
        </w:tc>
      </w:tr>
      <w:tr>
        <w:trPr>
          <w:trHeight w:val="269"/>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880" w:type="dxa"/>
            <w:vAlign w:val="bottom"/>
            <w:shd w:val="clear" w:color="auto" w:fill="E0E7ED"/>
          </w:tcPr>
          <w:p>
            <w:pPr>
              <w:spacing w:after="0"/>
              <w:rPr>
                <w:sz w:val="23"/>
                <w:szCs w:val="23"/>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319,451</w:t>
            </w:r>
          </w:p>
        </w:tc>
        <w:tc>
          <w:tcPr>
            <w:tcW w:w="500" w:type="dxa"/>
            <w:vAlign w:val="bottom"/>
            <w:gridSpan w:val="2"/>
            <w:shd w:val="clear" w:color="auto" w:fill="E0E7ED"/>
          </w:tcPr>
          <w:p>
            <w:pPr>
              <w:jc w:val="right"/>
              <w:ind w:right="28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323,438</w:t>
            </w: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270,698</w:t>
            </w:r>
          </w:p>
        </w:tc>
      </w:tr>
      <w:tr>
        <w:trPr>
          <w:trHeight w:val="263"/>
        </w:trPr>
        <w:tc>
          <w:tcPr>
            <w:tcW w:w="502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5020" w:type="dxa"/>
            <w:vAlign w:val="bottom"/>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Tax-equivalent adjustment</w:t>
            </w:r>
            <w:r>
              <w:rPr>
                <w:rFonts w:ascii="Verdana" w:cs="Verdana" w:eastAsia="Verdana" w:hAnsi="Verdana"/>
                <w:sz w:val="23"/>
                <w:szCs w:val="23"/>
                <w:color w:val="auto"/>
                <w:vertAlign w:val="superscript"/>
              </w:rPr>
              <w:t>1</w:t>
            </w:r>
          </w:p>
        </w:tc>
        <w:tc>
          <w:tcPr>
            <w:tcW w:w="880" w:type="dxa"/>
            <w:vAlign w:val="bottom"/>
            <w:shd w:val="clear" w:color="auto" w:fill="E0E7ED"/>
          </w:tcPr>
          <w:p>
            <w:pPr>
              <w:spacing w:after="0"/>
              <w:rPr>
                <w:sz w:val="24"/>
                <w:szCs w:val="24"/>
                <w:color w:val="auto"/>
              </w:rPr>
            </w:pPr>
          </w:p>
        </w:tc>
        <w:tc>
          <w:tcPr>
            <w:tcW w:w="420" w:type="dxa"/>
            <w:vAlign w:val="bottom"/>
            <w:tcBorders>
              <w:bottom w:val="single" w:sz="8" w:color="auto"/>
            </w:tcBorders>
            <w:shd w:val="clear" w:color="auto" w:fill="E0E7ED"/>
          </w:tcPr>
          <w:p>
            <w:pPr>
              <w:spacing w:after="0"/>
              <w:rPr>
                <w:sz w:val="24"/>
                <w:szCs w:val="24"/>
                <w:color w:val="auto"/>
              </w:rPr>
            </w:pPr>
          </w:p>
        </w:tc>
        <w:tc>
          <w:tcPr>
            <w:tcW w:w="130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2,173</w:t>
            </w:r>
          </w:p>
        </w:tc>
        <w:tc>
          <w:tcPr>
            <w:tcW w:w="100" w:type="dxa"/>
            <w:vAlign w:val="bottom"/>
            <w:shd w:val="clear" w:color="auto" w:fill="E0E7ED"/>
          </w:tcPr>
          <w:p>
            <w:pPr>
              <w:spacing w:after="0"/>
              <w:rPr>
                <w:sz w:val="24"/>
                <w:szCs w:val="24"/>
                <w:color w:val="auto"/>
              </w:rPr>
            </w:pPr>
          </w:p>
        </w:tc>
        <w:tc>
          <w:tcPr>
            <w:tcW w:w="40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2,199</w:t>
            </w:r>
          </w:p>
        </w:tc>
        <w:tc>
          <w:tcPr>
            <w:tcW w:w="80" w:type="dxa"/>
            <w:vAlign w:val="bottom"/>
            <w:shd w:val="clear" w:color="auto" w:fill="E0E7ED"/>
          </w:tcPr>
          <w:p>
            <w:pPr>
              <w:spacing w:after="0"/>
              <w:rPr>
                <w:sz w:val="24"/>
                <w:szCs w:val="24"/>
                <w:color w:val="auto"/>
              </w:rPr>
            </w:pPr>
          </w:p>
        </w:tc>
        <w:tc>
          <w:tcPr>
            <w:tcW w:w="420" w:type="dxa"/>
            <w:vAlign w:val="bottom"/>
            <w:tcBorders>
              <w:bottom w:val="single" w:sz="8" w:color="auto"/>
            </w:tcBorders>
            <w:shd w:val="clear" w:color="auto" w:fill="E0E7ED"/>
          </w:tcPr>
          <w:p>
            <w:pPr>
              <w:spacing w:after="0"/>
              <w:rPr>
                <w:sz w:val="24"/>
                <w:szCs w:val="24"/>
                <w:color w:val="auto"/>
              </w:rPr>
            </w:pPr>
          </w:p>
        </w:tc>
        <w:tc>
          <w:tcPr>
            <w:tcW w:w="130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2,355</w:t>
            </w:r>
          </w:p>
        </w:tc>
      </w:tr>
      <w:tr>
        <w:trPr>
          <w:trHeight w:val="257"/>
        </w:trPr>
        <w:tc>
          <w:tcPr>
            <w:tcW w:w="50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Tax-equivalent net interest income</w:t>
            </w:r>
          </w:p>
        </w:tc>
        <w:tc>
          <w:tcPr>
            <w:tcW w:w="880" w:type="dxa"/>
            <w:vAlign w:val="bottom"/>
            <w:tcBorders>
              <w:bottom w:val="single" w:sz="8" w:color="E0E7ED"/>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321,624</w:t>
            </w:r>
          </w:p>
        </w:tc>
        <w:tc>
          <w:tcPr>
            <w:tcW w:w="100" w:type="dxa"/>
            <w:vAlign w:val="bottom"/>
            <w:tcBorders>
              <w:bottom w:val="single" w:sz="8" w:color="E0E7ED"/>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325,637</w:t>
            </w:r>
          </w:p>
        </w:tc>
        <w:tc>
          <w:tcPr>
            <w:tcW w:w="80" w:type="dxa"/>
            <w:vAlign w:val="bottom"/>
            <w:tcBorders>
              <w:bottom w:val="single" w:sz="8" w:color="E0E7ED"/>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273,053</w:t>
            </w:r>
          </w:p>
        </w:tc>
      </w:tr>
      <w:tr>
        <w:trPr>
          <w:trHeight w:val="256"/>
        </w:trPr>
        <w:tc>
          <w:tcPr>
            <w:tcW w:w="5020" w:type="dxa"/>
            <w:vAlign w:val="bottom"/>
            <w:shd w:val="clear" w:color="auto" w:fill="E0E7ED"/>
          </w:tcPr>
          <w:p>
            <w:pPr>
              <w:spacing w:after="0"/>
              <w:rPr>
                <w:sz w:val="22"/>
                <w:szCs w:val="22"/>
                <w:color w:val="auto"/>
              </w:rPr>
            </w:pPr>
          </w:p>
        </w:tc>
        <w:tc>
          <w:tcPr>
            <w:tcW w:w="88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4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r>
      <w:tr>
        <w:trPr>
          <w:trHeight w:val="263"/>
        </w:trPr>
        <w:tc>
          <w:tcPr>
            <w:tcW w:w="5020" w:type="dxa"/>
            <w:vAlign w:val="bottom"/>
          </w:tcPr>
          <w:p>
            <w:pPr>
              <w:ind w:left="20"/>
              <w:spacing w:after="0"/>
              <w:rPr>
                <w:sz w:val="20"/>
                <w:szCs w:val="20"/>
                <w:color w:val="auto"/>
              </w:rPr>
            </w:pPr>
            <w:r>
              <w:rPr>
                <w:rFonts w:ascii="Verdana" w:cs="Verdana" w:eastAsia="Verdana" w:hAnsi="Verdana"/>
                <w:sz w:val="18"/>
                <w:szCs w:val="18"/>
                <w:b w:val="1"/>
                <w:bCs w:val="1"/>
                <w:color w:val="auto"/>
              </w:rPr>
              <w:t>Total noninterest income</w:t>
            </w: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91"/>
              <w:spacing w:after="0"/>
              <w:rPr>
                <w:sz w:val="20"/>
                <w:szCs w:val="20"/>
                <w:color w:val="auto"/>
              </w:rPr>
            </w:pPr>
            <w:r>
              <w:rPr>
                <w:rFonts w:ascii="Verdana" w:cs="Verdana" w:eastAsia="Verdana" w:hAnsi="Verdana"/>
                <w:sz w:val="18"/>
                <w:szCs w:val="18"/>
                <w:color w:val="auto"/>
              </w:rPr>
              <w:t>122,384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91"/>
              <w:spacing w:after="0"/>
              <w:rPr>
                <w:sz w:val="20"/>
                <w:szCs w:val="20"/>
                <w:color w:val="auto"/>
              </w:rPr>
            </w:pPr>
            <w:r>
              <w:rPr>
                <w:rFonts w:ascii="Verdana" w:cs="Verdana" w:eastAsia="Verdana" w:hAnsi="Verdana"/>
                <w:sz w:val="18"/>
                <w:szCs w:val="18"/>
                <w:color w:val="auto"/>
              </w:rPr>
              <w:t>126,803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91"/>
              <w:spacing w:after="0"/>
              <w:rPr>
                <w:sz w:val="20"/>
                <w:szCs w:val="20"/>
                <w:color w:val="auto"/>
              </w:rPr>
            </w:pPr>
            <w:r>
              <w:rPr>
                <w:rFonts w:ascii="Verdana" w:cs="Verdana" w:eastAsia="Verdana" w:hAnsi="Verdana"/>
                <w:sz w:val="18"/>
                <w:szCs w:val="18"/>
                <w:color w:val="auto"/>
              </w:rPr>
              <w:t>132,804</w:t>
            </w:r>
          </w:p>
        </w:tc>
      </w:tr>
      <w:tr>
        <w:trPr>
          <w:trHeight w:val="277"/>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8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r>
      <w:tr>
        <w:trPr>
          <w:trHeight w:val="264"/>
        </w:trPr>
        <w:tc>
          <w:tcPr>
            <w:tcW w:w="50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Net security (gains) losses</w:t>
            </w:r>
          </w:p>
        </w:tc>
        <w:tc>
          <w:tcPr>
            <w:tcW w:w="880" w:type="dxa"/>
            <w:vAlign w:val="bottom"/>
            <w:tcBorders>
              <w:bottom w:val="single" w:sz="8" w:color="E0E7ED"/>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2,199</w:t>
            </w:r>
          </w:p>
        </w:tc>
        <w:tc>
          <w:tcPr>
            <w:tcW w:w="100" w:type="dxa"/>
            <w:vAlign w:val="bottom"/>
            <w:tcBorders>
              <w:bottom w:val="single" w:sz="8" w:color="E0E7ED"/>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2,133</w:t>
            </w:r>
          </w:p>
        </w:tc>
        <w:tc>
          <w:tcPr>
            <w:tcW w:w="80" w:type="dxa"/>
            <w:vAlign w:val="bottom"/>
            <w:tcBorders>
              <w:bottom w:val="single" w:sz="8" w:color="E0E7ED"/>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(3,070)</w:t>
            </w:r>
          </w:p>
        </w:tc>
      </w:tr>
      <w:tr>
        <w:trPr>
          <w:trHeight w:val="224"/>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Noninterest income excluding net securities gains and</w:t>
            </w:r>
          </w:p>
        </w:tc>
        <w:tc>
          <w:tcPr>
            <w:tcW w:w="880" w:type="dxa"/>
            <w:vAlign w:val="bottom"/>
            <w:shd w:val="clear" w:color="auto" w:fill="E0E7ED"/>
          </w:tcPr>
          <w:p>
            <w:pPr>
              <w:spacing w:after="0"/>
              <w:rPr>
                <w:sz w:val="19"/>
                <w:szCs w:val="19"/>
                <w:color w:val="auto"/>
              </w:rPr>
            </w:pPr>
          </w:p>
        </w:tc>
        <w:tc>
          <w:tcPr>
            <w:tcW w:w="420" w:type="dxa"/>
            <w:vAlign w:val="bottom"/>
            <w:shd w:val="clear" w:color="auto" w:fill="E0E7ED"/>
          </w:tcPr>
          <w:p>
            <w:pPr>
              <w:spacing w:after="0"/>
              <w:rPr>
                <w:sz w:val="19"/>
                <w:szCs w:val="19"/>
                <w:color w:val="auto"/>
              </w:rPr>
            </w:pPr>
          </w:p>
        </w:tc>
        <w:tc>
          <w:tcPr>
            <w:tcW w:w="13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400" w:type="dxa"/>
            <w:vAlign w:val="bottom"/>
            <w:shd w:val="clear" w:color="auto" w:fill="E0E7ED"/>
          </w:tcPr>
          <w:p>
            <w:pPr>
              <w:spacing w:after="0"/>
              <w:rPr>
                <w:sz w:val="19"/>
                <w:szCs w:val="19"/>
                <w:color w:val="auto"/>
              </w:rPr>
            </w:pPr>
          </w:p>
        </w:tc>
        <w:tc>
          <w:tcPr>
            <w:tcW w:w="13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420" w:type="dxa"/>
            <w:vAlign w:val="bottom"/>
            <w:shd w:val="clear" w:color="auto" w:fill="E0E7ED"/>
          </w:tcPr>
          <w:p>
            <w:pPr>
              <w:spacing w:after="0"/>
              <w:rPr>
                <w:sz w:val="19"/>
                <w:szCs w:val="19"/>
                <w:color w:val="auto"/>
              </w:rPr>
            </w:pPr>
          </w:p>
        </w:tc>
        <w:tc>
          <w:tcPr>
            <w:tcW w:w="1300" w:type="dxa"/>
            <w:vAlign w:val="bottom"/>
            <w:shd w:val="clear" w:color="auto" w:fill="E0E7ED"/>
          </w:tcPr>
          <w:p>
            <w:pPr>
              <w:spacing w:after="0"/>
              <w:rPr>
                <w:sz w:val="19"/>
                <w:szCs w:val="19"/>
                <w:color w:val="auto"/>
              </w:rPr>
            </w:pPr>
          </w:p>
        </w:tc>
      </w:tr>
      <w:tr>
        <w:trPr>
          <w:trHeight w:val="242"/>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losses</w:t>
            </w:r>
          </w:p>
        </w:tc>
        <w:tc>
          <w:tcPr>
            <w:tcW w:w="880" w:type="dxa"/>
            <w:vAlign w:val="bottom"/>
            <w:shd w:val="clear" w:color="auto" w:fill="E0E7ED"/>
          </w:tcPr>
          <w:p>
            <w:pPr>
              <w:spacing w:after="0"/>
              <w:rPr>
                <w:sz w:val="21"/>
                <w:szCs w:val="21"/>
                <w:color w:val="auto"/>
              </w:rPr>
            </w:pPr>
          </w:p>
        </w:tc>
        <w:tc>
          <w:tcPr>
            <w:tcW w:w="42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124,583</w:t>
            </w:r>
          </w:p>
        </w:tc>
        <w:tc>
          <w:tcPr>
            <w:tcW w:w="100" w:type="dxa"/>
            <w:vAlign w:val="bottom"/>
            <w:shd w:val="clear" w:color="auto" w:fill="E0E7ED"/>
          </w:tcPr>
          <w:p>
            <w:pPr>
              <w:spacing w:after="0"/>
              <w:rPr>
                <w:sz w:val="21"/>
                <w:szCs w:val="21"/>
                <w:color w:val="auto"/>
              </w:rPr>
            </w:pPr>
          </w:p>
        </w:tc>
        <w:tc>
          <w:tcPr>
            <w:tcW w:w="400" w:type="dxa"/>
            <w:vAlign w:val="bottom"/>
            <w:tcBorders>
              <w:bottom w:val="single" w:sz="8" w:color="auto"/>
            </w:tcBorders>
            <w:shd w:val="clear" w:color="auto" w:fill="E0E7ED"/>
          </w:tcPr>
          <w:p>
            <w:pPr>
              <w:spacing w:after="0"/>
              <w:rPr>
                <w:sz w:val="21"/>
                <w:szCs w:val="21"/>
                <w:color w:val="auto"/>
              </w:rPr>
            </w:pPr>
          </w:p>
        </w:tc>
        <w:tc>
          <w:tcPr>
            <w:tcW w:w="132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128,936</w:t>
            </w:r>
          </w:p>
        </w:tc>
        <w:tc>
          <w:tcPr>
            <w:tcW w:w="80" w:type="dxa"/>
            <w:vAlign w:val="bottom"/>
            <w:shd w:val="clear" w:color="auto" w:fill="E0E7ED"/>
          </w:tcPr>
          <w:p>
            <w:pPr>
              <w:spacing w:after="0"/>
              <w:rPr>
                <w:sz w:val="21"/>
                <w:szCs w:val="21"/>
                <w:color w:val="auto"/>
              </w:rPr>
            </w:pPr>
          </w:p>
        </w:tc>
        <w:tc>
          <w:tcPr>
            <w:tcW w:w="42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129,734</w:t>
            </w:r>
          </w:p>
        </w:tc>
      </w:tr>
      <w:tr>
        <w:trPr>
          <w:trHeight w:val="256"/>
        </w:trPr>
        <w:tc>
          <w:tcPr>
            <w:tcW w:w="5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0"/>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Tax-equivalent revenue</w:t>
            </w:r>
          </w:p>
        </w:tc>
        <w:tc>
          <w:tcPr>
            <w:tcW w:w="88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rPr>
              <w:t>[a]</w:t>
            </w: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446,207</w:t>
            </w:r>
          </w:p>
        </w:tc>
        <w:tc>
          <w:tcPr>
            <w:tcW w:w="500" w:type="dxa"/>
            <w:vAlign w:val="bottom"/>
            <w:gridSpan w:val="2"/>
            <w:shd w:val="clear" w:color="auto" w:fill="E0E7ED"/>
          </w:tcPr>
          <w:p>
            <w:pPr>
              <w:jc w:val="right"/>
              <w:ind w:right="28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454,573</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402,787</w:t>
            </w:r>
          </w:p>
        </w:tc>
      </w:tr>
      <w:tr>
        <w:trPr>
          <w:trHeight w:val="20"/>
        </w:trPr>
        <w:tc>
          <w:tcPr>
            <w:tcW w:w="5020" w:type="dxa"/>
            <w:vAlign w:val="bottom"/>
            <w:tcBorders>
              <w:top w:val="single" w:sz="8" w:color="E0E7ED"/>
            </w:tcBorders>
          </w:tcPr>
          <w:p>
            <w:pPr>
              <w:spacing w:after="0" w:line="20" w:lineRule="exact"/>
              <w:rPr>
                <w:sz w:val="1"/>
                <w:szCs w:val="1"/>
                <w:color w:val="auto"/>
              </w:rPr>
            </w:pPr>
          </w:p>
        </w:tc>
        <w:tc>
          <w:tcPr>
            <w:tcW w:w="88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expense</w:t>
            </w:r>
          </w:p>
        </w:tc>
        <w:tc>
          <w:tcPr>
            <w:tcW w:w="880" w:type="dxa"/>
            <w:vAlign w:val="bottom"/>
            <w:shd w:val="clear" w:color="auto" w:fill="E0E7ED"/>
          </w:tcPr>
          <w:p>
            <w:pPr>
              <w:spacing w:after="0"/>
              <w:rPr>
                <w:sz w:val="23"/>
                <w:szCs w:val="23"/>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285,532</w:t>
            </w:r>
          </w:p>
        </w:tc>
        <w:tc>
          <w:tcPr>
            <w:tcW w:w="500" w:type="dxa"/>
            <w:vAlign w:val="bottom"/>
            <w:gridSpan w:val="2"/>
            <w:shd w:val="clear" w:color="auto" w:fill="E0E7ED"/>
          </w:tcPr>
          <w:p>
            <w:pPr>
              <w:jc w:val="right"/>
              <w:ind w:right="28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283,881</w:t>
            </w: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261,780</w:t>
            </w:r>
          </w:p>
        </w:tc>
      </w:tr>
      <w:tr>
        <w:trPr>
          <w:trHeight w:val="263"/>
        </w:trPr>
        <w:tc>
          <w:tcPr>
            <w:tcW w:w="502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50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88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rPr>
              <w:t>[b]</w:t>
            </w:r>
          </w:p>
        </w:tc>
        <w:tc>
          <w:tcPr>
            <w:tcW w:w="420" w:type="dxa"/>
            <w:vAlign w:val="bottom"/>
            <w:tcBorders>
              <w:bottom w:val="single" w:sz="8" w:color="auto"/>
            </w:tcBorders>
            <w:shd w:val="clear" w:color="auto" w:fill="E0E7ED"/>
          </w:tcPr>
          <w:p>
            <w:pPr>
              <w:spacing w:after="0"/>
              <w:rPr>
                <w:sz w:val="24"/>
                <w:szCs w:val="24"/>
                <w:color w:val="auto"/>
              </w:rPr>
            </w:pPr>
          </w:p>
        </w:tc>
        <w:tc>
          <w:tcPr>
            <w:tcW w:w="130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(10,432)</w:t>
            </w:r>
          </w:p>
        </w:tc>
        <w:tc>
          <w:tcPr>
            <w:tcW w:w="100" w:type="dxa"/>
            <w:vAlign w:val="bottom"/>
            <w:shd w:val="clear" w:color="auto" w:fill="E0E7ED"/>
          </w:tcPr>
          <w:p>
            <w:pPr>
              <w:spacing w:after="0"/>
              <w:rPr>
                <w:sz w:val="24"/>
                <w:szCs w:val="24"/>
                <w:color w:val="auto"/>
              </w:rPr>
            </w:pPr>
          </w:p>
        </w:tc>
        <w:tc>
          <w:tcPr>
            <w:tcW w:w="40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(11,628)</w:t>
            </w:r>
          </w:p>
        </w:tc>
        <w:tc>
          <w:tcPr>
            <w:tcW w:w="80" w:type="dxa"/>
            <w:vAlign w:val="bottom"/>
            <w:shd w:val="clear" w:color="auto" w:fill="E0E7ED"/>
          </w:tcPr>
          <w:p>
            <w:pPr>
              <w:spacing w:after="0"/>
              <w:rPr>
                <w:sz w:val="24"/>
                <w:szCs w:val="24"/>
                <w:color w:val="auto"/>
              </w:rPr>
            </w:pPr>
          </w:p>
        </w:tc>
        <w:tc>
          <w:tcPr>
            <w:tcW w:w="420" w:type="dxa"/>
            <w:vAlign w:val="bottom"/>
            <w:tcBorders>
              <w:bottom w:val="single" w:sz="8" w:color="auto"/>
            </w:tcBorders>
            <w:shd w:val="clear" w:color="auto" w:fill="E0E7ED"/>
          </w:tcPr>
          <w:p>
            <w:pPr>
              <w:spacing w:after="0"/>
              <w:rPr>
                <w:sz w:val="24"/>
                <w:szCs w:val="24"/>
                <w:color w:val="auto"/>
              </w:rPr>
            </w:pPr>
          </w:p>
        </w:tc>
        <w:tc>
          <w:tcPr>
            <w:tcW w:w="130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(11,274)</w:t>
            </w:r>
          </w:p>
        </w:tc>
      </w:tr>
      <w:tr>
        <w:trPr>
          <w:trHeight w:val="218"/>
        </w:trPr>
        <w:tc>
          <w:tcPr>
            <w:tcW w:w="5020" w:type="dxa"/>
            <w:vAlign w:val="bottom"/>
          </w:tcPr>
          <w:p>
            <w:pPr>
              <w:ind w:left="180"/>
              <w:spacing w:after="0" w:line="217" w:lineRule="exact"/>
              <w:rPr>
                <w:sz w:val="20"/>
                <w:szCs w:val="20"/>
                <w:color w:val="auto"/>
              </w:rPr>
            </w:pPr>
            <w:r>
              <w:rPr>
                <w:rFonts w:ascii="Verdana" w:cs="Verdana" w:eastAsia="Verdana" w:hAnsi="Verdana"/>
                <w:sz w:val="18"/>
                <w:szCs w:val="18"/>
                <w:color w:val="auto"/>
              </w:rPr>
              <w:t>Noninterest expense excluding amortization of</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2"/>
        </w:trPr>
        <w:tc>
          <w:tcPr>
            <w:tcW w:w="5020" w:type="dxa"/>
            <w:vAlign w:val="bottom"/>
          </w:tcPr>
          <w:p>
            <w:pPr>
              <w:ind w:left="180"/>
              <w:spacing w:after="0"/>
              <w:rPr>
                <w:sz w:val="20"/>
                <w:szCs w:val="20"/>
                <w:color w:val="auto"/>
              </w:rPr>
            </w:pPr>
            <w:r>
              <w:rPr>
                <w:rFonts w:ascii="Verdana" w:cs="Verdana" w:eastAsia="Verdana" w:hAnsi="Verdana"/>
                <w:sz w:val="18"/>
                <w:szCs w:val="18"/>
                <w:color w:val="auto"/>
              </w:rPr>
              <w:t>intangible assets</w:t>
            </w:r>
          </w:p>
        </w:tc>
        <w:tc>
          <w:tcPr>
            <w:tcW w:w="880" w:type="dxa"/>
            <w:vAlign w:val="bottom"/>
          </w:tcPr>
          <w:p>
            <w:pPr>
              <w:ind w:left="120"/>
              <w:spacing w:after="0"/>
              <w:rPr>
                <w:sz w:val="20"/>
                <w:szCs w:val="20"/>
                <w:color w:val="auto"/>
              </w:rPr>
            </w:pPr>
            <w:r>
              <w:rPr>
                <w:rFonts w:ascii="Verdana" w:cs="Verdana" w:eastAsia="Verdana" w:hAnsi="Verdana"/>
                <w:sz w:val="18"/>
                <w:szCs w:val="18"/>
                <w:color w:val="auto"/>
              </w:rPr>
              <w:t>[c]</w:t>
            </w:r>
          </w:p>
        </w:tc>
        <w:tc>
          <w:tcPr>
            <w:tcW w:w="420" w:type="dxa"/>
            <w:vAlign w:val="bottom"/>
          </w:tcPr>
          <w:p>
            <w:pPr>
              <w:spacing w:after="0"/>
              <w:rPr>
                <w:sz w:val="21"/>
                <w:szCs w:val="21"/>
                <w:color w:val="auto"/>
              </w:rPr>
            </w:pPr>
          </w:p>
        </w:tc>
        <w:tc>
          <w:tcPr>
            <w:tcW w:w="1300" w:type="dxa"/>
            <w:vAlign w:val="bottom"/>
          </w:tcPr>
          <w:p>
            <w:pPr>
              <w:jc w:val="right"/>
              <w:ind w:right="191"/>
              <w:spacing w:after="0"/>
              <w:rPr>
                <w:sz w:val="20"/>
                <w:szCs w:val="20"/>
                <w:color w:val="auto"/>
              </w:rPr>
            </w:pPr>
            <w:r>
              <w:rPr>
                <w:rFonts w:ascii="Verdana" w:cs="Verdana" w:eastAsia="Verdana" w:hAnsi="Verdana"/>
                <w:sz w:val="18"/>
                <w:szCs w:val="18"/>
                <w:color w:val="auto"/>
              </w:rPr>
              <w:t>275,100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91"/>
              <w:spacing w:after="0"/>
              <w:rPr>
                <w:sz w:val="20"/>
                <w:szCs w:val="20"/>
                <w:color w:val="auto"/>
              </w:rPr>
            </w:pPr>
            <w:r>
              <w:rPr>
                <w:rFonts w:ascii="Verdana" w:cs="Verdana" w:eastAsia="Verdana" w:hAnsi="Verdana"/>
                <w:sz w:val="18"/>
                <w:szCs w:val="18"/>
                <w:color w:val="auto"/>
              </w:rPr>
              <w:t>272,253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91"/>
              <w:spacing w:after="0"/>
              <w:rPr>
                <w:sz w:val="20"/>
                <w:szCs w:val="20"/>
                <w:color w:val="auto"/>
              </w:rPr>
            </w:pPr>
            <w:r>
              <w:rPr>
                <w:rFonts w:ascii="Verdana" w:cs="Verdana" w:eastAsia="Verdana" w:hAnsi="Verdana"/>
                <w:sz w:val="18"/>
                <w:szCs w:val="18"/>
                <w:color w:val="auto"/>
              </w:rPr>
              <w:t>250,506</w:t>
            </w:r>
          </w:p>
        </w:tc>
      </w:tr>
      <w:tr>
        <w:trPr>
          <w:trHeight w:val="277"/>
        </w:trPr>
        <w:tc>
          <w:tcPr>
            <w:tcW w:w="50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Non-operating adjustments:</w:t>
            </w:r>
          </w:p>
        </w:tc>
        <w:tc>
          <w:tcPr>
            <w:tcW w:w="8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r>
      <w:tr>
        <w:trPr>
          <w:trHeight w:val="263"/>
        </w:trPr>
        <w:tc>
          <w:tcPr>
            <w:tcW w:w="5020" w:type="dxa"/>
            <w:vAlign w:val="bottom"/>
          </w:tcPr>
          <w:p>
            <w:pPr>
              <w:ind w:left="360"/>
              <w:spacing w:after="0"/>
              <w:rPr>
                <w:sz w:val="20"/>
                <w:szCs w:val="20"/>
                <w:color w:val="auto"/>
              </w:rPr>
            </w:pPr>
            <w:r>
              <w:rPr>
                <w:rFonts w:ascii="Verdana" w:cs="Verdana" w:eastAsia="Verdana" w:hAnsi="Verdana"/>
                <w:sz w:val="18"/>
                <w:szCs w:val="18"/>
                <w:color w:val="auto"/>
              </w:rPr>
              <w:t>Salaries, wages, and employee benefits</w:t>
            </w: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31"/>
              <w:spacing w:after="0"/>
              <w:rPr>
                <w:sz w:val="20"/>
                <w:szCs w:val="20"/>
                <w:color w:val="auto"/>
              </w:rPr>
            </w:pPr>
            <w:r>
              <w:rPr>
                <w:rFonts w:ascii="Verdana" w:cs="Verdana" w:eastAsia="Verdana" w:hAnsi="Verdana"/>
                <w:sz w:val="18"/>
                <w:szCs w:val="18"/>
                <w:color w:val="auto"/>
              </w:rPr>
              <w:t>(3,760)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31"/>
              <w:spacing w:after="0"/>
              <w:rPr>
                <w:sz w:val="20"/>
                <w:szCs w:val="20"/>
                <w:color w:val="auto"/>
              </w:rPr>
            </w:pPr>
            <w:r>
              <w:rPr>
                <w:rFonts w:ascii="Verdana" w:cs="Verdana" w:eastAsia="Verdana" w:hAnsi="Verdana"/>
                <w:sz w:val="18"/>
                <w:szCs w:val="18"/>
                <w:color w:val="auto"/>
              </w:rPr>
              <w:t>(2,996)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31"/>
              <w:spacing w:after="0"/>
              <w:rPr>
                <w:sz w:val="20"/>
                <w:szCs w:val="20"/>
                <w:color w:val="auto"/>
              </w:rPr>
            </w:pPr>
            <w:r>
              <w:rPr>
                <w:rFonts w:ascii="Verdana" w:cs="Verdana" w:eastAsia="Verdana" w:hAnsi="Verdana"/>
                <w:sz w:val="18"/>
                <w:szCs w:val="18"/>
                <w:color w:val="auto"/>
              </w:rPr>
              <w:t>(7,819)</w:t>
            </w:r>
          </w:p>
        </w:tc>
      </w:tr>
      <w:tr>
        <w:trPr>
          <w:trHeight w:val="277"/>
        </w:trPr>
        <w:tc>
          <w:tcPr>
            <w:tcW w:w="50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Data processing</w:t>
            </w:r>
          </w:p>
        </w:tc>
        <w:tc>
          <w:tcPr>
            <w:tcW w:w="8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31"/>
              <w:spacing w:after="0"/>
              <w:rPr>
                <w:sz w:val="20"/>
                <w:szCs w:val="20"/>
                <w:color w:val="auto"/>
              </w:rPr>
            </w:pPr>
            <w:r>
              <w:rPr>
                <w:rFonts w:ascii="Verdana" w:cs="Verdana" w:eastAsia="Verdana" w:hAnsi="Verdana"/>
                <w:sz w:val="18"/>
                <w:szCs w:val="18"/>
                <w:color w:val="auto"/>
              </w:rPr>
              <w:t>(214)</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31"/>
              <w:spacing w:after="0"/>
              <w:rPr>
                <w:sz w:val="20"/>
                <w:szCs w:val="20"/>
                <w:color w:val="auto"/>
              </w:rPr>
            </w:pPr>
            <w:r>
              <w:rPr>
                <w:rFonts w:ascii="Verdana" w:cs="Verdana" w:eastAsia="Verdana" w:hAnsi="Verdana"/>
                <w:sz w:val="18"/>
                <w:szCs w:val="18"/>
                <w:color w:val="auto"/>
              </w:rPr>
              <w:t>(3,700)</w:t>
            </w:r>
          </w:p>
        </w:tc>
      </w:tr>
      <w:tr>
        <w:trPr>
          <w:trHeight w:val="263"/>
        </w:trPr>
        <w:tc>
          <w:tcPr>
            <w:tcW w:w="5020" w:type="dxa"/>
            <w:vAlign w:val="bottom"/>
          </w:tcPr>
          <w:p>
            <w:pPr>
              <w:ind w:left="360"/>
              <w:spacing w:after="0"/>
              <w:rPr>
                <w:sz w:val="20"/>
                <w:szCs w:val="20"/>
                <w:color w:val="auto"/>
              </w:rPr>
            </w:pPr>
            <w:r>
              <w:rPr>
                <w:rFonts w:ascii="Verdana" w:cs="Verdana" w:eastAsia="Verdana" w:hAnsi="Verdana"/>
                <w:sz w:val="18"/>
                <w:szCs w:val="18"/>
                <w:color w:val="auto"/>
              </w:rPr>
              <w:t>Lease or fixed asset impairment</w:t>
            </w: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91"/>
              <w:spacing w:after="0"/>
              <w:rPr>
                <w:sz w:val="20"/>
                <w:szCs w:val="20"/>
                <w:color w:val="auto"/>
              </w:rPr>
            </w:pPr>
            <w:r>
              <w:rPr>
                <w:rFonts w:ascii="Verdana" w:cs="Verdana" w:eastAsia="Verdana" w:hAnsi="Verdana"/>
                <w:sz w:val="18"/>
                <w:szCs w:val="18"/>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31"/>
              <w:spacing w:after="0"/>
              <w:rPr>
                <w:sz w:val="20"/>
                <w:szCs w:val="20"/>
                <w:color w:val="auto"/>
              </w:rPr>
            </w:pPr>
            <w:r>
              <w:rPr>
                <w:rFonts w:ascii="Verdana" w:cs="Verdana" w:eastAsia="Verdana" w:hAnsi="Verdana"/>
                <w:sz w:val="18"/>
                <w:szCs w:val="18"/>
                <w:color w:val="auto"/>
              </w:rPr>
              <w:t>(986)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31"/>
              <w:spacing w:after="0"/>
              <w:rPr>
                <w:sz w:val="20"/>
                <w:szCs w:val="20"/>
                <w:color w:val="auto"/>
              </w:rPr>
            </w:pPr>
            <w:r>
              <w:rPr>
                <w:rFonts w:ascii="Verdana" w:cs="Verdana" w:eastAsia="Verdana" w:hAnsi="Verdana"/>
                <w:sz w:val="18"/>
                <w:szCs w:val="18"/>
                <w:color w:val="auto"/>
              </w:rPr>
              <w:t>(3,227)</w:t>
            </w:r>
          </w:p>
        </w:tc>
      </w:tr>
      <w:tr>
        <w:trPr>
          <w:trHeight w:val="270"/>
        </w:trPr>
        <w:tc>
          <w:tcPr>
            <w:tcW w:w="50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Professional fees and other</w:t>
            </w:r>
          </w:p>
        </w:tc>
        <w:tc>
          <w:tcPr>
            <w:tcW w:w="880" w:type="dxa"/>
            <w:vAlign w:val="bottom"/>
            <w:shd w:val="clear" w:color="auto" w:fill="E0E7ED"/>
          </w:tcPr>
          <w:p>
            <w:pPr>
              <w:spacing w:after="0"/>
              <w:rPr>
                <w:sz w:val="23"/>
                <w:szCs w:val="23"/>
                <w:color w:val="auto"/>
              </w:rPr>
            </w:pPr>
          </w:p>
        </w:tc>
        <w:tc>
          <w:tcPr>
            <w:tcW w:w="42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(568)</w:t>
            </w:r>
          </w:p>
        </w:tc>
        <w:tc>
          <w:tcPr>
            <w:tcW w:w="100" w:type="dxa"/>
            <w:vAlign w:val="bottom"/>
            <w:shd w:val="clear" w:color="auto" w:fill="E0E7ED"/>
          </w:tcPr>
          <w:p>
            <w:pPr>
              <w:spacing w:after="0"/>
              <w:rPr>
                <w:sz w:val="23"/>
                <w:szCs w:val="23"/>
                <w:color w:val="auto"/>
              </w:rPr>
            </w:pPr>
          </w:p>
        </w:tc>
        <w:tc>
          <w:tcPr>
            <w:tcW w:w="4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(341)</w:t>
            </w:r>
          </w:p>
        </w:tc>
        <w:tc>
          <w:tcPr>
            <w:tcW w:w="80" w:type="dxa"/>
            <w:vAlign w:val="bottom"/>
            <w:shd w:val="clear" w:color="auto" w:fill="E0E7ED"/>
          </w:tcPr>
          <w:p>
            <w:pPr>
              <w:spacing w:after="0"/>
              <w:rPr>
                <w:sz w:val="23"/>
                <w:szCs w:val="23"/>
                <w:color w:val="auto"/>
              </w:rPr>
            </w:pPr>
          </w:p>
        </w:tc>
        <w:tc>
          <w:tcPr>
            <w:tcW w:w="42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(2,605)</w:t>
            </w:r>
          </w:p>
        </w:tc>
      </w:tr>
      <w:tr>
        <w:trPr>
          <w:trHeight w:val="263"/>
        </w:trPr>
        <w:tc>
          <w:tcPr>
            <w:tcW w:w="5020" w:type="dxa"/>
            <w:vAlign w:val="bottom"/>
          </w:tcPr>
          <w:p>
            <w:pPr>
              <w:ind w:left="20"/>
              <w:spacing w:after="0"/>
              <w:rPr>
                <w:sz w:val="20"/>
                <w:szCs w:val="20"/>
                <w:color w:val="auto"/>
              </w:rPr>
            </w:pPr>
            <w:r>
              <w:rPr>
                <w:rFonts w:ascii="Verdana" w:cs="Verdana" w:eastAsia="Verdana" w:hAnsi="Verdana"/>
                <w:sz w:val="18"/>
                <w:szCs w:val="18"/>
                <w:color w:val="auto"/>
              </w:rPr>
              <w:t>Adjusted noninterest expense</w:t>
            </w:r>
          </w:p>
        </w:tc>
        <w:tc>
          <w:tcPr>
            <w:tcW w:w="880" w:type="dxa"/>
            <w:vAlign w:val="bottom"/>
          </w:tcPr>
          <w:p>
            <w:pPr>
              <w:ind w:left="120"/>
              <w:spacing w:after="0"/>
              <w:rPr>
                <w:sz w:val="20"/>
                <w:szCs w:val="20"/>
                <w:color w:val="auto"/>
              </w:rPr>
            </w:pPr>
            <w:r>
              <w:rPr>
                <w:rFonts w:ascii="Verdana" w:cs="Verdana" w:eastAsia="Verdana" w:hAnsi="Verdana"/>
                <w:sz w:val="18"/>
                <w:szCs w:val="18"/>
                <w:color w:val="auto"/>
              </w:rPr>
              <w:t>[f]</w:t>
            </w:r>
          </w:p>
        </w:tc>
        <w:tc>
          <w:tcPr>
            <w:tcW w:w="420" w:type="dxa"/>
            <w:vAlign w:val="bottom"/>
          </w:tcPr>
          <w:p>
            <w:pPr>
              <w:spacing w:after="0"/>
              <w:rPr>
                <w:sz w:val="22"/>
                <w:szCs w:val="22"/>
                <w:color w:val="auto"/>
              </w:rPr>
            </w:pPr>
          </w:p>
        </w:tc>
        <w:tc>
          <w:tcPr>
            <w:tcW w:w="1300" w:type="dxa"/>
            <w:vAlign w:val="bottom"/>
          </w:tcPr>
          <w:p>
            <w:pPr>
              <w:jc w:val="right"/>
              <w:ind w:right="191"/>
              <w:spacing w:after="0"/>
              <w:rPr>
                <w:sz w:val="20"/>
                <w:szCs w:val="20"/>
                <w:color w:val="auto"/>
              </w:rPr>
            </w:pPr>
            <w:r>
              <w:rPr>
                <w:rFonts w:ascii="Verdana" w:cs="Verdana" w:eastAsia="Verdana" w:hAnsi="Verdana"/>
                <w:sz w:val="18"/>
                <w:szCs w:val="18"/>
                <w:color w:val="auto"/>
              </w:rPr>
              <w:t>270,772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91"/>
              <w:spacing w:after="0"/>
              <w:rPr>
                <w:sz w:val="20"/>
                <w:szCs w:val="20"/>
                <w:color w:val="auto"/>
              </w:rPr>
            </w:pPr>
            <w:r>
              <w:rPr>
                <w:rFonts w:ascii="Verdana" w:cs="Verdana" w:eastAsia="Verdana" w:hAnsi="Verdana"/>
                <w:sz w:val="18"/>
                <w:szCs w:val="18"/>
                <w:color w:val="auto"/>
              </w:rPr>
              <w:t>267,716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91"/>
              <w:spacing w:after="0"/>
              <w:rPr>
                <w:sz w:val="20"/>
                <w:szCs w:val="20"/>
                <w:color w:val="auto"/>
              </w:rPr>
            </w:pPr>
            <w:r>
              <w:rPr>
                <w:rFonts w:ascii="Verdana" w:cs="Verdana" w:eastAsia="Verdana" w:hAnsi="Verdana"/>
                <w:sz w:val="18"/>
                <w:szCs w:val="18"/>
                <w:color w:val="auto"/>
              </w:rPr>
              <w:t>233,155</w:t>
            </w:r>
          </w:p>
        </w:tc>
      </w:tr>
      <w:tr>
        <w:trPr>
          <w:trHeight w:val="277"/>
        </w:trPr>
        <w:tc>
          <w:tcPr>
            <w:tcW w:w="50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unfunded commitments</w:t>
            </w:r>
          </w:p>
        </w:tc>
        <w:tc>
          <w:tcPr>
            <w:tcW w:w="8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31"/>
              <w:spacing w:after="0"/>
              <w:rPr>
                <w:sz w:val="20"/>
                <w:szCs w:val="20"/>
                <w:color w:val="auto"/>
              </w:rPr>
            </w:pPr>
            <w:r>
              <w:rPr>
                <w:rFonts w:ascii="Verdana" w:cs="Verdana" w:eastAsia="Verdana" w:hAnsi="Verdana"/>
                <w:sz w:val="18"/>
                <w:szCs w:val="18"/>
                <w:color w:val="auto"/>
              </w:rPr>
              <w:t>(461)</w:t>
            </w: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31"/>
              <w:spacing w:after="0"/>
              <w:rPr>
                <w:sz w:val="20"/>
                <w:szCs w:val="20"/>
                <w:color w:val="auto"/>
              </w:rPr>
            </w:pPr>
            <w:r>
              <w:rPr>
                <w:rFonts w:ascii="Verdana" w:cs="Verdana" w:eastAsia="Verdana" w:hAnsi="Verdana"/>
                <w:sz w:val="18"/>
                <w:szCs w:val="18"/>
                <w:color w:val="auto"/>
              </w:rPr>
              <w:t>(61)</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774</w:t>
            </w:r>
          </w:p>
        </w:tc>
      </w:tr>
      <w:tr>
        <w:trPr>
          <w:trHeight w:val="263"/>
        </w:trPr>
        <w:tc>
          <w:tcPr>
            <w:tcW w:w="50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Amortization of New Markets Tax Credits</w:t>
            </w:r>
          </w:p>
        </w:tc>
        <w:tc>
          <w:tcPr>
            <w:tcW w:w="880" w:type="dxa"/>
            <w:vAlign w:val="bottom"/>
            <w:tcBorders>
              <w:bottom w:val="single" w:sz="8" w:color="E0E7ED"/>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(8,999)</w:t>
            </w:r>
          </w:p>
        </w:tc>
        <w:tc>
          <w:tcPr>
            <w:tcW w:w="100" w:type="dxa"/>
            <w:vAlign w:val="bottom"/>
            <w:tcBorders>
              <w:bottom w:val="single" w:sz="8" w:color="E0E7ED"/>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(6,333)</w:t>
            </w:r>
          </w:p>
        </w:tc>
        <w:tc>
          <w:tcPr>
            <w:tcW w:w="80" w:type="dxa"/>
            <w:vAlign w:val="bottom"/>
            <w:tcBorders>
              <w:bottom w:val="single" w:sz="8" w:color="E0E7ED"/>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(5,563)</w:t>
            </w:r>
          </w:p>
        </w:tc>
      </w:tr>
      <w:tr>
        <w:trPr>
          <w:trHeight w:val="290"/>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core expense</w:t>
            </w:r>
          </w:p>
        </w:tc>
        <w:tc>
          <w:tcPr>
            <w:tcW w:w="88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rPr>
              <w:t>[g]</w:t>
            </w: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261,312</w:t>
            </w:r>
          </w:p>
        </w:tc>
        <w:tc>
          <w:tcPr>
            <w:tcW w:w="500" w:type="dxa"/>
            <w:vAlign w:val="bottom"/>
            <w:gridSpan w:val="2"/>
            <w:shd w:val="clear" w:color="auto" w:fill="E0E7ED"/>
          </w:tcPr>
          <w:p>
            <w:pPr>
              <w:jc w:val="right"/>
              <w:ind w:right="28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261,322</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228,366</w:t>
            </w:r>
          </w:p>
        </w:tc>
      </w:tr>
      <w:tr>
        <w:trPr>
          <w:trHeight w:val="20"/>
        </w:trPr>
        <w:tc>
          <w:tcPr>
            <w:tcW w:w="5020" w:type="dxa"/>
            <w:vAlign w:val="bottom"/>
            <w:tcBorders>
              <w:top w:val="single" w:sz="8" w:color="E0E7ED"/>
            </w:tcBorders>
          </w:tcPr>
          <w:p>
            <w:pPr>
              <w:spacing w:after="0" w:line="20" w:lineRule="exact"/>
              <w:rPr>
                <w:sz w:val="1"/>
                <w:szCs w:val="1"/>
                <w:color w:val="auto"/>
              </w:rPr>
            </w:pPr>
          </w:p>
        </w:tc>
        <w:tc>
          <w:tcPr>
            <w:tcW w:w="88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Noninterest expense, excluding non-operating</w:t>
            </w:r>
          </w:p>
        </w:tc>
        <w:tc>
          <w:tcPr>
            <w:tcW w:w="880" w:type="dxa"/>
            <w:vAlign w:val="bottom"/>
            <w:shd w:val="clear" w:color="auto" w:fill="E0E7ED"/>
          </w:tcPr>
          <w:p>
            <w:pPr>
              <w:spacing w:after="0"/>
              <w:rPr>
                <w:sz w:val="20"/>
                <w:szCs w:val="20"/>
                <w:color w:val="auto"/>
              </w:rPr>
            </w:pPr>
          </w:p>
        </w:tc>
        <w:tc>
          <w:tcPr>
            <w:tcW w:w="420" w:type="dxa"/>
            <w:vAlign w:val="bottom"/>
            <w:shd w:val="clear" w:color="auto" w:fill="E0E7ED"/>
          </w:tcPr>
          <w:p>
            <w:pPr>
              <w:spacing w:after="0"/>
              <w:rPr>
                <w:sz w:val="20"/>
                <w:szCs w:val="20"/>
                <w:color w:val="auto"/>
              </w:rPr>
            </w:pPr>
          </w:p>
        </w:tc>
        <w:tc>
          <w:tcPr>
            <w:tcW w:w="13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40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420" w:type="dxa"/>
            <w:vAlign w:val="bottom"/>
            <w:shd w:val="clear" w:color="auto" w:fill="E0E7ED"/>
          </w:tcPr>
          <w:p>
            <w:pPr>
              <w:spacing w:after="0"/>
              <w:rPr>
                <w:sz w:val="20"/>
                <w:szCs w:val="20"/>
                <w:color w:val="auto"/>
              </w:rPr>
            </w:pPr>
          </w:p>
        </w:tc>
        <w:tc>
          <w:tcPr>
            <w:tcW w:w="1300" w:type="dxa"/>
            <w:vAlign w:val="bottom"/>
            <w:shd w:val="clear" w:color="auto" w:fill="E0E7ED"/>
          </w:tcPr>
          <w:p>
            <w:pPr>
              <w:spacing w:after="0"/>
              <w:rPr>
                <w:sz w:val="20"/>
                <w:szCs w:val="20"/>
                <w:color w:val="auto"/>
              </w:rPr>
            </w:pPr>
          </w:p>
        </w:tc>
      </w:tr>
      <w:tr>
        <w:trPr>
          <w:trHeight w:val="248"/>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adjustments</w:t>
            </w:r>
          </w:p>
        </w:tc>
        <w:tc>
          <w:tcPr>
            <w:tcW w:w="88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rPr>
              <w:t>[f-b]</w:t>
            </w: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281,204</w:t>
            </w:r>
          </w:p>
        </w:tc>
        <w:tc>
          <w:tcPr>
            <w:tcW w:w="500" w:type="dxa"/>
            <w:vAlign w:val="bottom"/>
            <w:gridSpan w:val="2"/>
            <w:shd w:val="clear" w:color="auto" w:fill="E0E7ED"/>
          </w:tcPr>
          <w:p>
            <w:pPr>
              <w:jc w:val="right"/>
              <w:ind w:right="28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279,344</w:t>
            </w:r>
          </w:p>
        </w:tc>
        <w:tc>
          <w:tcPr>
            <w:tcW w:w="80" w:type="dxa"/>
            <w:vAlign w:val="bottom"/>
            <w:shd w:val="clear" w:color="auto" w:fill="E0E7ED"/>
          </w:tcPr>
          <w:p>
            <w:pPr>
              <w:spacing w:after="0"/>
              <w:rPr>
                <w:sz w:val="21"/>
                <w:szCs w:val="21"/>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244,429</w:t>
            </w:r>
          </w:p>
        </w:tc>
      </w:tr>
      <w:tr>
        <w:trPr>
          <w:trHeight w:val="270"/>
        </w:trPr>
        <w:tc>
          <w:tcPr>
            <w:tcW w:w="5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Efficiency ratio</w:t>
            </w:r>
          </w:p>
        </w:tc>
        <w:tc>
          <w:tcPr>
            <w:tcW w:w="88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rPr>
              <w:t>[c÷a]</w:t>
            </w:r>
          </w:p>
        </w:tc>
        <w:tc>
          <w:tcPr>
            <w:tcW w:w="42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61.65 %</w:t>
            </w:r>
          </w:p>
        </w:tc>
        <w:tc>
          <w:tcPr>
            <w:tcW w:w="100" w:type="dxa"/>
            <w:vAlign w:val="bottom"/>
            <w:shd w:val="clear" w:color="auto" w:fill="E0E7ED"/>
          </w:tcPr>
          <w:p>
            <w:pPr>
              <w:spacing w:after="0"/>
              <w:rPr>
                <w:sz w:val="23"/>
                <w:szCs w:val="23"/>
                <w:color w:val="auto"/>
              </w:rPr>
            </w:pPr>
          </w:p>
        </w:tc>
        <w:tc>
          <w:tcPr>
            <w:tcW w:w="4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59.89 %</w:t>
            </w: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62.19 %</w:t>
            </w:r>
          </w:p>
        </w:tc>
      </w:tr>
      <w:tr>
        <w:trPr>
          <w:trHeight w:val="263"/>
        </w:trPr>
        <w:tc>
          <w:tcPr>
            <w:tcW w:w="502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Efficiency ratio</w:t>
            </w:r>
          </w:p>
        </w:tc>
        <w:tc>
          <w:tcPr>
            <w:tcW w:w="880" w:type="dxa"/>
            <w:vAlign w:val="bottom"/>
          </w:tcPr>
          <w:p>
            <w:pPr>
              <w:ind w:left="120"/>
              <w:spacing w:after="0"/>
              <w:rPr>
                <w:sz w:val="20"/>
                <w:szCs w:val="20"/>
                <w:color w:val="auto"/>
              </w:rPr>
            </w:pPr>
            <w:r>
              <w:rPr>
                <w:rFonts w:ascii="Verdana" w:cs="Verdana" w:eastAsia="Verdana" w:hAnsi="Verdana"/>
                <w:sz w:val="18"/>
                <w:szCs w:val="18"/>
                <w:color w:val="auto"/>
              </w:rPr>
              <w:t>[f÷a]</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60.68 %</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58.89 %</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57.89 %</w:t>
            </w:r>
          </w:p>
        </w:tc>
      </w:tr>
      <w:tr>
        <w:trPr>
          <w:trHeight w:val="277"/>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Core efficiency ratio</w:t>
            </w:r>
          </w:p>
        </w:tc>
        <w:tc>
          <w:tcPr>
            <w:tcW w:w="88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rPr>
              <w:t>[g÷a]</w:t>
            </w:r>
          </w:p>
        </w:tc>
        <w:tc>
          <w:tcPr>
            <w:tcW w:w="4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58.56 %</w:t>
            </w: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57.49 %</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56.70 %</w:t>
            </w: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17"/>
        </w:numPr>
        <w:rPr>
          <w:rFonts w:ascii="Verdana" w:cs="Verdana" w:eastAsia="Verdana" w:hAnsi="Verdana"/>
          <w:sz w:val="12"/>
          <w:szCs w:val="12"/>
          <w:color w:val="auto"/>
        </w:rPr>
      </w:pPr>
      <w:r>
        <w:rPr>
          <w:rFonts w:ascii="Verdana" w:cs="Verdana" w:eastAsia="Verdana" w:hAnsi="Verdana"/>
          <w:sz w:val="12"/>
          <w:szCs w:val="12"/>
          <w:color w:val="auto"/>
        </w:rPr>
        <w:t>The tax-equivalent adjustments were calculated using an estimated federal income tax rate of 21%, applied to non-taxable interest income on investments and loans.</w:t>
      </w:r>
    </w:p>
    <w:p>
      <w:pPr>
        <w:spacing w:after="0" w:line="4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0" w:name="page31"/>
    <w:bookmarkEnd w:id="3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xml:space="preserve">RECONCILIATION OF NON-GAAP FINANCIAL MEASURES </w:t>
      </w:r>
      <w:r>
        <w:rPr>
          <w:rFonts w:ascii="Verdana" w:cs="Verdana" w:eastAsia="Verdana" w:hAnsi="Verdana"/>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Tangible Book Value and Tangible Book Value Per Common Share</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895"/>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5680" w:type="dxa"/>
            <w:vAlign w:val="bottom"/>
            <w:tcBorders>
              <w:bottom w:val="single" w:sz="8" w:color="E0E7ED"/>
            </w:tcBorders>
          </w:tcPr>
          <w:p>
            <w:pPr>
              <w:spacing w:after="0"/>
              <w:rPr>
                <w:sz w:val="14"/>
                <w:szCs w:val="14"/>
                <w:color w:val="auto"/>
              </w:rPr>
            </w:pPr>
          </w:p>
        </w:tc>
        <w:tc>
          <w:tcPr>
            <w:tcW w:w="222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8"/>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2022</w:t>
            </w:r>
          </w:p>
        </w:tc>
      </w:tr>
      <w:tr>
        <w:trPr>
          <w:trHeight w:val="269"/>
        </w:trPr>
        <w:tc>
          <w:tcPr>
            <w:tcW w:w="56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stockholders' equity</w:t>
            </w:r>
          </w:p>
        </w:tc>
        <w:tc>
          <w:tcPr>
            <w:tcW w:w="2220" w:type="dxa"/>
            <w:vAlign w:val="bottom"/>
            <w:shd w:val="clear" w:color="auto" w:fill="E0E7ED"/>
          </w:tcPr>
          <w:p>
            <w:pPr>
              <w:spacing w:after="0"/>
              <w:rPr>
                <w:sz w:val="23"/>
                <w:szCs w:val="23"/>
                <w:color w:val="auto"/>
              </w:rPr>
            </w:pP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1,271,981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1,145,977</w:t>
            </w:r>
          </w:p>
        </w:tc>
      </w:tr>
      <w:tr>
        <w:trPr>
          <w:trHeight w:val="263"/>
        </w:trPr>
        <w:tc>
          <w:tcPr>
            <w:tcW w:w="56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22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(353,864)</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(364,296)</w:t>
            </w:r>
          </w:p>
        </w:tc>
      </w:tr>
      <w:tr>
        <w:trPr>
          <w:trHeight w:val="295"/>
        </w:trPr>
        <w:tc>
          <w:tcPr>
            <w:tcW w:w="56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Tangible book value</w:t>
            </w:r>
          </w:p>
        </w:tc>
        <w:tc>
          <w:tcPr>
            <w:tcW w:w="2220" w:type="dxa"/>
            <w:vAlign w:val="bottom"/>
            <w:tcBorders>
              <w:bottom w:val="single" w:sz="8" w:color="E0E7ED"/>
            </w:tcBorders>
            <w:shd w:val="clear" w:color="auto" w:fill="E0E7ED"/>
          </w:tcPr>
          <w:p>
            <w:pPr>
              <w:ind w:left="1440"/>
              <w:spacing w:after="0"/>
              <w:rPr>
                <w:sz w:val="20"/>
                <w:szCs w:val="20"/>
                <w:color w:val="auto"/>
              </w:rPr>
            </w:pPr>
            <w:r>
              <w:rPr>
                <w:rFonts w:ascii="Verdana" w:cs="Verdana" w:eastAsia="Verdana" w:hAnsi="Verdana"/>
                <w:sz w:val="18"/>
                <w:szCs w:val="18"/>
                <w:color w:val="auto"/>
              </w:rPr>
              <w:t>[a]</w:t>
            </w:r>
          </w:p>
        </w:tc>
        <w:tc>
          <w:tcPr>
            <w:tcW w:w="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918,117</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781,681</w:t>
            </w:r>
          </w:p>
        </w:tc>
      </w:tr>
      <w:tr>
        <w:trPr>
          <w:trHeight w:val="20"/>
        </w:trPr>
        <w:tc>
          <w:tcPr>
            <w:tcW w:w="5680" w:type="dxa"/>
            <w:vAlign w:val="bottom"/>
            <w:tcBorders>
              <w:top w:val="single" w:sz="8" w:color="E0E7ED"/>
            </w:tcBorders>
          </w:tcPr>
          <w:p>
            <w:pPr>
              <w:spacing w:after="0" w:line="20" w:lineRule="exact"/>
              <w:rPr>
                <w:sz w:val="1"/>
                <w:szCs w:val="1"/>
                <w:color w:val="auto"/>
              </w:rPr>
            </w:pPr>
          </w:p>
        </w:tc>
        <w:tc>
          <w:tcPr>
            <w:tcW w:w="222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0"/>
        </w:trPr>
        <w:tc>
          <w:tcPr>
            <w:tcW w:w="5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Ending number of common shares outstanding</w:t>
            </w:r>
          </w:p>
        </w:tc>
        <w:tc>
          <w:tcPr>
            <w:tcW w:w="2220" w:type="dxa"/>
            <w:vAlign w:val="bottom"/>
            <w:shd w:val="clear" w:color="auto" w:fill="E0E7ED"/>
          </w:tcPr>
          <w:p>
            <w:pPr>
              <w:ind w:left="1440"/>
              <w:spacing w:after="0"/>
              <w:rPr>
                <w:sz w:val="20"/>
                <w:szCs w:val="20"/>
                <w:color w:val="auto"/>
              </w:rPr>
            </w:pPr>
            <w:r>
              <w:rPr>
                <w:rFonts w:ascii="Verdana" w:cs="Verdana" w:eastAsia="Verdana" w:hAnsi="Verdana"/>
                <w:sz w:val="18"/>
                <w:szCs w:val="18"/>
                <w:color w:val="auto"/>
              </w:rPr>
              <w:t>[b]</w:t>
            </w:r>
          </w:p>
        </w:tc>
        <w:tc>
          <w:tcPr>
            <w:tcW w:w="32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55,244,119</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55,279,124</w:t>
            </w:r>
          </w:p>
        </w:tc>
      </w:tr>
      <w:tr>
        <w:trPr>
          <w:trHeight w:val="270"/>
        </w:trPr>
        <w:tc>
          <w:tcPr>
            <w:tcW w:w="56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5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 per common share</w:t>
            </w:r>
          </w:p>
        </w:tc>
        <w:tc>
          <w:tcPr>
            <w:tcW w:w="2220" w:type="dxa"/>
            <w:vAlign w:val="bottom"/>
            <w:shd w:val="clear" w:color="auto" w:fill="E0E7ED"/>
          </w:tcPr>
          <w:p>
            <w:pPr>
              <w:ind w:left="1440"/>
              <w:spacing w:after="0"/>
              <w:rPr>
                <w:sz w:val="20"/>
                <w:szCs w:val="20"/>
                <w:color w:val="auto"/>
              </w:rPr>
            </w:pPr>
            <w:r>
              <w:rPr>
                <w:rFonts w:ascii="Verdana" w:cs="Verdana" w:eastAsia="Verdana" w:hAnsi="Verdana"/>
                <w:sz w:val="18"/>
                <w:szCs w:val="18"/>
                <w:color w:val="auto"/>
              </w:rPr>
              <w:t>[a÷b]</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16.62</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14.14</w:t>
            </w:r>
          </w:p>
        </w:tc>
      </w:tr>
    </w:tbl>
    <w:p>
      <w:pPr>
        <w:spacing w:after="0" w:line="200" w:lineRule="exact"/>
        <w:rPr>
          <w:sz w:val="20"/>
          <w:szCs w:val="20"/>
          <w:color w:val="auto"/>
        </w:rPr>
      </w:pPr>
    </w:p>
    <w:p>
      <w:pPr>
        <w:spacing w:after="0" w:line="362" w:lineRule="exact"/>
        <w:rPr>
          <w:sz w:val="20"/>
          <w:szCs w:val="20"/>
          <w:color w:val="auto"/>
        </w:rPr>
      </w:pPr>
    </w:p>
    <w:p>
      <w:pPr>
        <w:jc w:val="center"/>
        <w:ind w:left="340" w:right="1000"/>
        <w:spacing w:after="0" w:line="313" w:lineRule="auto"/>
        <w:rPr>
          <w:sz w:val="20"/>
          <w:szCs w:val="20"/>
          <w:color w:val="auto"/>
        </w:rPr>
      </w:pPr>
      <w:r>
        <w:rPr>
          <w:rFonts w:ascii="Verdana" w:cs="Verdana" w:eastAsia="Verdana" w:hAnsi="Verdana"/>
          <w:sz w:val="18"/>
          <w:szCs w:val="18"/>
          <w:b w:val="1"/>
          <w:bCs w:val="1"/>
          <w:color w:val="auto"/>
        </w:rPr>
        <w:t xml:space="preserve">Tangible Assets, Tangible Common Equity, and Tangible Common Equity to Tangible Assets </w:t>
      </w:r>
      <w:r>
        <w:rPr>
          <w:rFonts w:ascii="Verdana" w:cs="Verdana" w:eastAsia="Verdana" w:hAnsi="Verdana"/>
          <w:sz w:val="18"/>
          <w:szCs w:val="18"/>
          <w:i w:val="1"/>
          <w:i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073"/>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5360" w:type="dxa"/>
            <w:vAlign w:val="bottom"/>
            <w:tcBorders>
              <w:bottom w:val="single" w:sz="8" w:color="E0E7ED"/>
            </w:tcBorders>
          </w:tcPr>
          <w:p>
            <w:pPr>
              <w:spacing w:after="0"/>
              <w:rPr>
                <w:sz w:val="14"/>
                <w:szCs w:val="14"/>
                <w:color w:val="auto"/>
              </w:rPr>
            </w:pPr>
          </w:p>
        </w:tc>
        <w:tc>
          <w:tcPr>
            <w:tcW w:w="22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33"/>
              <w:spacing w:after="0"/>
              <w:rPr>
                <w:sz w:val="20"/>
                <w:szCs w:val="20"/>
                <w:color w:val="auto"/>
              </w:rPr>
            </w:pPr>
            <w:r>
              <w:rPr>
                <w:rFonts w:ascii="Verdana" w:cs="Verdana" w:eastAsia="Verdana" w:hAnsi="Verdana"/>
                <w:sz w:val="13"/>
                <w:szCs w:val="13"/>
                <w:b w:val="1"/>
                <w:bCs w:val="1"/>
                <w:color w:val="auto"/>
              </w:rPr>
              <w:t>2022</w:t>
            </w:r>
          </w:p>
        </w:tc>
      </w:tr>
      <w:tr>
        <w:trPr>
          <w:trHeight w:val="269"/>
        </w:trPr>
        <w:tc>
          <w:tcPr>
            <w:tcW w:w="53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assets</w:t>
            </w:r>
          </w:p>
        </w:tc>
        <w:tc>
          <w:tcPr>
            <w:tcW w:w="22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12,283,415</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50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12,336,677</w:t>
            </w:r>
          </w:p>
        </w:tc>
      </w:tr>
      <w:tr>
        <w:trPr>
          <w:trHeight w:val="263"/>
        </w:trPr>
        <w:tc>
          <w:tcPr>
            <w:tcW w:w="536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2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3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2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15"/>
              <w:spacing w:after="0"/>
              <w:rPr>
                <w:sz w:val="20"/>
                <w:szCs w:val="20"/>
                <w:color w:val="auto"/>
              </w:rPr>
            </w:pPr>
            <w:r>
              <w:rPr>
                <w:rFonts w:ascii="Verdana" w:cs="Verdana" w:eastAsia="Verdana" w:hAnsi="Verdana"/>
                <w:sz w:val="18"/>
                <w:szCs w:val="18"/>
                <w:color w:val="auto"/>
              </w:rPr>
              <w:t>(353,864)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50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(364,296)</w:t>
            </w:r>
          </w:p>
        </w:tc>
      </w:tr>
      <w:tr>
        <w:trPr>
          <w:trHeight w:val="270"/>
        </w:trPr>
        <w:tc>
          <w:tcPr>
            <w:tcW w:w="5360" w:type="dxa"/>
            <w:vAlign w:val="bottom"/>
            <w:tcBorders>
              <w:bottom w:val="single" w:sz="8" w:color="E0E7ED"/>
            </w:tcBorders>
          </w:tcPr>
          <w:p>
            <w:pPr>
              <w:ind w:left="180"/>
              <w:spacing w:after="0" w:line="270" w:lineRule="exact"/>
              <w:rPr>
                <w:sz w:val="20"/>
                <w:szCs w:val="20"/>
                <w:color w:val="auto"/>
              </w:rPr>
            </w:pPr>
            <w:r>
              <w:rPr>
                <w:rFonts w:ascii="Verdana" w:cs="Verdana" w:eastAsia="Verdana" w:hAnsi="Verdana"/>
                <w:sz w:val="18"/>
                <w:szCs w:val="18"/>
                <w:color w:val="auto"/>
              </w:rPr>
              <w:t>Tax effect of other intangible assets</w:t>
            </w:r>
            <w:r>
              <w:rPr>
                <w:rFonts w:ascii="Verdana" w:cs="Verdana" w:eastAsia="Verdana" w:hAnsi="Verdana"/>
                <w:sz w:val="23"/>
                <w:szCs w:val="23"/>
                <w:color w:val="auto"/>
                <w:vertAlign w:val="superscript"/>
              </w:rPr>
              <w:t>1</w:t>
            </w:r>
          </w:p>
        </w:tc>
        <w:tc>
          <w:tcPr>
            <w:tcW w:w="2200" w:type="dxa"/>
            <w:vAlign w:val="bottom"/>
            <w:tcBorders>
              <w:bottom w:val="single" w:sz="8" w:color="E0E7E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75"/>
              <w:spacing w:after="0"/>
              <w:rPr>
                <w:sz w:val="20"/>
                <w:szCs w:val="20"/>
                <w:color w:val="auto"/>
              </w:rPr>
            </w:pPr>
            <w:r>
              <w:rPr>
                <w:rFonts w:ascii="Verdana" w:cs="Verdana" w:eastAsia="Verdana" w:hAnsi="Verdana"/>
                <w:sz w:val="18"/>
                <w:szCs w:val="18"/>
                <w:color w:val="auto"/>
              </w:rPr>
              <w:t>6,888</w:t>
            </w:r>
          </w:p>
        </w:tc>
        <w:tc>
          <w:tcPr>
            <w:tcW w:w="100" w:type="dxa"/>
            <w:vAlign w:val="bottom"/>
            <w:tcBorders>
              <w:bottom w:val="single" w:sz="8" w:color="E0E7E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8,847</w:t>
            </w:r>
          </w:p>
        </w:tc>
      </w:tr>
      <w:tr>
        <w:trPr>
          <w:trHeight w:val="288"/>
        </w:trPr>
        <w:tc>
          <w:tcPr>
            <w:tcW w:w="5360" w:type="dxa"/>
            <w:vAlign w:val="bottom"/>
            <w:tcBorders>
              <w:bottom w:val="single" w:sz="8" w:color="E0E7ED"/>
            </w:tcBorders>
            <w:shd w:val="clear" w:color="auto" w:fill="E0E7ED"/>
          </w:tcPr>
          <w:p>
            <w:pPr>
              <w:ind w:left="20"/>
              <w:spacing w:after="0" w:line="264" w:lineRule="exact"/>
              <w:rPr>
                <w:sz w:val="20"/>
                <w:szCs w:val="20"/>
                <w:color w:val="auto"/>
              </w:rPr>
            </w:pPr>
            <w:r>
              <w:rPr>
                <w:rFonts w:ascii="Verdana" w:cs="Verdana" w:eastAsia="Verdana" w:hAnsi="Verdana"/>
                <w:sz w:val="18"/>
                <w:szCs w:val="18"/>
                <w:color w:val="auto"/>
              </w:rPr>
              <w:t>Tangible assets</w:t>
            </w:r>
            <w:r>
              <w:rPr>
                <w:rFonts w:ascii="Verdana" w:cs="Verdana" w:eastAsia="Verdana" w:hAnsi="Verdana"/>
                <w:sz w:val="23"/>
                <w:szCs w:val="23"/>
                <w:color w:val="auto"/>
                <w:vertAlign w:val="superscript"/>
              </w:rPr>
              <w:t>2</w:t>
            </w:r>
          </w:p>
        </w:tc>
        <w:tc>
          <w:tcPr>
            <w:tcW w:w="2200" w:type="dxa"/>
            <w:vAlign w:val="bottom"/>
            <w:tcBorders>
              <w:bottom w:val="single" w:sz="8" w:color="E0E7ED"/>
            </w:tcBorders>
            <w:shd w:val="clear" w:color="auto" w:fill="E0E7ED"/>
          </w:tcPr>
          <w:p>
            <w:pPr>
              <w:ind w:left="1420"/>
              <w:spacing w:after="0"/>
              <w:rPr>
                <w:sz w:val="20"/>
                <w:szCs w:val="20"/>
                <w:color w:val="auto"/>
              </w:rPr>
            </w:pPr>
            <w:r>
              <w:rPr>
                <w:rFonts w:ascii="Verdana" w:cs="Verdana" w:eastAsia="Verdana" w:hAnsi="Verdana"/>
                <w:sz w:val="18"/>
                <w:szCs w:val="18"/>
                <w:color w:val="auto"/>
              </w:rPr>
              <w:t>[a]</w:t>
            </w: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480" w:type="dxa"/>
            <w:vAlign w:val="bottom"/>
            <w:tcBorders>
              <w:bottom w:val="single" w:sz="8" w:color="auto"/>
            </w:tcBorders>
            <w:shd w:val="clear" w:color="auto" w:fill="E0E7ED"/>
          </w:tcPr>
          <w:p>
            <w:pPr>
              <w:jc w:val="right"/>
              <w:ind w:right="175"/>
              <w:spacing w:after="0"/>
              <w:rPr>
                <w:sz w:val="20"/>
                <w:szCs w:val="20"/>
                <w:color w:val="auto"/>
              </w:rPr>
            </w:pPr>
            <w:r>
              <w:rPr>
                <w:rFonts w:ascii="Verdana" w:cs="Verdana" w:eastAsia="Verdana" w:hAnsi="Verdana"/>
                <w:sz w:val="18"/>
                <w:szCs w:val="18"/>
                <w:color w:val="auto"/>
              </w:rPr>
              <w:t>11,936,439</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50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11,981,228</w:t>
            </w:r>
          </w:p>
        </w:tc>
      </w:tr>
      <w:tr>
        <w:trPr>
          <w:trHeight w:val="20"/>
        </w:trPr>
        <w:tc>
          <w:tcPr>
            <w:tcW w:w="5360" w:type="dxa"/>
            <w:vAlign w:val="bottom"/>
            <w:tcBorders>
              <w:top w:val="single" w:sz="8" w:color="E0E7ED"/>
            </w:tcBorders>
          </w:tcPr>
          <w:p>
            <w:pPr>
              <w:spacing w:after="0" w:line="20" w:lineRule="exact"/>
              <w:rPr>
                <w:sz w:val="1"/>
                <w:szCs w:val="1"/>
                <w:color w:val="auto"/>
              </w:rPr>
            </w:pPr>
          </w:p>
        </w:tc>
        <w:tc>
          <w:tcPr>
            <w:tcW w:w="22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50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0"/>
        </w:trPr>
        <w:tc>
          <w:tcPr>
            <w:tcW w:w="53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stockholders' equity</w:t>
            </w:r>
          </w:p>
        </w:tc>
        <w:tc>
          <w:tcPr>
            <w:tcW w:w="22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1,271,981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50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1,145,977</w:t>
            </w:r>
          </w:p>
        </w:tc>
      </w:tr>
      <w:tr>
        <w:trPr>
          <w:trHeight w:val="263"/>
        </w:trPr>
        <w:tc>
          <w:tcPr>
            <w:tcW w:w="536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2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3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2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15"/>
              <w:spacing w:after="0"/>
              <w:rPr>
                <w:sz w:val="20"/>
                <w:szCs w:val="20"/>
                <w:color w:val="auto"/>
              </w:rPr>
            </w:pPr>
            <w:r>
              <w:rPr>
                <w:rFonts w:ascii="Verdana" w:cs="Verdana" w:eastAsia="Verdana" w:hAnsi="Verdana"/>
                <w:sz w:val="18"/>
                <w:szCs w:val="18"/>
                <w:color w:val="auto"/>
              </w:rPr>
              <w:t>(353,864)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50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(364,296)</w:t>
            </w:r>
          </w:p>
        </w:tc>
      </w:tr>
      <w:tr>
        <w:trPr>
          <w:trHeight w:val="270"/>
        </w:trPr>
        <w:tc>
          <w:tcPr>
            <w:tcW w:w="5360" w:type="dxa"/>
            <w:vAlign w:val="bottom"/>
            <w:tcBorders>
              <w:bottom w:val="single" w:sz="8" w:color="E0E7ED"/>
            </w:tcBorders>
          </w:tcPr>
          <w:p>
            <w:pPr>
              <w:ind w:left="180"/>
              <w:spacing w:after="0" w:line="270" w:lineRule="exact"/>
              <w:rPr>
                <w:sz w:val="20"/>
                <w:szCs w:val="20"/>
                <w:color w:val="auto"/>
              </w:rPr>
            </w:pPr>
            <w:r>
              <w:rPr>
                <w:rFonts w:ascii="Verdana" w:cs="Verdana" w:eastAsia="Verdana" w:hAnsi="Verdana"/>
                <w:sz w:val="18"/>
                <w:szCs w:val="18"/>
                <w:color w:val="auto"/>
              </w:rPr>
              <w:t>Tax effect of other intangible assets</w:t>
            </w:r>
            <w:r>
              <w:rPr>
                <w:rFonts w:ascii="Verdana" w:cs="Verdana" w:eastAsia="Verdana" w:hAnsi="Verdana"/>
                <w:sz w:val="23"/>
                <w:szCs w:val="23"/>
                <w:color w:val="auto"/>
                <w:vertAlign w:val="superscript"/>
              </w:rPr>
              <w:t>1</w:t>
            </w:r>
          </w:p>
        </w:tc>
        <w:tc>
          <w:tcPr>
            <w:tcW w:w="2200" w:type="dxa"/>
            <w:vAlign w:val="bottom"/>
            <w:tcBorders>
              <w:bottom w:val="single" w:sz="8" w:color="E0E7E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75"/>
              <w:spacing w:after="0"/>
              <w:rPr>
                <w:sz w:val="20"/>
                <w:szCs w:val="20"/>
                <w:color w:val="auto"/>
              </w:rPr>
            </w:pPr>
            <w:r>
              <w:rPr>
                <w:rFonts w:ascii="Verdana" w:cs="Verdana" w:eastAsia="Verdana" w:hAnsi="Verdana"/>
                <w:sz w:val="18"/>
                <w:szCs w:val="18"/>
                <w:color w:val="auto"/>
              </w:rPr>
              <w:t>6,888</w:t>
            </w:r>
          </w:p>
        </w:tc>
        <w:tc>
          <w:tcPr>
            <w:tcW w:w="100" w:type="dxa"/>
            <w:vAlign w:val="bottom"/>
            <w:tcBorders>
              <w:bottom w:val="single" w:sz="8" w:color="E0E7E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8,847</w:t>
            </w:r>
          </w:p>
        </w:tc>
      </w:tr>
      <w:tr>
        <w:trPr>
          <w:trHeight w:val="289"/>
        </w:trPr>
        <w:tc>
          <w:tcPr>
            <w:tcW w:w="5360" w:type="dxa"/>
            <w:vAlign w:val="bottom"/>
            <w:tcBorders>
              <w:bottom w:val="single" w:sz="8" w:color="E0E7ED"/>
            </w:tcBorders>
            <w:shd w:val="clear" w:color="auto" w:fill="E0E7ED"/>
          </w:tcPr>
          <w:p>
            <w:pPr>
              <w:ind w:left="20"/>
              <w:spacing w:after="0" w:line="264" w:lineRule="exact"/>
              <w:rPr>
                <w:sz w:val="20"/>
                <w:szCs w:val="20"/>
                <w:color w:val="auto"/>
              </w:rPr>
            </w:pPr>
            <w:r>
              <w:rPr>
                <w:rFonts w:ascii="Verdana" w:cs="Verdana" w:eastAsia="Verdana" w:hAnsi="Verdana"/>
                <w:sz w:val="18"/>
                <w:szCs w:val="18"/>
                <w:color w:val="auto"/>
              </w:rPr>
              <w:t>Tangible common equity</w:t>
            </w:r>
            <w:r>
              <w:rPr>
                <w:rFonts w:ascii="Verdana" w:cs="Verdana" w:eastAsia="Verdana" w:hAnsi="Verdana"/>
                <w:sz w:val="23"/>
                <w:szCs w:val="23"/>
                <w:color w:val="auto"/>
                <w:vertAlign w:val="superscript"/>
              </w:rPr>
              <w:t>2</w:t>
            </w:r>
          </w:p>
        </w:tc>
        <w:tc>
          <w:tcPr>
            <w:tcW w:w="2200" w:type="dxa"/>
            <w:vAlign w:val="bottom"/>
            <w:tcBorders>
              <w:bottom w:val="single" w:sz="8" w:color="E0E7ED"/>
            </w:tcBorders>
            <w:shd w:val="clear" w:color="auto" w:fill="E0E7ED"/>
          </w:tcPr>
          <w:p>
            <w:pPr>
              <w:ind w:left="1420"/>
              <w:spacing w:after="0"/>
              <w:rPr>
                <w:sz w:val="20"/>
                <w:szCs w:val="20"/>
                <w:color w:val="auto"/>
              </w:rPr>
            </w:pPr>
            <w:r>
              <w:rPr>
                <w:rFonts w:ascii="Verdana" w:cs="Verdana" w:eastAsia="Verdana" w:hAnsi="Verdana"/>
                <w:sz w:val="18"/>
                <w:szCs w:val="18"/>
                <w:color w:val="auto"/>
              </w:rPr>
              <w:t>[b]</w:t>
            </w: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480" w:type="dxa"/>
            <w:vAlign w:val="bottom"/>
            <w:tcBorders>
              <w:bottom w:val="single" w:sz="8" w:color="auto"/>
            </w:tcBorders>
            <w:shd w:val="clear" w:color="auto" w:fill="E0E7ED"/>
          </w:tcPr>
          <w:p>
            <w:pPr>
              <w:jc w:val="right"/>
              <w:ind w:right="175"/>
              <w:spacing w:after="0"/>
              <w:rPr>
                <w:sz w:val="20"/>
                <w:szCs w:val="20"/>
                <w:color w:val="auto"/>
              </w:rPr>
            </w:pPr>
            <w:r>
              <w:rPr>
                <w:rFonts w:ascii="Verdana" w:cs="Verdana" w:eastAsia="Verdana" w:hAnsi="Verdana"/>
                <w:sz w:val="18"/>
                <w:szCs w:val="18"/>
                <w:color w:val="auto"/>
              </w:rPr>
              <w:t>925,005</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50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790,528</w:t>
            </w:r>
          </w:p>
        </w:tc>
      </w:tr>
      <w:tr>
        <w:trPr>
          <w:trHeight w:val="20"/>
        </w:trPr>
        <w:tc>
          <w:tcPr>
            <w:tcW w:w="5360" w:type="dxa"/>
            <w:vAlign w:val="bottom"/>
            <w:tcBorders>
              <w:top w:val="single" w:sz="8" w:color="E0E7ED"/>
            </w:tcBorders>
          </w:tcPr>
          <w:p>
            <w:pPr>
              <w:spacing w:after="0" w:line="20" w:lineRule="exact"/>
              <w:rPr>
                <w:sz w:val="1"/>
                <w:szCs w:val="1"/>
                <w:color w:val="auto"/>
              </w:rPr>
            </w:pPr>
          </w:p>
        </w:tc>
        <w:tc>
          <w:tcPr>
            <w:tcW w:w="22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50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0"/>
        </w:trPr>
        <w:tc>
          <w:tcPr>
            <w:tcW w:w="5360" w:type="dxa"/>
            <w:vAlign w:val="bottom"/>
            <w:shd w:val="clear" w:color="auto" w:fill="E0E7ED"/>
          </w:tcPr>
          <w:p>
            <w:pPr>
              <w:ind w:left="20"/>
              <w:spacing w:after="0" w:line="270" w:lineRule="exact"/>
              <w:rPr>
                <w:sz w:val="20"/>
                <w:szCs w:val="20"/>
                <w:color w:val="auto"/>
              </w:rPr>
            </w:pPr>
            <w:r>
              <w:rPr>
                <w:rFonts w:ascii="Verdana" w:cs="Verdana" w:eastAsia="Verdana" w:hAnsi="Verdana"/>
                <w:sz w:val="18"/>
                <w:szCs w:val="18"/>
                <w:color w:val="auto"/>
              </w:rPr>
              <w:t>Tangible common equity to tangible assets</w:t>
            </w:r>
            <w:r>
              <w:rPr>
                <w:rFonts w:ascii="Verdana" w:cs="Verdana" w:eastAsia="Verdana" w:hAnsi="Verdana"/>
                <w:sz w:val="23"/>
                <w:szCs w:val="23"/>
                <w:color w:val="auto"/>
                <w:vertAlign w:val="superscript"/>
              </w:rPr>
              <w:t>2</w:t>
            </w:r>
          </w:p>
        </w:tc>
        <w:tc>
          <w:tcPr>
            <w:tcW w:w="2200" w:type="dxa"/>
            <w:vAlign w:val="bottom"/>
            <w:shd w:val="clear" w:color="auto" w:fill="E0E7ED"/>
          </w:tcPr>
          <w:p>
            <w:pPr>
              <w:ind w:left="1420"/>
              <w:spacing w:after="0"/>
              <w:rPr>
                <w:sz w:val="20"/>
                <w:szCs w:val="20"/>
                <w:color w:val="auto"/>
              </w:rPr>
            </w:pPr>
            <w:r>
              <w:rPr>
                <w:rFonts w:ascii="Verdana" w:cs="Verdana" w:eastAsia="Verdana" w:hAnsi="Verdana"/>
                <w:sz w:val="18"/>
                <w:szCs w:val="18"/>
                <w:color w:val="auto"/>
              </w:rPr>
              <w:t>[b÷a]</w:t>
            </w:r>
          </w:p>
        </w:tc>
        <w:tc>
          <w:tcPr>
            <w:tcW w:w="300" w:type="dxa"/>
            <w:vAlign w:val="bottom"/>
            <w:shd w:val="clear" w:color="auto" w:fill="E0E7ED"/>
          </w:tcPr>
          <w:p>
            <w:pPr>
              <w:spacing w:after="0"/>
              <w:rPr>
                <w:sz w:val="23"/>
                <w:szCs w:val="23"/>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7.75 %</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6.60 %</w:t>
            </w:r>
          </w:p>
        </w:tc>
      </w:tr>
      <w:tr>
        <w:trPr>
          <w:trHeight w:val="224"/>
        </w:trPr>
        <w:tc>
          <w:tcPr>
            <w:tcW w:w="536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ind w:left="480" w:hanging="310"/>
        <w:spacing w:after="0"/>
        <w:tabs>
          <w:tab w:leader="none" w:pos="480" w:val="left"/>
        </w:tabs>
        <w:numPr>
          <w:ilvl w:val="0"/>
          <w:numId w:val="18"/>
        </w:numPr>
        <w:rPr>
          <w:rFonts w:ascii="Verdana" w:cs="Verdana" w:eastAsia="Verdana" w:hAnsi="Verdana"/>
          <w:sz w:val="13"/>
          <w:szCs w:val="13"/>
          <w:color w:val="auto"/>
        </w:rPr>
      </w:pPr>
      <w:r>
        <w:rPr>
          <w:rFonts w:ascii="Verdana" w:cs="Verdana" w:eastAsia="Verdana" w:hAnsi="Verdana"/>
          <w:sz w:val="13"/>
          <w:szCs w:val="13"/>
          <w:color w:val="auto"/>
        </w:rPr>
        <w:t>Net of estimated deferred tax liability, calculated using the estimated statutory tax rate of 28%.</w:t>
      </w:r>
    </w:p>
    <w:p>
      <w:pPr>
        <w:spacing w:after="0" w:line="4" w:lineRule="exact"/>
        <w:rPr>
          <w:rFonts w:ascii="Verdana" w:cs="Verdana" w:eastAsia="Verdana" w:hAnsi="Verdana"/>
          <w:sz w:val="13"/>
          <w:szCs w:val="13"/>
          <w:color w:val="auto"/>
        </w:rPr>
      </w:pPr>
    </w:p>
    <w:p>
      <w:pPr>
        <w:ind w:left="480" w:hanging="310"/>
        <w:spacing w:after="0"/>
        <w:tabs>
          <w:tab w:leader="none" w:pos="480" w:val="left"/>
        </w:tabs>
        <w:numPr>
          <w:ilvl w:val="0"/>
          <w:numId w:val="18"/>
        </w:numPr>
        <w:rPr>
          <w:rFonts w:ascii="Verdana" w:cs="Verdana" w:eastAsia="Verdana" w:hAnsi="Verdana"/>
          <w:sz w:val="13"/>
          <w:szCs w:val="13"/>
          <w:color w:val="auto"/>
        </w:rPr>
      </w:pPr>
      <w:r>
        <w:rPr>
          <w:rFonts w:ascii="Verdana" w:cs="Verdana" w:eastAsia="Verdana" w:hAnsi="Verdana"/>
          <w:sz w:val="13"/>
          <w:szCs w:val="13"/>
          <w:color w:val="auto"/>
        </w:rPr>
        <w:t>Tax-effected measure.</w:t>
      </w:r>
    </w:p>
    <w:p>
      <w:pPr>
        <w:spacing w:after="0" w:line="4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1" w:name="page32"/>
    <w:bookmarkEnd w:id="3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 Business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 xml:space="preserve">RECONCILIATION OF NON-GAAP FINANCIAL MEASURES </w:t>
      </w:r>
      <w:r>
        <w:rPr>
          <w:rFonts w:ascii="Verdana" w:cs="Verdana" w:eastAsia="Verdana" w:hAnsi="Verdana"/>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rPr>
          <w:sz w:val="20"/>
          <w:szCs w:val="20"/>
          <w:color w:val="auto"/>
        </w:rPr>
      </w:pPr>
      <w:r>
        <w:rPr>
          <w:rFonts w:ascii="Verdana" w:cs="Verdana" w:eastAsia="Verdana" w:hAnsi="Verdana"/>
          <w:sz w:val="18"/>
          <w:szCs w:val="18"/>
          <w:b w:val="1"/>
          <w:bCs w:val="1"/>
          <w:color w:val="auto"/>
        </w:rPr>
        <w:t>Core Loans, Core Loans to Portfolio Loans,</w:t>
      </w:r>
    </w:p>
    <w:p>
      <w:pPr>
        <w:jc w:val="center"/>
        <w:spacing w:after="0"/>
        <w:rPr>
          <w:sz w:val="20"/>
          <w:szCs w:val="20"/>
          <w:color w:val="auto"/>
        </w:rPr>
      </w:pPr>
      <w:r>
        <w:rPr>
          <w:rFonts w:ascii="Verdana" w:cs="Verdana" w:eastAsia="Verdana" w:hAnsi="Verdana"/>
          <w:sz w:val="18"/>
          <w:szCs w:val="18"/>
          <w:b w:val="1"/>
          <w:bCs w:val="1"/>
          <w:color w:val="auto"/>
        </w:rPr>
        <w:t>Core Deposits, Core Deposits to Total Deposits, and Core Loans to Core Deposits</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1032"/>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5120" w:type="dxa"/>
            <w:vAlign w:val="bottom"/>
            <w:tcBorders>
              <w:bottom w:val="single" w:sz="8" w:color="E0E7ED"/>
            </w:tcBorders>
          </w:tcPr>
          <w:p>
            <w:pPr>
              <w:spacing w:after="0"/>
              <w:rPr>
                <w:sz w:val="14"/>
                <w:szCs w:val="14"/>
                <w:color w:val="auto"/>
              </w:rPr>
            </w:pPr>
          </w:p>
        </w:tc>
        <w:tc>
          <w:tcPr>
            <w:tcW w:w="25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2"/>
              <w:spacing w:after="0"/>
              <w:rPr>
                <w:sz w:val="20"/>
                <w:szCs w:val="20"/>
                <w:color w:val="auto"/>
              </w:rPr>
            </w:pPr>
            <w:r>
              <w:rPr>
                <w:rFonts w:ascii="Verdana" w:cs="Verdana" w:eastAsia="Verdana" w:hAnsi="Verdana"/>
                <w:sz w:val="13"/>
                <w:szCs w:val="13"/>
                <w:b w:val="1"/>
                <w:bCs w:val="1"/>
                <w:color w:val="auto"/>
              </w:rPr>
              <w:t>2022</w:t>
            </w:r>
          </w:p>
        </w:tc>
      </w:tr>
      <w:tr>
        <w:trPr>
          <w:trHeight w:val="269"/>
        </w:trPr>
        <w:tc>
          <w:tcPr>
            <w:tcW w:w="5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Portfolio loans</w:t>
            </w:r>
          </w:p>
        </w:tc>
        <w:tc>
          <w:tcPr>
            <w:tcW w:w="2520" w:type="dxa"/>
            <w:vAlign w:val="bottom"/>
            <w:shd w:val="clear" w:color="auto" w:fill="E0E7ED"/>
          </w:tcPr>
          <w:p>
            <w:pPr>
              <w:ind w:left="1740"/>
              <w:spacing w:after="0"/>
              <w:rPr>
                <w:sz w:val="20"/>
                <w:szCs w:val="20"/>
                <w:color w:val="auto"/>
              </w:rPr>
            </w:pPr>
            <w:r>
              <w:rPr>
                <w:rFonts w:ascii="Verdana" w:cs="Verdana" w:eastAsia="Verdana" w:hAnsi="Verdana"/>
                <w:sz w:val="18"/>
                <w:szCs w:val="18"/>
                <w:color w:val="auto"/>
              </w:rPr>
              <w:t>[a]</w:t>
            </w: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7,651,034</w:t>
            </w:r>
          </w:p>
        </w:tc>
        <w:tc>
          <w:tcPr>
            <w:tcW w:w="80" w:type="dxa"/>
            <w:vAlign w:val="bottom"/>
            <w:shd w:val="clear" w:color="auto" w:fill="E0E7ED"/>
          </w:tcPr>
          <w:p>
            <w:pPr>
              <w:spacing w:after="0"/>
              <w:rPr>
                <w:sz w:val="23"/>
                <w:szCs w:val="23"/>
                <w:color w:val="auto"/>
              </w:rPr>
            </w:pP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7,725,702</w:t>
            </w:r>
          </w:p>
        </w:tc>
      </w:tr>
      <w:tr>
        <w:trPr>
          <w:trHeight w:val="263"/>
        </w:trPr>
        <w:tc>
          <w:tcPr>
            <w:tcW w:w="512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2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0"/>
        </w:trPr>
        <w:tc>
          <w:tcPr>
            <w:tcW w:w="5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PPP loans amortized cost</w:t>
            </w:r>
          </w:p>
        </w:tc>
        <w:tc>
          <w:tcPr>
            <w:tcW w:w="252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ind w:right="135"/>
              <w:spacing w:after="0"/>
              <w:rPr>
                <w:sz w:val="20"/>
                <w:szCs w:val="20"/>
                <w:color w:val="auto"/>
              </w:rPr>
            </w:pPr>
            <w:r>
              <w:rPr>
                <w:rFonts w:ascii="Verdana" w:cs="Verdana" w:eastAsia="Verdana" w:hAnsi="Verdana"/>
                <w:sz w:val="18"/>
                <w:szCs w:val="18"/>
                <w:color w:val="auto"/>
              </w:rPr>
              <w:t>(313)</w:t>
            </w:r>
          </w:p>
        </w:tc>
        <w:tc>
          <w:tcPr>
            <w:tcW w:w="8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(845)</w:t>
            </w:r>
          </w:p>
        </w:tc>
      </w:tr>
      <w:tr>
        <w:trPr>
          <w:trHeight w:val="270"/>
        </w:trPr>
        <w:tc>
          <w:tcPr>
            <w:tcW w:w="5120" w:type="dxa"/>
            <w:vAlign w:val="bottom"/>
          </w:tcPr>
          <w:p>
            <w:pPr>
              <w:ind w:left="20"/>
              <w:spacing w:after="0"/>
              <w:rPr>
                <w:sz w:val="20"/>
                <w:szCs w:val="20"/>
                <w:color w:val="auto"/>
              </w:rPr>
            </w:pPr>
            <w:r>
              <w:rPr>
                <w:rFonts w:ascii="Verdana" w:cs="Verdana" w:eastAsia="Verdana" w:hAnsi="Verdana"/>
                <w:sz w:val="18"/>
                <w:szCs w:val="18"/>
                <w:color w:val="auto"/>
              </w:rPr>
              <w:t>Core loans</w:t>
            </w:r>
          </w:p>
        </w:tc>
        <w:tc>
          <w:tcPr>
            <w:tcW w:w="2520" w:type="dxa"/>
            <w:vAlign w:val="bottom"/>
          </w:tcPr>
          <w:p>
            <w:pPr>
              <w:ind w:left="1740"/>
              <w:spacing w:after="0"/>
              <w:rPr>
                <w:sz w:val="20"/>
                <w:szCs w:val="20"/>
                <w:color w:val="auto"/>
              </w:rPr>
            </w:pPr>
            <w:r>
              <w:rPr>
                <w:rFonts w:ascii="Verdana" w:cs="Verdana" w:eastAsia="Verdana" w:hAnsi="Verdana"/>
                <w:sz w:val="18"/>
                <w:szCs w:val="18"/>
                <w:color w:val="auto"/>
              </w:rPr>
              <w:t>[b]</w:t>
            </w:r>
          </w:p>
        </w:tc>
        <w:tc>
          <w:tcPr>
            <w:tcW w:w="28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7,650,721</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4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7,724,857</w:t>
            </w:r>
          </w:p>
        </w:tc>
      </w:tr>
      <w:tr>
        <w:trPr>
          <w:trHeight w:val="20"/>
        </w:trPr>
        <w:tc>
          <w:tcPr>
            <w:tcW w:w="5120" w:type="dxa"/>
            <w:vAlign w:val="bottom"/>
            <w:tcBorders>
              <w:bottom w:val="single" w:sz="8" w:color="E0E7ED"/>
            </w:tcBorders>
          </w:tcPr>
          <w:p>
            <w:pPr>
              <w:spacing w:after="0" w:line="20" w:lineRule="exact"/>
              <w:rPr>
                <w:sz w:val="1"/>
                <w:szCs w:val="1"/>
                <w:color w:val="auto"/>
              </w:rPr>
            </w:pPr>
          </w:p>
        </w:tc>
        <w:tc>
          <w:tcPr>
            <w:tcW w:w="252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5120" w:type="dxa"/>
            <w:vAlign w:val="bottom"/>
            <w:shd w:val="clear" w:color="auto" w:fill="E0E7ED"/>
          </w:tcPr>
          <w:p>
            <w:pPr>
              <w:spacing w:after="0"/>
              <w:rPr>
                <w:sz w:val="20"/>
                <w:szCs w:val="20"/>
                <w:color w:val="auto"/>
              </w:rPr>
            </w:pPr>
          </w:p>
        </w:tc>
        <w:tc>
          <w:tcPr>
            <w:tcW w:w="252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r>
      <w:tr>
        <w:trPr>
          <w:trHeight w:val="263"/>
        </w:trPr>
        <w:tc>
          <w:tcPr>
            <w:tcW w:w="5120" w:type="dxa"/>
            <w:vAlign w:val="bottom"/>
          </w:tcPr>
          <w:p>
            <w:pPr>
              <w:ind w:left="20"/>
              <w:spacing w:after="0"/>
              <w:rPr>
                <w:sz w:val="20"/>
                <w:szCs w:val="20"/>
                <w:color w:val="auto"/>
              </w:rPr>
            </w:pPr>
            <w:r>
              <w:rPr>
                <w:rFonts w:ascii="Verdana" w:cs="Verdana" w:eastAsia="Verdana" w:hAnsi="Verdana"/>
                <w:sz w:val="18"/>
                <w:szCs w:val="18"/>
                <w:b w:val="1"/>
                <w:bCs w:val="1"/>
                <w:color w:val="auto"/>
              </w:rPr>
              <w:t>Total deposits</w:t>
            </w:r>
          </w:p>
        </w:tc>
        <w:tc>
          <w:tcPr>
            <w:tcW w:w="2520" w:type="dxa"/>
            <w:vAlign w:val="bottom"/>
          </w:tcPr>
          <w:p>
            <w:pPr>
              <w:ind w:left="1740"/>
              <w:spacing w:after="0"/>
              <w:rPr>
                <w:sz w:val="20"/>
                <w:szCs w:val="20"/>
                <w:color w:val="auto"/>
              </w:rPr>
            </w:pPr>
            <w:r>
              <w:rPr>
                <w:rFonts w:ascii="Verdana" w:cs="Verdana" w:eastAsia="Verdana" w:hAnsi="Verdana"/>
                <w:sz w:val="18"/>
                <w:szCs w:val="18"/>
                <w:color w:val="auto"/>
              </w:rPr>
              <w:t>[c]</w:t>
            </w: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tcPr>
          <w:p>
            <w:pPr>
              <w:jc w:val="right"/>
              <w:ind w:right="195"/>
              <w:spacing w:after="0"/>
              <w:rPr>
                <w:sz w:val="20"/>
                <w:szCs w:val="20"/>
                <w:color w:val="auto"/>
              </w:rPr>
            </w:pPr>
            <w:r>
              <w:rPr>
                <w:rFonts w:ascii="Verdana" w:cs="Verdana" w:eastAsia="Verdana" w:hAnsi="Verdana"/>
                <w:sz w:val="18"/>
                <w:szCs w:val="18"/>
                <w:color w:val="auto"/>
              </w:rPr>
              <w:t>10,291,156</w:t>
            </w:r>
          </w:p>
        </w:tc>
        <w:tc>
          <w:tcPr>
            <w:tcW w:w="8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10,071,280</w:t>
            </w:r>
          </w:p>
        </w:tc>
      </w:tr>
      <w:tr>
        <w:trPr>
          <w:trHeight w:val="277"/>
        </w:trPr>
        <w:tc>
          <w:tcPr>
            <w:tcW w:w="5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252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r>
      <w:tr>
        <w:trPr>
          <w:trHeight w:val="263"/>
        </w:trPr>
        <w:tc>
          <w:tcPr>
            <w:tcW w:w="5120" w:type="dxa"/>
            <w:vAlign w:val="bottom"/>
          </w:tcPr>
          <w:p>
            <w:pPr>
              <w:ind w:left="180"/>
              <w:spacing w:after="0"/>
              <w:rPr>
                <w:sz w:val="20"/>
                <w:szCs w:val="20"/>
                <w:color w:val="auto"/>
              </w:rPr>
            </w:pPr>
            <w:r>
              <w:rPr>
                <w:rFonts w:ascii="Verdana" w:cs="Verdana" w:eastAsia="Verdana" w:hAnsi="Verdana"/>
                <w:sz w:val="18"/>
                <w:szCs w:val="18"/>
                <w:color w:val="auto"/>
              </w:rPr>
              <w:t>Brokered transaction accounts</w:t>
            </w:r>
          </w:p>
        </w:tc>
        <w:tc>
          <w:tcPr>
            <w:tcW w:w="2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135"/>
              <w:spacing w:after="0"/>
              <w:rPr>
                <w:sz w:val="20"/>
                <w:szCs w:val="20"/>
                <w:color w:val="auto"/>
              </w:rPr>
            </w:pPr>
            <w:r>
              <w:rPr>
                <w:rFonts w:ascii="Verdana" w:cs="Verdana" w:eastAsia="Verdana" w:hAnsi="Verdana"/>
                <w:sz w:val="18"/>
                <w:szCs w:val="18"/>
                <w:color w:val="auto"/>
              </w:rPr>
              <w:t>(6,001)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132"/>
              <w:spacing w:after="0"/>
              <w:rPr>
                <w:sz w:val="20"/>
                <w:szCs w:val="20"/>
                <w:color w:val="auto"/>
              </w:rPr>
            </w:pPr>
            <w:r>
              <w:rPr>
                <w:rFonts w:ascii="Verdana" w:cs="Verdana" w:eastAsia="Verdana" w:hAnsi="Verdana"/>
                <w:sz w:val="18"/>
                <w:szCs w:val="18"/>
                <w:color w:val="auto"/>
              </w:rPr>
              <w:t>(1,303)</w:t>
            </w:r>
          </w:p>
        </w:tc>
      </w:tr>
      <w:tr>
        <w:trPr>
          <w:trHeight w:val="270"/>
        </w:trPr>
        <w:tc>
          <w:tcPr>
            <w:tcW w:w="5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Time deposits of $250,000 or more</w:t>
            </w:r>
          </w:p>
        </w:tc>
        <w:tc>
          <w:tcPr>
            <w:tcW w:w="252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ind w:right="135"/>
              <w:spacing w:after="0"/>
              <w:rPr>
                <w:sz w:val="20"/>
                <w:szCs w:val="20"/>
                <w:color w:val="auto"/>
              </w:rPr>
            </w:pPr>
            <w:r>
              <w:rPr>
                <w:rFonts w:ascii="Verdana" w:cs="Verdana" w:eastAsia="Verdana" w:hAnsi="Verdana"/>
                <w:sz w:val="18"/>
                <w:szCs w:val="18"/>
                <w:color w:val="auto"/>
              </w:rPr>
              <w:t>(386,286)</w:t>
            </w:r>
          </w:p>
        </w:tc>
        <w:tc>
          <w:tcPr>
            <w:tcW w:w="8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(120,377)</w:t>
            </w:r>
          </w:p>
        </w:tc>
      </w:tr>
      <w:tr>
        <w:trPr>
          <w:trHeight w:val="270"/>
        </w:trPr>
        <w:tc>
          <w:tcPr>
            <w:tcW w:w="5120" w:type="dxa"/>
            <w:vAlign w:val="bottom"/>
          </w:tcPr>
          <w:p>
            <w:pPr>
              <w:ind w:left="20"/>
              <w:spacing w:after="0"/>
              <w:rPr>
                <w:sz w:val="20"/>
                <w:szCs w:val="20"/>
                <w:color w:val="auto"/>
              </w:rPr>
            </w:pPr>
            <w:r>
              <w:rPr>
                <w:rFonts w:ascii="Verdana" w:cs="Verdana" w:eastAsia="Verdana" w:hAnsi="Verdana"/>
                <w:sz w:val="18"/>
                <w:szCs w:val="18"/>
                <w:color w:val="auto"/>
              </w:rPr>
              <w:t>Core deposits</w:t>
            </w:r>
          </w:p>
        </w:tc>
        <w:tc>
          <w:tcPr>
            <w:tcW w:w="2520" w:type="dxa"/>
            <w:vAlign w:val="bottom"/>
          </w:tcPr>
          <w:p>
            <w:pPr>
              <w:ind w:left="1740"/>
              <w:spacing w:after="0"/>
              <w:rPr>
                <w:sz w:val="20"/>
                <w:szCs w:val="20"/>
                <w:color w:val="auto"/>
              </w:rPr>
            </w:pPr>
            <w:r>
              <w:rPr>
                <w:rFonts w:ascii="Verdana" w:cs="Verdana" w:eastAsia="Verdana" w:hAnsi="Verdana"/>
                <w:sz w:val="18"/>
                <w:szCs w:val="18"/>
                <w:color w:val="auto"/>
              </w:rPr>
              <w:t>[d]</w:t>
            </w:r>
          </w:p>
        </w:tc>
        <w:tc>
          <w:tcPr>
            <w:tcW w:w="28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148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9,898,869</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4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9,949,600</w:t>
            </w:r>
          </w:p>
        </w:tc>
      </w:tr>
      <w:tr>
        <w:trPr>
          <w:trHeight w:val="20"/>
        </w:trPr>
        <w:tc>
          <w:tcPr>
            <w:tcW w:w="5120" w:type="dxa"/>
            <w:vAlign w:val="bottom"/>
            <w:tcBorders>
              <w:bottom w:val="single" w:sz="8" w:color="E0E7ED"/>
            </w:tcBorders>
          </w:tcPr>
          <w:p>
            <w:pPr>
              <w:spacing w:after="0" w:line="20" w:lineRule="exact"/>
              <w:rPr>
                <w:sz w:val="1"/>
                <w:szCs w:val="1"/>
                <w:color w:val="auto"/>
              </w:rPr>
            </w:pPr>
          </w:p>
        </w:tc>
        <w:tc>
          <w:tcPr>
            <w:tcW w:w="252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5120" w:type="dxa"/>
            <w:vAlign w:val="bottom"/>
            <w:shd w:val="clear" w:color="auto" w:fill="E0E7ED"/>
          </w:tcPr>
          <w:p>
            <w:pPr>
              <w:spacing w:after="0"/>
              <w:rPr>
                <w:sz w:val="20"/>
                <w:szCs w:val="20"/>
                <w:color w:val="auto"/>
              </w:rPr>
            </w:pPr>
          </w:p>
        </w:tc>
        <w:tc>
          <w:tcPr>
            <w:tcW w:w="252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r>
      <w:tr>
        <w:trPr>
          <w:trHeight w:val="263"/>
        </w:trPr>
        <w:tc>
          <w:tcPr>
            <w:tcW w:w="5120" w:type="dxa"/>
            <w:vAlign w:val="bottom"/>
          </w:tcPr>
          <w:p>
            <w:pPr>
              <w:ind w:left="20"/>
              <w:spacing w:after="0"/>
              <w:rPr>
                <w:sz w:val="20"/>
                <w:szCs w:val="20"/>
                <w:color w:val="auto"/>
              </w:rPr>
            </w:pPr>
            <w:r>
              <w:rPr>
                <w:rFonts w:ascii="Verdana" w:cs="Verdana" w:eastAsia="Verdana" w:hAnsi="Verdana"/>
                <w:sz w:val="18"/>
                <w:szCs w:val="18"/>
                <w:b w:val="1"/>
                <w:bCs w:val="1"/>
                <w:color w:val="auto"/>
              </w:rPr>
              <w:t>RATIOS</w:t>
            </w:r>
          </w:p>
        </w:tc>
        <w:tc>
          <w:tcPr>
            <w:tcW w:w="2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5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Core loans to portfolio loans</w:t>
            </w:r>
          </w:p>
        </w:tc>
        <w:tc>
          <w:tcPr>
            <w:tcW w:w="2520" w:type="dxa"/>
            <w:vAlign w:val="bottom"/>
            <w:shd w:val="clear" w:color="auto" w:fill="E0E7ED"/>
          </w:tcPr>
          <w:p>
            <w:pPr>
              <w:ind w:left="1740"/>
              <w:spacing w:after="0"/>
              <w:rPr>
                <w:sz w:val="20"/>
                <w:szCs w:val="20"/>
                <w:color w:val="auto"/>
              </w:rPr>
            </w:pPr>
            <w:r>
              <w:rPr>
                <w:rFonts w:ascii="Verdana" w:cs="Verdana" w:eastAsia="Verdana" w:hAnsi="Verdana"/>
                <w:sz w:val="18"/>
                <w:szCs w:val="18"/>
                <w:color w:val="auto"/>
              </w:rPr>
              <w:t>[b÷a]</w:t>
            </w: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100.00 %</w:t>
            </w:r>
          </w:p>
        </w:tc>
        <w:tc>
          <w:tcPr>
            <w:tcW w:w="8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99.99 %</w:t>
            </w:r>
          </w:p>
        </w:tc>
      </w:tr>
      <w:tr>
        <w:trPr>
          <w:trHeight w:val="263"/>
        </w:trPr>
        <w:tc>
          <w:tcPr>
            <w:tcW w:w="5120" w:type="dxa"/>
            <w:vAlign w:val="bottom"/>
          </w:tcPr>
          <w:p>
            <w:pPr>
              <w:ind w:left="20"/>
              <w:spacing w:after="0"/>
              <w:rPr>
                <w:sz w:val="20"/>
                <w:szCs w:val="20"/>
                <w:color w:val="auto"/>
              </w:rPr>
            </w:pPr>
            <w:r>
              <w:rPr>
                <w:rFonts w:ascii="Verdana" w:cs="Verdana" w:eastAsia="Verdana" w:hAnsi="Verdana"/>
                <w:sz w:val="18"/>
                <w:szCs w:val="18"/>
                <w:color w:val="auto"/>
              </w:rPr>
              <w:t>Core deposits to total deposits</w:t>
            </w:r>
          </w:p>
        </w:tc>
        <w:tc>
          <w:tcPr>
            <w:tcW w:w="2520" w:type="dxa"/>
            <w:vAlign w:val="bottom"/>
          </w:tcPr>
          <w:p>
            <w:pPr>
              <w:ind w:left="1740"/>
              <w:spacing w:after="0"/>
              <w:rPr>
                <w:sz w:val="20"/>
                <w:szCs w:val="20"/>
                <w:color w:val="auto"/>
              </w:rPr>
            </w:pPr>
            <w:r>
              <w:rPr>
                <w:rFonts w:ascii="Verdana" w:cs="Verdana" w:eastAsia="Verdana" w:hAnsi="Verdana"/>
                <w:sz w:val="18"/>
                <w:szCs w:val="18"/>
                <w:color w:val="auto"/>
              </w:rPr>
              <w:t>[d÷c]</w:t>
            </w:r>
          </w:p>
        </w:tc>
        <w:tc>
          <w:tcPr>
            <w:tcW w:w="2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96.19 %</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98.79 %</w:t>
            </w:r>
          </w:p>
        </w:tc>
      </w:tr>
      <w:tr>
        <w:trPr>
          <w:trHeight w:val="277"/>
        </w:trPr>
        <w:tc>
          <w:tcPr>
            <w:tcW w:w="5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Core loans to core deposits</w:t>
            </w:r>
          </w:p>
        </w:tc>
        <w:tc>
          <w:tcPr>
            <w:tcW w:w="2520" w:type="dxa"/>
            <w:vAlign w:val="bottom"/>
            <w:shd w:val="clear" w:color="auto" w:fill="E0E7ED"/>
          </w:tcPr>
          <w:p>
            <w:pPr>
              <w:ind w:left="1740"/>
              <w:spacing w:after="0"/>
              <w:rPr>
                <w:sz w:val="20"/>
                <w:szCs w:val="20"/>
                <w:color w:val="auto"/>
              </w:rPr>
            </w:pPr>
            <w:r>
              <w:rPr>
                <w:rFonts w:ascii="Verdana" w:cs="Verdana" w:eastAsia="Verdana" w:hAnsi="Verdana"/>
                <w:sz w:val="18"/>
                <w:szCs w:val="18"/>
                <w:color w:val="auto"/>
              </w:rPr>
              <w:t>[b÷d]</w:t>
            </w: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77.29 %</w:t>
            </w:r>
          </w:p>
        </w:tc>
        <w:tc>
          <w:tcPr>
            <w:tcW w:w="8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77.64 %</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2" w:name="page33"/>
    <w:bookmarkEnd w:id="3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Item 1. Business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SPECIAL CAUTIONARY NOTE REGARDING FORWARD-LOOKING STATEMENTS</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Statements contained in or incorporated by reference into this Annual Report that are not historical facts may constitute forward-looking statements within the meaning of Section 27A Securities Act, and Section 21E of the Exchange Act. These forward-looking statements are covered by the safe harbor provisions for forward-looking statements contained in the Private Securities Litigation Reform Act of 1995. These statements, which are based on certain assumptions and estimates and describe our future plans, strategies, and expectations, can generally be identified by the use of the words “may,” “will,” “should,” “could,” “would,” “goal,” “plan,” “potential,” “estimate,” “project,” “believe,” “intend,” “anticipate,” “expect,” “target,” “aim” and similar expressions. These forward-looking statements include statements relating to our projected growth, anticipated future financial performance, financial condition, credit quality, and management’s long-term performance goals, as well as statements relating to the anticipated effects on results of operations and financial condition from expected developments or events, our business and growth strategies, and any other statements that are not historical facts.</w:t>
      </w:r>
    </w:p>
    <w:p>
      <w:pPr>
        <w:spacing w:after="0" w:line="1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These forward-looking statements are subject to significant risks, assumptions, and uncertainties, and could be affected by many factors. Factors that could have a material adverse effect on our financial condition, results of operations, and future prospects can be found under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1A. Risk Factors</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in this Annual Report and elsewhere in our periodic and current reports filed with the SEC. These factors include, but are not limited to, the following:</w:t>
      </w:r>
    </w:p>
    <w:p>
      <w:pPr>
        <w:spacing w:after="0" w:line="171" w:lineRule="exact"/>
        <w:rPr>
          <w:sz w:val="20"/>
          <w:szCs w:val="20"/>
          <w:color w:val="auto"/>
        </w:rPr>
      </w:pPr>
    </w:p>
    <w:p>
      <w:pPr>
        <w:ind w:left="660" w:hanging="328"/>
        <w:spacing w:after="0" w:line="254" w:lineRule="auto"/>
        <w:tabs>
          <w:tab w:leader="none" w:pos="651"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the possibility that any of the anticipated benefits of the proposed transaction between Busey and M&amp;M will not be realized or will not be realized within the expected time period;</w:t>
      </w:r>
    </w:p>
    <w:p>
      <w:pPr>
        <w:spacing w:after="0" w:line="144" w:lineRule="exact"/>
        <w:rPr>
          <w:rFonts w:ascii="Verdana" w:cs="Verdana" w:eastAsia="Verdana" w:hAnsi="Verdana"/>
          <w:sz w:val="18"/>
          <w:szCs w:val="18"/>
          <w:color w:val="auto"/>
        </w:rPr>
      </w:pPr>
    </w:p>
    <w:p>
      <w:pPr>
        <w:ind w:left="660" w:right="20" w:hanging="328"/>
        <w:spacing w:after="0" w:line="254" w:lineRule="auto"/>
        <w:tabs>
          <w:tab w:leader="none" w:pos="651"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the risk that integration of operations of M&amp;M with those of Busey will be materially delayed or will be more costly or difficult than expected;</w:t>
      </w:r>
    </w:p>
    <w:p>
      <w:pPr>
        <w:spacing w:after="0" w:line="144" w:lineRule="exact"/>
        <w:rPr>
          <w:rFonts w:ascii="Verdana" w:cs="Verdana" w:eastAsia="Verdana" w:hAnsi="Verdana"/>
          <w:sz w:val="18"/>
          <w:szCs w:val="18"/>
          <w:color w:val="auto"/>
        </w:rPr>
      </w:pPr>
    </w:p>
    <w:p>
      <w:pPr>
        <w:ind w:left="640" w:hanging="308"/>
        <w:spacing w:after="0"/>
        <w:tabs>
          <w:tab w:leader="none" w:pos="640"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the inability to complete the proposed transaction due to the failure of the required approval of M&amp;M’s stockholders;</w:t>
      </w:r>
    </w:p>
    <w:p>
      <w:pPr>
        <w:spacing w:after="0" w:line="186" w:lineRule="exact"/>
        <w:rPr>
          <w:rFonts w:ascii="Verdana" w:cs="Verdana" w:eastAsia="Verdana" w:hAnsi="Verdana"/>
          <w:sz w:val="18"/>
          <w:szCs w:val="18"/>
          <w:color w:val="auto"/>
        </w:rPr>
      </w:pPr>
    </w:p>
    <w:p>
      <w:pPr>
        <w:ind w:left="660" w:hanging="328"/>
        <w:spacing w:after="0" w:line="254" w:lineRule="auto"/>
        <w:tabs>
          <w:tab w:leader="none" w:pos="651"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the failure to satisfy other conditions to completion of the proposed transaction, including receipt of required regulatory and other approvals;</w:t>
      </w:r>
    </w:p>
    <w:p>
      <w:pPr>
        <w:spacing w:after="0" w:line="144" w:lineRule="exact"/>
        <w:rPr>
          <w:rFonts w:ascii="Verdana" w:cs="Verdana" w:eastAsia="Verdana" w:hAnsi="Verdana"/>
          <w:sz w:val="18"/>
          <w:szCs w:val="18"/>
          <w:color w:val="auto"/>
        </w:rPr>
      </w:pPr>
    </w:p>
    <w:p>
      <w:pPr>
        <w:ind w:left="640" w:hanging="308"/>
        <w:spacing w:after="0"/>
        <w:tabs>
          <w:tab w:leader="none" w:pos="640"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the failure of the proposed transaction to close for any other reason;</w:t>
      </w:r>
    </w:p>
    <w:p>
      <w:pPr>
        <w:spacing w:after="0" w:line="172" w:lineRule="exact"/>
        <w:rPr>
          <w:rFonts w:ascii="Verdana" w:cs="Verdana" w:eastAsia="Verdana" w:hAnsi="Verdana"/>
          <w:sz w:val="18"/>
          <w:szCs w:val="18"/>
          <w:color w:val="auto"/>
        </w:rPr>
      </w:pPr>
    </w:p>
    <w:p>
      <w:pPr>
        <w:ind w:left="640" w:hanging="308"/>
        <w:spacing w:after="0"/>
        <w:tabs>
          <w:tab w:leader="none" w:pos="640"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the effect of the announcement of the transaction on customer relationships and operating results;</w:t>
      </w:r>
    </w:p>
    <w:p>
      <w:pPr>
        <w:spacing w:after="0" w:line="186" w:lineRule="exact"/>
        <w:rPr>
          <w:rFonts w:ascii="Verdana" w:cs="Verdana" w:eastAsia="Verdana" w:hAnsi="Verdana"/>
          <w:sz w:val="18"/>
          <w:szCs w:val="18"/>
          <w:color w:val="auto"/>
        </w:rPr>
      </w:pPr>
    </w:p>
    <w:p>
      <w:pPr>
        <w:ind w:left="660" w:right="20" w:hanging="328"/>
        <w:spacing w:after="0" w:line="254" w:lineRule="auto"/>
        <w:tabs>
          <w:tab w:leader="none" w:pos="651"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the possibility that the transaction may be more expensive to complete than anticipated, including as a result of unexpected factors or events;</w:t>
      </w:r>
    </w:p>
    <w:p>
      <w:pPr>
        <w:spacing w:after="0" w:line="144" w:lineRule="exact"/>
        <w:rPr>
          <w:rFonts w:ascii="Verdana" w:cs="Verdana" w:eastAsia="Verdana" w:hAnsi="Verdana"/>
          <w:sz w:val="18"/>
          <w:szCs w:val="18"/>
          <w:color w:val="auto"/>
        </w:rPr>
      </w:pPr>
    </w:p>
    <w:p>
      <w:pPr>
        <w:ind w:left="660" w:right="20" w:hanging="328"/>
        <w:spacing w:after="0" w:line="254" w:lineRule="auto"/>
        <w:tabs>
          <w:tab w:leader="none" w:pos="651"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the strength of the local, state, national, and international economy (including effects of inflationary pressures and supply chain constraints);</w:t>
      </w:r>
    </w:p>
    <w:p>
      <w:pPr>
        <w:spacing w:after="0" w:line="144" w:lineRule="exact"/>
        <w:rPr>
          <w:rFonts w:ascii="Verdana" w:cs="Verdana" w:eastAsia="Verdana" w:hAnsi="Verdana"/>
          <w:sz w:val="18"/>
          <w:szCs w:val="18"/>
          <w:color w:val="auto"/>
        </w:rPr>
      </w:pPr>
    </w:p>
    <w:p>
      <w:pPr>
        <w:jc w:val="both"/>
        <w:ind w:left="660" w:hanging="328"/>
        <w:spacing w:after="0" w:line="245" w:lineRule="auto"/>
        <w:tabs>
          <w:tab w:leader="none" w:pos="651"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the economic impact of any future terrorist threats or attacks, widespread disease or pandemics (including the Coronavirus Disease 2019 pandemic), or other adverse external events that could cause economic deterioration or instability in credit markets (including Russia’s invasion of Ukraine and the Israeli-Palestinian conflict);</w:t>
      </w:r>
    </w:p>
    <w:p>
      <w:pPr>
        <w:spacing w:after="0" w:line="167" w:lineRule="exact"/>
        <w:rPr>
          <w:rFonts w:ascii="Verdana" w:cs="Verdana" w:eastAsia="Verdana" w:hAnsi="Verdana"/>
          <w:sz w:val="18"/>
          <w:szCs w:val="18"/>
          <w:color w:val="auto"/>
        </w:rPr>
      </w:pPr>
    </w:p>
    <w:p>
      <w:pPr>
        <w:ind w:left="660" w:hanging="328"/>
        <w:spacing w:after="0" w:line="254" w:lineRule="auto"/>
        <w:tabs>
          <w:tab w:leader="none" w:pos="657"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changes in state and federal laws, regulations, and governmental policies concerning Busey's or M&amp;M's general business (including changes in response to the recent failures of other banks);</w:t>
      </w:r>
    </w:p>
    <w:p>
      <w:pPr>
        <w:spacing w:after="0" w:line="144" w:lineRule="exact"/>
        <w:rPr>
          <w:rFonts w:ascii="Verdana" w:cs="Verdana" w:eastAsia="Verdana" w:hAnsi="Verdana"/>
          <w:sz w:val="18"/>
          <w:szCs w:val="18"/>
          <w:color w:val="auto"/>
        </w:rPr>
      </w:pPr>
    </w:p>
    <w:p>
      <w:pPr>
        <w:ind w:left="660" w:hanging="328"/>
        <w:spacing w:after="0"/>
        <w:tabs>
          <w:tab w:leader="none" w:pos="660"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changes in accounting policies and practices;</w:t>
      </w:r>
    </w:p>
    <w:p>
      <w:pPr>
        <w:spacing w:after="0" w:line="172" w:lineRule="exact"/>
        <w:rPr>
          <w:rFonts w:ascii="Verdana" w:cs="Verdana" w:eastAsia="Verdana" w:hAnsi="Verdana"/>
          <w:sz w:val="18"/>
          <w:szCs w:val="18"/>
          <w:color w:val="auto"/>
        </w:rPr>
      </w:pPr>
    </w:p>
    <w:p>
      <w:pPr>
        <w:ind w:left="660" w:hanging="328"/>
        <w:spacing w:after="0" w:line="254" w:lineRule="auto"/>
        <w:tabs>
          <w:tab w:leader="none" w:pos="657" w:val="left"/>
        </w:tabs>
        <w:numPr>
          <w:ilvl w:val="0"/>
          <w:numId w:val="19"/>
        </w:numPr>
        <w:rPr>
          <w:rFonts w:ascii="Verdana" w:cs="Verdana" w:eastAsia="Verdana" w:hAnsi="Verdana"/>
          <w:sz w:val="18"/>
          <w:szCs w:val="18"/>
          <w:color w:val="auto"/>
        </w:rPr>
      </w:pPr>
      <w:r>
        <w:rPr>
          <w:rFonts w:ascii="Verdana" w:cs="Verdana" w:eastAsia="Verdana" w:hAnsi="Verdana"/>
          <w:sz w:val="18"/>
          <w:szCs w:val="18"/>
          <w:color w:val="auto"/>
        </w:rPr>
        <w:t>changes in interest rates and prepayment rates of Busey’s or M&amp;M's assets (including the impact of the LIBOR phase-out and the recent and potential additional rate increases by the Federal Reserve);</w:t>
      </w:r>
    </w:p>
    <w:p>
      <w:pPr>
        <w:spacing w:after="0" w:line="21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3" w:name="page34"/>
    <w:bookmarkEnd w:id="3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Item 1. Business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hanging="328"/>
        <w:spacing w:after="0" w:line="254" w:lineRule="auto"/>
        <w:tabs>
          <w:tab w:leader="none" w:pos="657"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increased competition in the financial services sector (including from non-bank competitors such as credit unions and fintech companies) and the inability to attract new customers;</w:t>
      </w:r>
    </w:p>
    <w:p>
      <w:pPr>
        <w:spacing w:after="0" w:line="144" w:lineRule="exact"/>
        <w:rPr>
          <w:rFonts w:ascii="Verdana" w:cs="Verdana" w:eastAsia="Verdana" w:hAnsi="Verdana"/>
          <w:sz w:val="18"/>
          <w:szCs w:val="18"/>
          <w:color w:val="auto"/>
        </w:rPr>
      </w:pPr>
    </w:p>
    <w:p>
      <w:pPr>
        <w:ind w:left="660" w:hanging="328"/>
        <w:spacing w:after="0"/>
        <w:tabs>
          <w:tab w:leader="none" w:pos="660"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changes in technology and the ability to develop and maintain secure and reliable electronic systems;</w:t>
      </w:r>
    </w:p>
    <w:p>
      <w:pPr>
        <w:spacing w:after="0" w:line="172" w:lineRule="exact"/>
        <w:rPr>
          <w:rFonts w:ascii="Verdana" w:cs="Verdana" w:eastAsia="Verdana" w:hAnsi="Verdana"/>
          <w:sz w:val="18"/>
          <w:szCs w:val="18"/>
          <w:color w:val="auto"/>
        </w:rPr>
      </w:pPr>
    </w:p>
    <w:p>
      <w:pPr>
        <w:ind w:left="660" w:hanging="328"/>
        <w:spacing w:after="0"/>
        <w:tabs>
          <w:tab w:leader="none" w:pos="660"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the loss of key executives or associates;</w:t>
      </w:r>
    </w:p>
    <w:p>
      <w:pPr>
        <w:spacing w:after="0" w:line="186" w:lineRule="exact"/>
        <w:rPr>
          <w:rFonts w:ascii="Verdana" w:cs="Verdana" w:eastAsia="Verdana" w:hAnsi="Verdana"/>
          <w:sz w:val="18"/>
          <w:szCs w:val="18"/>
          <w:color w:val="auto"/>
        </w:rPr>
      </w:pPr>
    </w:p>
    <w:p>
      <w:pPr>
        <w:ind w:left="660" w:hanging="328"/>
        <w:spacing w:after="0"/>
        <w:tabs>
          <w:tab w:leader="none" w:pos="660"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changes in consumer spending;</w:t>
      </w:r>
    </w:p>
    <w:p>
      <w:pPr>
        <w:spacing w:after="0" w:line="172" w:lineRule="exact"/>
        <w:rPr>
          <w:rFonts w:ascii="Verdana" w:cs="Verdana" w:eastAsia="Verdana" w:hAnsi="Verdana"/>
          <w:sz w:val="18"/>
          <w:szCs w:val="18"/>
          <w:color w:val="auto"/>
        </w:rPr>
      </w:pPr>
    </w:p>
    <w:p>
      <w:pPr>
        <w:ind w:left="660" w:hanging="328"/>
        <w:spacing w:after="0" w:line="254" w:lineRule="auto"/>
        <w:tabs>
          <w:tab w:leader="none" w:pos="657"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unexpected results of acquisitions, including the acquisition of M&amp;M and the performance of M&amp;M’s life equity loan business;</w:t>
      </w:r>
    </w:p>
    <w:p>
      <w:pPr>
        <w:spacing w:after="0" w:line="144" w:lineRule="exact"/>
        <w:rPr>
          <w:rFonts w:ascii="Verdana" w:cs="Verdana" w:eastAsia="Verdana" w:hAnsi="Verdana"/>
          <w:sz w:val="18"/>
          <w:szCs w:val="18"/>
          <w:color w:val="auto"/>
        </w:rPr>
      </w:pPr>
    </w:p>
    <w:p>
      <w:pPr>
        <w:ind w:left="660" w:hanging="328"/>
        <w:spacing w:after="0"/>
        <w:tabs>
          <w:tab w:leader="none" w:pos="660"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unexpected outcomes of existing or new litigation involving Busey or M&amp;M;</w:t>
      </w:r>
    </w:p>
    <w:p>
      <w:pPr>
        <w:spacing w:after="0" w:line="186" w:lineRule="exact"/>
        <w:rPr>
          <w:rFonts w:ascii="Verdana" w:cs="Verdana" w:eastAsia="Verdana" w:hAnsi="Verdana"/>
          <w:sz w:val="18"/>
          <w:szCs w:val="18"/>
          <w:color w:val="auto"/>
        </w:rPr>
      </w:pPr>
    </w:p>
    <w:p>
      <w:pPr>
        <w:ind w:left="660" w:hanging="328"/>
        <w:spacing w:after="0"/>
        <w:tabs>
          <w:tab w:leader="none" w:pos="660"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fluctuations in the value of securities held in Busey’s or M&amp;M’s securities portfolio;</w:t>
      </w:r>
    </w:p>
    <w:p>
      <w:pPr>
        <w:spacing w:after="0" w:line="172" w:lineRule="exact"/>
        <w:rPr>
          <w:rFonts w:ascii="Verdana" w:cs="Verdana" w:eastAsia="Verdana" w:hAnsi="Verdana"/>
          <w:sz w:val="18"/>
          <w:szCs w:val="18"/>
          <w:color w:val="auto"/>
        </w:rPr>
      </w:pPr>
    </w:p>
    <w:p>
      <w:pPr>
        <w:ind w:left="660" w:hanging="328"/>
        <w:spacing w:after="0" w:line="254" w:lineRule="auto"/>
        <w:tabs>
          <w:tab w:leader="none" w:pos="657"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concentrations within Busey’s or M&amp;M’s loan portfolio, large loans to certain borrowers, and large deposits from certain clients;</w:t>
      </w:r>
    </w:p>
    <w:p>
      <w:pPr>
        <w:spacing w:after="0" w:line="144" w:lineRule="exact"/>
        <w:rPr>
          <w:rFonts w:ascii="Verdana" w:cs="Verdana" w:eastAsia="Verdana" w:hAnsi="Verdana"/>
          <w:sz w:val="18"/>
          <w:szCs w:val="18"/>
          <w:color w:val="auto"/>
        </w:rPr>
      </w:pPr>
    </w:p>
    <w:p>
      <w:pPr>
        <w:ind w:left="660" w:hanging="328"/>
        <w:spacing w:after="0" w:line="254" w:lineRule="auto"/>
        <w:tabs>
          <w:tab w:leader="none" w:pos="657"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the concentration of large deposits from certain clients who have balances above current FDIC insurance limits and may withdraw deposits to diversify their exposure;</w:t>
      </w:r>
    </w:p>
    <w:p>
      <w:pPr>
        <w:spacing w:after="0" w:line="157" w:lineRule="exact"/>
        <w:rPr>
          <w:rFonts w:ascii="Verdana" w:cs="Verdana" w:eastAsia="Verdana" w:hAnsi="Verdana"/>
          <w:sz w:val="18"/>
          <w:szCs w:val="18"/>
          <w:color w:val="auto"/>
        </w:rPr>
      </w:pPr>
    </w:p>
    <w:p>
      <w:pPr>
        <w:ind w:left="660" w:hanging="328"/>
        <w:spacing w:after="0"/>
        <w:tabs>
          <w:tab w:leader="none" w:pos="660"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the level of non-performing assets on Busey’s or M&amp;M’s balance sheets;</w:t>
      </w:r>
    </w:p>
    <w:p>
      <w:pPr>
        <w:spacing w:after="0" w:line="172" w:lineRule="exact"/>
        <w:rPr>
          <w:rFonts w:ascii="Verdana" w:cs="Verdana" w:eastAsia="Verdana" w:hAnsi="Verdana"/>
          <w:sz w:val="18"/>
          <w:szCs w:val="18"/>
          <w:color w:val="auto"/>
        </w:rPr>
      </w:pPr>
    </w:p>
    <w:p>
      <w:pPr>
        <w:ind w:left="660" w:hanging="328"/>
        <w:spacing w:after="0"/>
        <w:tabs>
          <w:tab w:leader="none" w:pos="660"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interruptions involving information technology and communications systems or third-party servicers;</w:t>
      </w:r>
    </w:p>
    <w:p>
      <w:pPr>
        <w:spacing w:after="0" w:line="172" w:lineRule="exact"/>
        <w:rPr>
          <w:rFonts w:ascii="Verdana" w:cs="Verdana" w:eastAsia="Verdana" w:hAnsi="Verdana"/>
          <w:sz w:val="18"/>
          <w:szCs w:val="18"/>
          <w:color w:val="auto"/>
        </w:rPr>
      </w:pPr>
    </w:p>
    <w:p>
      <w:pPr>
        <w:ind w:left="660" w:hanging="328"/>
        <w:spacing w:after="0"/>
        <w:tabs>
          <w:tab w:leader="none" w:pos="660"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breaches or failures of information security controls or cybersecurity-related incidents;</w:t>
      </w:r>
    </w:p>
    <w:p>
      <w:pPr>
        <w:spacing w:after="0" w:line="186" w:lineRule="exact"/>
        <w:rPr>
          <w:rFonts w:ascii="Verdana" w:cs="Verdana" w:eastAsia="Verdana" w:hAnsi="Verdana"/>
          <w:sz w:val="18"/>
          <w:szCs w:val="18"/>
          <w:color w:val="auto"/>
        </w:rPr>
      </w:pPr>
    </w:p>
    <w:p>
      <w:pPr>
        <w:ind w:left="660" w:hanging="328"/>
        <w:spacing w:after="0" w:line="254" w:lineRule="auto"/>
        <w:tabs>
          <w:tab w:leader="none" w:pos="657"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the economic impact of exceptional weather occurrences such as tornadoes, hurricanes, floods, blizzards, and droughts; and</w:t>
      </w:r>
    </w:p>
    <w:p>
      <w:pPr>
        <w:spacing w:after="0" w:line="144" w:lineRule="exact"/>
        <w:rPr>
          <w:rFonts w:ascii="Verdana" w:cs="Verdana" w:eastAsia="Verdana" w:hAnsi="Verdana"/>
          <w:sz w:val="18"/>
          <w:szCs w:val="18"/>
          <w:color w:val="auto"/>
        </w:rPr>
      </w:pPr>
    </w:p>
    <w:p>
      <w:pPr>
        <w:ind w:left="660" w:hanging="328"/>
        <w:spacing w:after="0"/>
        <w:tabs>
          <w:tab w:leader="none" w:pos="660" w:val="left"/>
        </w:tabs>
        <w:numPr>
          <w:ilvl w:val="0"/>
          <w:numId w:val="20"/>
        </w:numPr>
        <w:rPr>
          <w:rFonts w:ascii="Verdana" w:cs="Verdana" w:eastAsia="Verdana" w:hAnsi="Verdana"/>
          <w:sz w:val="18"/>
          <w:szCs w:val="18"/>
          <w:color w:val="auto"/>
        </w:rPr>
      </w:pPr>
      <w:r>
        <w:rPr>
          <w:rFonts w:ascii="Verdana" w:cs="Verdana" w:eastAsia="Verdana" w:hAnsi="Verdana"/>
          <w:sz w:val="18"/>
          <w:szCs w:val="18"/>
          <w:color w:val="auto"/>
        </w:rPr>
        <w:t xml:space="preserve">other factors and risks described under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1A. Risk Factors</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herein.</w:t>
      </w:r>
    </w:p>
    <w:p>
      <w:pPr>
        <w:spacing w:after="0" w:line="17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Because of those risks and other uncertainties, our actual future results, performance, achievement, or industry results, may be materially different from the results indicated by these forward-looking statements. In addition, our past results of operations are not necessarily indicative of our future results.</w:t>
      </w:r>
    </w:p>
    <w:p>
      <w:pPr>
        <w:spacing w:after="0" w:line="16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You should not place undue reliance on any forward-looking statements, which speak only as of the dates on which they were made. We are not undertaking an obligation to update these forward-looking statements, even though circumstances may change in the future, except as required under federal securities law. We qualify all of our forward-looking statements by these cautionary statements.</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4" w:name="page35"/>
    <w:bookmarkEnd w:id="3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1A. RISK FACTORS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This section highlights the risks management believes could adversely affect our financial performance. Additional possible risks that could affect Busey adversely and cannot be predicted may arise at any time. Other risks that are immaterial at this time may also have an adverse impact on our future financial condition.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40" w:type="dxa"/>
            <w:vAlign w:val="bottom"/>
          </w:tcPr>
          <w:p>
            <w:pPr>
              <w:spacing w:after="0"/>
              <w:rPr>
                <w:sz w:val="20"/>
                <w:szCs w:val="20"/>
                <w:color w:val="auto"/>
              </w:rPr>
            </w:pPr>
            <w:r>
              <w:rPr>
                <w:rFonts w:ascii="Verdana" w:cs="Verdana" w:eastAsia="Verdana" w:hAnsi="Verdana"/>
                <w:sz w:val="18"/>
                <w:szCs w:val="18"/>
                <w:b w:val="1"/>
                <w:bCs w:val="1"/>
                <w:color w:val="auto"/>
              </w:rPr>
              <w:t>Contents of Item 1A. Risk Factors</w:t>
            </w:r>
          </w:p>
        </w:tc>
        <w:tc>
          <w:tcPr>
            <w:tcW w:w="3980" w:type="dxa"/>
            <w:vAlign w:val="bottom"/>
          </w:tcPr>
          <w:p>
            <w:pPr>
              <w:spacing w:after="0"/>
              <w:rPr>
                <w:sz w:val="20"/>
                <w:szCs w:val="20"/>
                <w:color w:val="auto"/>
              </w:rPr>
            </w:pPr>
          </w:p>
        </w:tc>
      </w:tr>
      <w:tr>
        <w:trPr>
          <w:trHeight w:val="459"/>
        </w:trPr>
        <w:tc>
          <w:tcPr>
            <w:tcW w:w="7240" w:type="dxa"/>
            <w:vAlign w:val="bottom"/>
          </w:tcPr>
          <w:p>
            <w:pPr>
              <w:ind w:left="20"/>
              <w:spacing w:after="0"/>
              <w:rPr>
                <w:sz w:val="20"/>
                <w:szCs w:val="20"/>
                <w:color w:val="auto"/>
              </w:rPr>
            </w:pPr>
            <w:r>
              <w:rPr>
                <w:rFonts w:ascii="Verdana" w:cs="Verdana" w:eastAsia="Verdana" w:hAnsi="Verdana"/>
                <w:sz w:val="18"/>
                <w:szCs w:val="18"/>
                <w:color w:val="auto"/>
              </w:rPr>
              <w:t>ECONOMIC AND MARKET RISKS</w:t>
            </w:r>
          </w:p>
        </w:tc>
        <w:tc>
          <w:tcPr>
            <w:tcW w:w="3980" w:type="dxa"/>
            <w:vAlign w:val="bottom"/>
          </w:tcPr>
          <w:p>
            <w:pPr>
              <w:jc w:val="right"/>
              <w:spacing w:after="0"/>
              <w:rPr>
                <w:sz w:val="20"/>
                <w:szCs w:val="20"/>
                <w:color w:val="auto"/>
              </w:rPr>
            </w:pPr>
            <w:r>
              <w:rPr>
                <w:rFonts w:ascii="Verdana" w:cs="Verdana" w:eastAsia="Verdana" w:hAnsi="Verdana"/>
                <w:sz w:val="18"/>
                <w:szCs w:val="18"/>
                <w:color w:val="auto"/>
              </w:rPr>
              <w:t>35</w:t>
            </w:r>
          </w:p>
        </w:tc>
      </w:tr>
      <w:tr>
        <w:trPr>
          <w:trHeight w:val="283"/>
        </w:trPr>
        <w:tc>
          <w:tcPr>
            <w:tcW w:w="7240" w:type="dxa"/>
            <w:vAlign w:val="bottom"/>
          </w:tcPr>
          <w:p>
            <w:pPr>
              <w:ind w:left="20"/>
              <w:spacing w:after="0"/>
              <w:rPr>
                <w:sz w:val="20"/>
                <w:szCs w:val="20"/>
                <w:color w:val="auto"/>
              </w:rPr>
            </w:pPr>
            <w:r>
              <w:rPr>
                <w:rFonts w:ascii="Verdana" w:cs="Verdana" w:eastAsia="Verdana" w:hAnsi="Verdana"/>
                <w:sz w:val="18"/>
                <w:szCs w:val="18"/>
                <w:color w:val="auto"/>
              </w:rPr>
              <w:t>REGULATORY AND LEGAL RISKS</w:t>
            </w:r>
          </w:p>
        </w:tc>
        <w:tc>
          <w:tcPr>
            <w:tcW w:w="3980" w:type="dxa"/>
            <w:vAlign w:val="bottom"/>
          </w:tcPr>
          <w:p>
            <w:pPr>
              <w:jc w:val="right"/>
              <w:spacing w:after="0"/>
              <w:rPr>
                <w:sz w:val="20"/>
                <w:szCs w:val="20"/>
                <w:color w:val="auto"/>
              </w:rPr>
            </w:pPr>
            <w:r>
              <w:rPr>
                <w:rFonts w:ascii="Verdana" w:cs="Verdana" w:eastAsia="Verdana" w:hAnsi="Verdana"/>
                <w:sz w:val="18"/>
                <w:szCs w:val="18"/>
                <w:color w:val="auto"/>
              </w:rPr>
              <w:t>37</w:t>
            </w:r>
          </w:p>
        </w:tc>
      </w:tr>
      <w:tr>
        <w:trPr>
          <w:trHeight w:val="283"/>
        </w:trPr>
        <w:tc>
          <w:tcPr>
            <w:tcW w:w="7240" w:type="dxa"/>
            <w:vAlign w:val="bottom"/>
          </w:tcPr>
          <w:p>
            <w:pPr>
              <w:ind w:left="20"/>
              <w:spacing w:after="0"/>
              <w:rPr>
                <w:sz w:val="20"/>
                <w:szCs w:val="20"/>
                <w:color w:val="auto"/>
              </w:rPr>
            </w:pPr>
            <w:r>
              <w:rPr>
                <w:rFonts w:ascii="Verdana" w:cs="Verdana" w:eastAsia="Verdana" w:hAnsi="Verdana"/>
                <w:sz w:val="18"/>
                <w:szCs w:val="18"/>
                <w:color w:val="auto"/>
              </w:rPr>
              <w:t>CREDIT AND LENDING RISKS</w:t>
            </w:r>
          </w:p>
        </w:tc>
        <w:tc>
          <w:tcPr>
            <w:tcW w:w="3980" w:type="dxa"/>
            <w:vAlign w:val="bottom"/>
          </w:tcPr>
          <w:p>
            <w:pPr>
              <w:jc w:val="right"/>
              <w:spacing w:after="0"/>
              <w:rPr>
                <w:sz w:val="20"/>
                <w:szCs w:val="20"/>
                <w:color w:val="auto"/>
              </w:rPr>
            </w:pPr>
            <w:r>
              <w:rPr>
                <w:rFonts w:ascii="Verdana" w:cs="Verdana" w:eastAsia="Verdana" w:hAnsi="Verdana"/>
                <w:sz w:val="18"/>
                <w:szCs w:val="18"/>
                <w:color w:val="auto"/>
              </w:rPr>
              <w:t>39</w:t>
            </w:r>
          </w:p>
        </w:tc>
      </w:tr>
      <w:tr>
        <w:trPr>
          <w:trHeight w:val="283"/>
        </w:trPr>
        <w:tc>
          <w:tcPr>
            <w:tcW w:w="7240" w:type="dxa"/>
            <w:vAlign w:val="bottom"/>
          </w:tcPr>
          <w:p>
            <w:pPr>
              <w:ind w:left="20"/>
              <w:spacing w:after="0"/>
              <w:rPr>
                <w:sz w:val="20"/>
                <w:szCs w:val="20"/>
                <w:color w:val="auto"/>
              </w:rPr>
            </w:pPr>
            <w:r>
              <w:rPr>
                <w:rFonts w:ascii="Verdana" w:cs="Verdana" w:eastAsia="Verdana" w:hAnsi="Verdana"/>
                <w:sz w:val="18"/>
                <w:szCs w:val="18"/>
                <w:color w:val="auto"/>
              </w:rPr>
              <w:t>CAPITAL AND LIQUIDITY RISKS</w:t>
            </w:r>
          </w:p>
        </w:tc>
        <w:tc>
          <w:tcPr>
            <w:tcW w:w="3980" w:type="dxa"/>
            <w:vAlign w:val="bottom"/>
          </w:tcPr>
          <w:p>
            <w:pPr>
              <w:jc w:val="right"/>
              <w:spacing w:after="0"/>
              <w:rPr>
                <w:sz w:val="20"/>
                <w:szCs w:val="20"/>
                <w:color w:val="auto"/>
              </w:rPr>
            </w:pPr>
            <w:r>
              <w:rPr>
                <w:rFonts w:ascii="Verdana" w:cs="Verdana" w:eastAsia="Verdana" w:hAnsi="Verdana"/>
                <w:sz w:val="18"/>
                <w:szCs w:val="18"/>
                <w:color w:val="auto"/>
              </w:rPr>
              <w:t>41</w:t>
            </w:r>
          </w:p>
        </w:tc>
      </w:tr>
      <w:tr>
        <w:trPr>
          <w:trHeight w:val="283"/>
        </w:trPr>
        <w:tc>
          <w:tcPr>
            <w:tcW w:w="7240" w:type="dxa"/>
            <w:vAlign w:val="bottom"/>
          </w:tcPr>
          <w:p>
            <w:pPr>
              <w:ind w:left="20"/>
              <w:spacing w:after="0"/>
              <w:rPr>
                <w:sz w:val="20"/>
                <w:szCs w:val="20"/>
                <w:color w:val="auto"/>
              </w:rPr>
            </w:pPr>
            <w:r>
              <w:rPr>
                <w:rFonts w:ascii="Verdana" w:cs="Verdana" w:eastAsia="Verdana" w:hAnsi="Verdana"/>
                <w:sz w:val="18"/>
                <w:szCs w:val="18"/>
                <w:color w:val="auto"/>
              </w:rPr>
              <w:t>COMPETITIVE AND STRATEGIC RISKS</w:t>
            </w:r>
          </w:p>
        </w:tc>
        <w:tc>
          <w:tcPr>
            <w:tcW w:w="3980" w:type="dxa"/>
            <w:vAlign w:val="bottom"/>
          </w:tcPr>
          <w:p>
            <w:pPr>
              <w:jc w:val="right"/>
              <w:spacing w:after="0"/>
              <w:rPr>
                <w:sz w:val="20"/>
                <w:szCs w:val="20"/>
                <w:color w:val="auto"/>
              </w:rPr>
            </w:pPr>
            <w:r>
              <w:rPr>
                <w:rFonts w:ascii="Verdana" w:cs="Verdana" w:eastAsia="Verdana" w:hAnsi="Verdana"/>
                <w:sz w:val="18"/>
                <w:szCs w:val="18"/>
                <w:color w:val="auto"/>
              </w:rPr>
              <w:t>42</w:t>
            </w:r>
          </w:p>
        </w:tc>
      </w:tr>
      <w:tr>
        <w:trPr>
          <w:trHeight w:val="284"/>
        </w:trPr>
        <w:tc>
          <w:tcPr>
            <w:tcW w:w="7240" w:type="dxa"/>
            <w:vAlign w:val="bottom"/>
          </w:tcPr>
          <w:p>
            <w:pPr>
              <w:ind w:left="20"/>
              <w:spacing w:after="0"/>
              <w:rPr>
                <w:sz w:val="20"/>
                <w:szCs w:val="20"/>
                <w:color w:val="auto"/>
              </w:rPr>
            </w:pPr>
            <w:r>
              <w:rPr>
                <w:rFonts w:ascii="Verdana" w:cs="Verdana" w:eastAsia="Verdana" w:hAnsi="Verdana"/>
                <w:sz w:val="18"/>
                <w:szCs w:val="18"/>
                <w:color w:val="auto"/>
              </w:rPr>
              <w:t>ACCOUNTING AND TAX RISKS</w:t>
            </w:r>
          </w:p>
        </w:tc>
        <w:tc>
          <w:tcPr>
            <w:tcW w:w="3980" w:type="dxa"/>
            <w:vAlign w:val="bottom"/>
          </w:tcPr>
          <w:p>
            <w:pPr>
              <w:jc w:val="right"/>
              <w:spacing w:after="0"/>
              <w:rPr>
                <w:sz w:val="20"/>
                <w:szCs w:val="20"/>
                <w:color w:val="auto"/>
              </w:rPr>
            </w:pPr>
            <w:r>
              <w:rPr>
                <w:rFonts w:ascii="Verdana" w:cs="Verdana" w:eastAsia="Verdana" w:hAnsi="Verdana"/>
                <w:sz w:val="18"/>
                <w:szCs w:val="18"/>
                <w:color w:val="auto"/>
              </w:rPr>
              <w:t>44</w:t>
            </w:r>
          </w:p>
        </w:tc>
      </w:tr>
      <w:tr>
        <w:trPr>
          <w:trHeight w:val="283"/>
        </w:trPr>
        <w:tc>
          <w:tcPr>
            <w:tcW w:w="7240" w:type="dxa"/>
            <w:vAlign w:val="bottom"/>
          </w:tcPr>
          <w:p>
            <w:pPr>
              <w:ind w:left="20"/>
              <w:spacing w:after="0"/>
              <w:rPr>
                <w:sz w:val="20"/>
                <w:szCs w:val="20"/>
                <w:color w:val="auto"/>
              </w:rPr>
            </w:pPr>
            <w:r>
              <w:rPr>
                <w:rFonts w:ascii="Verdana" w:cs="Verdana" w:eastAsia="Verdana" w:hAnsi="Verdana"/>
                <w:sz w:val="18"/>
                <w:szCs w:val="18"/>
                <w:color w:val="auto"/>
              </w:rPr>
              <w:t>OPERATIONAL RISKS</w:t>
            </w:r>
          </w:p>
        </w:tc>
        <w:tc>
          <w:tcPr>
            <w:tcW w:w="3980" w:type="dxa"/>
            <w:vAlign w:val="bottom"/>
          </w:tcPr>
          <w:p>
            <w:pPr>
              <w:jc w:val="right"/>
              <w:spacing w:after="0"/>
              <w:rPr>
                <w:sz w:val="20"/>
                <w:szCs w:val="20"/>
                <w:color w:val="auto"/>
              </w:rPr>
            </w:pPr>
            <w:r>
              <w:rPr>
                <w:rFonts w:ascii="Verdana" w:cs="Verdana" w:eastAsia="Verdana" w:hAnsi="Verdana"/>
                <w:sz w:val="18"/>
                <w:szCs w:val="18"/>
                <w:color w:val="auto"/>
              </w:rPr>
              <w:t>45</w:t>
            </w:r>
          </w:p>
        </w:tc>
      </w:tr>
    </w:tbl>
    <w:p>
      <w:pPr>
        <w:spacing w:after="0" w:line="29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ECONOMIC AND MARKET RISKS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Conditions in the financial market and economic conditions, including conditions in the states in which it operates, generally may adversely affect Busey’s business.</w:t>
      </w:r>
    </w:p>
    <w:p>
      <w:pPr>
        <w:spacing w:after="0" w:line="14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Busey’s general financial performance is highly dependent upon the business environment in the markets where it operates and, in particular, the ability of borrowers to pay interest on, and repay principal of, outstanding loans, and value of collateral securing those loans, as well as demand for loans and other products and services it offers. A favorable business environment is generally characterized by, among other factors, economic growth, efficient capital markets, low inflation, low unemployment, high business and investor confidence, and strong business earnings. Unfavorable or uncertain economic and market conditions can be caused by declines in economic growth, business activity, or investor or business confidence; limitations on the availability or increases in the cost of credit and capital; increases in inflation or interest rates; high unemployment; natural disasters; or a combination of these or other factors.</w:t>
      </w:r>
    </w:p>
    <w:p>
      <w:pPr>
        <w:spacing w:after="0" w:line="17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Uncertainty regarding economic conditions may result in changes in consumer and business spending, borrowing, and savings habits. Downturns in the markets where our banking operations occur could result in a decrease in demand for our products and services, an increase in loan delinquencies and defaults, high or increased levels of problem assets and foreclosures, and reduced wealth management fees resulting from lower asset values. Such conditions could adversely affect the credit quality of our loans, financial condition, and results of operations.</w:t>
      </w:r>
    </w:p>
    <w:p>
      <w:pPr>
        <w:spacing w:after="0" w:line="15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currently conducts its banking operations in central and suburban Chicago, Illinois; the St. Louis, Missouri metropolitan area; central Indiana; and southwest Florida. Busey operates in markets with a significant university and healthcare presence. These industries rely heavily on state and federal funding and contracts. Timely payments by the State of Illinois to its vendors and government-sponsored entities, as well as potential federal changes to healthcare laws, could affect Busey’s primary market areas, which could in turn affect its financial condition and results of operations. A small part of Busey’s business resides in Florida, which can be affected by inclement weather.</w:t>
      </w:r>
    </w:p>
    <w:p>
      <w:pPr>
        <w:spacing w:after="0" w:line="159"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b w:val="1"/>
          <w:bCs w:val="1"/>
          <w:i w:val="1"/>
          <w:iCs w:val="1"/>
          <w:color w:val="auto"/>
        </w:rPr>
        <w:t>While high market volatility is not expected, managing “higher for longer” interest rates can put pressure on Busey’s deposit rates and liquidity.</w:t>
      </w:r>
    </w:p>
    <w:p>
      <w:pPr>
        <w:spacing w:after="0" w:line="15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Prolonged periods of high-interest rates pose several risks to Busey. Offering higher interest rates to attract deposits elevates the cost of funding. Concurrently, Busey may experience increased interest expenses on its borrowings and debt. Moreover, high-interest rates can deter borrowing and spending, potentially reducing demand for loans and impacting liquidity. In such an environment, heightened competition for deposits may necessitate maintaining competitive interest rates to retain and attract customers. Interest rates are sensitive to many factors beyond</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5" w:name="page36"/>
    <w:bookmarkEnd w:id="3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Busey’s control, including general economic conditions and policies of various governmental and regulatory agencies, such as the FOMC.</w:t>
      </w:r>
    </w:p>
    <w:p>
      <w:pPr>
        <w:spacing w:after="0" w:line="14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March 2022, the Federal Reserve initiated a series of interest rate hikes to combat inflation. After 11 successive increases, as of December 2023, the fed funds target range stood at 5.25% - 5.5%, reaching its highest level since 2001. Throughout 2023, the health of the U.S. economy improved, surpassing expectations and reducing likelihood of a recession. Despite recent positive economic indicators, certain risks persist, including record-high U.S. credit card debt and increasing delinquencies in mortgages, auto loans, and credit cards. In December 2023, the FOMC projected U.S. GDP growth to slow to 1.4% in 2024. The Federal Reserve aims for a soft landing by maintaining its 2023 plan into 2024, hoping that sustained elevated interest rates will cool the economy and alleviate inflationary pressures. These effects, combined with other considerations, could have a material impact on our business, financial condition, liquidity, and results of operations.</w:t>
      </w:r>
    </w:p>
    <w:p>
      <w:pPr>
        <w:spacing w:after="0" w:line="15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the context of the multifaceted factors influencing the U.S. economy, uncertainties loom over the persistence of inflation, exacerbated by geopolitical tensions such as the Russia-Ukraine and Israel-Hamas conflicts. Additionally, unforeseen disruptions in the global energy market and challenges in the tight labor market and supply chain add to the complexity. Earlier in the year, there was a substantial risk that central banks, including the Federal Reserve, might raise interest rates excessively, potentially constraining economic growth and triggering a recession. However, as inflation decelerated throughout the year and market data hinted at easing housing price pressures, there is potential for a positive impact on loan demand.</w:t>
      </w:r>
    </w:p>
    <w:p>
      <w:pPr>
        <w:spacing w:after="0" w:line="17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Ongoing monetary policy, including the persistence of elevated interest rates, significantly impacts not only the interest earned from loans and investment securities, as well as the interest paid on deposits and borrowings, but also influences Busey's ability to originate loans and attract deposits, and the fair value of its financial assets and liabilities. As interest rates remain elevated, intensified competition for deposits may persist, potentially altering Busey’s funding mix and cost of funding. In addition to the aforementioned risks, Busey acknowledges the potential challenges arising from falling interest rates. For example, a decrease in interest rates may adversely affect Busey’s floating rate loan portfolios, leading to a reduction in interest income. Any substantial, unexpected, and prolonged changes in market interest rates, even if they are maintained at a high level, could still have a material adverse effect on Busey’s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The combination of factors such as changes in interest rates, an adverse credit quality outlook, economic uncertainties, and geopolitical events can contribute to increased fluctuations in market values.</w:t>
      </w:r>
    </w:p>
    <w:p>
      <w:pPr>
        <w:spacing w:after="0" w:line="14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market value of investments may be affected by factors other than the underlying performance of the servicer of the securities or the mortgages underlying the securities, such as changes in the interest rate environment, negative trends in the residential and commercial real estate markets, ratings downgrades, adverse changes in the business climate, and a lack of liquidity in the secondary market for certain investment securities. On a quarterly basis, we formally evaluate investments and other assets for impairment indicators. Reduction in the value, or impairment of our investment securities, can impact our earnings and common stockholders' equity. Changes in market interest rates can affect the value of these investment securities, with increasing interest rates generally resulting in a reduction of value. Although the reduction in value from temporary increases in market rates does not affect our income until the security is sold, it does result in an unrealized loss recorded in OCI that can reduce our common stockholders’ equity. Further, we may have to record provision expense to establish an allowance for credit losses on our carried at fair value debt securities, and we must periodically test our investment securities for other-than-temporary impairment in value. In assessing whether the value of investment securities is impaired, we consider the length of time and extent to which the fair value has been less than cost, the financial condition and near-term prospects of the issuer, and the intent and ability to retain our investment in the security for a period of time sufficient to allow for any anticipated recovery in fair value in the near term.</w:t>
      </w:r>
    </w:p>
    <w:p>
      <w:pPr>
        <w:spacing w:after="0" w:line="23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6" w:name="page37"/>
    <w:bookmarkEnd w:id="3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Ongoing inflation trends pose potential risks to our business and operational performance.</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Elevated inflation poses potential risks to our business and operational performance, impacting consumer purchasing power and necessitating careful consideration of potential effects on various facets of our operations. Successful measures by the Federal Reserve in stabilizing inflation through interest rate hikes could mitigate some of these risks and positively influence loan demand and mitigate challenges to our clients' ability to repay indebtedness. It is also possible that governmental responses to the current inflation environment, such as changes to monetary and fiscal policy that are too strict, or the imposition or threatened imposition of price controls, could adversely affect our business. The duration and severity of the current inflationary period cannot be estimated with precision.</w:t>
      </w:r>
    </w:p>
    <w:p>
      <w:pPr>
        <w:spacing w:after="0" w:line="163" w:lineRule="exact"/>
        <w:rPr>
          <w:sz w:val="20"/>
          <w:szCs w:val="20"/>
          <w:color w:val="auto"/>
        </w:rPr>
      </w:pPr>
    </w:p>
    <w:p>
      <w:pPr>
        <w:ind w:right="5060"/>
        <w:spacing w:after="0" w:line="436" w:lineRule="auto"/>
        <w:rPr>
          <w:sz w:val="20"/>
          <w:szCs w:val="20"/>
          <w:color w:val="auto"/>
        </w:rPr>
      </w:pPr>
      <w:r>
        <w:rPr>
          <w:rFonts w:ascii="Verdana" w:cs="Verdana" w:eastAsia="Verdana" w:hAnsi="Verdana"/>
          <w:sz w:val="18"/>
          <w:szCs w:val="18"/>
          <w:b w:val="1"/>
          <w:bCs w:val="1"/>
          <w:color w:val="auto"/>
        </w:rPr>
        <w:t xml:space="preserve">REGULATORY AND LEGAL RISKS </w:t>
      </w:r>
      <w:r>
        <w:rPr>
          <w:rFonts w:ascii="Verdana" w:cs="Verdana" w:eastAsia="Verdana" w:hAnsi="Verdana"/>
          <w:sz w:val="18"/>
          <w:szCs w:val="18"/>
          <w:b w:val="1"/>
          <w:bCs w:val="1"/>
          <w:i w:val="1"/>
          <w:iCs w:val="1"/>
          <w:color w:val="auto"/>
        </w:rPr>
        <w:t>Election-year variables bring additional levels of uncertainty.</w:t>
      </w:r>
    </w:p>
    <w:p>
      <w:pPr>
        <w:spacing w:after="0" w:line="2"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The evolving landscape of legislative and regulatory actions, influenced by election cycles, introduces an additional layer of uncertainty for our operations. Elections can precipitate changes in government policies and regulations across various industries, potentially impacting our business. Uncertainty regarding potential changes in regulations or policies related to our industry may lead to increased costs of doing business and operational challenges. Economic conditions, including interest rates, inflation, and consumer spending, may be influenced by shifts in government leadership and policies, affecting our ability to maintain historical growth rates.</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Furthermore, the election process often introduces market volatility, impacting financial markets, currency exchange rates, and commodity prices. This volatility may pose risks to our financial performance, cost of capital, and access to funding.</w:t>
      </w:r>
    </w:p>
    <w:p>
      <w:pPr>
        <w:spacing w:after="0" w:line="15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outcomes of elections may directly affect our industry, influencing regulatory frameworks and industry dynamics. Shifts in political power may shape the competitive landscape, impacting market share and pricing strategies. Unfavorable changes in industry-specific regulations could result in increased compliance costs and operational challenges. Political events, including elections, can influence consumer and investor sentiment, affecting demand for our products and services and impacting investor confidence, which may influence our stock price and access to capital.</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addition to these challenges, and the added uncertainty related to potentially increased regulation, the financial services industry in recent years has faced more intense scrutiny from regulatory agencies in the examination process and more aggressive enforcement of regulations on both the federal and state levels, particularly with respect to mortgage-related practices; fee-based products and other consumer compliance matters; and compliance with the Bank Secrecy Act, anti-money laundering laws, and the USA PATRIOT Act, which focuses on money laundering in the form of terrorist financing. Federal law grants substantial enforcement powers to financial services’ regulators including, among other things, the ability to assess significant civil or criminal monetary penalties, fines, or restitution; to issue cease and desist orders; and to initiate injunctive actions against banking organizations. These enforcement actions may be initiated for violations of laws or regulations and for unsafe or unsound practices. If Busey were the subject of an enforcement action, it could have an adverse impact on the Company.</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As Busey continues to grow in asset size and complexity, regulatory expectations and scrutiny will increase and could have a potential impact on Busey’s operations and business.</w:t>
      </w:r>
    </w:p>
    <w:p>
      <w:pPr>
        <w:spacing w:after="0" w:line="15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has grown steadily over the past several years, increasing in size through both organic growth and strategic acquisitions. As financial institutions grow, so do the expectations of regulatory agencies regarding the financial institution’s ability to control for increasingly complex and sophisticated business operations. Certain regulations and laws have embedded asset thresholds that change regulatory expectations, have different financial statement impacts, require different committee and management compositions, or enhance certain reporting</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7" w:name="page38"/>
    <w:bookmarkEnd w:id="3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requirements. For example, as further discussed in the Supervision and Regulation section, the Dodd-Frank Act included a number of requirements that trigger when a banking entity crosses over $10 billion in assets.</w:t>
      </w:r>
    </w:p>
    <w:p>
      <w:pPr>
        <w:spacing w:after="0" w:line="14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Beginning on July 1, 2022, Busey became subject to the Durbin Amendment. The Durbin Amendment requires the Federal Reserve to establish a maximum permissible interchange fee for many types of debit transactions, which reduced Busey’s fee income during the second half of 2022 and throughout 2023. Further in August 2022, Busey became subject to oversight of the CFPB for consumer transactions. As regulatory expectations, scrutiny, and reporting requirements continue to increase, Busey’s operations and strategies may be affected.</w:t>
      </w:r>
    </w:p>
    <w:p>
      <w:pPr>
        <w:spacing w:after="0" w:line="15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Regulatory change in the areas of cybersecurity and privacy are expected to continue to evolve. Multiple regulators have released updated cyber notification requirements across Busey’s regulatory footprint that may lead to increased regulatory scrutiny and potentially increased costs. Additionally, Busey’s expansion into regions with heightened privacy requirements or passage of privacy legislation within the regions in which Busey operates may impose additional compliance burdens. These changes could necessitate adapting Busey’s practices to meet heightened privacy standards. Failure to comply with these regulations may result in financial penalties, reputational harm, and legal consequences.</w:t>
      </w:r>
    </w:p>
    <w:p>
      <w:pPr>
        <w:spacing w:after="0" w:line="172"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Laws impacting cannabis-related businesses in Illinois and other states may have an impact on Busey’s operations and risk profile.</w:t>
      </w:r>
    </w:p>
    <w:p>
      <w:pPr>
        <w:spacing w:after="0" w:line="14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Controlled Substances Act makes it illegal under federal law to manufacture, distribute, or dispense marijuana. Starting January 1, 2020, however, the Illinois Cannabis Regulation and Tax Act began permitting adults to legally purchase marijuana for recreational use from licensed dispensaries. Further, in November 2022 voters in Missouri approved a ballot initiative to legalize recreational use of cannabis. It is Busey Bank’s current practice to avoid knowingly providing banking products or services to entities or individuals that: (1) directly or indirectly manufacture, distribute, or dispense marijuana or hemp products, or those with a significant financial interest in such entities; or (2) derive a material amount of revenue from providing products or services to, or other involvement with, such entities. Busey Bank is taking reasonable measures, including appropriate new account screening and customer due diligence measures, to ensure that existing and potential customers that operate in the states in which the Bank operates do not engage in any such activities. Nonetheless, shifts in Illinois and Missouri law legalizing cannabis use, along with shifts in Florida law allowing medicinal use and decriminalizing possession, have increased the number of direct and indirect cannabis-related businesses in some of the states in which Busey operates, and therefore increases the likelihood that Busey Bank could interact with such businesses, as well as their owners and employees. Such interactions could create additional legal, regulatory, strategic, and reputational risk to Busey Bank and First Busey Corporation.</w:t>
      </w:r>
    </w:p>
    <w:p>
      <w:pPr>
        <w:spacing w:after="0" w:line="162"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b w:val="1"/>
          <w:bCs w:val="1"/>
          <w:i w:val="1"/>
          <w:iCs w:val="1"/>
          <w:color w:val="auto"/>
        </w:rPr>
        <w:t>Busey is or may become involved from time to time in suits, legal proceedings, information-gathering requests, investigations, and proceedings by governmental and self-regulatory agencies that may lead to adverse consequences.</w:t>
      </w:r>
    </w:p>
    <w:p>
      <w:pPr>
        <w:spacing w:after="0" w:line="16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Many aspects of our business and operations involve the risk of legal liability, and in some cases we or our subsidiaries have been named or threatened to be named as defendants in various lawsuits arising from our business activities. In addition, companies in our industry are frequently the subject of governmental and self-regulatory agency information-gathering requests, reviews, investigations, and proceedings. The results of such proceedings could lead to significant civil or criminal penalties, including monetary penalties, damages, adverse judgments, settlements, fines, injunctions, restrictions on the way in which we conduct our business, or reputational harm.</w:t>
      </w:r>
    </w:p>
    <w:p>
      <w:pPr>
        <w:spacing w:after="0" w:line="15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Although we establish accruals for legal proceedings when information related to the loss contingencies represented by those matters indicates both that a loss is probable and that the amount of loss can be reasonably estimated, we do not have accruals for all legal proceedings where we face a risk of loss. In addition, due to the inherent subjectivity of the assessments and unpredictability of the outcome of legal proceedings, amounts accrued may not represent the ultimate loss to us from the legal proceedings in question. Accordingly, our ultimate losses may</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8" w:name="page39"/>
    <w:bookmarkEnd w:id="3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be higher, and possibly significantly so, than the amounts accrued for legal loss contingencies, which could adversely affect our financial condition and results of operations.</w:t>
      </w:r>
    </w:p>
    <w:p>
      <w:pPr>
        <w:spacing w:after="0" w:line="144"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 xml:space="preserve">See </w:t>
      </w:r>
      <w:r>
        <w:rPr>
          <w:rFonts w:ascii="Verdana" w:cs="Verdana" w:eastAsia="Verdana" w:hAnsi="Verdana"/>
          <w:sz w:val="18"/>
          <w:szCs w:val="18"/>
          <w:i w:val="1"/>
          <w:iCs w:val="1"/>
          <w:u w:val="single" w:color="auto"/>
          <w:color w:val="0000FF"/>
        </w:rPr>
        <w:t>“Note 16. Outstanding Commitments and Contingent Liabilities”</w:t>
      </w:r>
      <w:r>
        <w:rPr>
          <w:rFonts w:ascii="Verdana" w:cs="Verdana" w:eastAsia="Verdana" w:hAnsi="Verdana"/>
          <w:sz w:val="18"/>
          <w:szCs w:val="18"/>
          <w:color w:val="auto"/>
        </w:rPr>
        <w:t xml:space="preserve"> in the </w:t>
      </w:r>
      <w:r>
        <w:rPr>
          <w:rFonts w:ascii="Verdana" w:cs="Verdana" w:eastAsia="Verdana" w:hAnsi="Verdana"/>
          <w:sz w:val="18"/>
          <w:szCs w:val="18"/>
          <w:u w:val="single" w:color="auto"/>
          <w:color w:val="0000FF"/>
        </w:rPr>
        <w:t>Notes to the Consolidated Financial Statements</w:t>
      </w:r>
      <w:r>
        <w:rPr>
          <w:rFonts w:ascii="Verdana" w:cs="Verdana" w:eastAsia="Verdana" w:hAnsi="Verdana"/>
          <w:sz w:val="18"/>
          <w:szCs w:val="18"/>
          <w:color w:val="auto"/>
        </w:rPr>
        <w:t xml:space="preserve"> for information regarding an inquiry from the ISOS, pursuant to which the ISOS asked for additional information regarding certain of our franchise tax filings and the calculation of amounts due thereunder.</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CREDIT AND LENDING RISKS</w:t>
      </w:r>
    </w:p>
    <w:p>
      <w:pPr>
        <w:spacing w:after="0" w:line="18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Heightened credit risk associated with lending activities may result in insufficient credit loss provisions, which could have material adverse effect on Busey’s results of operations and financial condition.</w:t>
      </w:r>
    </w:p>
    <w:p>
      <w:pPr>
        <w:spacing w:after="0" w:line="14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There are risks in making any loan, including risks inherent in dealing with individual borrowers, risks of nonpayment, risks resulting from uncertainties as to the future value of collateral and cash flows available to service debt, and risks resulting from economic and market conditions. In general, these risks have increased as a result of the recent increases in prevailing interest rates and uncertainties associated with inflation, which have potentially increased the risk of a near-term decline in growth or an economic downturn. Busey attempts to reduce its credit risk through loan application approval procedures, monitoring the concentration of loans within specific industries and geographic locations, and periodic independent reviews of outstanding loans by its loan review and audit departments as well as external parties. Credit risk related to the increasing interest rates are monitored through loan stress testing performed internally at the borrower level and by external parties for the portfolio-level analyses. However, while such procedures help reduce risks, they cannot be expected to completely eliminate Busey’s credit risks. Borrowers may experience difficulties in repaying their loans for any of a variety of reasons resulting in a rise in the level of nonperforming loans, charge-offs, delinquencies, and/or a need for increases in the provision for credit losses.</w:t>
      </w:r>
    </w:p>
    <w:p>
      <w:pPr>
        <w:spacing w:after="0" w:line="16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estimates and establishes the ACL and maintains it at a level considered adequate by management to absorb probable credit losses based on a continual analysis of Busey’s portfolio and market environment. The ACL represent Busey’s estimate of probable losses in the portfolio at each balance sheet date and is based upon management judgments as well as forward-looking information and forecasts. Any failure of these judgments or forecasts could negatively affect our results of operations and financial condition. Although management believes the ACL is adequate to absorb losses on existing loans that may become uncollectible, management cannot guarantee that additional provisions for credit losses will not be required in the future.</w:t>
      </w:r>
    </w:p>
    <w:p>
      <w:pPr>
        <w:spacing w:after="0" w:line="176"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b w:val="1"/>
          <w:bCs w:val="1"/>
          <w:i w:val="1"/>
          <w:iCs w:val="1"/>
          <w:color w:val="auto"/>
        </w:rPr>
        <w:t>Non-performing assets take significant time to resolve and adversely affect Busey’s results of operations and financial condition and could result in further losses in the future.</w:t>
      </w:r>
    </w:p>
    <w:p>
      <w:pPr>
        <w:spacing w:after="0" w:line="14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Busey's net income is impacted by non-performing assets in several ways, presenting challenges amid both rising and stable higher interest rate environments. While Busey incurs interest expense to finance non-performing assets, it does not record interest income on non-accrual loans or other real estate owned. This lack of interest income negatively impacts Busey's overall income and returns on assets and equity. Additionally, loan administration costs rise, contributing to an adverse impact on Busey's efficiency ratio. When Busey acquires collateral in foreclosures and similar proceedings, it must mark the collateral to its current fair market value, potentially resulting in losses when compared to the outstanding loan balance. Non-performing loans and other real estate owned elevate Busey’s risk profile and influence the regulatory capital deemed appropriate. The resolution of non-performing assets demands significant time commitments from management, potentially affecting their ability to fulfill other responsibilities. Credit leaders monitor signs of stress in borrowers, particularly those susceptible to the effects of both gradual and rapid increases in interest rates. However, default risk may arise from events or circumstances that are difficult to detect, such as fraud, or difficult to predict, such as catastrophic events affecting certain industries. Therefore, we cannot assure you that such monitoring procedures will reduce these credit risks.</w:t>
      </w:r>
    </w:p>
    <w:p>
      <w:pPr>
        <w:spacing w:after="0" w:line="21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9" w:name="page40"/>
    <w:bookmarkEnd w:id="3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Concentrations of credit and market risk could increase the potential for significant losses.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may have higher credit risk, or experience higher credit losses, to the extent its loans are concentrated by loan type, industry segment, borrower type, or geographic location of the borrower or collateral. A significant portion of Busey’s loan portfolio is made up of commercial, commercial real estate, and retail real estate loans. Because payments on such loans are often dependent on the successful operation of the borrower involved, repayment of such loans is often more sensitive than other types of loans to adverse conditions in the general economy. For example, the cumulative effects of decreased economic activity, changes in the economy and overall business environment, labor availability shortages, and supply chain constraints which began as a result of the COVID-19 pandemic, but have continued due to inflationary concerns and significant increases in the interest rate, have adversely affected commercial loans, and we expect this trend to continue for certain portions of our loan portfolio, depending on the strength and speed of economic recovery and other factors, particularly if general economic conditions worsen.</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Busey’s commercial loans are made primarily based on the identified cash flow of the borrower and secondarily on the underlying collateral provided by the borrower. Credit support provided by the borrower for most of these loans and the probability of repayment is based on the liquidation of the pledged collateral and enforcement of a personal guarantee, which Busey requires whenever appropriate on commercial loans. As a result, in the case of loans secured by accounts receivable, the availability of funds for the repayment of these loans may be substantially dependent on the ability of the borrower to collect amounts due from its customers, which could decline in the case of an economic recession. Collateral securing other loans may depreciate over time, may be difficult to appraise, and may fluctuate in value based on the success of the business. As a result of the larger average size of each commercial loan, as well as collateral that is generally less readily-marketable, losses incurred on a small number of commercial loans could have a material adverse impact on Busey’s financial condition and results of operations.</w:t>
      </w:r>
    </w:p>
    <w:p>
      <w:pPr>
        <w:spacing w:after="0" w:line="17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Our loan portfolio has a significant concentration of real estate loans, which involve risks specific to real estate values.</w:t>
      </w:r>
    </w:p>
    <w:p>
      <w:pPr>
        <w:spacing w:after="0" w:line="14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 significant portion of Busey’s loans are collateralized by real estate. Specifically, commercial real estate loans were $3.3 billion, or approximately 43.6% of our total loan portfolio, as of December 31, 2023. Of this amount, $914.5 million, or approximately 27.4%, was owner-occupied. The market value of real estate can fluctuate significantly in a short period of time as a result of market conditions in the area in which the real estate is located. Additionally, real estate lending typically involves higher loan principal amounts and the repayment of the loans generally is dependent, in large part, on sufficient income from the properties securing the loans to cover operating expenses and debt service. Economic events, including decreases in office occupancy following the COVID-19 pandemic, or governmental regulations outside of the control of the borrower or lender could negatively impact the future cash flow and market values of the affected properties. Collateral may have to be sold for less than the outstanding balance of the loan which would result in losses.</w:t>
      </w:r>
    </w:p>
    <w:p>
      <w:pPr>
        <w:spacing w:after="0" w:line="159"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b w:val="1"/>
          <w:bCs w:val="1"/>
          <w:i w:val="1"/>
          <w:iCs w:val="1"/>
          <w:color w:val="auto"/>
        </w:rPr>
        <w:t>Real estate construction, land acquisition, and development loans are based upon estimates of costs and values associated with the complete project. These estimates may be inaccurate, and Busey may be exposed to significant losses on loans for these projects.</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Construction, land acquisition, and development loans involve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on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w:t>
      </w:r>
    </w:p>
    <w:p>
      <w:pPr>
        <w:spacing w:after="0" w:line="21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0" w:name="page41"/>
    <w:bookmarkEnd w:id="4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borrower to sell or lease the property, rather than the ability of the borrower or guarantor to repay principal and interest. If Busey’s appraisal of the value of the completed project proves to be overstated, or market values or rental rates decline, there may be inadequate security for the repayment of the loan upon completion of construction of the project. If Busey is forced to foreclose on a project prior to or at completion due to a default, there can be no assurance that it will be able to recover all of the unpaid balance of, and accrued interest on, the loan as well as related foreclosure and holding costs. In addition, Busey may be required to fund additional amounts to complete the project and may have to hold the property for an unspecified period of time while it attempts to dispose of it.</w:t>
      </w:r>
    </w:p>
    <w:p>
      <w:pPr>
        <w:spacing w:after="0" w:line="16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Credit risk associated with concentration of securities in Busey’s investment portfolio may increase the potential for loss.</w:t>
      </w:r>
    </w:p>
    <w:p>
      <w:pPr>
        <w:spacing w:after="0" w:line="14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Busey’s investment portfolio consists, in part, of securities issued by government or government sponsored agencies and non-government entities. A downturn in the financial condition of the issuers, the performance of the underlying collateral, or the financial condition of the individual mortgagors with respect to the underlying securities could create results such as rating agency downgrades of the securities and default by issuers or individual mortgagors. Any of the foregoing factors could result in realized losses, which could adversely affect Busey’s financial condition and results of operations.</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CAPITAL AND LIQUIDITY RISKS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b w:val="1"/>
          <w:bCs w:val="1"/>
          <w:i w:val="1"/>
          <w:iCs w:val="1"/>
          <w:color w:val="auto"/>
        </w:rPr>
        <w:t>Busey is required to maintain capital to meet regulatory requirements, and if it fails to maintain sufficient capital, whether as a result of losses, inability to raise additional capital, or otherwise, its financial condition, liquidity, and results of operations, as well as its ability to maintain regulatory compliance would be adversely affected.</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and Busey Bank must meet regulatory capital requirements and maintain sufficient liquidity. Busey’s ability to raise additional capital, when and if needed, will depend on conditions in the capital markets, economic conditions, and a number of other factors, including investor perceptions regarding the banking industry and market condition, and governmental activities, many of which are outside Busey’s control, and on its financial condition and performance. Accordingly, Busey cannot guarantee that it will be able to raise additional capital if needed or on terms acceptable to the Company. In particular, if Busey is required to raise additional capital in the current interest rate environment, we believe the pricing and other terms investors may require in such an offering may not be attractive to us.</w:t>
      </w:r>
    </w:p>
    <w:p>
      <w:pPr>
        <w:spacing w:after="0" w:line="17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Busey’s failure to continue to maintain capital ratios in excess of the amounts necessary to be considered “well-capitalized” for bank regulatory purposes could affect customer confidence, its ability to grow, its costs of funds and FDIC insurance costs, its ability to pay dividends to its stockholders on outstanding stock, its ability to make acquisitions, and its business, results of operations, and financial condition. Furthermore, under FDIC rules, if Busey ceases to meet the requirements to be considered a “well-capitalized” institution for bank regulatory purposes, the interest rates it pays on deposits and its ability to accept, renew, or rollover deposits, particularly brokered deposits, may be restricted.</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Liquidity risks could affect operations and jeopardize Busey’s business, financial condition, and results of operations.</w:t>
      </w:r>
    </w:p>
    <w:p>
      <w:pPr>
        <w:spacing w:after="0" w:line="14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Liquidity is essential to Busey’s business. An inability to raise funds through deposits, borrowings, sales of securities, sales of loans, and other sources could have a substantial negative effect on liquidity. Busey’s primary sources of funds consist of deposits and funds from sales of investment securities, investment maturities and sales, and cash from operations. Additional liquidity is available through repurchase agreements, brokered deposits, and the ability to borrow from the Federal Reserve Bank and the FHLB. Access to funding sources in amounts adequate to finance or capitalize Busey’s activities or on terms that are acceptable to the Company could be impaired by factors that affect it directly or the financial services industry or economy in general, such as disruptions in the financial markets or negative views and expectations about the prospects for the financial services industry. In addition, increased competition with the largest banks and</w:t>
      </w:r>
    </w:p>
    <w:p>
      <w:pPr>
        <w:spacing w:after="0" w:line="22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1" w:name="page42"/>
    <w:bookmarkEnd w:id="4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Fintechs for retail deposits may impact our ability to raise funds through deposits and could have a negative effect on our liquidity. Any decline in available funding and/or capital could adversely impact Busey’s ability to originate loans, invest in securities, meet its expenses, pay dividends to its stockholders, or meet deposit withdrawal demands, any of which could have a material adverse impact on its liquidity, business, financial condition, and results of operations.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External financial institution failures could impact the soundness of the Company.</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Liquidity is a cornerstone of the Company, vital for sustaining day-to-day operations and strategic initiatives. Recent events, such as the bank failures in early 2023, underscore the critical nature of our ongoing efforts to manage liquidity risk effectively. As a core deposit-funded institution, our ability to raise funds through deposits is integral to our liquidity strategy. An inability to raise funds through deposits, borrowings, or other channels poses a substantial risk to our liquidity. Our primary funding sources, supplemented by channels like repurchase agreements and borrowing facilities, are crucial for sustaining day-to-day operations. External factors, such as disruptions in financial markets and increased competition for retail deposits, may challenge our access to funding sources. The bank failures serve as a stark reminder of potential challenges faced by financial institutions. As we navigate these complexities, any decline in funding and/or capital could adversely impact our ability to meet obligations, pay dividends, or address deposit withdrawals, with significant consequences for our liquidity, business, financial condition, and results of operations. Furthermore, the actions and commercial soundness of other financial institutions are pivotal for our routine funding and transactions. Market-wide liquidity problems triggered by defaults or rumors in the financial services industry could erode confidence and lead to losses or defaults.</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COMPETITIVE AND STRATEGIC RISKS</w:t>
      </w:r>
    </w:p>
    <w:p>
      <w:pPr>
        <w:spacing w:after="0" w:line="15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b w:val="1"/>
          <w:bCs w:val="1"/>
          <w:i w:val="1"/>
          <w:iCs w:val="1"/>
          <w:color w:val="auto"/>
        </w:rPr>
        <w:t>If securities or industry analysts do not publish or cease publishing research reports about us, if they adversely change their recommendations regarding our stock, or if our operating results do not meet their expectations, the price of our stock could decline.</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trading market for our common stock will be influenced by the research and reports that industry or securities analysts may publish about us, our business, our market, or our competitors. If there is limited or no securities or industry analyst coverage of us, the market price for our stock would be negatively impacted. Moreover, if any of the analysts who elect to cover us downgrade our common stock, provide more favorable relative recommendations about our competitors, or if our operating results or prospects do not meet their expectations, the market price of our common stock may decline. If one or more of these analysts ceases coverage of us or fails to publish reports on us regularly, demand for our stock could decrease, which could cause our stock price and trading volume to decline.</w:t>
      </w:r>
    </w:p>
    <w:p>
      <w:pPr>
        <w:spacing w:after="0" w:line="16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Busey faces strong competition from financial service companies and other companies that offer banking and wealth management services, which could harm its business.</w:t>
      </w:r>
    </w:p>
    <w:p>
      <w:pPr>
        <w:spacing w:after="0" w:line="14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Busey currently conducts its banking operations in central and suburban Chicago, Illinois; the St. Louis, Missouri, metropolitan area; central Indiana; and southwest Florida. In addition, the Company currently offers fiduciary and wealth management services, which account for a significant portion of its non-interest income. Many competitors offer the same, or a wider variety of, banking and wealth management services within Busey’s market areas. These competitors include national banks, regional banks, and other community banks. Busey also faces competition from many other types of financial institutions, including savings and loan institutions, finance companies, brokerage firms, insurance companies, credit unions, mortgage banks, digital banks and online lenders, and other financial intermediaries. In addition, a number of out-of-state financial intermediaries have opened production offices or otherwise solicit deposits in Busey’s market areas. Also, technology and other changes have lowered barriers to entry and made it possible for non-banks or financial technology companies, as well as other large technology corporations, to offer products and services traditionally provided by banks. For example, customers can maintain funds that would have historically been held as bank deposits in brokerage accounts or mutual funds, can apply for and receive credit, and can also complete</w:t>
      </w:r>
    </w:p>
    <w:p>
      <w:pPr>
        <w:spacing w:after="0" w:line="23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2" w:name="page43"/>
    <w:bookmarkEnd w:id="4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transactions such as paying bills and/or transferring funds without the assistance of banks. The process of eliminating banks as intermediaries, known as “disintermediation,” could result in the loss of fee income, as well as the loss of customer deposits and the related income generated from those deposits. Increased competition in Busey’s markets may result in reduced loans, deposits, and commissions and brokers’ fees, as well as reduced net interest margin and profitability. Ultimately, Busey may not be able to compete successfully against current and future competitors. If Busey is unable to attract and retain banking and wealth management customers, it may be unable to grow its loan and deposit portfolios or its wealth management commissions, which could adversely affect its business, results of operations, and financial condition.</w:t>
      </w:r>
    </w:p>
    <w:p>
      <w:pPr>
        <w:spacing w:after="0" w:line="16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While we do not offer products relating to digital assets, including cryptocurrencies, stablecoins and other similar assets, there has been a significant increase in digital asset adoption globally over the past several years. Certain characteristics of digital asset transactions, such as the speed with which such transactions can be conducted, the ability to transact without the involvement of regulated intermediaries, the ability to engage in transactions across multiple jurisdictions, and the anonymous nature of the transactions, are appealing to certain consumers notwithstanding the various risks posed by such transactions. Accordingly, digital asset service providers—which, at present are not subject to the same degree of scrutiny and oversight as banking organizations and other financial institutions—are becoming active competitors to more traditional financial institutions.</w:t>
      </w:r>
    </w:p>
    <w:p>
      <w:pPr>
        <w:spacing w:after="0" w:line="161"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b w:val="1"/>
          <w:bCs w:val="1"/>
          <w:i w:val="1"/>
          <w:iCs w:val="1"/>
          <w:color w:val="auto"/>
        </w:rPr>
        <w:t>Rapid speed of disruptive innovations enabled by new and emerging technologies and/or other market forces may outpace Busey’s ability to compete.</w:t>
      </w:r>
    </w:p>
    <w:p>
      <w:pPr>
        <w:spacing w:after="0" w:line="158"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financial services industry is undergoing rapid technological changes with frequent introductions of new technology driven products and services. In addition to better serving clients, the effective use of technology increases efficiency and enables financial institutions to both reduce costs and service customers beyond the bank’s traditional branch footprint. The widespread adoption of new technologies, including mobile banking services, cryptocurrencies, and payment systems could require us in the future to make substantial expenditures to modify or adapt our existing products and services as we grow and develop new products to satisfy our customers’ expectations and comply with regulatory guidance. Our future success will depend in part upon our ability to address the needs of our clients by using technology to provide products and services that will satisfy client demands for convenience as well as to create additional efficiencies in our operations. Ultimately, there is no end for digital transformation and if we fall behind in our ability to be adaptive and innovative, attracting new customers and sustaining customer loyalty and retention may be increasingly difficult as a result of evolving customer preferences and/or demographic shifts in our existing customer base.</w:t>
      </w:r>
    </w:p>
    <w:p>
      <w:pPr>
        <w:spacing w:after="0" w:line="1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Our strategy of pursuing acquisitions exposes us to financial, execution, and operational risks that could negatively affect us.</w:t>
      </w:r>
    </w:p>
    <w:p>
      <w:pPr>
        <w:spacing w:after="0" w:line="14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To help us fulfill our strategic objectives and enhance our earnings, part of our strategy is to supplement organic growth by acquiring other financial institutions in our market areas and in nearby markets. The recently announced planned acquisition of M&amp;M exemplifies this strategy. As our capital position and asset quality allow, we may continue to supplement organic growth through acquisitions, as we have in the past. There are risks associated with acquisition strategies, including the following:</w:t>
      </w:r>
    </w:p>
    <w:p>
      <w:pPr>
        <w:spacing w:after="0" w:line="171" w:lineRule="exact"/>
        <w:rPr>
          <w:sz w:val="20"/>
          <w:szCs w:val="20"/>
          <w:color w:val="auto"/>
        </w:rPr>
      </w:pPr>
    </w:p>
    <w:p>
      <w:pPr>
        <w:jc w:val="both"/>
        <w:ind w:left="660" w:hanging="328"/>
        <w:spacing w:after="0" w:line="245" w:lineRule="auto"/>
        <w:tabs>
          <w:tab w:leader="none" w:pos="65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We are exposed to potential asset and credit quality risks and unknown or contingent liabilities of the banks or businesses we acquire. If these issues or liabilities exceed our estimates, our earnings and financial condition may be materially and adversely affected.</w:t>
      </w:r>
    </w:p>
    <w:p>
      <w:pPr>
        <w:spacing w:after="0" w:line="153"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Prices at which acquisitions can be made fluctuate with market conditions. We have experienced times during which acquisitions could not be made in specific markets at prices our management considered acceptable, and we expect that we will experience this condition in the future in one or more markets.</w:t>
      </w:r>
    </w:p>
    <w:p>
      <w:pPr>
        <w:spacing w:after="0" w:line="153" w:lineRule="exact"/>
        <w:rPr>
          <w:rFonts w:ascii="Verdana" w:cs="Verdana" w:eastAsia="Verdana" w:hAnsi="Verdana"/>
          <w:sz w:val="18"/>
          <w:szCs w:val="18"/>
          <w:color w:val="auto"/>
        </w:rPr>
      </w:pPr>
    </w:p>
    <w:p>
      <w:pPr>
        <w:ind w:left="640" w:hanging="308"/>
        <w:spacing w:after="0"/>
        <w:tabs>
          <w:tab w:leader="none" w:pos="640"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The acquisition of other entities generally requires integration of systems, procedures, and</w:t>
      </w:r>
    </w:p>
    <w:p>
      <w:pPr>
        <w:spacing w:after="0" w:line="24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3" w:name="page44"/>
    <w:bookmarkEnd w:id="4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660"/>
        <w:spacing w:after="0" w:line="239" w:lineRule="auto"/>
        <w:rPr>
          <w:sz w:val="20"/>
          <w:szCs w:val="20"/>
          <w:color w:val="auto"/>
        </w:rPr>
      </w:pPr>
      <w:r>
        <w:rPr>
          <w:rFonts w:ascii="Verdana" w:cs="Verdana" w:eastAsia="Verdana" w:hAnsi="Verdana"/>
          <w:sz w:val="18"/>
          <w:szCs w:val="18"/>
          <w:color w:val="auto"/>
        </w:rPr>
        <w:t>personnel of the acquired entity in order to make the transaction economically feasible. This integration process is complicated and time consuming and can also be disruptive to the customers of the acquired business. If the integration process is not conducted successfully and with minimal effect on the acquired business and its customers, we may not realize the anticipated economic benefits of particular acquisitions within the expected time frame, and we may lose customers or employees of the acquired business. Furthermore, the integration of personnel can be challenging and the likelihood of turnover of personnel from acquired institutions presents potential risks to both operational efficiency as well as customer retention. Busey may also experience greater than anticipated customer losses even if the integration process is successful.</w:t>
      </w:r>
    </w:p>
    <w:p>
      <w:pPr>
        <w:spacing w:after="0" w:line="161" w:lineRule="exact"/>
        <w:rPr>
          <w:sz w:val="20"/>
          <w:szCs w:val="20"/>
          <w:color w:val="auto"/>
        </w:rPr>
      </w:pPr>
    </w:p>
    <w:p>
      <w:pPr>
        <w:ind w:left="640" w:hanging="308"/>
        <w:spacing w:after="0"/>
        <w:tabs>
          <w:tab w:leader="none" w:pos="64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We are subject to due diligence expenses which may not result in an acquisition.</w:t>
      </w:r>
    </w:p>
    <w:p>
      <w:pPr>
        <w:spacing w:after="0" w:line="172"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To finance an acquisition, we may borrow funds, thereby increasing our leverage and diminishing our liquidity, or issue capital stock to the sellers in an acquisition or to third-parties to raise capital, which could dilute the interests of our existing stockholders.</w:t>
      </w:r>
    </w:p>
    <w:p>
      <w:pPr>
        <w:spacing w:after="0" w:line="167" w:lineRule="exact"/>
        <w:rPr>
          <w:rFonts w:ascii="Verdana" w:cs="Verdana" w:eastAsia="Verdana" w:hAnsi="Verdana"/>
          <w:sz w:val="18"/>
          <w:szCs w:val="18"/>
          <w:color w:val="auto"/>
        </w:rPr>
      </w:pPr>
    </w:p>
    <w:p>
      <w:pPr>
        <w:ind w:left="660" w:hanging="328"/>
        <w:spacing w:after="0" w:line="254" w:lineRule="auto"/>
        <w:tabs>
          <w:tab w:leader="none" w:pos="650" w:val="left"/>
        </w:tabs>
        <w:numPr>
          <w:ilvl w:val="0"/>
          <w:numId w:val="22"/>
        </w:numPr>
        <w:rPr>
          <w:rFonts w:ascii="Verdana" w:cs="Verdana" w:eastAsia="Verdana" w:hAnsi="Verdana"/>
          <w:sz w:val="18"/>
          <w:szCs w:val="18"/>
          <w:color w:val="auto"/>
        </w:rPr>
      </w:pPr>
      <w:r>
        <w:rPr>
          <w:rFonts w:ascii="Verdana" w:cs="Verdana" w:eastAsia="Verdana" w:hAnsi="Verdana"/>
          <w:sz w:val="18"/>
          <w:szCs w:val="18"/>
          <w:color w:val="auto"/>
        </w:rPr>
        <w:t>The time period in which anticipated benefits of a merger are fully realized may take longer than anticipated, or we may be unsuccessful in realizing the anticipated benefits from mergers and future acquisitions.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New lines of business or new products and services may subject us to additional risks.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From time to time, we may seek to implement new lines of business or offer new products, services, or delivery channels within existing lines of business in our current markets or new markets. There are substantial risks and uncertainties associated with these efforts, particularly in instances where the markets are either highly competitive or, conversely, not fully developed. In developing and marketing new lines of business and/or new products and services, we may invest significant time and resources. Initial timetables for the introduction and development of new lines of business and/or new products or services may not be achieved, and price and profitability targets may not prove feasible, which could in turn have a material negative effect on our operating results.</w:t>
      </w:r>
    </w:p>
    <w:p>
      <w:pPr>
        <w:spacing w:after="0" w:line="17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ACCOUNTING AND TAX RISKS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Financial statements are created, in part, by estimates, assumptions, and methods used by management, which, if incorrect, could cause unexpected losses in the future.</w:t>
      </w:r>
    </w:p>
    <w:p>
      <w:pPr>
        <w:spacing w:after="0" w:line="144"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Busey’s financial performance is impacted by accounting principles, policies, and guidelines. Some of these policies require the use of estimates and assumptions that may affect the value of assets or liabilities and financial results. Certain accounting policies are critical and require management to make difficult, subjective, and complex judgments about matters that are inherently uncertain, and materially different amounts could be reported under different conditions or using different assumptions. If such estimates or assumptions underlying Busey’s Consolidated Financial Statements are incorrect, the Company may experience material losses.</w:t>
      </w:r>
    </w:p>
    <w:p>
      <w:pPr>
        <w:spacing w:after="0" w:line="172"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One such assumption and estimate is the valuation analysis of its goodwill and other intangible assets. Although Busey’s analysis does not indicate impairments exist, the Company is required to perform additional impairment assessments on at least an annual basis, which could result in future impairment charges. Any future goodwill or other intangible assets impairment charges, based on the current balances or future balances arising out of acquisitions, could have a material adverse effect on the results of operations by reducing net income or increasing net losses.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is subject to changes in accounting principles, policies, or guidelines.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Periodically, agencies such as the FASB or the SEC change the financial accounting and reporting standards or the interpretation of those standards that govern the preparation of Busey’s Financial Statements. These changes are beyond the Company’s control, can be difficult to predict, and could materially impact how Busey reports its financial condition and results of operations. In addition, trends in financial and business reporting, including environmental,</w:t>
      </w:r>
    </w:p>
    <w:p>
      <w:pPr>
        <w:spacing w:after="0" w:line="22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4" w:name="page45"/>
    <w:bookmarkEnd w:id="4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social, and governance related disclosures, could require us to incur additional reporting expense. Changes in these standards are continuously occurring and the implementation of such changes could have a material adverse effect on Busey’s financial condition and results of operations.</w:t>
      </w:r>
    </w:p>
    <w:p>
      <w:pPr>
        <w:spacing w:after="0" w:line="154"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b w:val="1"/>
          <w:bCs w:val="1"/>
          <w:i w:val="1"/>
          <w:iCs w:val="1"/>
          <w:color w:val="auto"/>
        </w:rPr>
        <w:t>Busey is subject to changes in tax law and may not realize tax benefits which could adversely affect our results of operations.</w:t>
      </w:r>
    </w:p>
    <w:p>
      <w:pPr>
        <w:spacing w:after="0" w:line="14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Changes in tax laws at national or state levels could have an effect on Busey’s short-term and long-term earnings. Tax law changes are both difficult to predict and are beyond the Company’s control. Changes in tax laws could affect Busey’s earnings as well as its customers’ financial positions, or both.</w:t>
      </w:r>
    </w:p>
    <w:p>
      <w:pPr>
        <w:spacing w:after="0" w:line="16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Deferred tax assets are designed to reduce subsequent period’s income tax expense and arise, in part, as a result of net loss carry-overs, and other book accounting to tax accounting differences including expected credit losses, stock-based compensation, and deferred compensation. Such items are recorded as assets when it is anticipated the tax consequences will be recorded in future periods. A valuation allowance is established against a deferred tax asset when it is unlikely the future tax effects will be realized. Significant judgment by management about matters that are by nature uncertain is required to record a deferred tax asset and establish a valuation allowance.</w:t>
      </w:r>
    </w:p>
    <w:p>
      <w:pPr>
        <w:spacing w:after="0" w:line="15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evaluating the need for a valuation allowance, Busey estimates future taxable income based on management forecasts and tax planning strategies that may be available to us. While Busey has determined that no valuation allowance is currently required for any deferred tax assets, if future events differ significantly from current forecasts, the Company may need to establish a valuation allowance against its net deferred tax assets, which would have a material adverse effect on its results of operations and financial condition. The ultimate realization of deferred tax assets is dependent upon the generation of future taxable income during the periods prior to the expiration of the related net operating losses and may be limited by Section 382 of the Internal Revenue Code.</w:t>
      </w:r>
    </w:p>
    <w:p>
      <w:pPr>
        <w:spacing w:after="0" w:line="16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Further, Busey’s investments in certain tax-advantaged projects may not generate returns as anticipated and may have an adverse impact on Busey’s financial results. Busey invests in certain tax-advantaged projects promoting affordable housing, community development, and other community revitalization projects. Busey’s investments in these projects are designed to generate a return primarily through the realization of federal and state income tax credits, and other tax benefits, over specified time periods. Busey is subject to the risk that previously recorded tax credits, which remain subject to recapture by taxing authorities based on compliance features required to be met at the project level, will fail to meet certain government compliance requirements and will not be realized. The possible inability to realize these tax credit and other tax benefits could have a negative impact on Busey’s financial results. The ultimate realization of the tax credits and other tax benefits depends upon having sufficient taxable income and on many factors outside of the Company’s control, including changes in the applicable tax code and the ability of the projects to be completed.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OPERATIONAL RISKS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Busey’s framework for managing risks may not be effective in mitigating risk and loss.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Busey’s risk management framework seeks to mitigate risk and loss. It has established processes and procedures intended to identify, measure, monitor, report, and analyze the types of risk to which it is subject, compliance risk and reputational risk, among others. However, as with any risk management framework, there are inherent limitations. Risks may exist, or emerge in the future, that have not been appropriately identified or anticipated. As it continues to grow, Busey’s ability to successfully identify and manage the risks it faces is an important factor that can significantly impact results. If its risk management framework is not commensurate with its risk profile, Busey could suffer unexpected losses and could be materially adversely affected.</w:t>
      </w:r>
    </w:p>
    <w:p>
      <w:pPr>
        <w:spacing w:after="0" w:line="23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5" w:name="page46"/>
    <w:bookmarkEnd w:id="4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b w:val="1"/>
          <w:bCs w:val="1"/>
          <w:i w:val="1"/>
          <w:iCs w:val="1"/>
          <w:color w:val="auto"/>
        </w:rPr>
        <w:t>Busey relies on the integrity of its operating systems and employees, and those of third-parties, and certain failures of such systems or error by employees or customers could materially and adversely affect Busey’s operations.</w:t>
      </w:r>
    </w:p>
    <w:p>
      <w:pPr>
        <w:spacing w:after="0" w:line="15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Communications and information systems are essential to conduct Busey’s business, as it uses such systems to manage customer transactions and relationships; the general ledger; and deposits, loans, and investments. However, the computer systems and network infrastructure Busey uses could be vulnerable to unforeseen problems as operations are dependent upon the protection of computer equipment against damage from physical theft, fire, power loss, telecommunications failure, or a similar catastrophic event, as well as from security events.</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addition, Busey outsources certain processing functions to third-party providers introducing additional layers of risk when these providers, in turn, outsource to fourth or fifth parties. This cascading outsourcing structure can heighten the complexity and potential challenges in communication, coordination, and risk management. If downstream providers encounter difficulties, or if Busey faces challenges in communicating with them, it may impact the ability to adequately process and account for customer transactions, adversely affecting business operations. Moreover, downstream providers could introduce specific risks related to compliance. Involvement of downstream parties in regions subject to sanctions or dealing with entities on prohibited lists poses an additional layer of regulatory risk.</w:t>
      </w:r>
    </w:p>
    <w:p>
      <w:pPr>
        <w:spacing w:after="0" w:line="17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Risks associated with multi- layered outsourcing arrangements include compliance concerns, potential disruptions, system or processing failures, and increased difficulty in overseeing and controlling actions of distant parties. While Busey implements due diligence procedures in reviewing and vetting its third-parties, the indirect risks arising from subsequent outsourcing levels are inherently more challenging to control or cannot be controlled.</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Although Busey has established procedures to prevent or mitigate the effects of potential problems, technology-related disruptions, failures, and cybersecurity risks remain constant threats. Involvement of downstream parties further amplifies these risks, as Busey cannot guarantee the success of measures to prevent security breaches and disruptions. Any failure, interruption, or breach in the security of computer systems and network infrastructure, including those of downstream parties, could have a material adverse effect on Busey’s financial condition and results of operations.</w:t>
      </w:r>
    </w:p>
    <w:p>
      <w:pPr>
        <w:spacing w:after="0" w:line="15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Similarly, Busey is reliant upon its employees. Such dependencies create risks for potential losses resulting from employee errors, breakdowns in process or control, failures to properly execute change management, negligence, or a number of other factors outside Busey’s control. Busey maintains a system of internal controls and insurance coverage to mitigate operational risks, including data processing system failures and errors, customer or employee fraud, and other disruptions which might impact its business. Further, Busey’s Internal Audit department routinely reviews operations and high-risk areas for error, deficient controls, and failure to adhere to policy.</w:t>
      </w:r>
    </w:p>
    <w:p>
      <w:pPr>
        <w:spacing w:after="0" w:line="172"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Potential legal actions, fines, and civil money penalties could arise as results of an operational deficiency or as a result of noncompliance with applicable regulatory standards, adverse business decisions or their implementation, and customer attrition due to potential negative publicity.</w:t>
      </w:r>
    </w:p>
    <w:p>
      <w:pPr>
        <w:spacing w:after="0" w:line="15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A breach in the security of Busey’s systems could disrupt its businesses, result in the disclosure of confidential information, damage its reputation, and create significant financial and legal exposure for Busey.</w:t>
      </w:r>
    </w:p>
    <w:p>
      <w:pPr>
        <w:spacing w:after="0" w:line="14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Although Busey devotes significant resources to maintain and regularly upgrade systems and processes designed to protect the security of its computer systems, software, networks, and other technology assets, these measures do not provide absolute security for the Company’s websites or other systems, some of which have been targeted with sophisticated intended to obtain unauthorized access to confidential information, destroy data, disable or degrade service, or sabotage systems, often through the introduction of computer viruses or malware, cyber-attacks, and other means. In addition, cyber attackers have persistently employed sophisticated campaigns to leverage individuals' fears and uncertainties. They capitalize on the increased</w:t>
      </w:r>
    </w:p>
    <w:p>
      <w:pPr>
        <w:spacing w:after="0" w:line="23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6" w:name="page47"/>
    <w:bookmarkEnd w:id="4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volume of transactions occurring on digital channels, employing social engineering techniques to manipulate human psychology and perpetuate security breaches. Implementation of remote working arrangements that use virtual private networks, virtual conferencing services, and telecommunication technologies can increase insider risk, cybersecurity vulnerabilities, and other operational exposures. Industry trends in ransomware, phishing, and other intrusion methods have increased significantly and will continue to pose increased risk.</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Threats to security also exist in the processing of customer information through various other third-parties, their personnel, and their use of subcontractors. Advances in computer capabilities, new discoveries in the field of cryptography, or other developments could result in a compromise or breach of the algorithms Busey and its third-party service providers use to encrypt and protect customer transaction data. Such cyber incidents may go undetected for a period of time. An inability by our third-party providers, and their third-party providers, to anticipate, detect, or adequately mitigate, breaches of security, known as “supply chain risk,” could result in a number of negative events, including losses to us or our clients, loss of business or clients, damage to our reputation, the incurrence of additional expenses, additional regulatory scrutiny or penalties, or exposure to civil litigation and possible financial liability, any of which could have a material adverse effect on our business, financial condition, results of operations, and growth prospects.</w:t>
      </w:r>
    </w:p>
    <w:p>
      <w:pPr>
        <w:spacing w:after="0" w:line="159"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also faces risks related to cyber-attacks and other security breaches in connection with credit card, debit card, and other payment-related transactions that typically involve the transmission of sensitive information regarding Busey’s customers through various third-parties, including merchant acquiring banks, payment processors, payment card networks, and processors. Cyber-attacks or other breaches, whether affecting Busey or others, could intensify consumer concern and regulatory focus and result in breach and fraud-related losses as well as increased costs, all of which could have a material adverse effect on Busey’s business.</w:t>
      </w:r>
    </w:p>
    <w:p>
      <w:pPr>
        <w:spacing w:after="0" w:line="172"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Penetration or circumvention of Busey’s security systems could result in serious negative consequences for the Company, including significant disruption of Busey’s operations, misappropriation of Busey’s confidential information or that of its customers or employees, or damage to Busey’s computers or systems and those of its customers and counterparties. Such events could result in violations of applicable privacy and other laws, financial loss to Busey or its customers, loss of confidence in Busey’s security measures, customer dissatisfaction, significant litigation exposure, and harm to Busey’s reputation, all of which would adversely affect the Company.</w:t>
      </w:r>
    </w:p>
    <w:p>
      <w:pPr>
        <w:spacing w:after="0" w:line="159"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These risks have increased for all financial institutions globally as new technologies, the use of the Internet and telecommunications technologies, including mobile devices, to conduct financial and other business transactions, and the sophistication and activities of malicious individuals and organizations have increased substantially. Despite Busey’s significant investment in security resources and its continued efforts to prevent or limit the effects of potential threats, it is possible that Busey may not be able to anticipate or implement effective preventative measures against all security incidents.</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Customer or employee misconduct or fraud may affect operations, result in significant financial loss, and have an adverse impact on Busey’s reputation.</w:t>
      </w:r>
    </w:p>
    <w:p>
      <w:pPr>
        <w:spacing w:after="0" w:line="158"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Misconduct by employees and customers could include hiding unauthorized activities, conducting improper or unauthorized activities, or improper use of confidential information. Customer or other outsiders may also attempt to perpetuate fraud or scams in the form of identity theft, money laundering, fraudulent or altered deposits, or use of counterfeit instruments, as a few examples. Busey also faces fraud risk associated with the origination of loans, including the intentional misstatement of information in property appraisals or other underwriting documentation provided to it by customers or by third-parties. Customers may expose Busey to certain fraud risks associated with the compromise of their computing systems or accounts, as well.</w:t>
      </w:r>
    </w:p>
    <w:p>
      <w:pPr>
        <w:spacing w:after="0" w:line="21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7" w:name="page48"/>
    <w:bookmarkEnd w:id="4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Both the number and sophistication level of attempted fraudulent transactions are increasing. Should our internal controls fail to prevent or detect an occurrence of fraud, or if any resulting loss is not insured or exceeds applicable insurance limits, it could have a material adverse effect on Busey’s business, results of operations, and financial condition.</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Busey’s ability to attract and retain key personnel may affect future growth and earnings.</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Busey's leadership landscape recently underwent changes as Busey and Robin N. Elliott, the President and Chief Executive Officer of Busey Bank, who also served as Chairman of the Board and Chief Executive Officer of FirsTech, mutually agreed upon the decision to part ways. In connection with this transition, Van A. Dukeman, the Chairman, President, and Chief Executive Officer of First Busey Corporation has taken on the additional role of President and Chief Executive Officer of Busey Bank. Busey’s ability to attract and retain management experienced in banking and financial services, including its current executive officers, management teams, lending and retail banking officers, and administrative staff of its subsidiaries, is crucial for the successful implementation of its strategy. Additionally, Busey's ability to retain key personnel at acquired financial institutions is vital for its growth strategy through mergers and acquisitions. Equally critical is Busey’s commitment to attracting and retaining diverse and qualified staff with the appropriate level of experience and knowledge about its market areas, essential for implementing its community-based operating strategy. The unexpected loss of services of key personnel or the inability to recruit and retain qualified personnel in the future could have an adverse effect on Busey’s business, financial condition, and results of operation.</w:t>
      </w:r>
    </w:p>
    <w:p>
      <w:pPr>
        <w:spacing w:after="0" w:line="178"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b w:val="1"/>
          <w:bCs w:val="1"/>
          <w:i w:val="1"/>
          <w:iCs w:val="1"/>
          <w:color w:val="auto"/>
        </w:rPr>
        <w:t>Damage resulting from negative publicity could harm Busey’s reputation and adversely impact its business and financial condition.</w:t>
      </w:r>
    </w:p>
    <w:p>
      <w:pPr>
        <w:spacing w:after="0" w:line="14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Busey’s ability to attract and retain customers, investors, and employees is contingent upon maintaining trust. Negative public opinion could result from the Company’s actual or alleged conduct in a number of activities, including, but not limited to, employee misconduct, a failure or perceived failure to deliver appropriate standards of service and quality or to treat customers fairly, faulty lending practices, compliance failures, security breaches, corporate governance, sharing or inadequate protection of customer information, failure to comply with laws or regulations, and actions taken by government regulators and community organizations in response to that conduct. The results of such actual or alleged misconduct could include customer dissatisfaction, inability to attract potential acquisition prospects, litigation, and heightened regulatory scrutiny, all of which could lead to lost revenue, higher operating costs, and harm to Busey’s reputation. No assurance can be made, despite the cost or efforts made by the Company to address the issues arising from reputational harm, that results could not adversely affect Busey’s business, financial condition, and results of operations.</w:t>
      </w:r>
    </w:p>
    <w:p>
      <w:pPr>
        <w:spacing w:after="0" w:line="157"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b w:val="1"/>
          <w:bCs w:val="1"/>
          <w:i w:val="1"/>
          <w:iCs w:val="1"/>
          <w:color w:val="auto"/>
        </w:rPr>
        <w:t>Emerging risks associated with Generative Artificial Intelligence and other Large Language Models are dynamic and evolving rapidly as the technology advances and regulatory frameworks develop.</w:t>
      </w:r>
    </w:p>
    <w:p>
      <w:pPr>
        <w:spacing w:after="0" w:line="15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While our current operational framework excludes the use of GAI in our internal processes, the usage of such technologies introduces a spectrum of risks across various dimensions:</w:t>
      </w:r>
    </w:p>
    <w:p>
      <w:pPr>
        <w:spacing w:after="0" w:line="144" w:lineRule="exact"/>
        <w:rPr>
          <w:sz w:val="20"/>
          <w:szCs w:val="20"/>
          <w:color w:val="auto"/>
        </w:rPr>
      </w:pPr>
    </w:p>
    <w:p>
      <w:pPr>
        <w:jc w:val="both"/>
        <w:ind w:left="660" w:hanging="328"/>
        <w:spacing w:after="0" w:line="245" w:lineRule="auto"/>
        <w:tabs>
          <w:tab w:leader="none" w:pos="650" w:val="left"/>
        </w:tabs>
        <w:numPr>
          <w:ilvl w:val="0"/>
          <w:numId w:val="23"/>
        </w:numPr>
        <w:rPr>
          <w:rFonts w:ascii="Verdana" w:cs="Verdana" w:eastAsia="Verdana" w:hAnsi="Verdana"/>
          <w:sz w:val="18"/>
          <w:szCs w:val="18"/>
          <w:i w:val="1"/>
          <w:iCs w:val="1"/>
          <w:color w:val="auto"/>
        </w:rPr>
      </w:pPr>
      <w:r>
        <w:rPr>
          <w:rFonts w:ascii="Verdana" w:cs="Verdana" w:eastAsia="Verdana" w:hAnsi="Verdana"/>
          <w:sz w:val="18"/>
          <w:szCs w:val="18"/>
          <w:i w:val="1"/>
          <w:iCs w:val="1"/>
          <w:color w:val="auto"/>
        </w:rPr>
        <w:t xml:space="preserve">Fraud and Security </w:t>
      </w:r>
      <w:r>
        <w:rPr>
          <w:rFonts w:ascii="Verdana" w:cs="Verdana" w:eastAsia="Verdana" w:hAnsi="Verdana"/>
          <w:sz w:val="18"/>
          <w:szCs w:val="18"/>
          <w:color w:val="auto"/>
        </w:rPr>
        <w:t>– Advanced social engineering capabilities for phishing and vishing attacks, as well as the ability</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to generate impersonation attacks using so called “deep fakes” leading to impacts including, but not limited to, unauthorized access, fraudulent transactions, and data breach.</w:t>
      </w:r>
    </w:p>
    <w:p>
      <w:pPr>
        <w:spacing w:after="0" w:line="153" w:lineRule="exact"/>
        <w:rPr>
          <w:rFonts w:ascii="Verdana" w:cs="Verdana" w:eastAsia="Verdana" w:hAnsi="Verdana"/>
          <w:sz w:val="18"/>
          <w:szCs w:val="18"/>
          <w:i w:val="1"/>
          <w:iCs w:val="1"/>
          <w:color w:val="auto"/>
        </w:rPr>
      </w:pPr>
    </w:p>
    <w:p>
      <w:pPr>
        <w:ind w:left="660" w:right="20" w:hanging="328"/>
        <w:spacing w:after="0" w:line="254" w:lineRule="auto"/>
        <w:tabs>
          <w:tab w:leader="none" w:pos="650" w:val="left"/>
        </w:tabs>
        <w:numPr>
          <w:ilvl w:val="0"/>
          <w:numId w:val="23"/>
        </w:numPr>
        <w:rPr>
          <w:rFonts w:ascii="Verdana" w:cs="Verdana" w:eastAsia="Verdana" w:hAnsi="Verdana"/>
          <w:sz w:val="18"/>
          <w:szCs w:val="18"/>
          <w:i w:val="1"/>
          <w:iCs w:val="1"/>
          <w:color w:val="auto"/>
        </w:rPr>
      </w:pPr>
      <w:r>
        <w:rPr>
          <w:rFonts w:ascii="Verdana" w:cs="Verdana" w:eastAsia="Verdana" w:hAnsi="Verdana"/>
          <w:sz w:val="18"/>
          <w:szCs w:val="18"/>
          <w:i w:val="1"/>
          <w:iCs w:val="1"/>
          <w:color w:val="auto"/>
        </w:rPr>
        <w:t xml:space="preserve">Intellectual Property and Copyright Concerns </w:t>
      </w:r>
      <w:r>
        <w:rPr>
          <w:rFonts w:ascii="Verdana" w:cs="Verdana" w:eastAsia="Verdana" w:hAnsi="Verdana"/>
          <w:sz w:val="18"/>
          <w:szCs w:val="18"/>
          <w:color w:val="auto"/>
        </w:rPr>
        <w:t>– Risks stemming from unclear legal disputes and potential financial</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liabilities due to the unauthorized use of copyrighted materials leading to legal challenges.</w:t>
      </w:r>
    </w:p>
    <w:p>
      <w:pPr>
        <w:spacing w:after="0" w:line="157" w:lineRule="exact"/>
        <w:rPr>
          <w:rFonts w:ascii="Verdana" w:cs="Verdana" w:eastAsia="Verdana" w:hAnsi="Verdana"/>
          <w:sz w:val="18"/>
          <w:szCs w:val="18"/>
          <w:i w:val="1"/>
          <w:iCs w:val="1"/>
          <w:color w:val="auto"/>
        </w:rPr>
      </w:pPr>
    </w:p>
    <w:p>
      <w:pPr>
        <w:ind w:left="660" w:hanging="328"/>
        <w:spacing w:after="0" w:line="254" w:lineRule="auto"/>
        <w:tabs>
          <w:tab w:leader="none" w:pos="650" w:val="left"/>
        </w:tabs>
        <w:numPr>
          <w:ilvl w:val="0"/>
          <w:numId w:val="23"/>
        </w:numPr>
        <w:rPr>
          <w:rFonts w:ascii="Verdana" w:cs="Verdana" w:eastAsia="Verdana" w:hAnsi="Verdana"/>
          <w:sz w:val="18"/>
          <w:szCs w:val="18"/>
          <w:i w:val="1"/>
          <w:iCs w:val="1"/>
          <w:color w:val="auto"/>
        </w:rPr>
      </w:pPr>
      <w:r>
        <w:rPr>
          <w:rFonts w:ascii="Verdana" w:cs="Verdana" w:eastAsia="Verdana" w:hAnsi="Verdana"/>
          <w:sz w:val="18"/>
          <w:szCs w:val="18"/>
          <w:i w:val="1"/>
          <w:iCs w:val="1"/>
          <w:color w:val="auto"/>
        </w:rPr>
        <w:t xml:space="preserve">Potential Opacity and Bias in Models </w:t>
      </w:r>
      <w:r>
        <w:rPr>
          <w:rFonts w:ascii="Verdana" w:cs="Verdana" w:eastAsia="Verdana" w:hAnsi="Verdana"/>
          <w:sz w:val="18"/>
          <w:szCs w:val="18"/>
          <w:color w:val="auto"/>
        </w:rPr>
        <w:t>– Challenges related to the interpretability of models and potential biases,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presenting risks of model misinterpretation and unintended consequences.</w:t>
      </w:r>
    </w:p>
    <w:p>
      <w:pPr>
        <w:spacing w:after="0" w:line="19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8" w:name="page49"/>
    <w:bookmarkEnd w:id="4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hanging="308"/>
        <w:spacing w:after="0"/>
        <w:tabs>
          <w:tab w:leader="none" w:pos="640" w:val="left"/>
        </w:tabs>
        <w:numPr>
          <w:ilvl w:val="0"/>
          <w:numId w:val="24"/>
        </w:numPr>
        <w:rPr>
          <w:rFonts w:ascii="Verdana" w:cs="Verdana" w:eastAsia="Verdana" w:hAnsi="Verdana"/>
          <w:sz w:val="18"/>
          <w:szCs w:val="18"/>
          <w:i w:val="1"/>
          <w:iCs w:val="1"/>
          <w:color w:val="auto"/>
        </w:rPr>
      </w:pPr>
      <w:r>
        <w:rPr>
          <w:rFonts w:ascii="Verdana" w:cs="Verdana" w:eastAsia="Verdana" w:hAnsi="Verdana"/>
          <w:sz w:val="18"/>
          <w:szCs w:val="18"/>
          <w:i w:val="1"/>
          <w:iCs w:val="1"/>
          <w:color w:val="auto"/>
        </w:rPr>
        <w:t xml:space="preserve">Data Privacy </w:t>
      </w:r>
      <w:r>
        <w:rPr>
          <w:rFonts w:ascii="Verdana" w:cs="Verdana" w:eastAsia="Verdana" w:hAnsi="Verdana"/>
          <w:sz w:val="18"/>
          <w:szCs w:val="18"/>
          <w:color w:val="auto"/>
        </w:rPr>
        <w:t>– Unauthorized use of company or customer data in the training of GAI models.</w:t>
      </w:r>
    </w:p>
    <w:p>
      <w:pPr>
        <w:spacing w:after="0" w:line="172" w:lineRule="exact"/>
        <w:rPr>
          <w:rFonts w:ascii="Verdana" w:cs="Verdana" w:eastAsia="Verdana" w:hAnsi="Verdana"/>
          <w:sz w:val="18"/>
          <w:szCs w:val="18"/>
          <w:i w:val="1"/>
          <w:iCs w:val="1"/>
          <w:color w:val="auto"/>
        </w:rPr>
      </w:pPr>
    </w:p>
    <w:p>
      <w:pPr>
        <w:ind w:left="660" w:hanging="328"/>
        <w:spacing w:after="0" w:line="254" w:lineRule="auto"/>
        <w:tabs>
          <w:tab w:leader="none" w:pos="650" w:val="left"/>
        </w:tabs>
        <w:numPr>
          <w:ilvl w:val="0"/>
          <w:numId w:val="24"/>
        </w:numPr>
        <w:rPr>
          <w:rFonts w:ascii="Verdana" w:cs="Verdana" w:eastAsia="Verdana" w:hAnsi="Verdana"/>
          <w:sz w:val="18"/>
          <w:szCs w:val="18"/>
          <w:i w:val="1"/>
          <w:iCs w:val="1"/>
          <w:color w:val="auto"/>
        </w:rPr>
      </w:pPr>
      <w:r>
        <w:rPr>
          <w:rFonts w:ascii="Verdana" w:cs="Verdana" w:eastAsia="Verdana" w:hAnsi="Verdana"/>
          <w:sz w:val="18"/>
          <w:szCs w:val="18"/>
          <w:i w:val="1"/>
          <w:iCs w:val="1"/>
          <w:color w:val="auto"/>
        </w:rPr>
        <w:t xml:space="preserve">Compliance Challenges </w:t>
      </w:r>
      <w:r>
        <w:rPr>
          <w:rFonts w:ascii="Verdana" w:cs="Verdana" w:eastAsia="Verdana" w:hAnsi="Verdana"/>
          <w:sz w:val="18"/>
          <w:szCs w:val="18"/>
          <w:color w:val="auto"/>
        </w:rPr>
        <w:t>– The potential inability to quickly adapt to, or the high costs associated with adapting to,</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regulatory changes, leading to compliance gaps and associated penalties.</w:t>
      </w:r>
    </w:p>
    <w:p>
      <w:pPr>
        <w:spacing w:after="0" w:line="14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Moreover, an additional concern with GAI pertains to the utilization of voice-enabled AI for communicating promotional messages to our customer base. As we proactively assess and address these emerging risks, our commitment to robust risk management remains integral to sustaining operational resilience.</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1B. UNRESOLVED STAFF COMMENTS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None.</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1C. CYBERSECURITY</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 relies extensively on various information systems and other electronic resources to operate our business. In addition, nearly all of our customers, service providers and other business partners on whom we depend, including the providers of our online banking, mobile banking, and accounting systems, use their own information systems and electronic resources. Any of these systems can be compromised, including through the employees, customers, and other individuals who are authorized to use them, and bad actors who use a sophisticated and constantly evolving set of software, tools, and strategies to do so. Moreover, the nature of our business, as a financial services provider, and our relative size, make us and our business partners high-value targets for these bad actors to pursue. For additional information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1A. Risk Factors—Operational Risks</w:t>
      </w:r>
      <w:r>
        <w:rPr>
          <w:rFonts w:ascii="Verdana" w:cs="Verdana" w:eastAsia="Verdana" w:hAnsi="Verdana"/>
          <w:sz w:val="18"/>
          <w:szCs w:val="18"/>
          <w:i w:val="1"/>
          <w:iCs w:val="1"/>
          <w:color w:val="auto"/>
        </w:rPr>
        <w:t>.”</w:t>
      </w:r>
    </w:p>
    <w:p>
      <w:pPr>
        <w:spacing w:after="0" w:line="16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Accordingly, we have long devoted significant resources to assessing, identifying and managing risks associated with cybersecurity threats, including:</w:t>
      </w:r>
    </w:p>
    <w:p>
      <w:pPr>
        <w:spacing w:after="0" w:line="144" w:lineRule="exact"/>
        <w:rPr>
          <w:sz w:val="20"/>
          <w:szCs w:val="20"/>
          <w:color w:val="auto"/>
        </w:rPr>
      </w:pPr>
    </w:p>
    <w:p>
      <w:pPr>
        <w:ind w:left="660" w:hanging="328"/>
        <w:spacing w:after="0" w:line="254" w:lineRule="auto"/>
        <w:tabs>
          <w:tab w:leader="none" w:pos="650"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an internal cybersecurity team that is responsible for conducting regular assessments of our information systems, existing controls, vulnerabilities and potential improvements;</w:t>
      </w:r>
    </w:p>
    <w:p>
      <w:pPr>
        <w:spacing w:after="0" w:line="157" w:lineRule="exact"/>
        <w:rPr>
          <w:rFonts w:ascii="Verdana" w:cs="Verdana" w:eastAsia="Verdana" w:hAnsi="Verdana"/>
          <w:sz w:val="18"/>
          <w:szCs w:val="18"/>
          <w:color w:val="auto"/>
        </w:rPr>
      </w:pPr>
    </w:p>
    <w:p>
      <w:pPr>
        <w:ind w:left="640" w:hanging="308"/>
        <w:spacing w:after="0"/>
        <w:tabs>
          <w:tab w:leader="none" w:pos="640"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continuous monitoring tools that can detect and help respond to cybersecurity threats in real-time;</w:t>
      </w:r>
    </w:p>
    <w:p>
      <w:pPr>
        <w:spacing w:after="0" w:line="172" w:lineRule="exact"/>
        <w:rPr>
          <w:rFonts w:ascii="Verdana" w:cs="Verdana" w:eastAsia="Verdana" w:hAnsi="Verdana"/>
          <w:sz w:val="18"/>
          <w:szCs w:val="18"/>
          <w:color w:val="auto"/>
        </w:rPr>
      </w:pPr>
    </w:p>
    <w:p>
      <w:pPr>
        <w:ind w:left="660" w:hanging="328"/>
        <w:spacing w:after="0" w:line="254" w:lineRule="auto"/>
        <w:tabs>
          <w:tab w:leader="none" w:pos="650"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performing due diligence with respect to our third-party service providers, including their cybersecurity practices, and requiring contractual commitments from our service providers to take certain cybersecurity measures;</w:t>
      </w:r>
    </w:p>
    <w:p>
      <w:pPr>
        <w:spacing w:after="0" w:line="144" w:lineRule="exact"/>
        <w:rPr>
          <w:rFonts w:ascii="Verdana" w:cs="Verdana" w:eastAsia="Verdana" w:hAnsi="Verdana"/>
          <w:sz w:val="18"/>
          <w:szCs w:val="18"/>
          <w:color w:val="auto"/>
        </w:rPr>
      </w:pPr>
    </w:p>
    <w:p>
      <w:pPr>
        <w:ind w:left="660" w:hanging="328"/>
        <w:spacing w:after="0" w:line="254" w:lineRule="auto"/>
        <w:tabs>
          <w:tab w:leader="none" w:pos="650"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third-party cybersecurity consultants, who conduct periodic penetration testing, vulnerability assessments and other procedures to identify potential weaknesses in our systems and processes; and</w:t>
      </w:r>
    </w:p>
    <w:p>
      <w:pPr>
        <w:spacing w:after="0" w:line="157" w:lineRule="exact"/>
        <w:rPr>
          <w:rFonts w:ascii="Verdana" w:cs="Verdana" w:eastAsia="Verdana" w:hAnsi="Verdana"/>
          <w:sz w:val="18"/>
          <w:szCs w:val="18"/>
          <w:color w:val="auto"/>
        </w:rPr>
      </w:pPr>
    </w:p>
    <w:p>
      <w:pPr>
        <w:ind w:left="640" w:hanging="308"/>
        <w:spacing w:after="0"/>
        <w:tabs>
          <w:tab w:leader="none" w:pos="640" w:val="left"/>
        </w:tabs>
        <w:numPr>
          <w:ilvl w:val="0"/>
          <w:numId w:val="25"/>
        </w:numPr>
        <w:rPr>
          <w:rFonts w:ascii="Verdana" w:cs="Verdana" w:eastAsia="Verdana" w:hAnsi="Verdana"/>
          <w:sz w:val="18"/>
          <w:szCs w:val="18"/>
          <w:color w:val="auto"/>
        </w:rPr>
      </w:pPr>
      <w:r>
        <w:rPr>
          <w:rFonts w:ascii="Verdana" w:cs="Verdana" w:eastAsia="Verdana" w:hAnsi="Verdana"/>
          <w:sz w:val="18"/>
          <w:szCs w:val="18"/>
          <w:color w:val="auto"/>
        </w:rPr>
        <w:t>periodic cybersecurity training for our workforce.</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This information security program is a key part of our overall risk management system, which is administered by our Chief Risk Officer. The program includes administrative, technical and physical safeguards to help ensure the security and confidentiality of customer records and information. These security and privacy policies and procedures are in effect across all of our businesses and geographic locations.</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We face a number of cybersecurity risks in connection with our business. From time-to-time, we have identified cybersecurity threats and cybersecurity incidents that require us to make changes to our processes and to implement additional safeguards. While none of these identified threats or incidents have materially affected us, it is possible that threats and incidents we identify in the future could have a material adverse effect on our business strategy, results of operations, and financial condition.</w:t>
      </w:r>
    </w:p>
    <w:p>
      <w:pPr>
        <w:spacing w:after="0" w:line="22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9" w:name="page50"/>
    <w:bookmarkEnd w:id="4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Our management team is responsible for the day-to-day management of risks we face, including our Chief Information Security Officer (“CISO”). Our CISO has been in the role since September 2020, and has 15 years of experience across external and internal audit, technology risk management, and cybersecurity spanning various industries primarily within the financial services sector, but also including healthcare, technology, consumer products, and manufacturing for both regional and multinational corporations.</w:t>
      </w:r>
    </w:p>
    <w:p>
      <w:pPr>
        <w:spacing w:after="0" w:line="15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In addition, our board of directors, as a whole and through its Enterprise Risk Committee (the “Risk Committee”), is responsible for the oversight of risk management. In that role, our board of directors and Risk Committee, with support from Busey’s cybersecurity advisors, are responsible for ensuring that the risk management processes designed and implemented by management are adequate and functioning as designed. To carry out those duties, both our board of directors and the Risk Committee receive quarterly reports from our management team regarding cybersecurity risks, and Busey’s efforts to prevent, detect, mitigate, and remediate any cybersecurity incidents.</w:t>
      </w:r>
    </w:p>
    <w:p>
      <w:pPr>
        <w:spacing w:after="0" w:line="159"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2. PROPERTIES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First Busey Corporation’s and Busey Bank’s headquarters are located at 100 West University Avenue, Champaign, Illinois. FirsTech’s headquarters is located at 130 North Water Street, Decatur, Illinois. These facilities, which are owned by the Company, house the executive and primary administrative offices of each respective entity. First Busey Corporation and its subsidiaries also own or lease other facilities, such as banking centers of Busey Bank, for business operations.</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considers its properties to be suitable and adequate for its present needs. None of the properties are subject to any material encumbrance.</w:t>
      </w:r>
    </w:p>
    <w:p>
      <w:pPr>
        <w:spacing w:after="0" w:line="144"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3. LEGAL PROCEEDINGS</w:t>
      </w:r>
    </w:p>
    <w:p>
      <w:pPr>
        <w:spacing w:after="0" w:line="18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part of the ordinary course of business, First Busey Corporation and its subsidiaries are parties to litigation that is incidental to their regular business activities.</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pacing w:after="0" w:line="15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4. MINE SAFETY DISCLOSURES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color w:val="auto"/>
        </w:rPr>
        <w:t>Not applicable.</w:t>
      </w:r>
    </w:p>
    <w:p>
      <w:pPr>
        <w:spacing w:after="0" w:line="173" w:lineRule="exact"/>
        <w:rPr>
          <w:sz w:val="20"/>
          <w:szCs w:val="20"/>
          <w:color w:val="auto"/>
        </w:rPr>
      </w:pPr>
    </w:p>
    <w:p>
      <w:pPr>
        <w:ind w:left="5220"/>
        <w:spacing w:after="0"/>
        <w:rPr>
          <w:sz w:val="20"/>
          <w:szCs w:val="20"/>
          <w:color w:val="auto"/>
        </w:rPr>
      </w:pPr>
      <w:r>
        <w:rPr>
          <w:rFonts w:ascii="Verdana" w:cs="Verdana" w:eastAsia="Verdana" w:hAnsi="Verdana"/>
          <w:sz w:val="18"/>
          <w:szCs w:val="18"/>
          <w:b w:val="1"/>
          <w:bCs w:val="1"/>
          <w:color w:val="auto"/>
        </w:rPr>
        <w:t>PART II</w:t>
      </w:r>
    </w:p>
    <w:p>
      <w:pPr>
        <w:spacing w:after="0" w:line="170" w:lineRule="exact"/>
        <w:rPr>
          <w:sz w:val="20"/>
          <w:szCs w:val="20"/>
          <w:color w:val="auto"/>
        </w:rPr>
      </w:pPr>
    </w:p>
    <w:p>
      <w:pPr>
        <w:ind w:left="360"/>
        <w:spacing w:after="0"/>
        <w:rPr>
          <w:sz w:val="20"/>
          <w:szCs w:val="20"/>
          <w:color w:val="auto"/>
        </w:rPr>
      </w:pPr>
      <w:r>
        <w:rPr>
          <w:rFonts w:ascii="Verdana" w:cs="Verdana" w:eastAsia="Verdana" w:hAnsi="Verdana"/>
          <w:sz w:val="18"/>
          <w:szCs w:val="18"/>
          <w:b w:val="1"/>
          <w:bCs w:val="1"/>
          <w:color w:val="auto"/>
        </w:rPr>
        <w:t>ITEM 5. MARKET FOR REGISTRANT’S COMMON EQUITY, RELATED STOCKHOLDER MATTERS, AND ISSUER</w:t>
      </w:r>
    </w:p>
    <w:p>
      <w:pPr>
        <w:jc w:val="center"/>
        <w:spacing w:after="0"/>
        <w:rPr>
          <w:sz w:val="20"/>
          <w:szCs w:val="20"/>
          <w:color w:val="auto"/>
        </w:rPr>
      </w:pPr>
      <w:r>
        <w:rPr>
          <w:rFonts w:ascii="Verdana" w:cs="Verdana" w:eastAsia="Verdana" w:hAnsi="Verdana"/>
          <w:sz w:val="18"/>
          <w:szCs w:val="18"/>
          <w:b w:val="1"/>
          <w:bCs w:val="1"/>
          <w:color w:val="auto"/>
        </w:rPr>
        <w:t>PURCHASES OF EQUITY SECURITIES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COMMON STOCK</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Busey’s common stock is traded on The Nasdaq Global Select Market under the symbol “BUSE.”</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Busey’s board of directors and management are currently committed to continue paying regular cash dividends; however, no guarantee can be given with respect to future dividends, as they are dependent on certain regulatory restrictions, future earnings, capital requirements, and the financial condition of First Busey Corporation and its subsidiaries.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Business—Supervision, Regulation, and Other Factors—Supervision and Regulation of the Company—Dividend Payments</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 xml:space="preserve">and </w:t>
      </w:r>
      <w:r>
        <w:rPr>
          <w:rFonts w:ascii="Verdana" w:cs="Verdana" w:eastAsia="Verdana" w:hAnsi="Verdana"/>
          <w:sz w:val="18"/>
          <w:szCs w:val="18"/>
          <w:i w:val="1"/>
          <w:iCs w:val="1"/>
          <w:color w:val="000000"/>
        </w:rPr>
        <w:t>“</w:t>
      </w:r>
      <w:r>
        <w:rPr>
          <w:rFonts w:ascii="Verdana" w:cs="Verdana" w:eastAsia="Verdana" w:hAnsi="Verdana"/>
          <w:sz w:val="18"/>
          <w:szCs w:val="18"/>
          <w:i w:val="1"/>
          <w:iCs w:val="1"/>
          <w:u w:val="single" w:color="auto"/>
          <w:color w:val="0000FF"/>
        </w:rPr>
        <w:t>Item 1. Business—Supervision, Regulation, and Other Factors—Supervision and Regulation of Busey Bank—Dividend</w:t>
      </w:r>
      <w:r>
        <w:rPr>
          <w:rFonts w:ascii="Verdana" w:cs="Verdana" w:eastAsia="Verdana" w:hAnsi="Verdana"/>
          <w:sz w:val="18"/>
          <w:szCs w:val="18"/>
          <w:color w:val="000000"/>
        </w:rPr>
        <w:t xml:space="preserve"> </w:t>
      </w:r>
      <w:r>
        <w:rPr>
          <w:rFonts w:ascii="Verdana" w:cs="Verdana" w:eastAsia="Verdana" w:hAnsi="Verdana"/>
          <w:sz w:val="18"/>
          <w:szCs w:val="18"/>
          <w:i w:val="1"/>
          <w:iCs w:val="1"/>
          <w:u w:val="single" w:color="auto"/>
          <w:color w:val="0000FF"/>
        </w:rPr>
        <w:t>Payments</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for further discussion of these matters.</w:t>
      </w:r>
    </w:p>
    <w:p>
      <w:pPr>
        <w:spacing w:after="0" w:line="22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0" w:name="page51"/>
    <w:bookmarkEnd w:id="5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As of February 22, 2024, First Busey Corporation had 55,247,094 shares of common stock outstanding held by 1,804 holders of record. Additionally, there were an estimated 10,830 beneficial holders whose stock was held in street name by brokerage houses and nominees as of that date.</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STOCK REPURCHASE PLAN</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February 3, 2015, First Busey Corporation's board of directors approved the Stock Repurchase Plan to enable Busey to purchase shares of its common stock through various means including purchases executed on the open market, through block trades or otherwise, and in privately negotiated transactions. The Stock Repurchase Plan provides Busey with treasury shares from which stock-based compensation can be issued, and limits the number of outstanding shares that may be actively traded. The Stock Repurchase Plan does not obligate Busey to purchase any shares of its common stock, and has no expiration date. The Stock Repurchase Plan may be terminated, or the number of shares authorized for repurchase may be increased or decreased by Busey's board of directors at its discretion at any time.</w:t>
      </w:r>
    </w:p>
    <w:p>
      <w:pPr>
        <w:spacing w:after="0" w:line="17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Under the Stock Repurchase Plan, Busey's board of directors has authorized shares for repurchase as shown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40" w:type="dxa"/>
            <w:vAlign w:val="bottom"/>
          </w:tcPr>
          <w:p>
            <w:pPr>
              <w:spacing w:after="0"/>
              <w:rPr>
                <w:sz w:val="13"/>
                <w:szCs w:val="13"/>
                <w:color w:val="auto"/>
              </w:rPr>
            </w:pPr>
          </w:p>
        </w:tc>
        <w:tc>
          <w:tcPr>
            <w:tcW w:w="1600" w:type="dxa"/>
            <w:vAlign w:val="bottom"/>
          </w:tcPr>
          <w:p>
            <w:pPr>
              <w:jc w:val="right"/>
              <w:ind w:right="78"/>
              <w:spacing w:after="0"/>
              <w:rPr>
                <w:sz w:val="20"/>
                <w:szCs w:val="20"/>
                <w:color w:val="auto"/>
              </w:rPr>
            </w:pPr>
            <w:r>
              <w:rPr>
                <w:rFonts w:ascii="Verdana" w:cs="Verdana" w:eastAsia="Verdana" w:hAnsi="Verdana"/>
                <w:sz w:val="13"/>
                <w:szCs w:val="13"/>
                <w:b w:val="1"/>
                <w:bCs w:val="1"/>
                <w:color w:val="auto"/>
              </w:rPr>
              <w:t>Number of Shares</w:t>
            </w:r>
          </w:p>
        </w:tc>
      </w:tr>
      <w:tr>
        <w:trPr>
          <w:trHeight w:val="170"/>
        </w:trPr>
        <w:tc>
          <w:tcPr>
            <w:tcW w:w="9640" w:type="dxa"/>
            <w:vAlign w:val="bottom"/>
          </w:tcPr>
          <w:p>
            <w:pPr>
              <w:spacing w:after="0"/>
              <w:rPr>
                <w:sz w:val="14"/>
                <w:szCs w:val="14"/>
                <w:color w:val="auto"/>
              </w:rPr>
            </w:pPr>
          </w:p>
        </w:tc>
        <w:tc>
          <w:tcPr>
            <w:tcW w:w="1600" w:type="dxa"/>
            <w:vAlign w:val="bottom"/>
          </w:tcPr>
          <w:p>
            <w:pPr>
              <w:jc w:val="right"/>
              <w:ind w:right="318"/>
              <w:spacing w:after="0"/>
              <w:rPr>
                <w:sz w:val="20"/>
                <w:szCs w:val="20"/>
                <w:color w:val="auto"/>
              </w:rPr>
            </w:pPr>
            <w:r>
              <w:rPr>
                <w:rFonts w:ascii="Verdana" w:cs="Verdana" w:eastAsia="Verdana" w:hAnsi="Verdana"/>
                <w:sz w:val="13"/>
                <w:szCs w:val="13"/>
                <w:b w:val="1"/>
                <w:bCs w:val="1"/>
                <w:color w:val="auto"/>
              </w:rPr>
              <w:t>Authorized</w:t>
            </w:r>
          </w:p>
        </w:tc>
      </w:tr>
      <w:tr>
        <w:trPr>
          <w:trHeight w:val="275"/>
        </w:trPr>
        <w:tc>
          <w:tcPr>
            <w:tcW w:w="9640" w:type="dxa"/>
            <w:vAlign w:val="bottom"/>
            <w:shd w:val="clear" w:color="auto" w:fill="DBE2E9"/>
          </w:tcPr>
          <w:p>
            <w:pPr>
              <w:ind w:left="20"/>
              <w:spacing w:after="0"/>
              <w:rPr>
                <w:sz w:val="20"/>
                <w:szCs w:val="20"/>
                <w:color w:val="auto"/>
              </w:rPr>
            </w:pPr>
            <w:r>
              <w:rPr>
                <w:rFonts w:ascii="Verdana" w:cs="Verdana" w:eastAsia="Verdana" w:hAnsi="Verdana"/>
                <w:sz w:val="18"/>
                <w:szCs w:val="18"/>
                <w:color w:val="auto"/>
              </w:rPr>
              <w:t>February 3, 2015</w:t>
            </w:r>
          </w:p>
        </w:tc>
        <w:tc>
          <w:tcPr>
            <w:tcW w:w="1600" w:type="dxa"/>
            <w:vAlign w:val="bottom"/>
            <w:shd w:val="clear" w:color="auto" w:fill="DBE2E9"/>
          </w:tcPr>
          <w:p>
            <w:pPr>
              <w:jc w:val="right"/>
              <w:spacing w:after="0"/>
              <w:rPr>
                <w:sz w:val="20"/>
                <w:szCs w:val="20"/>
                <w:color w:val="auto"/>
              </w:rPr>
            </w:pPr>
            <w:r>
              <w:rPr>
                <w:rFonts w:ascii="Verdana" w:cs="Verdana" w:eastAsia="Verdana" w:hAnsi="Verdana"/>
                <w:sz w:val="18"/>
                <w:szCs w:val="18"/>
                <w:color w:val="auto"/>
              </w:rPr>
              <w:t>666,667</w:t>
            </w:r>
          </w:p>
        </w:tc>
      </w:tr>
      <w:tr>
        <w:trPr>
          <w:trHeight w:val="263"/>
        </w:trPr>
        <w:tc>
          <w:tcPr>
            <w:tcW w:w="9640" w:type="dxa"/>
            <w:vAlign w:val="bottom"/>
          </w:tcPr>
          <w:p>
            <w:pPr>
              <w:ind w:left="20"/>
              <w:spacing w:after="0"/>
              <w:rPr>
                <w:sz w:val="20"/>
                <w:szCs w:val="20"/>
                <w:color w:val="auto"/>
              </w:rPr>
            </w:pPr>
            <w:r>
              <w:rPr>
                <w:rFonts w:ascii="Verdana" w:cs="Verdana" w:eastAsia="Verdana" w:hAnsi="Verdana"/>
                <w:sz w:val="18"/>
                <w:szCs w:val="18"/>
                <w:color w:val="auto"/>
              </w:rPr>
              <w:t>May 22, 2019</w:t>
            </w:r>
          </w:p>
        </w:tc>
        <w:tc>
          <w:tcPr>
            <w:tcW w:w="1600" w:type="dxa"/>
            <w:vAlign w:val="bottom"/>
          </w:tcPr>
          <w:p>
            <w:pPr>
              <w:jc w:val="right"/>
              <w:spacing w:after="0"/>
              <w:rPr>
                <w:sz w:val="20"/>
                <w:szCs w:val="20"/>
                <w:color w:val="auto"/>
              </w:rPr>
            </w:pPr>
            <w:r>
              <w:rPr>
                <w:rFonts w:ascii="Verdana" w:cs="Verdana" w:eastAsia="Verdana" w:hAnsi="Verdana"/>
                <w:sz w:val="18"/>
                <w:szCs w:val="18"/>
                <w:color w:val="auto"/>
              </w:rPr>
              <w:t>1,000,000</w:t>
            </w:r>
          </w:p>
        </w:tc>
      </w:tr>
      <w:tr>
        <w:trPr>
          <w:trHeight w:val="277"/>
        </w:trPr>
        <w:tc>
          <w:tcPr>
            <w:tcW w:w="9640" w:type="dxa"/>
            <w:vAlign w:val="bottom"/>
            <w:shd w:val="clear" w:color="auto" w:fill="DBE2E9"/>
          </w:tcPr>
          <w:p>
            <w:pPr>
              <w:ind w:left="20"/>
              <w:spacing w:after="0"/>
              <w:rPr>
                <w:sz w:val="20"/>
                <w:szCs w:val="20"/>
                <w:color w:val="auto"/>
              </w:rPr>
            </w:pPr>
            <w:r>
              <w:rPr>
                <w:rFonts w:ascii="Verdana" w:cs="Verdana" w:eastAsia="Verdana" w:hAnsi="Verdana"/>
                <w:sz w:val="18"/>
                <w:szCs w:val="18"/>
                <w:color w:val="auto"/>
              </w:rPr>
              <w:t>February 5, 2020</w:t>
            </w:r>
          </w:p>
        </w:tc>
        <w:tc>
          <w:tcPr>
            <w:tcW w:w="1600" w:type="dxa"/>
            <w:vAlign w:val="bottom"/>
            <w:shd w:val="clear" w:color="auto" w:fill="DBE2E9"/>
          </w:tcPr>
          <w:p>
            <w:pPr>
              <w:jc w:val="right"/>
              <w:spacing w:after="0"/>
              <w:rPr>
                <w:sz w:val="20"/>
                <w:szCs w:val="20"/>
                <w:color w:val="auto"/>
              </w:rPr>
            </w:pPr>
            <w:r>
              <w:rPr>
                <w:rFonts w:ascii="Verdana" w:cs="Verdana" w:eastAsia="Verdana" w:hAnsi="Verdana"/>
                <w:sz w:val="18"/>
                <w:szCs w:val="18"/>
                <w:color w:val="auto"/>
              </w:rPr>
              <w:t>2,000,000</w:t>
            </w:r>
          </w:p>
        </w:tc>
      </w:tr>
      <w:tr>
        <w:trPr>
          <w:trHeight w:val="264"/>
        </w:trPr>
        <w:tc>
          <w:tcPr>
            <w:tcW w:w="9640" w:type="dxa"/>
            <w:vAlign w:val="bottom"/>
            <w:tcBorders>
              <w:bottom w:val="single" w:sz="8" w:color="DBE2E9"/>
            </w:tcBorders>
          </w:tcPr>
          <w:p>
            <w:pPr>
              <w:ind w:left="20"/>
              <w:spacing w:after="0"/>
              <w:rPr>
                <w:sz w:val="20"/>
                <w:szCs w:val="20"/>
                <w:color w:val="auto"/>
              </w:rPr>
            </w:pPr>
            <w:r>
              <w:rPr>
                <w:rFonts w:ascii="Verdana" w:cs="Verdana" w:eastAsia="Verdana" w:hAnsi="Verdana"/>
                <w:sz w:val="18"/>
                <w:szCs w:val="18"/>
                <w:color w:val="auto"/>
              </w:rPr>
              <w:t>May 24, 2023</w:t>
            </w:r>
          </w:p>
        </w:tc>
        <w:tc>
          <w:tcPr>
            <w:tcW w:w="16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2,000,000</w:t>
            </w:r>
          </w:p>
        </w:tc>
      </w:tr>
      <w:tr>
        <w:trPr>
          <w:trHeight w:val="295"/>
        </w:trPr>
        <w:tc>
          <w:tcPr>
            <w:tcW w:w="9640" w:type="dxa"/>
            <w:vAlign w:val="bottom"/>
            <w:tcBorders>
              <w:bottom w:val="single" w:sz="8" w:color="DBE2E9"/>
            </w:tcBorders>
            <w:shd w:val="clear" w:color="auto" w:fill="DBE2E9"/>
          </w:tcPr>
          <w:p>
            <w:pPr>
              <w:ind w:left="20"/>
              <w:spacing w:after="0"/>
              <w:rPr>
                <w:sz w:val="20"/>
                <w:szCs w:val="20"/>
                <w:color w:val="auto"/>
              </w:rPr>
            </w:pPr>
            <w:r>
              <w:rPr>
                <w:rFonts w:ascii="Verdana" w:cs="Verdana" w:eastAsia="Verdana" w:hAnsi="Verdana"/>
                <w:sz w:val="18"/>
                <w:szCs w:val="18"/>
                <w:color w:val="auto"/>
              </w:rPr>
              <w:t>Total shares that have been authorized for repurchase under the plan</w:t>
            </w:r>
          </w:p>
        </w:tc>
        <w:tc>
          <w:tcPr>
            <w:tcW w:w="1600" w:type="dxa"/>
            <w:vAlign w:val="bottom"/>
            <w:tcBorders>
              <w:bottom w:val="single" w:sz="8" w:color="auto"/>
            </w:tcBorders>
            <w:shd w:val="clear" w:color="auto" w:fill="DBE2E9"/>
          </w:tcPr>
          <w:p>
            <w:pPr>
              <w:jc w:val="right"/>
              <w:spacing w:after="0"/>
              <w:rPr>
                <w:sz w:val="20"/>
                <w:szCs w:val="20"/>
                <w:color w:val="auto"/>
              </w:rPr>
            </w:pPr>
            <w:r>
              <w:rPr>
                <w:rFonts w:ascii="Verdana" w:cs="Verdana" w:eastAsia="Verdana" w:hAnsi="Verdana"/>
                <w:sz w:val="18"/>
                <w:szCs w:val="18"/>
                <w:color w:val="auto"/>
              </w:rPr>
              <w:t>5,666,667</w:t>
            </w:r>
          </w:p>
        </w:tc>
      </w:tr>
      <w:tr>
        <w:trPr>
          <w:trHeight w:val="20"/>
        </w:trPr>
        <w:tc>
          <w:tcPr>
            <w:tcW w:w="9640" w:type="dxa"/>
            <w:vAlign w:val="bottom"/>
            <w:tcBorders>
              <w:top w:val="single" w:sz="8" w:color="DBE2E9"/>
            </w:tcBorders>
          </w:tcPr>
          <w:p>
            <w:pPr>
              <w:spacing w:after="0" w:line="20" w:lineRule="exact"/>
              <w:rPr>
                <w:sz w:val="1"/>
                <w:szCs w:val="1"/>
                <w:color w:val="auto"/>
              </w:rPr>
            </w:pPr>
          </w:p>
        </w:tc>
        <w:tc>
          <w:tcPr>
            <w:tcW w:w="1600" w:type="dxa"/>
            <w:vAlign w:val="bottom"/>
            <w:tcBorders>
              <w:top w:val="single" w:sz="8" w:color="DBE2E9"/>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During the fourth quarter of 2023, Busey purchased 117,812 shares of its common stock pursuant to the Stock Repurchase Plan, as reflected in the table below. As of December 31, 2023, Busey had 1,919,275 shares that may still be purchased under the Stock Repurchase Plan.</w:t>
      </w:r>
    </w:p>
    <w:p>
      <w:pPr>
        <w:sectPr>
          <w:pgSz w:w="11900" w:h="16838" w:orient="portrait"/>
          <w:cols w:equalWidth="0" w:num="1">
            <w:col w:w="11240"/>
          </w:cols>
          <w:pgMar w:left="320" w:top="310" w:right="339" w:bottom="1440" w:gutter="0" w:footer="0" w:header="0"/>
        </w:sectPr>
      </w:pP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2620" w:type="dxa"/>
            <w:vAlign w:val="bottom"/>
          </w:tcPr>
          <w:p>
            <w:pPr>
              <w:spacing w:after="0"/>
              <w:rPr>
                <w:sz w:val="13"/>
                <w:szCs w:val="13"/>
                <w:color w:val="auto"/>
              </w:rPr>
            </w:pPr>
          </w:p>
        </w:tc>
        <w:tc>
          <w:tcPr>
            <w:tcW w:w="3600" w:type="dxa"/>
            <w:vAlign w:val="bottom"/>
            <w:vMerge w:val="restart"/>
          </w:tcPr>
          <w:p>
            <w:pPr>
              <w:jc w:val="center"/>
              <w:ind w:left="1877"/>
              <w:spacing w:after="0"/>
              <w:rPr>
                <w:sz w:val="20"/>
                <w:szCs w:val="20"/>
                <w:color w:val="auto"/>
              </w:rPr>
            </w:pPr>
            <w:r>
              <w:rPr>
                <w:rFonts w:ascii="Verdana" w:cs="Verdana" w:eastAsia="Verdana" w:hAnsi="Verdana"/>
                <w:sz w:val="13"/>
                <w:szCs w:val="13"/>
                <w:b w:val="1"/>
                <w:bCs w:val="1"/>
                <w:color w:val="auto"/>
                <w:w w:val="96"/>
              </w:rPr>
              <w:t>Total Number of</w:t>
            </w:r>
          </w:p>
        </w:tc>
        <w:tc>
          <w:tcPr>
            <w:tcW w:w="1500" w:type="dxa"/>
            <w:vAlign w:val="bottom"/>
          </w:tcPr>
          <w:p>
            <w:pPr>
              <w:jc w:val="center"/>
              <w:ind w:left="137"/>
              <w:spacing w:after="0"/>
              <w:rPr>
                <w:sz w:val="20"/>
                <w:szCs w:val="20"/>
                <w:color w:val="auto"/>
              </w:rPr>
            </w:pPr>
            <w:r>
              <w:rPr>
                <w:rFonts w:ascii="Verdana" w:cs="Verdana" w:eastAsia="Verdana" w:hAnsi="Verdana"/>
                <w:sz w:val="13"/>
                <w:szCs w:val="13"/>
                <w:b w:val="1"/>
                <w:bCs w:val="1"/>
                <w:color w:val="auto"/>
                <w:w w:val="96"/>
              </w:rPr>
              <w:t>Weighted Average</w:t>
            </w:r>
          </w:p>
        </w:tc>
        <w:tc>
          <w:tcPr>
            <w:tcW w:w="0" w:type="dxa"/>
            <w:vAlign w:val="bottom"/>
          </w:tcPr>
          <w:p>
            <w:pPr>
              <w:spacing w:after="0"/>
              <w:rPr>
                <w:sz w:val="1"/>
                <w:szCs w:val="1"/>
                <w:color w:val="auto"/>
              </w:rPr>
            </w:pPr>
          </w:p>
        </w:tc>
      </w:tr>
      <w:tr>
        <w:trPr>
          <w:trHeight w:val="122"/>
        </w:trPr>
        <w:tc>
          <w:tcPr>
            <w:tcW w:w="2620" w:type="dxa"/>
            <w:vAlign w:val="bottom"/>
            <w:vMerge w:val="restart"/>
          </w:tcPr>
          <w:p>
            <w:pPr>
              <w:spacing w:after="0"/>
              <w:rPr>
                <w:sz w:val="20"/>
                <w:szCs w:val="20"/>
                <w:color w:val="auto"/>
              </w:rPr>
            </w:pPr>
            <w:r>
              <w:rPr>
                <w:rFonts w:ascii="Verdana" w:cs="Verdana" w:eastAsia="Verdana" w:hAnsi="Verdana"/>
                <w:sz w:val="13"/>
                <w:szCs w:val="13"/>
                <w:b w:val="1"/>
                <w:bCs w:val="1"/>
                <w:color w:val="auto"/>
              </w:rPr>
              <w:t>Period</w:t>
            </w:r>
          </w:p>
        </w:tc>
        <w:tc>
          <w:tcPr>
            <w:tcW w:w="3600" w:type="dxa"/>
            <w:vAlign w:val="bottom"/>
            <w:vMerge w:val="continue"/>
          </w:tcPr>
          <w:p>
            <w:pPr>
              <w:spacing w:after="0"/>
              <w:rPr>
                <w:sz w:val="10"/>
                <w:szCs w:val="10"/>
                <w:color w:val="auto"/>
              </w:rPr>
            </w:pPr>
          </w:p>
        </w:tc>
        <w:tc>
          <w:tcPr>
            <w:tcW w:w="1500" w:type="dxa"/>
            <w:vAlign w:val="bottom"/>
          </w:tcPr>
          <w:p>
            <w:pPr>
              <w:jc w:val="center"/>
              <w:ind w:left="137"/>
              <w:spacing w:after="0" w:line="122" w:lineRule="exact"/>
              <w:rPr>
                <w:sz w:val="20"/>
                <w:szCs w:val="20"/>
                <w:color w:val="auto"/>
              </w:rPr>
            </w:pPr>
            <w:r>
              <w:rPr>
                <w:rFonts w:ascii="Verdana" w:cs="Verdana" w:eastAsia="Verdana" w:hAnsi="Verdana"/>
                <w:sz w:val="13"/>
                <w:szCs w:val="13"/>
                <w:b w:val="1"/>
                <w:bCs w:val="1"/>
                <w:color w:val="auto"/>
                <w:w w:val="96"/>
              </w:rPr>
              <w:t>Price Paid per</w:t>
            </w:r>
          </w:p>
        </w:tc>
        <w:tc>
          <w:tcPr>
            <w:tcW w:w="0" w:type="dxa"/>
            <w:vAlign w:val="bottom"/>
          </w:tcPr>
          <w:p>
            <w:pPr>
              <w:spacing w:after="0"/>
              <w:rPr>
                <w:sz w:val="1"/>
                <w:szCs w:val="1"/>
                <w:color w:val="auto"/>
              </w:rPr>
            </w:pPr>
          </w:p>
        </w:tc>
      </w:tr>
      <w:tr>
        <w:trPr>
          <w:trHeight w:val="165"/>
        </w:trPr>
        <w:tc>
          <w:tcPr>
            <w:tcW w:w="2620" w:type="dxa"/>
            <w:vAlign w:val="bottom"/>
            <w:vMerge w:val="continue"/>
          </w:tcPr>
          <w:p>
            <w:pPr>
              <w:spacing w:after="0"/>
              <w:rPr>
                <w:sz w:val="14"/>
                <w:szCs w:val="14"/>
                <w:color w:val="auto"/>
              </w:rPr>
            </w:pPr>
          </w:p>
        </w:tc>
        <w:tc>
          <w:tcPr>
            <w:tcW w:w="3600" w:type="dxa"/>
            <w:vAlign w:val="bottom"/>
          </w:tcPr>
          <w:p>
            <w:pPr>
              <w:jc w:val="center"/>
              <w:ind w:left="1877"/>
              <w:spacing w:after="0"/>
              <w:rPr>
                <w:sz w:val="20"/>
                <w:szCs w:val="20"/>
                <w:color w:val="auto"/>
              </w:rPr>
            </w:pPr>
            <w:r>
              <w:rPr>
                <w:rFonts w:ascii="Verdana" w:cs="Verdana" w:eastAsia="Verdana" w:hAnsi="Verdana"/>
                <w:sz w:val="13"/>
                <w:szCs w:val="13"/>
                <w:b w:val="1"/>
                <w:bCs w:val="1"/>
                <w:color w:val="auto"/>
                <w:w w:val="96"/>
              </w:rPr>
              <w:t>Shares Purchased</w:t>
            </w:r>
          </w:p>
        </w:tc>
        <w:tc>
          <w:tcPr>
            <w:tcW w:w="150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7"/>
              </w:rPr>
              <w:t>Common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560" w:type="dxa"/>
            <w:vAlign w:val="bottom"/>
            <w:vMerge w:val="restart"/>
          </w:tcPr>
          <w:p>
            <w:pPr>
              <w:jc w:val="center"/>
              <w:ind w:right="17"/>
              <w:spacing w:after="0"/>
              <w:rPr>
                <w:sz w:val="20"/>
                <w:szCs w:val="20"/>
                <w:color w:val="auto"/>
              </w:rPr>
            </w:pPr>
            <w:r>
              <w:rPr>
                <w:rFonts w:ascii="Verdana" w:cs="Verdana" w:eastAsia="Verdana" w:hAnsi="Verdana"/>
                <w:sz w:val="13"/>
                <w:szCs w:val="13"/>
                <w:b w:val="1"/>
                <w:bCs w:val="1"/>
                <w:color w:val="auto"/>
                <w:w w:val="97"/>
              </w:rPr>
              <w:t>Number of Shares</w:t>
            </w:r>
          </w:p>
        </w:tc>
        <w:tc>
          <w:tcPr>
            <w:tcW w:w="1580" w:type="dxa"/>
            <w:vAlign w:val="bottom"/>
          </w:tcPr>
          <w:p>
            <w:pPr>
              <w:jc w:val="center"/>
              <w:ind w:left="57"/>
              <w:spacing w:after="0"/>
              <w:rPr>
                <w:sz w:val="20"/>
                <w:szCs w:val="20"/>
                <w:color w:val="auto"/>
              </w:rPr>
            </w:pPr>
            <w:r>
              <w:rPr>
                <w:rFonts w:ascii="Verdana" w:cs="Verdana" w:eastAsia="Verdana" w:hAnsi="Verdana"/>
                <w:sz w:val="13"/>
                <w:szCs w:val="13"/>
                <w:b w:val="1"/>
                <w:bCs w:val="1"/>
                <w:color w:val="auto"/>
                <w:w w:val="95"/>
              </w:rPr>
              <w:t>Maximum Number of</w:t>
            </w:r>
          </w:p>
        </w:tc>
        <w:tc>
          <w:tcPr>
            <w:tcW w:w="0" w:type="dxa"/>
            <w:vAlign w:val="bottom"/>
          </w:tcPr>
          <w:p>
            <w:pPr>
              <w:spacing w:after="0"/>
              <w:rPr>
                <w:sz w:val="1"/>
                <w:szCs w:val="1"/>
                <w:color w:val="auto"/>
              </w:rPr>
            </w:pPr>
          </w:p>
        </w:tc>
      </w:tr>
      <w:tr>
        <w:trPr>
          <w:trHeight w:val="122"/>
        </w:trPr>
        <w:tc>
          <w:tcPr>
            <w:tcW w:w="1560" w:type="dxa"/>
            <w:vAlign w:val="bottom"/>
            <w:vMerge w:val="continue"/>
          </w:tcPr>
          <w:p>
            <w:pPr>
              <w:spacing w:after="0"/>
              <w:rPr>
                <w:sz w:val="10"/>
                <w:szCs w:val="10"/>
                <w:color w:val="auto"/>
              </w:rPr>
            </w:pPr>
          </w:p>
        </w:tc>
        <w:tc>
          <w:tcPr>
            <w:tcW w:w="1580" w:type="dxa"/>
            <w:vAlign w:val="bottom"/>
          </w:tcPr>
          <w:p>
            <w:pPr>
              <w:jc w:val="center"/>
              <w:ind w:left="57"/>
              <w:spacing w:after="0" w:line="122" w:lineRule="exact"/>
              <w:rPr>
                <w:sz w:val="20"/>
                <w:szCs w:val="20"/>
                <w:color w:val="auto"/>
              </w:rPr>
            </w:pPr>
            <w:r>
              <w:rPr>
                <w:rFonts w:ascii="Verdana" w:cs="Verdana" w:eastAsia="Verdana" w:hAnsi="Verdana"/>
                <w:sz w:val="13"/>
                <w:szCs w:val="13"/>
                <w:b w:val="1"/>
                <w:bCs w:val="1"/>
                <w:color w:val="auto"/>
                <w:w w:val="97"/>
              </w:rPr>
              <w:t>Shares That May Yet</w:t>
            </w:r>
          </w:p>
        </w:tc>
        <w:tc>
          <w:tcPr>
            <w:tcW w:w="0" w:type="dxa"/>
            <w:vAlign w:val="bottom"/>
          </w:tcPr>
          <w:p>
            <w:pPr>
              <w:spacing w:after="0"/>
              <w:rPr>
                <w:sz w:val="1"/>
                <w:szCs w:val="1"/>
                <w:color w:val="auto"/>
              </w:rPr>
            </w:pPr>
          </w:p>
        </w:tc>
      </w:tr>
      <w:tr>
        <w:trPr>
          <w:trHeight w:val="121"/>
        </w:trPr>
        <w:tc>
          <w:tcPr>
            <w:tcW w:w="1560" w:type="dxa"/>
            <w:vAlign w:val="bottom"/>
          </w:tcPr>
          <w:p>
            <w:pPr>
              <w:jc w:val="center"/>
              <w:ind w:right="37"/>
              <w:spacing w:after="0" w:line="122" w:lineRule="exact"/>
              <w:rPr>
                <w:sz w:val="20"/>
                <w:szCs w:val="20"/>
                <w:color w:val="auto"/>
              </w:rPr>
            </w:pPr>
            <w:r>
              <w:rPr>
                <w:rFonts w:ascii="Verdana" w:cs="Verdana" w:eastAsia="Verdana" w:hAnsi="Verdana"/>
                <w:sz w:val="13"/>
                <w:szCs w:val="13"/>
                <w:b w:val="1"/>
                <w:bCs w:val="1"/>
                <w:color w:val="auto"/>
                <w:w w:val="96"/>
              </w:rPr>
              <w:t>Purchased as Part of</w:t>
            </w:r>
          </w:p>
        </w:tc>
        <w:tc>
          <w:tcPr>
            <w:tcW w:w="1580" w:type="dxa"/>
            <w:vAlign w:val="bottom"/>
          </w:tcPr>
          <w:p>
            <w:pPr>
              <w:jc w:val="center"/>
              <w:ind w:left="57"/>
              <w:spacing w:after="0" w:line="122" w:lineRule="exact"/>
              <w:rPr>
                <w:sz w:val="20"/>
                <w:szCs w:val="20"/>
                <w:color w:val="auto"/>
              </w:rPr>
            </w:pPr>
            <w:r>
              <w:rPr>
                <w:rFonts w:ascii="Verdana" w:cs="Verdana" w:eastAsia="Verdana" w:hAnsi="Verdana"/>
                <w:sz w:val="13"/>
                <w:szCs w:val="13"/>
                <w:b w:val="1"/>
                <w:bCs w:val="1"/>
                <w:color w:val="auto"/>
                <w:w w:val="96"/>
              </w:rPr>
              <w:t>Be Purchased Under</w:t>
            </w:r>
          </w:p>
        </w:tc>
        <w:tc>
          <w:tcPr>
            <w:tcW w:w="0" w:type="dxa"/>
            <w:vAlign w:val="bottom"/>
          </w:tcPr>
          <w:p>
            <w:pPr>
              <w:spacing w:after="0"/>
              <w:rPr>
                <w:sz w:val="1"/>
                <w:szCs w:val="1"/>
                <w:color w:val="auto"/>
              </w:rPr>
            </w:pPr>
          </w:p>
        </w:tc>
      </w:tr>
      <w:tr>
        <w:trPr>
          <w:trHeight w:val="122"/>
        </w:trPr>
        <w:tc>
          <w:tcPr>
            <w:tcW w:w="1560" w:type="dxa"/>
            <w:vAlign w:val="bottom"/>
          </w:tcPr>
          <w:p>
            <w:pPr>
              <w:jc w:val="center"/>
              <w:ind w:right="37"/>
              <w:spacing w:after="0" w:line="122" w:lineRule="exact"/>
              <w:rPr>
                <w:sz w:val="20"/>
                <w:szCs w:val="20"/>
                <w:color w:val="auto"/>
              </w:rPr>
            </w:pPr>
            <w:r>
              <w:rPr>
                <w:rFonts w:ascii="Verdana" w:cs="Verdana" w:eastAsia="Verdana" w:hAnsi="Verdana"/>
                <w:sz w:val="13"/>
                <w:szCs w:val="13"/>
                <w:b w:val="1"/>
                <w:bCs w:val="1"/>
                <w:color w:val="auto"/>
                <w:w w:val="96"/>
              </w:rPr>
              <w:t>Publicly Announced</w:t>
            </w:r>
          </w:p>
        </w:tc>
        <w:tc>
          <w:tcPr>
            <w:tcW w:w="1580" w:type="dxa"/>
            <w:vAlign w:val="bottom"/>
          </w:tcPr>
          <w:p>
            <w:pPr>
              <w:jc w:val="center"/>
              <w:ind w:left="57"/>
              <w:spacing w:after="0" w:line="122" w:lineRule="exact"/>
              <w:rPr>
                <w:sz w:val="20"/>
                <w:szCs w:val="20"/>
                <w:color w:val="auto"/>
              </w:rPr>
            </w:pPr>
            <w:r>
              <w:rPr>
                <w:rFonts w:ascii="Verdana" w:cs="Verdana" w:eastAsia="Verdana" w:hAnsi="Verdana"/>
                <w:sz w:val="13"/>
                <w:szCs w:val="13"/>
                <w:b w:val="1"/>
                <w:bCs w:val="1"/>
                <w:color w:val="auto"/>
                <w:w w:val="97"/>
              </w:rPr>
              <w:t>the Plans or</w:t>
            </w:r>
          </w:p>
        </w:tc>
        <w:tc>
          <w:tcPr>
            <w:tcW w:w="0" w:type="dxa"/>
            <w:vAlign w:val="bottom"/>
          </w:tcPr>
          <w:p>
            <w:pPr>
              <w:spacing w:after="0"/>
              <w:rPr>
                <w:sz w:val="1"/>
                <w:szCs w:val="1"/>
                <w:color w:val="auto"/>
              </w:rPr>
            </w:pPr>
          </w:p>
        </w:tc>
      </w:tr>
      <w:tr>
        <w:trPr>
          <w:trHeight w:val="162"/>
        </w:trPr>
        <w:tc>
          <w:tcPr>
            <w:tcW w:w="1560" w:type="dxa"/>
            <w:vAlign w:val="bottom"/>
          </w:tcPr>
          <w:p>
            <w:pPr>
              <w:jc w:val="center"/>
              <w:ind w:right="37"/>
              <w:spacing w:after="0"/>
              <w:rPr>
                <w:sz w:val="20"/>
                <w:szCs w:val="20"/>
                <w:color w:val="auto"/>
              </w:rPr>
            </w:pPr>
            <w:r>
              <w:rPr>
                <w:rFonts w:ascii="Verdana" w:cs="Verdana" w:eastAsia="Verdana" w:hAnsi="Verdana"/>
                <w:sz w:val="13"/>
                <w:szCs w:val="13"/>
                <w:b w:val="1"/>
                <w:bCs w:val="1"/>
                <w:color w:val="auto"/>
                <w:w w:val="96"/>
              </w:rPr>
              <w:t>Plans or Programs</w:t>
            </w:r>
          </w:p>
        </w:tc>
        <w:tc>
          <w:tcPr>
            <w:tcW w:w="1580" w:type="dxa"/>
            <w:vAlign w:val="bottom"/>
          </w:tcPr>
          <w:p>
            <w:pPr>
              <w:jc w:val="center"/>
              <w:ind w:left="57"/>
              <w:spacing w:after="0"/>
              <w:rPr>
                <w:sz w:val="20"/>
                <w:szCs w:val="20"/>
                <w:color w:val="auto"/>
              </w:rPr>
            </w:pPr>
            <w:r>
              <w:rPr>
                <w:rFonts w:ascii="Verdana" w:cs="Verdana" w:eastAsia="Verdana" w:hAnsi="Verdana"/>
                <w:sz w:val="13"/>
                <w:szCs w:val="13"/>
                <w:b w:val="1"/>
                <w:bCs w:val="1"/>
                <w:color w:val="auto"/>
                <w:w w:val="98"/>
              </w:rPr>
              <w:t>Programs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740" w:space="300"/>
            <w:col w:w="3200"/>
          </w:cols>
          <w:pgMar w:left="320" w:top="31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54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8"/>
                <w:szCs w:val="18"/>
                <w:color w:val="auto"/>
              </w:rPr>
              <w:t>October 1-31, 2023</w:t>
            </w:r>
          </w:p>
        </w:tc>
        <w:tc>
          <w:tcPr>
            <w:tcW w:w="80" w:type="dxa"/>
            <w:vAlign w:val="bottom"/>
            <w:tcBorders>
              <w:top w:val="single" w:sz="8" w:color="E0E7ED"/>
            </w:tcBorders>
            <w:shd w:val="clear" w:color="auto" w:fill="E0E7ED"/>
          </w:tcPr>
          <w:p>
            <w:pPr>
              <w:spacing w:after="0"/>
              <w:rPr>
                <w:sz w:val="22"/>
                <w:szCs w:val="22"/>
                <w:color w:val="auto"/>
              </w:rPr>
            </w:pPr>
          </w:p>
        </w:tc>
        <w:tc>
          <w:tcPr>
            <w:tcW w:w="15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95,001</w:t>
            </w:r>
          </w:p>
        </w:tc>
        <w:tc>
          <w:tcPr>
            <w:tcW w:w="100" w:type="dxa"/>
            <w:vAlign w:val="bottom"/>
            <w:tcBorders>
              <w:top w:val="single" w:sz="8" w:color="E0E7ED"/>
            </w:tcBorders>
            <w:shd w:val="clear" w:color="auto" w:fill="E0E7ED"/>
          </w:tcPr>
          <w:p>
            <w:pPr>
              <w:spacing w:after="0"/>
              <w:rPr>
                <w:sz w:val="22"/>
                <w:szCs w:val="22"/>
                <w:color w:val="auto"/>
              </w:rPr>
            </w:pPr>
          </w:p>
        </w:tc>
        <w:tc>
          <w:tcPr>
            <w:tcW w:w="560" w:type="dxa"/>
            <w:vAlign w:val="bottom"/>
            <w:tcBorders>
              <w:top w:val="single" w:sz="8" w:color="auto"/>
            </w:tcBorders>
            <w:shd w:val="clear" w:color="auto" w:fill="E0E7ED"/>
          </w:tcPr>
          <w:p>
            <w:pPr>
              <w:jc w:val="right"/>
              <w:ind w:right="330"/>
              <w:spacing w:after="0"/>
              <w:rPr>
                <w:sz w:val="20"/>
                <w:szCs w:val="20"/>
                <w:color w:val="auto"/>
              </w:rPr>
            </w:pPr>
            <w:r>
              <w:rPr>
                <w:rFonts w:ascii="Verdana" w:cs="Verdana" w:eastAsia="Verdana" w:hAnsi="Verdana"/>
                <w:sz w:val="18"/>
                <w:szCs w:val="18"/>
                <w:color w:val="auto"/>
              </w:rPr>
              <w:t>$</w:t>
            </w:r>
          </w:p>
        </w:tc>
        <w:tc>
          <w:tcPr>
            <w:tcW w:w="1040" w:type="dxa"/>
            <w:vAlign w:val="bottom"/>
            <w:tcBorders>
              <w:top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19.17</w:t>
            </w:r>
          </w:p>
        </w:tc>
        <w:tc>
          <w:tcPr>
            <w:tcW w:w="80" w:type="dxa"/>
            <w:vAlign w:val="bottom"/>
            <w:tcBorders>
              <w:top w:val="single" w:sz="8" w:color="E0E7ED"/>
            </w:tcBorders>
            <w:shd w:val="clear" w:color="auto" w:fill="E0E7ED"/>
          </w:tcPr>
          <w:p>
            <w:pPr>
              <w:spacing w:after="0"/>
              <w:rPr>
                <w:sz w:val="22"/>
                <w:szCs w:val="22"/>
                <w:color w:val="auto"/>
              </w:rPr>
            </w:pPr>
          </w:p>
        </w:tc>
        <w:tc>
          <w:tcPr>
            <w:tcW w:w="15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95,001</w:t>
            </w:r>
          </w:p>
        </w:tc>
        <w:tc>
          <w:tcPr>
            <w:tcW w:w="100" w:type="dxa"/>
            <w:vAlign w:val="bottom"/>
            <w:tcBorders>
              <w:top w:val="single" w:sz="8" w:color="E0E7ED"/>
            </w:tcBorders>
            <w:shd w:val="clear" w:color="auto" w:fill="E0E7ED"/>
          </w:tcPr>
          <w:p>
            <w:pPr>
              <w:spacing w:after="0"/>
              <w:rPr>
                <w:sz w:val="22"/>
                <w:szCs w:val="22"/>
                <w:color w:val="auto"/>
              </w:rPr>
            </w:pPr>
          </w:p>
        </w:tc>
        <w:tc>
          <w:tcPr>
            <w:tcW w:w="15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1,942,086</w:t>
            </w:r>
          </w:p>
        </w:tc>
      </w:tr>
      <w:tr>
        <w:trPr>
          <w:trHeight w:val="263"/>
        </w:trPr>
        <w:tc>
          <w:tcPr>
            <w:tcW w:w="4620" w:type="dxa"/>
            <w:vAlign w:val="bottom"/>
            <w:gridSpan w:val="2"/>
          </w:tcPr>
          <w:p>
            <w:pPr>
              <w:ind w:left="20"/>
              <w:spacing w:after="0"/>
              <w:rPr>
                <w:sz w:val="20"/>
                <w:szCs w:val="20"/>
                <w:color w:val="auto"/>
              </w:rPr>
            </w:pPr>
            <w:r>
              <w:rPr>
                <w:rFonts w:ascii="Verdana" w:cs="Verdana" w:eastAsia="Verdana" w:hAnsi="Verdana"/>
                <w:sz w:val="18"/>
                <w:szCs w:val="18"/>
                <w:color w:val="auto"/>
              </w:rPr>
              <w:t>November 1-30, 2023</w:t>
            </w:r>
          </w:p>
        </w:tc>
        <w:tc>
          <w:tcPr>
            <w:tcW w:w="1580" w:type="dxa"/>
            <w:vAlign w:val="bottom"/>
          </w:tcPr>
          <w:p>
            <w:pPr>
              <w:jc w:val="right"/>
              <w:spacing w:after="0"/>
              <w:rPr>
                <w:sz w:val="20"/>
                <w:szCs w:val="20"/>
                <w:color w:val="auto"/>
              </w:rPr>
            </w:pPr>
            <w:r>
              <w:rPr>
                <w:rFonts w:ascii="Verdana" w:cs="Verdana" w:eastAsia="Verdana" w:hAnsi="Verdana"/>
                <w:sz w:val="18"/>
                <w:szCs w:val="18"/>
                <w:color w:val="auto"/>
              </w:rPr>
              <w:t>22,811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Verdana" w:cs="Verdana" w:eastAsia="Verdana" w:hAnsi="Verdana"/>
                <w:sz w:val="18"/>
                <w:szCs w:val="18"/>
                <w:color w:val="auto"/>
              </w:rPr>
              <w:t>19.82</w:t>
            </w:r>
          </w:p>
        </w:tc>
        <w:tc>
          <w:tcPr>
            <w:tcW w:w="1660" w:type="dxa"/>
            <w:vAlign w:val="bottom"/>
            <w:gridSpan w:val="2"/>
          </w:tcPr>
          <w:p>
            <w:pPr>
              <w:jc w:val="right"/>
              <w:spacing w:after="0"/>
              <w:rPr>
                <w:sz w:val="20"/>
                <w:szCs w:val="20"/>
                <w:color w:val="auto"/>
              </w:rPr>
            </w:pPr>
            <w:r>
              <w:rPr>
                <w:rFonts w:ascii="Verdana" w:cs="Verdana" w:eastAsia="Verdana" w:hAnsi="Verdana"/>
                <w:sz w:val="18"/>
                <w:szCs w:val="18"/>
                <w:color w:val="auto"/>
              </w:rPr>
              <w:t>22,811</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1,919,275</w:t>
            </w:r>
          </w:p>
        </w:tc>
      </w:tr>
      <w:tr>
        <w:trPr>
          <w:trHeight w:val="270"/>
        </w:trPr>
        <w:tc>
          <w:tcPr>
            <w:tcW w:w="46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December 1-31, 2023</w:t>
            </w:r>
          </w:p>
        </w:tc>
        <w:tc>
          <w:tcPr>
            <w:tcW w:w="1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3"/>
                <w:szCs w:val="23"/>
                <w:color w:val="auto"/>
              </w:rPr>
            </w:pPr>
          </w:p>
        </w:tc>
        <w:tc>
          <w:tcPr>
            <w:tcW w:w="560" w:type="dxa"/>
            <w:vAlign w:val="bottom"/>
            <w:shd w:val="clear" w:color="auto" w:fill="E0E7ED"/>
          </w:tcPr>
          <w:p>
            <w:pPr>
              <w:spacing w:after="0"/>
              <w:rPr>
                <w:sz w:val="23"/>
                <w:szCs w:val="23"/>
                <w:color w:val="auto"/>
              </w:rPr>
            </w:pPr>
          </w:p>
        </w:tc>
        <w:tc>
          <w:tcPr>
            <w:tcW w:w="10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1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1,919,275</w:t>
            </w:r>
          </w:p>
        </w:tc>
      </w:tr>
      <w:tr>
        <w:trPr>
          <w:trHeight w:val="270"/>
        </w:trPr>
        <w:tc>
          <w:tcPr>
            <w:tcW w:w="4620" w:type="dxa"/>
            <w:vAlign w:val="bottom"/>
            <w:gridSpan w:val="2"/>
          </w:tcPr>
          <w:p>
            <w:pPr>
              <w:ind w:left="20"/>
              <w:spacing w:after="0"/>
              <w:rPr>
                <w:sz w:val="20"/>
                <w:szCs w:val="20"/>
                <w:color w:val="auto"/>
              </w:rPr>
            </w:pPr>
            <w:r>
              <w:rPr>
                <w:rFonts w:ascii="Verdana" w:cs="Verdana" w:eastAsia="Verdana" w:hAnsi="Verdana"/>
                <w:sz w:val="18"/>
                <w:szCs w:val="18"/>
                <w:color w:val="auto"/>
              </w:rPr>
              <w:t>Three months ended December 31, 2023</w:t>
            </w:r>
          </w:p>
        </w:tc>
        <w:tc>
          <w:tcPr>
            <w:tcW w:w="1580" w:type="dxa"/>
            <w:vAlign w:val="bottom"/>
          </w:tcPr>
          <w:p>
            <w:pPr>
              <w:jc w:val="right"/>
              <w:spacing w:after="0"/>
              <w:rPr>
                <w:sz w:val="20"/>
                <w:szCs w:val="20"/>
                <w:color w:val="auto"/>
              </w:rPr>
            </w:pPr>
            <w:r>
              <w:rPr>
                <w:rFonts w:ascii="Verdana" w:cs="Verdana" w:eastAsia="Verdana" w:hAnsi="Verdana"/>
                <w:sz w:val="18"/>
                <w:szCs w:val="18"/>
                <w:color w:val="auto"/>
              </w:rPr>
              <w:t>117,812</w:t>
            </w:r>
          </w:p>
        </w:tc>
        <w:tc>
          <w:tcPr>
            <w:tcW w:w="660" w:type="dxa"/>
            <w:vAlign w:val="bottom"/>
            <w:gridSpan w:val="2"/>
          </w:tcPr>
          <w:p>
            <w:pPr>
              <w:jc w:val="right"/>
              <w:ind w:right="330"/>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10"/>
              <w:spacing w:after="0"/>
              <w:rPr>
                <w:sz w:val="20"/>
                <w:szCs w:val="20"/>
                <w:color w:val="auto"/>
              </w:rPr>
            </w:pPr>
            <w:r>
              <w:rPr>
                <w:rFonts w:ascii="Verdana" w:cs="Verdana" w:eastAsia="Verdana" w:hAnsi="Verdana"/>
                <w:sz w:val="18"/>
                <w:szCs w:val="18"/>
                <w:color w:val="auto"/>
              </w:rPr>
              <w:t>19.30</w:t>
            </w:r>
          </w:p>
        </w:tc>
        <w:tc>
          <w:tcPr>
            <w:tcW w:w="1660" w:type="dxa"/>
            <w:vAlign w:val="bottom"/>
            <w:gridSpan w:val="2"/>
          </w:tcPr>
          <w:p>
            <w:pPr>
              <w:jc w:val="right"/>
              <w:spacing w:after="0"/>
              <w:rPr>
                <w:sz w:val="20"/>
                <w:szCs w:val="20"/>
                <w:color w:val="auto"/>
              </w:rPr>
            </w:pPr>
            <w:r>
              <w:rPr>
                <w:rFonts w:ascii="Verdana" w:cs="Verdana" w:eastAsia="Verdana" w:hAnsi="Verdana"/>
                <w:sz w:val="18"/>
                <w:szCs w:val="18"/>
                <w:color w:val="auto"/>
              </w:rPr>
              <w:t>117,812</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0"/>
        </w:trPr>
        <w:tc>
          <w:tcPr>
            <w:tcW w:w="45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560" w:type="dxa"/>
            <w:vAlign w:val="bottom"/>
            <w:tcBorders>
              <w:bottom w:val="single" w:sz="8" w:color="E0E7ED"/>
            </w:tcBorders>
          </w:tcPr>
          <w:p>
            <w:pPr>
              <w:spacing w:after="0" w:line="20" w:lineRule="exact"/>
              <w:rPr>
                <w:sz w:val="1"/>
                <w:szCs w:val="1"/>
                <w:color w:val="auto"/>
              </w:rPr>
            </w:pPr>
          </w:p>
        </w:tc>
        <w:tc>
          <w:tcPr>
            <w:tcW w:w="10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E0E7ED"/>
            </w:tcBorders>
          </w:tcPr>
          <w:p>
            <w:pPr>
              <w:spacing w:after="0" w:line="20" w:lineRule="exact"/>
              <w:rPr>
                <w:sz w:val="1"/>
                <w:szCs w:val="1"/>
                <w:color w:val="auto"/>
              </w:rPr>
            </w:pPr>
          </w:p>
        </w:tc>
      </w:tr>
      <w:tr>
        <w:trPr>
          <w:trHeight w:val="237"/>
        </w:trPr>
        <w:tc>
          <w:tcPr>
            <w:tcW w:w="45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5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560" w:type="dxa"/>
            <w:vAlign w:val="bottom"/>
            <w:shd w:val="clear" w:color="auto" w:fill="E0E7ED"/>
          </w:tcPr>
          <w:p>
            <w:pPr>
              <w:spacing w:after="0"/>
              <w:rPr>
                <w:sz w:val="20"/>
                <w:szCs w:val="20"/>
                <w:color w:val="auto"/>
              </w:rPr>
            </w:pPr>
          </w:p>
        </w:tc>
        <w:tc>
          <w:tcPr>
            <w:tcW w:w="10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5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580" w:type="dxa"/>
            <w:vAlign w:val="bottom"/>
            <w:shd w:val="clear" w:color="auto" w:fill="E0E7ED"/>
          </w:tcPr>
          <w:p>
            <w:pPr>
              <w:spacing w:after="0"/>
              <w:rPr>
                <w:sz w:val="20"/>
                <w:szCs w:val="20"/>
                <w:color w:val="auto"/>
              </w:rPr>
            </w:pPr>
          </w:p>
        </w:tc>
      </w:tr>
      <w:tr>
        <w:trPr>
          <w:trHeight w:val="270"/>
        </w:trPr>
        <w:tc>
          <w:tcPr>
            <w:tcW w:w="4620" w:type="dxa"/>
            <w:vAlign w:val="bottom"/>
            <w:gridSpan w:val="2"/>
          </w:tcPr>
          <w:p>
            <w:pPr>
              <w:ind w:left="20"/>
              <w:spacing w:after="0"/>
              <w:rPr>
                <w:sz w:val="20"/>
                <w:szCs w:val="20"/>
                <w:color w:val="auto"/>
              </w:rPr>
            </w:pPr>
            <w:r>
              <w:rPr>
                <w:rFonts w:ascii="Verdana" w:cs="Verdana" w:eastAsia="Verdana" w:hAnsi="Verdana"/>
                <w:sz w:val="18"/>
                <w:szCs w:val="18"/>
                <w:color w:val="auto"/>
              </w:rPr>
              <w:t>Year ended December 31, 2023</w:t>
            </w:r>
          </w:p>
        </w:tc>
        <w:tc>
          <w:tcPr>
            <w:tcW w:w="15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227,935</w:t>
            </w:r>
          </w:p>
        </w:tc>
        <w:tc>
          <w:tcPr>
            <w:tcW w:w="660" w:type="dxa"/>
            <w:vAlign w:val="bottom"/>
            <w:gridSpan w:val="2"/>
          </w:tcPr>
          <w:p>
            <w:pPr>
              <w:jc w:val="right"/>
              <w:ind w:right="330"/>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10"/>
              <w:spacing w:after="0"/>
              <w:rPr>
                <w:sz w:val="20"/>
                <w:szCs w:val="20"/>
                <w:color w:val="auto"/>
              </w:rPr>
            </w:pPr>
            <w:r>
              <w:rPr>
                <w:rFonts w:ascii="Verdana" w:cs="Verdana" w:eastAsia="Verdana" w:hAnsi="Verdana"/>
                <w:sz w:val="18"/>
                <w:szCs w:val="18"/>
                <w:color w:val="auto"/>
              </w:rPr>
              <w:t>19.67</w:t>
            </w:r>
          </w:p>
        </w:tc>
        <w:tc>
          <w:tcPr>
            <w:tcW w:w="8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227,935</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0"/>
        </w:trPr>
        <w:tc>
          <w:tcPr>
            <w:tcW w:w="4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47"/>
        </w:trPr>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40" w:type="dxa"/>
            <w:vAlign w:val="bottom"/>
            <w:gridSpan w:val="4"/>
          </w:tcPr>
          <w:p>
            <w:pPr>
              <w:jc w:val="right"/>
              <w:spacing w:after="0"/>
              <w:rPr>
                <w:sz w:val="20"/>
                <w:szCs w:val="20"/>
                <w:color w:val="auto"/>
              </w:rPr>
            </w:pPr>
            <w:r>
              <w:rPr>
                <w:rFonts w:ascii="Verdana" w:cs="Verdana" w:eastAsia="Verdana" w:hAnsi="Verdana"/>
                <w:sz w:val="18"/>
                <w:szCs w:val="18"/>
                <w:color w:val="808285"/>
                <w:w w:val="98"/>
              </w:rPr>
              <w:t xml:space="preserve">First Busey Corporation | 2023 </w:t>
            </w:r>
            <w:r>
              <w:rPr>
                <w:rFonts w:ascii="Verdana" w:cs="Verdana" w:eastAsia="Verdana" w:hAnsi="Verdana"/>
                <w:sz w:val="18"/>
                <w:szCs w:val="18"/>
                <w:b w:val="1"/>
                <w:bCs w:val="1"/>
                <w:color w:val="376484"/>
                <w:w w:val="98"/>
              </w:rPr>
              <w:t>— 51</w:t>
            </w:r>
          </w:p>
        </w:tc>
      </w:tr>
      <w:tr>
        <w:trPr>
          <w:trHeight w:val="641"/>
        </w:trPr>
        <w:tc>
          <w:tcPr>
            <w:tcW w:w="4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51" w:name="page52"/>
    <w:bookmarkEnd w:id="5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STOCK PERFORMANCE GRAPH</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following graph compares Busey’s performance, as measured by the change in price of its common stock plus reinvested dividends, with the Nasdaq Composite and the S&amp;P U.S. BMI Banks – Midwest Region for the five years ended December 31, 2023. Banks in the S&amp;P U.S. BMI Banks – Midwest Region Index represent all Major Exchange Traded Banks in S&amp;P Capital IQ’s coverage universe that are headquartered in Colorado, Illinois, Indiana, Iowa, Kansas, Kentucky, Michigan, Minnesota, Missouri, Ohio, South Dakota, and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102870</wp:posOffset>
            </wp:positionV>
            <wp:extent cx="5760720" cy="267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072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260"/>
              <w:spacing w:after="0"/>
              <w:rPr>
                <w:sz w:val="20"/>
                <w:szCs w:val="20"/>
                <w:color w:val="auto"/>
              </w:rPr>
            </w:pPr>
            <w:r>
              <w:rPr>
                <w:rFonts w:ascii="Verdana" w:cs="Verdana" w:eastAsia="Verdana" w:hAnsi="Verdana"/>
                <w:sz w:val="13"/>
                <w:szCs w:val="13"/>
                <w:b w:val="1"/>
                <w:bCs w:val="1"/>
                <w:color w:val="auto"/>
              </w:rPr>
              <w:t>As of December 31,</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70"/>
        </w:trPr>
        <w:tc>
          <w:tcPr>
            <w:tcW w:w="374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b w:val="1"/>
                <w:bCs w:val="1"/>
                <w:color w:val="auto"/>
              </w:rPr>
              <w:t>Index</w:t>
            </w:r>
          </w:p>
        </w:tc>
        <w:tc>
          <w:tcPr>
            <w:tcW w:w="80" w:type="dxa"/>
            <w:vAlign w:val="bottom"/>
            <w:tcBorders>
              <w:bottom w:val="single" w:sz="8" w:color="E0E7ED"/>
            </w:tcBorders>
          </w:tcPr>
          <w:p>
            <w:pPr>
              <w:spacing w:after="0"/>
              <w:rPr>
                <w:sz w:val="14"/>
                <w:szCs w:val="14"/>
                <w:color w:val="auto"/>
              </w:rPr>
            </w:pPr>
          </w:p>
        </w:tc>
        <w:tc>
          <w:tcPr>
            <w:tcW w:w="1160" w:type="dxa"/>
            <w:vAlign w:val="bottom"/>
            <w:tcBorders>
              <w:bottom w:val="single" w:sz="8" w:color="auto"/>
            </w:tcBorders>
          </w:tcPr>
          <w:p>
            <w:pPr>
              <w:jc w:val="right"/>
              <w:ind w:right="317"/>
              <w:spacing w:after="0"/>
              <w:rPr>
                <w:sz w:val="20"/>
                <w:szCs w:val="20"/>
                <w:color w:val="auto"/>
              </w:rPr>
            </w:pPr>
            <w:r>
              <w:rPr>
                <w:rFonts w:ascii="Verdana" w:cs="Verdana" w:eastAsia="Verdana" w:hAnsi="Verdana"/>
                <w:sz w:val="13"/>
                <w:szCs w:val="13"/>
                <w:b w:val="1"/>
                <w:bCs w:val="1"/>
                <w:color w:val="auto"/>
              </w:rPr>
              <w:t>2018</w:t>
            </w:r>
          </w:p>
        </w:tc>
        <w:tc>
          <w:tcPr>
            <w:tcW w:w="10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7"/>
              <w:spacing w:after="0"/>
              <w:rPr>
                <w:sz w:val="20"/>
                <w:szCs w:val="20"/>
                <w:color w:val="auto"/>
              </w:rPr>
            </w:pPr>
            <w:r>
              <w:rPr>
                <w:rFonts w:ascii="Verdana" w:cs="Verdana" w:eastAsia="Verdana" w:hAnsi="Verdana"/>
                <w:sz w:val="13"/>
                <w:szCs w:val="13"/>
                <w:b w:val="1"/>
                <w:bCs w:val="1"/>
                <w:color w:val="auto"/>
              </w:rPr>
              <w:t>2019</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1"/>
              <w:spacing w:after="0"/>
              <w:rPr>
                <w:sz w:val="20"/>
                <w:szCs w:val="20"/>
                <w:color w:val="auto"/>
              </w:rPr>
            </w:pPr>
            <w:r>
              <w:rPr>
                <w:rFonts w:ascii="Verdana" w:cs="Verdana" w:eastAsia="Verdana" w:hAnsi="Verdana"/>
                <w:sz w:val="13"/>
                <w:szCs w:val="13"/>
                <w:b w:val="1"/>
                <w:bCs w:val="1"/>
                <w:color w:val="auto"/>
              </w:rPr>
              <w:t>2020</w:t>
            </w:r>
          </w:p>
        </w:tc>
        <w:tc>
          <w:tcPr>
            <w:tcW w:w="8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Verdana" w:cs="Verdana" w:eastAsia="Verdana" w:hAnsi="Verdana"/>
                <w:sz w:val="13"/>
                <w:szCs w:val="13"/>
                <w:b w:val="1"/>
                <w:bCs w:val="1"/>
                <w:color w:val="auto"/>
              </w:rPr>
              <w:t>2021</w:t>
            </w:r>
          </w:p>
        </w:tc>
        <w:tc>
          <w:tcPr>
            <w:tcW w:w="10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7"/>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38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   100.00</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115.78</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90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94.98</w:t>
            </w:r>
          </w:p>
        </w:tc>
        <w:tc>
          <w:tcPr>
            <w:tcW w:w="80" w:type="dxa"/>
            <w:vAlign w:val="bottom"/>
            <w:shd w:val="clear" w:color="auto" w:fill="E0E7ED"/>
          </w:tcPr>
          <w:p>
            <w:pPr>
              <w:spacing w:after="0"/>
              <w:rPr>
                <w:sz w:val="23"/>
                <w:szCs w:val="23"/>
                <w:color w:val="auto"/>
              </w:rPr>
            </w:pP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8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124.19</w:t>
            </w: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8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117.47</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123.44</w:t>
            </w:r>
          </w:p>
        </w:tc>
      </w:tr>
      <w:tr>
        <w:trPr>
          <w:trHeight w:val="263"/>
        </w:trPr>
        <w:tc>
          <w:tcPr>
            <w:tcW w:w="3820" w:type="dxa"/>
            <w:vAlign w:val="bottom"/>
            <w:gridSpan w:val="2"/>
          </w:tcPr>
          <w:p>
            <w:pPr>
              <w:ind w:left="20"/>
              <w:spacing w:after="0"/>
              <w:rPr>
                <w:sz w:val="20"/>
                <w:szCs w:val="20"/>
                <w:color w:val="auto"/>
              </w:rPr>
            </w:pPr>
            <w:r>
              <w:rPr>
                <w:rFonts w:ascii="Verdana" w:cs="Verdana" w:eastAsia="Verdana" w:hAnsi="Verdana"/>
                <w:sz w:val="18"/>
                <w:szCs w:val="18"/>
                <w:color w:val="auto"/>
              </w:rPr>
              <w:t>S&amp;P U.S. BMI Banks – Midwest Region</w:t>
            </w:r>
          </w:p>
        </w:tc>
        <w:tc>
          <w:tcPr>
            <w:tcW w:w="1160" w:type="dxa"/>
            <w:vAlign w:val="bottom"/>
          </w:tcPr>
          <w:p>
            <w:pPr>
              <w:jc w:val="right"/>
              <w:ind w:right="17"/>
              <w:spacing w:after="0"/>
              <w:rPr>
                <w:sz w:val="20"/>
                <w:szCs w:val="20"/>
                <w:color w:val="auto"/>
              </w:rPr>
            </w:pPr>
            <w:r>
              <w:rPr>
                <w:rFonts w:ascii="Verdana" w:cs="Verdana" w:eastAsia="Verdana" w:hAnsi="Verdana"/>
                <w:sz w:val="18"/>
                <w:szCs w:val="18"/>
                <w:color w:val="auto"/>
              </w:rPr>
              <w:t>100.00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Verdana" w:cs="Verdana" w:eastAsia="Verdana" w:hAnsi="Verdana"/>
                <w:sz w:val="18"/>
                <w:szCs w:val="18"/>
                <w:color w:val="auto"/>
              </w:rPr>
              <w:t>130.10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Verdana" w:cs="Verdana" w:eastAsia="Verdana" w:hAnsi="Verdana"/>
                <w:sz w:val="18"/>
                <w:szCs w:val="18"/>
                <w:color w:val="auto"/>
              </w:rPr>
              <w:t>111.85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Verdana" w:cs="Verdana" w:eastAsia="Verdana" w:hAnsi="Verdana"/>
                <w:sz w:val="18"/>
                <w:szCs w:val="18"/>
                <w:color w:val="auto"/>
              </w:rPr>
              <w:t>147.78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Verdana" w:cs="Verdana" w:eastAsia="Verdana" w:hAnsi="Verdana"/>
                <w:sz w:val="18"/>
                <w:szCs w:val="18"/>
                <w:color w:val="auto"/>
              </w:rPr>
              <w:t>127.53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Verdana" w:cs="Verdana" w:eastAsia="Verdana" w:hAnsi="Verdana"/>
                <w:sz w:val="18"/>
                <w:szCs w:val="18"/>
                <w:color w:val="auto"/>
              </w:rPr>
              <w:t>130.20</w:t>
            </w:r>
          </w:p>
        </w:tc>
      </w:tr>
      <w:tr>
        <w:trPr>
          <w:trHeight w:val="277"/>
        </w:trPr>
        <w:tc>
          <w:tcPr>
            <w:tcW w:w="38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Nasdaq Composite</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100.00</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136.69</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198.09</w:t>
            </w:r>
          </w:p>
        </w:tc>
        <w:tc>
          <w:tcPr>
            <w:tcW w:w="8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242.03</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163.27</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236.16</w:t>
            </w: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6. [RESERVED]</w:t>
      </w:r>
    </w:p>
    <w:p>
      <w:pPr>
        <w:spacing w:after="0" w:line="24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2" w:name="page53"/>
    <w:bookmarkEnd w:id="5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line="254" w:lineRule="auto"/>
        <w:rPr>
          <w:sz w:val="20"/>
          <w:szCs w:val="20"/>
          <w:color w:val="auto"/>
        </w:rPr>
      </w:pPr>
      <w:r>
        <w:rPr>
          <w:rFonts w:ascii="Verdana" w:cs="Verdana" w:eastAsia="Verdana" w:hAnsi="Verdana"/>
          <w:sz w:val="18"/>
          <w:szCs w:val="18"/>
          <w:b w:val="1"/>
          <w:bCs w:val="1"/>
          <w:color w:val="auto"/>
        </w:rPr>
        <w:t>ITEM 7. MANAGEMENT’S DISCUSSION AND ANALYSIS OF FINANCIAL CONDITION AND RESULTS OF OPERATIONS</w:t>
      </w:r>
    </w:p>
    <w:p>
      <w:pPr>
        <w:spacing w:after="0" w:line="144" w:lineRule="exact"/>
        <w:rPr>
          <w:sz w:val="20"/>
          <w:szCs w:val="20"/>
          <w:color w:val="auto"/>
        </w:rPr>
      </w:pPr>
    </w:p>
    <w:p>
      <w:pPr>
        <w:spacing w:after="0" w:line="254" w:lineRule="auto"/>
        <w:rPr>
          <w:sz w:val="20"/>
          <w:szCs w:val="20"/>
          <w:color w:val="auto"/>
        </w:rPr>
      </w:pPr>
      <w:r>
        <w:rPr>
          <w:rFonts w:ascii="Verdana" w:cs="Verdana" w:eastAsia="Verdana" w:hAnsi="Verdana"/>
          <w:sz w:val="18"/>
          <w:szCs w:val="18"/>
          <w:b w:val="1"/>
          <w:bCs w:val="1"/>
          <w:color w:val="auto"/>
        </w:rPr>
        <w:t>Contents of Item 7. Management’s Discussion and Analysis of Financial Condition and Results of Operations (“MD&amp;A”)</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9240" w:type="dxa"/>
            <w:vAlign w:val="bottom"/>
          </w:tcPr>
          <w:p>
            <w:pPr>
              <w:spacing w:after="0"/>
              <w:rPr>
                <w:sz w:val="20"/>
                <w:szCs w:val="20"/>
                <w:color w:val="auto"/>
              </w:rPr>
            </w:pPr>
            <w:r>
              <w:rPr>
                <w:rFonts w:ascii="Verdana" w:cs="Verdana" w:eastAsia="Verdana" w:hAnsi="Verdana"/>
                <w:sz w:val="18"/>
                <w:szCs w:val="18"/>
                <w:color w:val="auto"/>
              </w:rPr>
              <w:t>SCOPE OF DISCUSSION</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54</w:t>
            </w:r>
          </w:p>
        </w:tc>
      </w:tr>
      <w:tr>
        <w:trPr>
          <w:trHeight w:val="283"/>
        </w:trPr>
        <w:tc>
          <w:tcPr>
            <w:tcW w:w="9240" w:type="dxa"/>
            <w:vAlign w:val="bottom"/>
          </w:tcPr>
          <w:p>
            <w:pPr>
              <w:spacing w:after="0"/>
              <w:rPr>
                <w:sz w:val="20"/>
                <w:szCs w:val="20"/>
                <w:color w:val="auto"/>
              </w:rPr>
            </w:pPr>
            <w:r>
              <w:rPr>
                <w:rFonts w:ascii="Verdana" w:cs="Verdana" w:eastAsia="Verdana" w:hAnsi="Verdana"/>
                <w:sz w:val="18"/>
                <w:szCs w:val="18"/>
                <w:color w:val="auto"/>
              </w:rPr>
              <w:t>CRITICAL ACCOUNTING ESTIMATES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54</w:t>
            </w:r>
          </w:p>
        </w:tc>
      </w:tr>
      <w:tr>
        <w:trPr>
          <w:trHeight w:val="283"/>
        </w:trPr>
        <w:tc>
          <w:tcPr>
            <w:tcW w:w="9240" w:type="dxa"/>
            <w:vAlign w:val="bottom"/>
          </w:tcPr>
          <w:p>
            <w:pPr>
              <w:ind w:left="340"/>
              <w:spacing w:after="0"/>
              <w:rPr>
                <w:sz w:val="20"/>
                <w:szCs w:val="20"/>
                <w:color w:val="auto"/>
              </w:rPr>
            </w:pPr>
            <w:r>
              <w:rPr>
                <w:rFonts w:ascii="Verdana" w:cs="Verdana" w:eastAsia="Verdana" w:hAnsi="Verdana"/>
                <w:sz w:val="18"/>
                <w:szCs w:val="18"/>
                <w:color w:val="auto"/>
              </w:rPr>
              <w:t>Fair Value of Debt Securities Available for Sale</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55</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Fair Value of Assets Acquired and Liabilities Assumed in Business Combinations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55</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Goodwill</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56</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Income Taxes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56</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Allowance for Credit Losses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56</w:t>
            </w:r>
          </w:p>
        </w:tc>
      </w:tr>
      <w:tr>
        <w:trPr>
          <w:trHeight w:val="270"/>
        </w:trPr>
        <w:tc>
          <w:tcPr>
            <w:tcW w:w="9240" w:type="dxa"/>
            <w:vAlign w:val="bottom"/>
          </w:tcPr>
          <w:p>
            <w:pPr>
              <w:spacing w:after="0"/>
              <w:rPr>
                <w:sz w:val="20"/>
                <w:szCs w:val="20"/>
                <w:color w:val="auto"/>
              </w:rPr>
            </w:pPr>
            <w:r>
              <w:rPr>
                <w:rFonts w:ascii="Verdana" w:cs="Verdana" w:eastAsia="Verdana" w:hAnsi="Verdana"/>
                <w:sz w:val="18"/>
                <w:szCs w:val="18"/>
                <w:color w:val="auto"/>
              </w:rPr>
              <w:t>RESULTS OF OPERATIONS — THREE YEARS ENDED DECEMBER 31, 2023</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57</w:t>
            </w:r>
          </w:p>
        </w:tc>
      </w:tr>
      <w:tr>
        <w:trPr>
          <w:trHeight w:val="284"/>
        </w:trPr>
        <w:tc>
          <w:tcPr>
            <w:tcW w:w="9240" w:type="dxa"/>
            <w:vAlign w:val="bottom"/>
          </w:tcPr>
          <w:p>
            <w:pPr>
              <w:ind w:left="340"/>
              <w:spacing w:after="0"/>
              <w:rPr>
                <w:sz w:val="20"/>
                <w:szCs w:val="20"/>
                <w:color w:val="auto"/>
              </w:rPr>
            </w:pPr>
            <w:r>
              <w:rPr>
                <w:rFonts w:ascii="Verdana" w:cs="Verdana" w:eastAsia="Verdana" w:hAnsi="Verdana"/>
                <w:sz w:val="18"/>
                <w:szCs w:val="18"/>
                <w:color w:val="auto"/>
              </w:rPr>
              <w:t>Net Income</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57</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Operating Performance Metrics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57</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Net Interest Income</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58</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Noninterest Income</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62</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Noninterest Expense</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65</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Efficiency Ratio</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67</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Income Taxes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67</w:t>
            </w:r>
          </w:p>
        </w:tc>
      </w:tr>
      <w:tr>
        <w:trPr>
          <w:trHeight w:val="270"/>
        </w:trPr>
        <w:tc>
          <w:tcPr>
            <w:tcW w:w="9240" w:type="dxa"/>
            <w:vAlign w:val="bottom"/>
          </w:tcPr>
          <w:p>
            <w:pPr>
              <w:spacing w:after="0"/>
              <w:rPr>
                <w:sz w:val="20"/>
                <w:szCs w:val="20"/>
                <w:color w:val="auto"/>
              </w:rPr>
            </w:pPr>
            <w:r>
              <w:rPr>
                <w:rFonts w:ascii="Verdana" w:cs="Verdana" w:eastAsia="Verdana" w:hAnsi="Verdana"/>
                <w:sz w:val="18"/>
                <w:szCs w:val="18"/>
                <w:color w:val="auto"/>
              </w:rPr>
              <w:t>FINANCIAL CONDITION</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68</w:t>
            </w:r>
          </w:p>
        </w:tc>
      </w:tr>
      <w:tr>
        <w:trPr>
          <w:trHeight w:val="283"/>
        </w:trPr>
        <w:tc>
          <w:tcPr>
            <w:tcW w:w="9240" w:type="dxa"/>
            <w:vAlign w:val="bottom"/>
          </w:tcPr>
          <w:p>
            <w:pPr>
              <w:ind w:left="340"/>
              <w:spacing w:after="0"/>
              <w:rPr>
                <w:sz w:val="20"/>
                <w:szCs w:val="20"/>
                <w:color w:val="auto"/>
              </w:rPr>
            </w:pPr>
            <w:r>
              <w:rPr>
                <w:rFonts w:ascii="Verdana" w:cs="Verdana" w:eastAsia="Verdana" w:hAnsi="Verdana"/>
                <w:sz w:val="18"/>
                <w:szCs w:val="18"/>
                <w:color w:val="auto"/>
              </w:rPr>
              <w:t>Balance Sheet</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68</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Investment Securities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69</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Portfolio Loans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72</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Deposits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82</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Borrowings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83</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Liquidity</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85</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Off-Balance-Sheet Arrangements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87</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Contractual Obligations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87</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Cash Flows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88</w:t>
            </w:r>
          </w:p>
        </w:tc>
      </w:tr>
      <w:tr>
        <w:trPr>
          <w:trHeight w:val="270"/>
        </w:trPr>
        <w:tc>
          <w:tcPr>
            <w:tcW w:w="9240" w:type="dxa"/>
            <w:vAlign w:val="bottom"/>
          </w:tcPr>
          <w:p>
            <w:pPr>
              <w:ind w:left="340"/>
              <w:spacing w:after="0"/>
              <w:rPr>
                <w:sz w:val="20"/>
                <w:szCs w:val="20"/>
                <w:color w:val="auto"/>
              </w:rPr>
            </w:pPr>
            <w:r>
              <w:rPr>
                <w:rFonts w:ascii="Verdana" w:cs="Verdana" w:eastAsia="Verdana" w:hAnsi="Verdana"/>
                <w:sz w:val="18"/>
                <w:szCs w:val="18"/>
                <w:color w:val="auto"/>
              </w:rPr>
              <w:t>Capital Resources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88</w:t>
            </w:r>
          </w:p>
        </w:tc>
      </w:tr>
      <w:tr>
        <w:trPr>
          <w:trHeight w:val="270"/>
        </w:trPr>
        <w:tc>
          <w:tcPr>
            <w:tcW w:w="9240" w:type="dxa"/>
            <w:vAlign w:val="bottom"/>
          </w:tcPr>
          <w:p>
            <w:pPr>
              <w:spacing w:after="0"/>
              <w:rPr>
                <w:sz w:val="20"/>
                <w:szCs w:val="20"/>
                <w:color w:val="auto"/>
              </w:rPr>
            </w:pPr>
            <w:r>
              <w:rPr>
                <w:rFonts w:ascii="Verdana" w:cs="Verdana" w:eastAsia="Verdana" w:hAnsi="Verdana"/>
                <w:sz w:val="18"/>
                <w:szCs w:val="18"/>
                <w:color w:val="auto"/>
              </w:rPr>
              <w:t>NEW ACCOUNTING PRONOUNCEMENTS</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88</w:t>
            </w:r>
          </w:p>
        </w:tc>
      </w:tr>
      <w:tr>
        <w:trPr>
          <w:trHeight w:val="283"/>
        </w:trPr>
        <w:tc>
          <w:tcPr>
            <w:tcW w:w="9240" w:type="dxa"/>
            <w:vAlign w:val="bottom"/>
          </w:tcPr>
          <w:p>
            <w:pPr>
              <w:spacing w:after="0"/>
              <w:rPr>
                <w:sz w:val="20"/>
                <w:szCs w:val="20"/>
                <w:color w:val="auto"/>
              </w:rPr>
            </w:pPr>
            <w:r>
              <w:rPr>
                <w:rFonts w:ascii="Verdana" w:cs="Verdana" w:eastAsia="Verdana" w:hAnsi="Verdana"/>
                <w:sz w:val="18"/>
                <w:szCs w:val="18"/>
                <w:color w:val="auto"/>
              </w:rPr>
              <w:t>EFFECTS OF INFLATION</w:t>
            </w:r>
          </w:p>
        </w:tc>
        <w:tc>
          <w:tcPr>
            <w:tcW w:w="1960" w:type="dxa"/>
            <w:vAlign w:val="bottom"/>
          </w:tcPr>
          <w:p>
            <w:pPr>
              <w:jc w:val="right"/>
              <w:spacing w:after="0"/>
              <w:rPr>
                <w:sz w:val="20"/>
                <w:szCs w:val="20"/>
                <w:color w:val="auto"/>
              </w:rPr>
            </w:pPr>
            <w:r>
              <w:rPr>
                <w:rFonts w:ascii="Verdana" w:cs="Verdana" w:eastAsia="Verdana" w:hAnsi="Verdana"/>
                <w:sz w:val="18"/>
                <w:szCs w:val="18"/>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3" w:name="page54"/>
    <w:bookmarkEnd w:id="5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SCOPE OF DISCUSSION</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The following is management’s discussion and analysis of the financial condition as of December 31, 2023, and 2022, and the results of operations for the years ended December 31, 2023, 2022, and 2021, of First Busey Corporation and its subsidiaries. It should be read in conjunction with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 Business</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the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xml:space="preserve">, and the related </w:t>
      </w:r>
      <w:r>
        <w:rPr>
          <w:rFonts w:ascii="Verdana" w:cs="Verdana" w:eastAsia="Verdana" w:hAnsi="Verdana"/>
          <w:sz w:val="18"/>
          <w:szCs w:val="18"/>
          <w:u w:val="single" w:color="auto"/>
          <w:color w:val="0000FF"/>
        </w:rPr>
        <w:t>Notes to the Consolidated Financial Statements</w:t>
      </w:r>
      <w:r>
        <w:rPr>
          <w:rFonts w:ascii="Verdana" w:cs="Verdana" w:eastAsia="Verdana" w:hAnsi="Verdana"/>
          <w:sz w:val="18"/>
          <w:szCs w:val="18"/>
          <w:color w:val="auto"/>
        </w:rPr>
        <w:t xml:space="preserve"> included in this Annual Report.</w:t>
      </w:r>
    </w:p>
    <w:p>
      <w:pPr>
        <w:spacing w:after="0" w:line="157" w:lineRule="exact"/>
        <w:rPr>
          <w:sz w:val="20"/>
          <w:szCs w:val="20"/>
          <w:color w:val="auto"/>
        </w:rPr>
      </w:pPr>
    </w:p>
    <w:p>
      <w:pPr>
        <w:jc w:val="both"/>
        <w:spacing w:after="0" w:line="245" w:lineRule="auto"/>
        <w:rPr>
          <w:rFonts w:ascii="Verdana" w:cs="Verdana" w:eastAsia="Verdana" w:hAnsi="Verdana"/>
          <w:sz w:val="18"/>
          <w:szCs w:val="18"/>
          <w:i w:val="1"/>
          <w:iCs w:val="1"/>
          <w:color w:val="0000FF"/>
        </w:rPr>
      </w:pPr>
      <w:r>
        <w:rPr>
          <w:rFonts w:ascii="Verdana" w:cs="Verdana" w:eastAsia="Verdana" w:hAnsi="Verdana"/>
          <w:sz w:val="18"/>
          <w:szCs w:val="18"/>
          <w:color w:val="auto"/>
        </w:rPr>
        <w:t xml:space="preserve">Detailed discussion and analysis of the financial condition and results of operation for 2023 as compared to 2022 can be </w:t>
      </w:r>
      <w:hyperlink r:id="rId81">
        <w:r>
          <w:rPr>
            <w:rFonts w:ascii="Verdana" w:cs="Verdana" w:eastAsia="Verdana" w:hAnsi="Verdana"/>
            <w:sz w:val="18"/>
            <w:szCs w:val="18"/>
            <w:color w:val="auto"/>
          </w:rPr>
          <w:t xml:space="preserve">found below. Comparison of 2022 to 2021 can be found in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7. Management’s Discussion and Analysis of Financial</w:t>
        </w:r>
      </w:hyperlink>
      <w:r>
        <w:rPr>
          <w:rFonts w:ascii="Verdana" w:cs="Verdana" w:eastAsia="Verdana" w:hAnsi="Verdana"/>
          <w:sz w:val="18"/>
          <w:szCs w:val="18"/>
          <w:color w:val="auto"/>
        </w:rPr>
        <w:t xml:space="preserve"> </w:t>
      </w:r>
      <w:hyperlink r:id="rId81">
        <w:r>
          <w:rPr>
            <w:rFonts w:ascii="Verdana" w:cs="Verdana" w:eastAsia="Verdana" w:hAnsi="Verdana"/>
            <w:sz w:val="18"/>
            <w:szCs w:val="18"/>
            <w:i w:val="1"/>
            <w:iCs w:val="1"/>
            <w:u w:val="single" w:color="auto"/>
            <w:color w:val="0000FF"/>
          </w:rPr>
          <w:t>Condition and Results of Operations</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of our</w:t>
        </w:r>
        <w:r>
          <w:rPr>
            <w:rFonts w:ascii="Verdana" w:cs="Verdana" w:eastAsia="Verdana" w:hAnsi="Verdana"/>
            <w:sz w:val="18"/>
            <w:szCs w:val="18"/>
            <w:i w:val="1"/>
            <w:iCs w:val="1"/>
            <w:color w:val="0000FF"/>
          </w:rPr>
          <w:t xml:space="preserve"> </w:t>
        </w:r>
      </w:hyperlink>
      <w:hyperlink r:id="rId82">
        <w:r>
          <w:rPr>
            <w:rFonts w:ascii="Verdana" w:cs="Verdana" w:eastAsia="Verdana" w:hAnsi="Verdana"/>
            <w:sz w:val="18"/>
            <w:szCs w:val="18"/>
            <w:u w:val="single" w:color="auto"/>
            <w:color w:val="0000FF"/>
          </w:rPr>
          <w:t>2022 Annual Report</w:t>
        </w:r>
      </w:hyperlink>
      <w:hyperlink r:id="rId81">
        <w:r>
          <w:rPr>
            <w:rFonts w:ascii="Verdana" w:cs="Verdana" w:eastAsia="Verdana" w:hAnsi="Verdana"/>
            <w:sz w:val="18"/>
            <w:szCs w:val="18"/>
            <w:color w:val="000000"/>
          </w:rPr>
          <w:t>.</w:t>
        </w:r>
      </w:hyperlink>
    </w:p>
    <w:p>
      <w:pPr>
        <w:spacing w:after="0" w:line="167" w:lineRule="exact"/>
        <w:rPr>
          <w:rFonts w:ascii="Verdana" w:cs="Verdana" w:eastAsia="Verdana" w:hAnsi="Verdana"/>
          <w:sz w:val="18"/>
          <w:szCs w:val="18"/>
          <w:i w:val="1"/>
          <w:iCs w:val="1"/>
          <w:color w:val="0000FF"/>
        </w:rPr>
      </w:pPr>
    </w:p>
    <w:p>
      <w:pPr>
        <w:spacing w:after="0"/>
        <w:rPr>
          <w:sz w:val="20"/>
          <w:szCs w:val="20"/>
          <w:color w:val="auto"/>
        </w:rPr>
      </w:pPr>
      <w:r>
        <w:rPr>
          <w:rFonts w:ascii="Verdana" w:cs="Verdana" w:eastAsia="Verdana" w:hAnsi="Verdana"/>
          <w:sz w:val="18"/>
          <w:szCs w:val="18"/>
          <w:b w:val="1"/>
          <w:bCs w:val="1"/>
          <w:color w:val="auto"/>
        </w:rPr>
        <w:t>BUSEY’S CONSERVATIVE BANKING STRATEGY</w:t>
      </w:r>
    </w:p>
    <w:p>
      <w:pPr>
        <w:spacing w:after="0" w:line="173" w:lineRule="exact"/>
        <w:rPr>
          <w:rFonts w:ascii="Verdana" w:cs="Verdana" w:eastAsia="Verdana" w:hAnsi="Verdana"/>
          <w:sz w:val="18"/>
          <w:szCs w:val="18"/>
          <w:i w:val="1"/>
          <w:iCs w:val="1"/>
          <w:color w:val="0000FF"/>
        </w:rPr>
      </w:pPr>
    </w:p>
    <w:p>
      <w:pPr>
        <w:jc w:val="both"/>
        <w:spacing w:after="0" w:line="220" w:lineRule="auto"/>
        <w:rPr>
          <w:sz w:val="20"/>
          <w:szCs w:val="20"/>
          <w:color w:val="auto"/>
        </w:rPr>
      </w:pPr>
      <w:r>
        <w:rPr>
          <w:rFonts w:ascii="Verdana" w:cs="Verdana" w:eastAsia="Verdana" w:hAnsi="Verdana"/>
          <w:sz w:val="18"/>
          <w:szCs w:val="18"/>
          <w:color w:val="auto"/>
        </w:rPr>
        <w:t>Busey’s financial strength is built on a long-term conservative operating approach. The quality of our core deposit franchise is a critical value driver of our institution. Since March 31, 2023, our deposit base has grown by $490.0 million, allowing us to reduce our higher cost FHLB borrowings to zero. Busey remains substantially core deposit</w:t>
      </w:r>
      <w:r>
        <w:rPr>
          <w:rFonts w:ascii="Verdana" w:cs="Verdana" w:eastAsia="Verdana" w:hAnsi="Verdana"/>
          <w:sz w:val="23"/>
          <w:szCs w:val="23"/>
          <w:color w:val="auto"/>
          <w:vertAlign w:val="superscript"/>
        </w:rPr>
        <w:t>1</w:t>
      </w:r>
      <w:r>
        <w:rPr>
          <w:rFonts w:ascii="Verdana" w:cs="Verdana" w:eastAsia="Verdana" w:hAnsi="Verdana"/>
          <w:sz w:val="18"/>
          <w:szCs w:val="18"/>
          <w:color w:val="auto"/>
        </w:rPr>
        <w:t xml:space="preserve"> funded, with robust liquidity and significant market share in the communities we serve. As of December 31, 2023, our loan to deposit ratio was 74.4% and core deposits</w:t>
      </w:r>
      <w:r>
        <w:rPr>
          <w:rFonts w:ascii="Verdana" w:cs="Verdana" w:eastAsia="Verdana" w:hAnsi="Verdana"/>
          <w:sz w:val="23"/>
          <w:szCs w:val="23"/>
          <w:color w:val="auto"/>
          <w:vertAlign w:val="superscript"/>
        </w:rPr>
        <w:t>1</w:t>
      </w:r>
      <w:r>
        <w:rPr>
          <w:rFonts w:ascii="Verdana" w:cs="Verdana" w:eastAsia="Verdana" w:hAnsi="Verdana"/>
          <w:sz w:val="18"/>
          <w:szCs w:val="18"/>
          <w:color w:val="auto"/>
        </w:rPr>
        <w:t xml:space="preserve"> represented 96.2% of total deposits. Furthermore, we have sufficient on- and off-balance sheet liquidity to manage deposit fluctuations and the liquidity needs of our customers.</w:t>
      </w:r>
    </w:p>
    <w:p>
      <w:pPr>
        <w:spacing w:after="0" w:line="157" w:lineRule="exact"/>
        <w:rPr>
          <w:rFonts w:ascii="Verdana" w:cs="Verdana" w:eastAsia="Verdana" w:hAnsi="Verdana"/>
          <w:sz w:val="18"/>
          <w:szCs w:val="18"/>
          <w:i w:val="1"/>
          <w:iCs w:val="1"/>
          <w:color w:val="0000FF"/>
        </w:rPr>
      </w:pPr>
    </w:p>
    <w:p>
      <w:pPr>
        <w:jc w:val="both"/>
        <w:spacing w:after="0" w:line="241" w:lineRule="auto"/>
        <w:rPr>
          <w:sz w:val="20"/>
          <w:szCs w:val="20"/>
          <w:color w:val="auto"/>
        </w:rPr>
      </w:pPr>
      <w:r>
        <w:rPr>
          <w:rFonts w:ascii="Verdana" w:cs="Verdana" w:eastAsia="Verdana" w:hAnsi="Verdana"/>
          <w:sz w:val="18"/>
          <w:szCs w:val="18"/>
          <w:color w:val="auto"/>
        </w:rPr>
        <w:t>Our credit performance reflects our highly diversified, conservatively underwritten loan portfolio, which has been originated predominantly to established customers with tenured relationships with our Company. Our approach to lending and our underwriting standards are designed to emphasize relationship banking rather than transactional banking. In addition, as a matter of both policy and practice, we limit concentration exposures in any particular loan segment. As a result, asset quality remains strong by both Busey’s historical and current industry trends.</w:t>
      </w:r>
    </w:p>
    <w:p>
      <w:pPr>
        <w:spacing w:after="0" w:line="171" w:lineRule="exact"/>
        <w:rPr>
          <w:rFonts w:ascii="Verdana" w:cs="Verdana" w:eastAsia="Verdana" w:hAnsi="Verdana"/>
          <w:sz w:val="18"/>
          <w:szCs w:val="18"/>
          <w:i w:val="1"/>
          <w:iCs w:val="1"/>
          <w:color w:val="0000FF"/>
        </w:rPr>
      </w:pPr>
    </w:p>
    <w:p>
      <w:pPr>
        <w:jc w:val="both"/>
        <w:spacing w:after="0" w:line="241" w:lineRule="auto"/>
        <w:rPr>
          <w:sz w:val="20"/>
          <w:szCs w:val="20"/>
          <w:color w:val="auto"/>
        </w:rPr>
      </w:pPr>
      <w:r>
        <w:rPr>
          <w:rFonts w:ascii="Verdana" w:cs="Verdana" w:eastAsia="Verdana" w:hAnsi="Verdana"/>
          <w:sz w:val="18"/>
          <w:szCs w:val="18"/>
          <w:color w:val="auto"/>
        </w:rPr>
        <w:t>Busey’s conservative banking strategy is reflected in the strength of our capital base. We strive to consistently maintain capital ratios well in excess of thresholds required to be designated as well capitalized by applicable regulatory guidelines, thereby ensuring financial strength and flexibility across economic and operating cycles. At December 31, 2023, our leverage ratio of Tier 1 capital to average assets was 10.1%, our common equity Tier 1 capital to risk weighted assets ratio was 13.1%, and our total capital to risk weighted assets ratio was 17.4%.</w:t>
      </w:r>
    </w:p>
    <w:p>
      <w:pPr>
        <w:spacing w:after="0" w:line="157" w:lineRule="exact"/>
        <w:rPr>
          <w:rFonts w:ascii="Verdana" w:cs="Verdana" w:eastAsia="Verdana" w:hAnsi="Verdana"/>
          <w:sz w:val="18"/>
          <w:szCs w:val="18"/>
          <w:i w:val="1"/>
          <w:iCs w:val="1"/>
          <w:color w:val="0000FF"/>
        </w:rPr>
      </w:pPr>
    </w:p>
    <w:p>
      <w:pPr>
        <w:spacing w:after="0"/>
        <w:rPr>
          <w:sz w:val="20"/>
          <w:szCs w:val="20"/>
          <w:color w:val="auto"/>
        </w:rPr>
      </w:pPr>
      <w:r>
        <w:rPr>
          <w:rFonts w:ascii="Verdana" w:cs="Verdana" w:eastAsia="Verdana" w:hAnsi="Verdana"/>
          <w:sz w:val="18"/>
          <w:szCs w:val="18"/>
          <w:b w:val="1"/>
          <w:bCs w:val="1"/>
          <w:color w:val="auto"/>
        </w:rPr>
        <w:t>CRITICAL ACCOUNTING ESTIMATES</w:t>
      </w:r>
    </w:p>
    <w:p>
      <w:pPr>
        <w:spacing w:after="0" w:line="173" w:lineRule="exact"/>
        <w:rPr>
          <w:rFonts w:ascii="Verdana" w:cs="Verdana" w:eastAsia="Verdana" w:hAnsi="Verdana"/>
          <w:sz w:val="18"/>
          <w:szCs w:val="18"/>
          <w:i w:val="1"/>
          <w:iCs w:val="1"/>
          <w:color w:val="0000FF"/>
        </w:rPr>
      </w:pPr>
    </w:p>
    <w:p>
      <w:pPr>
        <w:jc w:val="both"/>
        <w:spacing w:after="0" w:line="245" w:lineRule="auto"/>
        <w:rPr>
          <w:sz w:val="20"/>
          <w:szCs w:val="20"/>
          <w:color w:val="auto"/>
        </w:rPr>
      </w:pPr>
      <w:r>
        <w:rPr>
          <w:rFonts w:ascii="Verdana" w:cs="Verdana" w:eastAsia="Verdana" w:hAnsi="Verdana"/>
          <w:sz w:val="18"/>
          <w:szCs w:val="18"/>
          <w:color w:val="auto"/>
        </w:rPr>
        <w:t xml:space="preserve">Busey has established various accounting policies that govern the application of GAAP in the preparation of its </w:t>
      </w:r>
      <w:r>
        <w:rPr>
          <w:rFonts w:ascii="Verdana" w:cs="Verdana" w:eastAsia="Verdana" w:hAnsi="Verdana"/>
          <w:sz w:val="18"/>
          <w:szCs w:val="18"/>
          <w:u w:val="single" w:color="auto"/>
          <w:color w:val="0000FF"/>
        </w:rPr>
        <w:t>Consolidated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Financial Statements</w:t>
      </w:r>
      <w:r>
        <w:rPr>
          <w:rFonts w:ascii="Verdana" w:cs="Verdana" w:eastAsia="Verdana" w:hAnsi="Verdana"/>
          <w:sz w:val="18"/>
          <w:szCs w:val="18"/>
          <w:color w:val="000000"/>
        </w:rPr>
        <w:t>. Significant accounting policies are described in</w:t>
      </w:r>
      <w:r>
        <w:rPr>
          <w:rFonts w:ascii="Verdana" w:cs="Verdana" w:eastAsia="Verdana" w:hAnsi="Verdana"/>
          <w:sz w:val="18"/>
          <w:szCs w:val="18"/>
          <w:color w:val="0000FF"/>
        </w:rPr>
        <w:t xml:space="preserve"> </w:t>
      </w:r>
      <w:r>
        <w:rPr>
          <w:rFonts w:ascii="Verdana" w:cs="Verdana" w:eastAsia="Verdana" w:hAnsi="Verdana"/>
          <w:sz w:val="18"/>
          <w:szCs w:val="18"/>
          <w:i w:val="1"/>
          <w:iCs w:val="1"/>
          <w:color w:val="000000"/>
        </w:rPr>
        <w:t>“</w:t>
      </w:r>
      <w:r>
        <w:rPr>
          <w:rFonts w:ascii="Verdana" w:cs="Verdana" w:eastAsia="Verdana" w:hAnsi="Verdana"/>
          <w:sz w:val="18"/>
          <w:szCs w:val="18"/>
          <w:i w:val="1"/>
          <w:iCs w:val="1"/>
          <w:u w:val="single" w:color="auto"/>
          <w:color w:val="0000FF"/>
        </w:rPr>
        <w:t>Note 1. Significant Accounting Policies</w:t>
      </w:r>
      <w:r>
        <w:rPr>
          <w:rFonts w:ascii="Verdana" w:cs="Verdana" w:eastAsia="Verdana" w:hAnsi="Verdana"/>
          <w:sz w:val="18"/>
          <w:szCs w:val="18"/>
          <w:i w:val="1"/>
          <w:iCs w:val="1"/>
          <w:color w:val="000000"/>
        </w:rPr>
        <w:t>”</w:t>
      </w:r>
      <w:r>
        <w:rPr>
          <w:rFonts w:ascii="Verdana" w:cs="Verdana" w:eastAsia="Verdana" w:hAnsi="Verdana"/>
          <w:sz w:val="18"/>
          <w:szCs w:val="18"/>
          <w:color w:val="0000FF"/>
        </w:rPr>
        <w:t xml:space="preserve"> </w:t>
      </w:r>
      <w:r>
        <w:rPr>
          <w:rFonts w:ascii="Verdana" w:cs="Verdana" w:eastAsia="Verdana" w:hAnsi="Verdana"/>
          <w:sz w:val="18"/>
          <w:szCs w:val="18"/>
          <w:color w:val="000000"/>
        </w:rPr>
        <w:t>in the</w:t>
      </w:r>
      <w:r>
        <w:rPr>
          <w:rFonts w:ascii="Verdana" w:cs="Verdana" w:eastAsia="Verdana" w:hAnsi="Verdana"/>
          <w:sz w:val="18"/>
          <w:szCs w:val="18"/>
          <w:color w:val="0000FF"/>
        </w:rPr>
        <w:t xml:space="preserve"> </w:t>
      </w:r>
      <w:r>
        <w:rPr>
          <w:rFonts w:ascii="Verdana" w:cs="Verdana" w:eastAsia="Verdana" w:hAnsi="Verdana"/>
          <w:sz w:val="18"/>
          <w:szCs w:val="18"/>
          <w:u w:val="single" w:color="auto"/>
          <w:color w:val="0000FF"/>
        </w:rPr>
        <w:t>Notes</w:t>
      </w:r>
      <w:r>
        <w:rPr>
          <w:rFonts w:ascii="Verdana" w:cs="Verdana" w:eastAsia="Verdana" w:hAnsi="Verdana"/>
          <w:sz w:val="18"/>
          <w:szCs w:val="18"/>
          <w:color w:val="0000FF"/>
        </w:rPr>
        <w:t xml:space="preserve"> </w:t>
      </w:r>
      <w:r>
        <w:rPr>
          <w:rFonts w:ascii="Verdana" w:cs="Verdana" w:eastAsia="Verdana" w:hAnsi="Verdana"/>
          <w:sz w:val="18"/>
          <w:szCs w:val="18"/>
          <w:u w:val="single" w:color="auto"/>
          <w:color w:val="0000FF"/>
        </w:rPr>
        <w:t>to the Consolidated Financial Statements</w:t>
      </w:r>
      <w:r>
        <w:rPr>
          <w:rFonts w:ascii="Verdana" w:cs="Verdana" w:eastAsia="Verdana" w:hAnsi="Verdana"/>
          <w:sz w:val="18"/>
          <w:szCs w:val="18"/>
          <w:color w:val="000000"/>
        </w:rPr>
        <w:t>.</w:t>
      </w:r>
    </w:p>
    <w:p>
      <w:pPr>
        <w:spacing w:after="0" w:line="167" w:lineRule="exact"/>
        <w:rPr>
          <w:rFonts w:ascii="Verdana" w:cs="Verdana" w:eastAsia="Verdana" w:hAnsi="Verdana"/>
          <w:sz w:val="18"/>
          <w:szCs w:val="18"/>
          <w:i w:val="1"/>
          <w:iCs w:val="1"/>
          <w:color w:val="0000FF"/>
        </w:rPr>
      </w:pPr>
    </w:p>
    <w:p>
      <w:pPr>
        <w:jc w:val="both"/>
        <w:spacing w:after="0"/>
        <w:rPr>
          <w:sz w:val="20"/>
          <w:szCs w:val="20"/>
          <w:color w:val="auto"/>
        </w:rPr>
      </w:pPr>
      <w:r>
        <w:rPr>
          <w:rFonts w:ascii="Verdana" w:cs="Verdana" w:eastAsia="Verdana" w:hAnsi="Verdana"/>
          <w:sz w:val="18"/>
          <w:szCs w:val="18"/>
          <w:color w:val="auto"/>
        </w:rPr>
        <w:t>Critical accounting estimates are those that are critical to the portrayal and understanding of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The following policies could be deemed critical:</w:t>
      </w:r>
    </w:p>
    <w:p>
      <w:pPr>
        <w:spacing w:after="0" w:line="20" w:lineRule="exact"/>
        <w:rPr>
          <w:rFonts w:ascii="Verdana" w:cs="Verdana" w:eastAsia="Verdana" w:hAnsi="Verdana"/>
          <w:sz w:val="18"/>
          <w:szCs w:val="18"/>
          <w:i w:val="1"/>
          <w:iCs w:val="1"/>
          <w:color w:val="0000FF"/>
        </w:rPr>
      </w:pPr>
      <w:r>
        <w:rPr>
          <w:rFonts w:ascii="Verdana" w:cs="Verdana" w:eastAsia="Verdana" w:hAnsi="Verdana"/>
          <w:sz w:val="18"/>
          <w:szCs w:val="18"/>
          <w:i w:val="1"/>
          <w:iCs w:val="1"/>
          <w:color w:val="0000FF"/>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7" w:lineRule="exact"/>
        <w:rPr>
          <w:rFonts w:ascii="Verdana" w:cs="Verdana" w:eastAsia="Verdana" w:hAnsi="Verdana"/>
          <w:sz w:val="18"/>
          <w:szCs w:val="18"/>
          <w:i w:val="1"/>
          <w:iCs w:val="1"/>
          <w:color w:val="0000FF"/>
        </w:rPr>
      </w:pPr>
    </w:p>
    <w:p>
      <w:pPr>
        <w:ind w:firstLine="8"/>
        <w:spacing w:after="0" w:line="181" w:lineRule="auto"/>
        <w:tabs>
          <w:tab w:leader="none" w:pos="127" w:val="left"/>
        </w:tabs>
        <w:numPr>
          <w:ilvl w:val="0"/>
          <w:numId w:val="26"/>
        </w:numPr>
        <w:rPr>
          <w:rFonts w:ascii="Verdana" w:cs="Verdana" w:eastAsia="Verdana" w:hAnsi="Verdana"/>
          <w:sz w:val="22"/>
          <w:szCs w:val="22"/>
          <w:color w:val="auto"/>
          <w:vertAlign w:val="superscript"/>
        </w:rPr>
      </w:pPr>
      <w:r>
        <w:rPr>
          <w:rFonts w:ascii="Verdana" w:cs="Verdana" w:eastAsia="Verdana" w:hAnsi="Verdana"/>
          <w:sz w:val="12"/>
          <w:szCs w:val="12"/>
          <w:color w:val="auto"/>
        </w:rPr>
        <w:t>Core deposits is a non-GAAP financial measure. For a reconciliation of non-GAAP financial measures to the most directly comparable GAAP financial measures, see “</w:t>
      </w:r>
      <w:r>
        <w:rPr>
          <w:rFonts w:ascii="Verdana" w:cs="Verdana" w:eastAsia="Verdana" w:hAnsi="Verdana"/>
          <w:sz w:val="12"/>
          <w:szCs w:val="12"/>
          <w:i w:val="1"/>
          <w:iCs w:val="1"/>
          <w:u w:val="single" w:color="auto"/>
          <w:color w:val="0000FF"/>
        </w:rPr>
        <w:t>Item 1.</w:t>
      </w:r>
      <w:r>
        <w:rPr>
          <w:rFonts w:ascii="Verdana" w:cs="Verdana" w:eastAsia="Verdana" w:hAnsi="Verdana"/>
          <w:sz w:val="12"/>
          <w:szCs w:val="12"/>
          <w:color w:val="auto"/>
        </w:rPr>
        <w:t xml:space="preserve"> </w:t>
      </w:r>
      <w:r>
        <w:rPr>
          <w:rFonts w:ascii="Verdana" w:cs="Verdana" w:eastAsia="Verdana" w:hAnsi="Verdana"/>
          <w:sz w:val="12"/>
          <w:szCs w:val="12"/>
          <w:i w:val="1"/>
          <w:iCs w:val="1"/>
          <w:u w:val="single" w:color="auto"/>
          <w:color w:val="0000FF"/>
        </w:rPr>
        <w:t>Business—Non-GAAP Financial Information.</w:t>
      </w:r>
      <w:r>
        <w:rPr>
          <w:rFonts w:ascii="Verdana" w:cs="Verdana" w:eastAsia="Verdana" w:hAnsi="Verdana"/>
          <w:sz w:val="12"/>
          <w:szCs w:val="12"/>
          <w:color w:val="000000"/>
        </w:rPr>
        <w:t>”</w:t>
      </w:r>
    </w:p>
    <w:p>
      <w:pPr>
        <w:spacing w:after="0" w:line="53" w:lineRule="exact"/>
        <w:rPr>
          <w:rFonts w:ascii="Verdana" w:cs="Verdana" w:eastAsia="Verdana" w:hAnsi="Verdana"/>
          <w:sz w:val="18"/>
          <w:szCs w:val="18"/>
          <w:i w:val="1"/>
          <w:iCs w:val="1"/>
          <w:color w:val="0000FF"/>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54</w:t>
      </w:r>
    </w:p>
    <w:p>
      <w:pPr>
        <w:spacing w:after="0" w:line="20" w:lineRule="exact"/>
        <w:rPr>
          <w:rFonts w:ascii="Verdana" w:cs="Verdana" w:eastAsia="Verdana" w:hAnsi="Verdana"/>
          <w:sz w:val="18"/>
          <w:szCs w:val="18"/>
          <w:i w:val="1"/>
          <w:iCs w:val="1"/>
          <w:color w:val="0000FF"/>
        </w:rPr>
      </w:pPr>
      <w:r>
        <w:rPr>
          <w:rFonts w:ascii="Verdana" w:cs="Verdana" w:eastAsia="Verdana" w:hAnsi="Verdana"/>
          <w:sz w:val="18"/>
          <w:szCs w:val="18"/>
          <w:i w:val="1"/>
          <w:iCs w:val="1"/>
          <w:color w:val="0000FF"/>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4" w:name="page55"/>
    <w:bookmarkEnd w:id="5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Fair Value of Debt Securities Available for Sale</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Different fair value estimates could result from the use of different judgments and estimates to determine the fair values of securities.</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Realized securities gains or losses are reported in the </w:t>
      </w:r>
      <w:r>
        <w:rPr>
          <w:rFonts w:ascii="Verdana" w:cs="Verdana" w:eastAsia="Verdana" w:hAnsi="Verdana"/>
          <w:sz w:val="18"/>
          <w:szCs w:val="18"/>
          <w:u w:val="single" w:color="auto"/>
          <w:color w:val="0000FF"/>
        </w:rPr>
        <w:t>Consolidated Statements of Income</w:t>
      </w:r>
      <w:r>
        <w:rPr>
          <w:rFonts w:ascii="Verdana" w:cs="Verdana" w:eastAsia="Verdana" w:hAnsi="Verdana"/>
          <w:sz w:val="18"/>
          <w:szCs w:val="18"/>
          <w:color w:val="auto"/>
        </w:rPr>
        <w:t>. The cost of securities sold is based on the specific identification method.</w:t>
      </w:r>
    </w:p>
    <w:p>
      <w:pPr>
        <w:spacing w:after="0" w:line="158"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allowance related to the debt security,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color w:val="auto"/>
        </w:rPr>
        <w:t>We consider the following factors in assessing whether the decline is due to a credit loss:</w:t>
      </w:r>
    </w:p>
    <w:p>
      <w:pPr>
        <w:spacing w:after="0" w:line="173" w:lineRule="exact"/>
        <w:rPr>
          <w:sz w:val="20"/>
          <w:szCs w:val="20"/>
          <w:color w:val="auto"/>
        </w:rPr>
      </w:pPr>
    </w:p>
    <w:p>
      <w:pPr>
        <w:ind w:left="640" w:hanging="308"/>
        <w:spacing w:after="0"/>
        <w:tabs>
          <w:tab w:leader="none" w:pos="640" w:val="left"/>
        </w:tabs>
        <w:numPr>
          <w:ilvl w:val="0"/>
          <w:numId w:val="27"/>
        </w:numPr>
        <w:rPr>
          <w:rFonts w:ascii="Verdana" w:cs="Verdana" w:eastAsia="Verdana" w:hAnsi="Verdana"/>
          <w:sz w:val="18"/>
          <w:szCs w:val="18"/>
          <w:color w:val="auto"/>
        </w:rPr>
      </w:pPr>
      <w:r>
        <w:rPr>
          <w:rFonts w:ascii="Verdana" w:cs="Verdana" w:eastAsia="Verdana" w:hAnsi="Verdana"/>
          <w:sz w:val="18"/>
          <w:szCs w:val="18"/>
          <w:color w:val="auto"/>
        </w:rPr>
        <w:t>Extent to which the fair value is less than the amortized cost basis;</w:t>
      </w:r>
    </w:p>
    <w:p>
      <w:pPr>
        <w:spacing w:after="0" w:line="186"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27"/>
        </w:numPr>
        <w:rPr>
          <w:rFonts w:ascii="Verdana" w:cs="Verdana" w:eastAsia="Verdana" w:hAnsi="Verdana"/>
          <w:sz w:val="18"/>
          <w:szCs w:val="18"/>
          <w:color w:val="auto"/>
        </w:rPr>
      </w:pPr>
      <w:r>
        <w:rPr>
          <w:rFonts w:ascii="Verdana" w:cs="Verdana" w:eastAsia="Verdana" w:hAnsi="Verdana"/>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53" w:lineRule="exact"/>
        <w:rPr>
          <w:rFonts w:ascii="Verdana" w:cs="Verdana" w:eastAsia="Verdana" w:hAnsi="Verdana"/>
          <w:sz w:val="18"/>
          <w:szCs w:val="18"/>
          <w:color w:val="auto"/>
        </w:rPr>
      </w:pPr>
    </w:p>
    <w:p>
      <w:pPr>
        <w:ind w:left="660" w:right="20" w:hanging="328"/>
        <w:spacing w:after="0" w:line="254" w:lineRule="auto"/>
        <w:tabs>
          <w:tab w:leader="none" w:pos="650" w:val="left"/>
        </w:tabs>
        <w:numPr>
          <w:ilvl w:val="0"/>
          <w:numId w:val="27"/>
        </w:numPr>
        <w:rPr>
          <w:rFonts w:ascii="Verdana" w:cs="Verdana" w:eastAsia="Verdana" w:hAnsi="Verdana"/>
          <w:sz w:val="18"/>
          <w:szCs w:val="18"/>
          <w:color w:val="auto"/>
        </w:rPr>
      </w:pPr>
      <w:r>
        <w:rPr>
          <w:rFonts w:ascii="Verdana" w:cs="Verdana" w:eastAsia="Verdana" w:hAnsi="Verdana"/>
          <w:sz w:val="18"/>
          <w:szCs w:val="18"/>
          <w:color w:val="auto"/>
        </w:rPr>
        <w:t>Payment structure of the debt security and the likelihood of the issuer being able to make payments that increase in the future;</w:t>
      </w:r>
    </w:p>
    <w:p>
      <w:pPr>
        <w:spacing w:after="0" w:line="144" w:lineRule="exact"/>
        <w:rPr>
          <w:rFonts w:ascii="Verdana" w:cs="Verdana" w:eastAsia="Verdana" w:hAnsi="Verdana"/>
          <w:sz w:val="18"/>
          <w:szCs w:val="18"/>
          <w:color w:val="auto"/>
        </w:rPr>
      </w:pPr>
    </w:p>
    <w:p>
      <w:pPr>
        <w:ind w:left="640" w:hanging="308"/>
        <w:spacing w:after="0"/>
        <w:tabs>
          <w:tab w:leader="none" w:pos="640" w:val="left"/>
        </w:tabs>
        <w:numPr>
          <w:ilvl w:val="0"/>
          <w:numId w:val="27"/>
        </w:numPr>
        <w:rPr>
          <w:rFonts w:ascii="Verdana" w:cs="Verdana" w:eastAsia="Verdana" w:hAnsi="Verdana"/>
          <w:sz w:val="18"/>
          <w:szCs w:val="18"/>
          <w:color w:val="auto"/>
        </w:rPr>
      </w:pPr>
      <w:r>
        <w:rPr>
          <w:rFonts w:ascii="Verdana" w:cs="Verdana" w:eastAsia="Verdana" w:hAnsi="Verdana"/>
          <w:sz w:val="18"/>
          <w:szCs w:val="18"/>
          <w:color w:val="auto"/>
        </w:rPr>
        <w:t>Failure of the issuer of the security to make scheduled interest or principal payments; and</w:t>
      </w:r>
    </w:p>
    <w:p>
      <w:pPr>
        <w:spacing w:after="0" w:line="186" w:lineRule="exact"/>
        <w:rPr>
          <w:rFonts w:ascii="Verdana" w:cs="Verdana" w:eastAsia="Verdana" w:hAnsi="Verdana"/>
          <w:sz w:val="18"/>
          <w:szCs w:val="18"/>
          <w:color w:val="auto"/>
        </w:rPr>
      </w:pPr>
    </w:p>
    <w:p>
      <w:pPr>
        <w:ind w:left="640" w:hanging="308"/>
        <w:spacing w:after="0"/>
        <w:tabs>
          <w:tab w:leader="none" w:pos="640" w:val="left"/>
        </w:tabs>
        <w:numPr>
          <w:ilvl w:val="0"/>
          <w:numId w:val="27"/>
        </w:numPr>
        <w:rPr>
          <w:rFonts w:ascii="Verdana" w:cs="Verdana" w:eastAsia="Verdana" w:hAnsi="Verdana"/>
          <w:sz w:val="18"/>
          <w:szCs w:val="18"/>
          <w:color w:val="auto"/>
        </w:rPr>
      </w:pPr>
      <w:r>
        <w:rPr>
          <w:rFonts w:ascii="Verdana" w:cs="Verdana" w:eastAsia="Verdana" w:hAnsi="Verdana"/>
          <w:sz w:val="18"/>
          <w:szCs w:val="18"/>
          <w:color w:val="auto"/>
        </w:rPr>
        <w:t>Any changes to the rating of the security by a rating agency.</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Impairment related to a credit loss must be measured using the discounted cash flow method. Credit loss recognition is limited to the fair value of the security. Impairment is recognized by establishing an allowance for the debt security through the provision for credit losses. Impairment related to noncredit factors is recognized in AOCI, net of applicable taxes.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Fair Value of Assets Acquired and Liabilities Assumed in Business Combinations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Verdana" w:cs="Verdana" w:eastAsia="Verdana" w:hAnsi="Verdana"/>
          <w:sz w:val="18"/>
          <w:szCs w:val="18"/>
          <w:i w:val="1"/>
          <w:iCs w:val="1"/>
          <w:color w:val="auto"/>
        </w:rPr>
        <w:t>“Fair Value Measurement”</w:t>
      </w:r>
      <w:r>
        <w:rPr>
          <w:rFonts w:ascii="Verdana" w:cs="Verdana" w:eastAsia="Verdana" w:hAnsi="Verdana"/>
          <w:sz w:val="18"/>
          <w:szCs w:val="18"/>
          <w:color w:val="auto"/>
        </w:rPr>
        <w:t xml:space="preserve"> as “the price that would be received to sell an asset or paid to transfer a liability in an orderly transaction between market participants at the measurement date.”</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5" w:name="page56"/>
    <w:bookmarkEnd w:id="5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The fair value of a loan portfolio acquired in a business combination generally requires greater levels of management estimates and judgment than other assets acquired or liabilities assumed. Acquired loans are in the scope of ASC Topic 326 </w:t>
      </w:r>
      <w:r>
        <w:rPr>
          <w:rFonts w:ascii="Verdana" w:cs="Verdana" w:eastAsia="Verdana" w:hAnsi="Verdana"/>
          <w:sz w:val="18"/>
          <w:szCs w:val="18"/>
          <w:i w:val="1"/>
          <w:iCs w:val="1"/>
          <w:color w:val="auto"/>
        </w:rPr>
        <w:t xml:space="preserve">“Financial Instruments-Credit Losses.” </w:t>
      </w:r>
      <w:r>
        <w:rPr>
          <w:rFonts w:ascii="Verdana" w:cs="Verdana" w:eastAsia="Verdana" w:hAnsi="Verdana"/>
          <w:sz w:val="18"/>
          <w:szCs w:val="18"/>
          <w:color w:val="auto"/>
        </w:rPr>
        <w:t>However, the offset to record the allowance on acquired loans at the date of</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Goodwill</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Income Taxes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 estimates income tax expense based on amounts expected to be owed to federal and state tax jurisdictions. Estimated income tax expense is reported in the </w:t>
      </w:r>
      <w:r>
        <w:rPr>
          <w:rFonts w:ascii="Verdana" w:cs="Verdana" w:eastAsia="Verdana" w:hAnsi="Verdana"/>
          <w:sz w:val="18"/>
          <w:szCs w:val="18"/>
          <w:u w:val="single" w:color="auto"/>
          <w:color w:val="0000FF"/>
        </w:rPr>
        <w:t>Consolidated Statements of Income</w:t>
      </w:r>
      <w:r>
        <w:rPr>
          <w:rFonts w:ascii="Verdana" w:cs="Verdana" w:eastAsia="Verdana" w:hAnsi="Verdana"/>
          <w:sz w:val="18"/>
          <w:szCs w:val="18"/>
          <w:color w:val="auto"/>
        </w:rPr>
        <w:t xml:space="preserve">. Accrued and deferred taxes, as reported in other assets or other liabilities in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Allowance for Credit Losses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calculates the ACL at each reporting date. We recognize an allowance for the lifetime expected credit losses for the amount we do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we may conclude a loan should be evaluated on an individual basis based on the disparate risk characteristics.</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pacing w:after="0" w:line="22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6" w:name="page57"/>
    <w:bookmarkEnd w:id="5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RESULTS OF OPERATIONS — THREE YEARS ENDED DECEMBER 31, 2023</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Net Income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Results of our operations are presented below, segregated by operating segment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income by operating segment</w:t>
            </w:r>
          </w:p>
        </w:tc>
        <w:tc>
          <w:tcPr>
            <w:tcW w:w="36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123,853</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131,596</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117,844</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18,804</w:t>
            </w:r>
          </w:p>
        </w:tc>
        <w:tc>
          <w:tcPr>
            <w:tcW w:w="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18,543</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18,570</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830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847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1,527</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(20,922)</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(22,675)</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(14,492)</w:t>
            </w: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Net income</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122,565</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128,311</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123,449</w:t>
            </w:r>
          </w:p>
        </w:tc>
      </w:tr>
      <w:tr>
        <w:trPr>
          <w:trHeight w:val="21"/>
        </w:trPr>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Operating Performance Metrics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Operating performance metrics presented in the table below have been derived from information used by management to monitor and manage our financial performance </w:t>
      </w:r>
      <w:r>
        <w:rPr>
          <w:rFonts w:ascii="Verdana" w:cs="Verdana" w:eastAsia="Verdana" w:hAnsi="Verdana"/>
          <w:sz w:val="18"/>
          <w:szCs w:val="18"/>
          <w:i w:val="1"/>
          <w:iCs w:val="1"/>
          <w:color w:val="auto"/>
        </w:rPr>
        <w:t>(dollars in thousands, except per share amounts)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20"/>
              <w:spacing w:after="0"/>
              <w:rPr>
                <w:sz w:val="20"/>
                <w:szCs w:val="20"/>
                <w:color w:val="auto"/>
              </w:rPr>
            </w:pPr>
            <w:r>
              <w:rPr>
                <w:rFonts w:ascii="Verdana" w:cs="Verdana" w:eastAsia="Verdana" w:hAnsi="Verdana"/>
                <w:sz w:val="13"/>
                <w:szCs w:val="13"/>
                <w:b w:val="1"/>
                <w:bCs w:val="1"/>
                <w:color w:val="auto"/>
                <w:w w:val="96"/>
              </w:rPr>
              <w:t>Years Ended December 31,</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70"/>
        </w:trPr>
        <w:tc>
          <w:tcPr>
            <w:tcW w:w="1200" w:type="dxa"/>
            <w:vAlign w:val="bottom"/>
            <w:tcBorders>
              <w:bottom w:val="single" w:sz="8" w:color="E0E7ED"/>
            </w:tcBorders>
          </w:tcPr>
          <w:p>
            <w:pPr>
              <w:spacing w:after="0"/>
              <w:rPr>
                <w:sz w:val="14"/>
                <w:szCs w:val="14"/>
                <w:color w:val="auto"/>
              </w:rPr>
            </w:pPr>
          </w:p>
        </w:tc>
        <w:tc>
          <w:tcPr>
            <w:tcW w:w="462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2"/>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2"/>
              <w:spacing w:after="0"/>
              <w:rPr>
                <w:sz w:val="20"/>
                <w:szCs w:val="20"/>
                <w:color w:val="auto"/>
              </w:rPr>
            </w:pPr>
            <w:r>
              <w:rPr>
                <w:rFonts w:ascii="Verdana" w:cs="Verdana" w:eastAsia="Verdana" w:hAnsi="Verdana"/>
                <w:sz w:val="13"/>
                <w:szCs w:val="13"/>
                <w:b w:val="1"/>
                <w:bCs w:val="1"/>
                <w:color w:val="auto"/>
              </w:rPr>
              <w:t>2021</w:t>
            </w:r>
          </w:p>
        </w:tc>
      </w:tr>
      <w:tr>
        <w:trPr>
          <w:trHeight w:val="269"/>
        </w:trPr>
        <w:tc>
          <w:tcPr>
            <w:tcW w:w="1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income</w:t>
            </w: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122,565</w:t>
            </w:r>
          </w:p>
        </w:tc>
        <w:tc>
          <w:tcPr>
            <w:tcW w:w="520" w:type="dxa"/>
            <w:vAlign w:val="bottom"/>
            <w:gridSpan w:val="2"/>
            <w:shd w:val="clear" w:color="auto" w:fill="E0E7ED"/>
          </w:tcPr>
          <w:p>
            <w:pPr>
              <w:jc w:val="right"/>
              <w:ind w:right="28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128,311</w:t>
            </w: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123,449</w:t>
            </w:r>
          </w:p>
        </w:tc>
      </w:tr>
      <w:tr>
        <w:trPr>
          <w:trHeight w:val="263"/>
        </w:trPr>
        <w:tc>
          <w:tcPr>
            <w:tcW w:w="120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4620" w:type="dxa"/>
            <w:vAlign w:val="bottom"/>
          </w:tcPr>
          <w:p>
            <w:pPr>
              <w:ind w:left="180"/>
              <w:spacing w:after="0"/>
              <w:rPr>
                <w:sz w:val="20"/>
                <w:szCs w:val="20"/>
                <w:color w:val="auto"/>
              </w:rPr>
            </w:pPr>
            <w:r>
              <w:rPr>
                <w:rFonts w:ascii="Verdana" w:cs="Verdana" w:eastAsia="Verdana" w:hAnsi="Verdana"/>
                <w:sz w:val="18"/>
                <w:szCs w:val="18"/>
                <w:color w:val="auto"/>
              </w:rPr>
              <w:t>Net income</w:t>
            </w:r>
            <w:r>
              <w:rPr>
                <w:rFonts w:ascii="Verdana" w:cs="Verdana" w:eastAsia="Verdana" w:hAnsi="Verdana"/>
                <w:sz w:val="11"/>
                <w:szCs w:val="11"/>
                <w:color w:val="auto"/>
              </w:rPr>
              <w:t>1</w:t>
            </w:r>
          </w:p>
        </w:tc>
        <w:tc>
          <w:tcPr>
            <w:tcW w:w="420" w:type="dxa"/>
            <w:vAlign w:val="bottom"/>
          </w:tcPr>
          <w:p>
            <w:pPr>
              <w:spacing w:after="0"/>
              <w:rPr>
                <w:sz w:val="22"/>
                <w:szCs w:val="22"/>
                <w:color w:val="auto"/>
              </w:rPr>
            </w:pPr>
          </w:p>
        </w:tc>
        <w:tc>
          <w:tcPr>
            <w:tcW w:w="1320" w:type="dxa"/>
            <w:vAlign w:val="bottom"/>
          </w:tcPr>
          <w:p>
            <w:pPr>
              <w:jc w:val="right"/>
              <w:ind w:right="192"/>
              <w:spacing w:after="0"/>
              <w:rPr>
                <w:sz w:val="20"/>
                <w:szCs w:val="20"/>
                <w:color w:val="auto"/>
              </w:rPr>
            </w:pPr>
            <w:r>
              <w:rPr>
                <w:rFonts w:ascii="Verdana" w:cs="Verdana" w:eastAsia="Verdana" w:hAnsi="Verdana"/>
                <w:sz w:val="18"/>
                <w:szCs w:val="18"/>
                <w:color w:val="auto"/>
              </w:rPr>
              <w:t>126,012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ind w:right="192"/>
              <w:spacing w:after="0"/>
              <w:rPr>
                <w:sz w:val="20"/>
                <w:szCs w:val="20"/>
                <w:color w:val="auto"/>
              </w:rPr>
            </w:pPr>
            <w:r>
              <w:rPr>
                <w:rFonts w:ascii="Verdana" w:cs="Verdana" w:eastAsia="Verdana" w:hAnsi="Verdana"/>
                <w:sz w:val="18"/>
                <w:szCs w:val="18"/>
                <w:color w:val="auto"/>
              </w:rPr>
              <w:t>131,910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ind w:right="192"/>
              <w:spacing w:after="0"/>
              <w:rPr>
                <w:sz w:val="20"/>
                <w:szCs w:val="20"/>
                <w:color w:val="auto"/>
              </w:rPr>
            </w:pPr>
            <w:r>
              <w:rPr>
                <w:rFonts w:ascii="Verdana" w:cs="Verdana" w:eastAsia="Verdana" w:hAnsi="Verdana"/>
                <w:sz w:val="18"/>
                <w:szCs w:val="18"/>
                <w:color w:val="auto"/>
              </w:rPr>
              <w:t>137,108</w:t>
            </w:r>
          </w:p>
        </w:tc>
      </w:tr>
      <w:tr>
        <w:trPr>
          <w:trHeight w:val="277"/>
        </w:trPr>
        <w:tc>
          <w:tcPr>
            <w:tcW w:w="1200" w:type="dxa"/>
            <w:vAlign w:val="bottom"/>
            <w:shd w:val="clear" w:color="auto" w:fill="E0E7ED"/>
          </w:tcPr>
          <w:p>
            <w:pPr>
              <w:spacing w:after="0"/>
              <w:rPr>
                <w:sz w:val="24"/>
                <w:szCs w:val="24"/>
                <w:color w:val="auto"/>
              </w:rPr>
            </w:pPr>
          </w:p>
        </w:tc>
        <w:tc>
          <w:tcPr>
            <w:tcW w:w="462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r>
      <w:tr>
        <w:trPr>
          <w:trHeight w:val="263"/>
        </w:trPr>
        <w:tc>
          <w:tcPr>
            <w:tcW w:w="120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4620" w:type="dxa"/>
            <w:vAlign w:val="bottom"/>
          </w:tcPr>
          <w:p>
            <w:pPr>
              <w:ind w:left="180"/>
              <w:spacing w:after="0"/>
              <w:rPr>
                <w:sz w:val="20"/>
                <w:szCs w:val="20"/>
                <w:color w:val="auto"/>
              </w:rPr>
            </w:pPr>
            <w:r>
              <w:rPr>
                <w:rFonts w:ascii="Verdana" w:cs="Verdana" w:eastAsia="Verdana" w:hAnsi="Verdana"/>
                <w:sz w:val="18"/>
                <w:szCs w:val="18"/>
                <w:color w:val="auto"/>
              </w:rPr>
              <w:t>Diluted earnings per common share</w:t>
            </w: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92"/>
              <w:spacing w:after="0"/>
              <w:rPr>
                <w:sz w:val="20"/>
                <w:szCs w:val="20"/>
                <w:color w:val="auto"/>
              </w:rPr>
            </w:pPr>
            <w:r>
              <w:rPr>
                <w:rFonts w:ascii="Verdana" w:cs="Verdana" w:eastAsia="Verdana" w:hAnsi="Verdana"/>
                <w:sz w:val="18"/>
                <w:szCs w:val="18"/>
                <w:color w:val="auto"/>
              </w:rPr>
              <w:t>2.18</w:t>
            </w:r>
          </w:p>
        </w:tc>
        <w:tc>
          <w:tcPr>
            <w:tcW w:w="520" w:type="dxa"/>
            <w:vAlign w:val="bottom"/>
            <w:gridSpan w:val="2"/>
          </w:tcPr>
          <w:p>
            <w:pPr>
              <w:jc w:val="right"/>
              <w:ind w:right="28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92"/>
              <w:spacing w:after="0"/>
              <w:rPr>
                <w:sz w:val="20"/>
                <w:szCs w:val="20"/>
                <w:color w:val="auto"/>
              </w:rPr>
            </w:pPr>
            <w:r>
              <w:rPr>
                <w:rFonts w:ascii="Verdana" w:cs="Verdana" w:eastAsia="Verdana" w:hAnsi="Verdana"/>
                <w:sz w:val="18"/>
                <w:szCs w:val="18"/>
                <w:color w:val="auto"/>
              </w:rPr>
              <w:t>2.29</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92"/>
              <w:spacing w:after="0"/>
              <w:rPr>
                <w:sz w:val="20"/>
                <w:szCs w:val="20"/>
                <w:color w:val="auto"/>
              </w:rPr>
            </w:pPr>
            <w:r>
              <w:rPr>
                <w:rFonts w:ascii="Verdana" w:cs="Verdana" w:eastAsia="Verdana" w:hAnsi="Verdana"/>
                <w:sz w:val="18"/>
                <w:szCs w:val="18"/>
                <w:color w:val="auto"/>
              </w:rPr>
              <w:t>2.20</w:t>
            </w:r>
          </w:p>
        </w:tc>
      </w:tr>
      <w:tr>
        <w:trPr>
          <w:trHeight w:val="277"/>
        </w:trPr>
        <w:tc>
          <w:tcPr>
            <w:tcW w:w="1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Diluted earnings per common share</w:t>
            </w:r>
            <w:r>
              <w:rPr>
                <w:rFonts w:ascii="Verdana" w:cs="Verdana" w:eastAsia="Verdana" w:hAnsi="Verdana"/>
                <w:sz w:val="11"/>
                <w:szCs w:val="11"/>
                <w:color w:val="auto"/>
              </w:rPr>
              <w:t>1</w:t>
            </w: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2.24</w:t>
            </w: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2.35</w:t>
            </w: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2.45</w:t>
            </w:r>
          </w:p>
        </w:tc>
      </w:tr>
      <w:tr>
        <w:trPr>
          <w:trHeight w:val="270"/>
        </w:trPr>
        <w:tc>
          <w:tcPr>
            <w:tcW w:w="120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Return on average assets</w:t>
            </w:r>
          </w:p>
        </w:tc>
        <w:tc>
          <w:tcPr>
            <w:tcW w:w="42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1.00 %</w:t>
            </w: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1.03 %</w:t>
            </w: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1.04 %</w:t>
            </w:r>
          </w:p>
        </w:tc>
      </w:tr>
      <w:tr>
        <w:trPr>
          <w:trHeight w:val="263"/>
        </w:trPr>
        <w:tc>
          <w:tcPr>
            <w:tcW w:w="120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4620" w:type="dxa"/>
            <w:vAlign w:val="bottom"/>
          </w:tcPr>
          <w:p>
            <w:pPr>
              <w:ind w:left="180"/>
              <w:spacing w:after="0"/>
              <w:rPr>
                <w:sz w:val="20"/>
                <w:szCs w:val="20"/>
                <w:color w:val="auto"/>
              </w:rPr>
            </w:pPr>
            <w:r>
              <w:rPr>
                <w:rFonts w:ascii="Verdana" w:cs="Verdana" w:eastAsia="Verdana" w:hAnsi="Verdana"/>
                <w:sz w:val="18"/>
                <w:szCs w:val="18"/>
                <w:color w:val="auto"/>
              </w:rPr>
              <w:t>Return on average assets</w:t>
            </w:r>
            <w:r>
              <w:rPr>
                <w:rFonts w:ascii="Verdana" w:cs="Verdana" w:eastAsia="Verdana" w:hAnsi="Verdana"/>
                <w:sz w:val="11"/>
                <w:szCs w:val="11"/>
                <w:color w:val="auto"/>
              </w:rPr>
              <w:t>1</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1.03 %</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1.06 %</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1.15 %</w:t>
            </w:r>
          </w:p>
        </w:tc>
      </w:tr>
      <w:tr>
        <w:trPr>
          <w:trHeight w:val="277"/>
        </w:trPr>
        <w:tc>
          <w:tcPr>
            <w:tcW w:w="1200" w:type="dxa"/>
            <w:vAlign w:val="bottom"/>
            <w:shd w:val="clear" w:color="auto" w:fill="E0E7ED"/>
          </w:tcPr>
          <w:p>
            <w:pPr>
              <w:spacing w:after="0"/>
              <w:rPr>
                <w:sz w:val="24"/>
                <w:szCs w:val="24"/>
                <w:color w:val="auto"/>
              </w:rPr>
            </w:pPr>
          </w:p>
        </w:tc>
        <w:tc>
          <w:tcPr>
            <w:tcW w:w="462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r>
      <w:tr>
        <w:trPr>
          <w:trHeight w:val="263"/>
        </w:trPr>
        <w:tc>
          <w:tcPr>
            <w:tcW w:w="120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4620" w:type="dxa"/>
            <w:vAlign w:val="bottom"/>
          </w:tcPr>
          <w:p>
            <w:pPr>
              <w:ind w:left="180"/>
              <w:spacing w:after="0"/>
              <w:rPr>
                <w:sz w:val="20"/>
                <w:szCs w:val="20"/>
                <w:color w:val="auto"/>
              </w:rPr>
            </w:pPr>
            <w:r>
              <w:rPr>
                <w:rFonts w:ascii="Verdana" w:cs="Verdana" w:eastAsia="Verdana" w:hAnsi="Verdana"/>
                <w:sz w:val="18"/>
                <w:szCs w:val="18"/>
                <w:color w:val="auto"/>
              </w:rPr>
              <w:t>Return on average tangible common equity</w:t>
            </w:r>
            <w:r>
              <w:rPr>
                <w:rFonts w:ascii="Verdana" w:cs="Verdana" w:eastAsia="Verdana" w:hAnsi="Verdana"/>
                <w:sz w:val="11"/>
                <w:szCs w:val="11"/>
                <w:color w:val="auto"/>
              </w:rPr>
              <w:t>1</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14.62 %</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15.56 %</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12.96 %</w:t>
            </w:r>
          </w:p>
        </w:tc>
      </w:tr>
      <w:tr>
        <w:trPr>
          <w:trHeight w:val="277"/>
        </w:trPr>
        <w:tc>
          <w:tcPr>
            <w:tcW w:w="1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Return on average tangible common equity</w:t>
            </w:r>
            <w:r>
              <w:rPr>
                <w:rFonts w:ascii="Verdana" w:cs="Verdana" w:eastAsia="Verdana" w:hAnsi="Verdana"/>
                <w:sz w:val="11"/>
                <w:szCs w:val="11"/>
                <w:color w:val="auto"/>
              </w:rPr>
              <w:t>1</w:t>
            </w: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15.03 %</w:t>
            </w: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15.99 %</w:t>
            </w: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14.40 %</w:t>
            </w:r>
          </w:p>
        </w:tc>
      </w:tr>
      <w:tr>
        <w:trPr>
          <w:trHeight w:val="270"/>
        </w:trPr>
        <w:tc>
          <w:tcPr>
            <w:tcW w:w="120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Pre-provision net revenue</w:t>
            </w:r>
            <w:r>
              <w:rPr>
                <w:rFonts w:ascii="Verdana" w:cs="Verdana" w:eastAsia="Verdana" w:hAnsi="Verdana"/>
                <w:sz w:val="11"/>
                <w:szCs w:val="11"/>
                <w:color w:val="auto"/>
              </w:rPr>
              <w:t>1</w:t>
            </w: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158,502</w:t>
            </w:r>
          </w:p>
        </w:tc>
        <w:tc>
          <w:tcPr>
            <w:tcW w:w="520" w:type="dxa"/>
            <w:vAlign w:val="bottom"/>
            <w:gridSpan w:val="2"/>
            <w:shd w:val="clear" w:color="auto" w:fill="E0E7ED"/>
          </w:tcPr>
          <w:p>
            <w:pPr>
              <w:jc w:val="right"/>
              <w:ind w:right="28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168,493</w:t>
            </w: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138,652</w:t>
            </w:r>
          </w:p>
        </w:tc>
      </w:tr>
      <w:tr>
        <w:trPr>
          <w:trHeight w:val="263"/>
        </w:trPr>
        <w:tc>
          <w:tcPr>
            <w:tcW w:w="120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4620" w:type="dxa"/>
            <w:vAlign w:val="bottom"/>
          </w:tcPr>
          <w:p>
            <w:pPr>
              <w:ind w:left="180"/>
              <w:spacing w:after="0"/>
              <w:rPr>
                <w:sz w:val="20"/>
                <w:szCs w:val="20"/>
                <w:color w:val="auto"/>
              </w:rPr>
            </w:pPr>
            <w:r>
              <w:rPr>
                <w:rFonts w:ascii="Verdana" w:cs="Verdana" w:eastAsia="Verdana" w:hAnsi="Verdana"/>
                <w:sz w:val="18"/>
                <w:szCs w:val="18"/>
                <w:color w:val="auto"/>
              </w:rPr>
              <w:t>Pre-provision net revenue</w:t>
            </w:r>
            <w:r>
              <w:rPr>
                <w:rFonts w:ascii="Verdana" w:cs="Verdana" w:eastAsia="Verdana" w:hAnsi="Verdana"/>
                <w:sz w:val="11"/>
                <w:szCs w:val="11"/>
                <w:color w:val="auto"/>
              </w:rPr>
              <w:t>1</w:t>
            </w:r>
          </w:p>
        </w:tc>
        <w:tc>
          <w:tcPr>
            <w:tcW w:w="420" w:type="dxa"/>
            <w:vAlign w:val="bottom"/>
          </w:tcPr>
          <w:p>
            <w:pPr>
              <w:spacing w:after="0"/>
              <w:rPr>
                <w:sz w:val="22"/>
                <w:szCs w:val="22"/>
                <w:color w:val="auto"/>
              </w:rPr>
            </w:pPr>
          </w:p>
        </w:tc>
        <w:tc>
          <w:tcPr>
            <w:tcW w:w="1320" w:type="dxa"/>
            <w:vAlign w:val="bottom"/>
          </w:tcPr>
          <w:p>
            <w:pPr>
              <w:jc w:val="right"/>
              <w:ind w:right="192"/>
              <w:spacing w:after="0"/>
              <w:rPr>
                <w:sz w:val="20"/>
                <w:szCs w:val="20"/>
                <w:color w:val="auto"/>
              </w:rPr>
            </w:pPr>
            <w:r>
              <w:rPr>
                <w:rFonts w:ascii="Verdana" w:cs="Verdana" w:eastAsia="Verdana" w:hAnsi="Verdana"/>
                <w:sz w:val="18"/>
                <w:szCs w:val="18"/>
                <w:color w:val="auto"/>
              </w:rPr>
              <w:t>172,290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ind w:right="192"/>
              <w:spacing w:after="0"/>
              <w:rPr>
                <w:sz w:val="20"/>
                <w:szCs w:val="20"/>
                <w:color w:val="auto"/>
              </w:rPr>
            </w:pPr>
            <w:r>
              <w:rPr>
                <w:rFonts w:ascii="Verdana" w:cs="Verdana" w:eastAsia="Verdana" w:hAnsi="Verdana"/>
                <w:sz w:val="18"/>
                <w:szCs w:val="18"/>
                <w:color w:val="auto"/>
              </w:rPr>
              <w:t>179,424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ind w:right="192"/>
              <w:spacing w:after="0"/>
              <w:rPr>
                <w:sz w:val="20"/>
                <w:szCs w:val="20"/>
                <w:color w:val="auto"/>
              </w:rPr>
            </w:pPr>
            <w:r>
              <w:rPr>
                <w:rFonts w:ascii="Verdana" w:cs="Verdana" w:eastAsia="Verdana" w:hAnsi="Verdana"/>
                <w:sz w:val="18"/>
                <w:szCs w:val="18"/>
                <w:color w:val="auto"/>
              </w:rPr>
              <w:t>160,792</w:t>
            </w:r>
          </w:p>
        </w:tc>
      </w:tr>
      <w:tr>
        <w:trPr>
          <w:trHeight w:val="277"/>
        </w:trPr>
        <w:tc>
          <w:tcPr>
            <w:tcW w:w="1200" w:type="dxa"/>
            <w:vAlign w:val="bottom"/>
            <w:shd w:val="clear" w:color="auto" w:fill="E0E7ED"/>
          </w:tcPr>
          <w:p>
            <w:pPr>
              <w:spacing w:after="0"/>
              <w:rPr>
                <w:sz w:val="24"/>
                <w:szCs w:val="24"/>
                <w:color w:val="auto"/>
              </w:rPr>
            </w:pPr>
          </w:p>
        </w:tc>
        <w:tc>
          <w:tcPr>
            <w:tcW w:w="462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r>
      <w:tr>
        <w:trPr>
          <w:trHeight w:val="263"/>
        </w:trPr>
        <w:tc>
          <w:tcPr>
            <w:tcW w:w="120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4620" w:type="dxa"/>
            <w:vAlign w:val="bottom"/>
          </w:tcPr>
          <w:p>
            <w:pPr>
              <w:ind w:left="180"/>
              <w:spacing w:after="0"/>
              <w:rPr>
                <w:sz w:val="20"/>
                <w:szCs w:val="20"/>
                <w:color w:val="auto"/>
              </w:rPr>
            </w:pPr>
            <w:r>
              <w:rPr>
                <w:rFonts w:ascii="Verdana" w:cs="Verdana" w:eastAsia="Verdana" w:hAnsi="Verdana"/>
                <w:sz w:val="18"/>
                <w:szCs w:val="18"/>
                <w:color w:val="auto"/>
              </w:rPr>
              <w:t>Pre-provision net revenue to average assets</w:t>
            </w:r>
            <w:r>
              <w:rPr>
                <w:rFonts w:ascii="Verdana" w:cs="Verdana" w:eastAsia="Verdana" w:hAnsi="Verdana"/>
                <w:sz w:val="11"/>
                <w:szCs w:val="11"/>
                <w:color w:val="auto"/>
              </w:rPr>
              <w:t>1</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1.29 %</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1.35 %</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1.16 %</w:t>
            </w:r>
          </w:p>
        </w:tc>
      </w:tr>
      <w:tr>
        <w:trPr>
          <w:trHeight w:val="277"/>
        </w:trPr>
        <w:tc>
          <w:tcPr>
            <w:tcW w:w="1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Pre-provision net revenue to average assets</w:t>
            </w:r>
            <w:r>
              <w:rPr>
                <w:rFonts w:ascii="Verdana" w:cs="Verdana" w:eastAsia="Verdana" w:hAnsi="Verdana"/>
                <w:sz w:val="11"/>
                <w:szCs w:val="11"/>
                <w:color w:val="auto"/>
              </w:rPr>
              <w:t>1</w:t>
            </w: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1.41 %</w:t>
            </w: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1.44 %</w:t>
            </w: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1.35 %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28"/>
        </w:numPr>
        <w:rPr>
          <w:rFonts w:ascii="Verdana" w:cs="Verdana" w:eastAsia="Verdana" w:hAnsi="Verdana"/>
          <w:sz w:val="13"/>
          <w:szCs w:val="13"/>
          <w:color w:val="auto"/>
        </w:rPr>
      </w:pPr>
      <w:r>
        <w:rPr>
          <w:rFonts w:ascii="Verdana" w:cs="Verdana" w:eastAsia="Verdana" w:hAnsi="Verdana"/>
          <w:sz w:val="13"/>
          <w:szCs w:val="13"/>
          <w:color w:val="auto"/>
        </w:rPr>
        <w:t xml:space="preserve">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Item 1. Business—Non-GAAP Financial Information</w:t>
      </w:r>
      <w:r>
        <w:rPr>
          <w:rFonts w:ascii="Verdana" w:cs="Verdana" w:eastAsia="Verdana" w:hAnsi="Verdana"/>
          <w:sz w:val="13"/>
          <w:szCs w:val="13"/>
          <w:i w:val="1"/>
          <w:iCs w:val="1"/>
          <w:color w:val="auto"/>
        </w:rPr>
        <w:t>.”</w:t>
      </w:r>
    </w:p>
    <w:p>
      <w:pPr>
        <w:spacing w:after="0" w:line="4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7" w:name="page58"/>
    <w:bookmarkEnd w:id="5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Non-Operating Expenses and Non-GAAP Measures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views certain non-operating items, including acquisition-related and restructuring charges, as adjustments to net income reported under GAAP. Non-operating pretax adjustments were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Non-operating costs</w:t>
            </w:r>
          </w:p>
        </w:tc>
        <w:tc>
          <w:tcPr>
            <w:tcW w:w="980" w:type="dxa"/>
            <w:vAlign w:val="bottom"/>
            <w:shd w:val="clear" w:color="auto" w:fill="E0E7ED"/>
          </w:tcPr>
          <w:p>
            <w:pPr>
              <w:spacing w:after="0"/>
              <w:rPr>
                <w:sz w:val="22"/>
                <w:szCs w:val="22"/>
                <w:color w:val="auto"/>
              </w:rPr>
            </w:pPr>
          </w:p>
        </w:tc>
        <w:tc>
          <w:tcPr>
            <w:tcW w:w="5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Acquisition related expenses</w:t>
            </w:r>
            <w:r>
              <w:rPr>
                <w:rFonts w:ascii="Verdana" w:cs="Verdana" w:eastAsia="Verdana" w:hAnsi="Verdana"/>
                <w:sz w:val="11"/>
                <w:szCs w:val="11"/>
                <w:color w:val="auto"/>
              </w:rPr>
              <w:t>1</w:t>
            </w:r>
          </w:p>
        </w:tc>
        <w:tc>
          <w:tcPr>
            <w:tcW w:w="980" w:type="dxa"/>
            <w:vAlign w:val="bottom"/>
          </w:tcPr>
          <w:p>
            <w:pPr>
              <w:jc w:val="right"/>
              <w:ind w:right="779"/>
              <w:spacing w:after="0"/>
              <w:rPr>
                <w:sz w:val="20"/>
                <w:szCs w:val="20"/>
                <w:color w:val="auto"/>
              </w:rPr>
            </w:pPr>
            <w:r>
              <w:rPr>
                <w:rFonts w:ascii="Verdana" w:cs="Verdana" w:eastAsia="Verdana" w:hAnsi="Verdana"/>
                <w:sz w:val="18"/>
                <w:szCs w:val="18"/>
                <w:color w:val="auto"/>
                <w:w w:val="86"/>
              </w:rPr>
              <w:t>$</w:t>
            </w:r>
          </w:p>
        </w:tc>
        <w:tc>
          <w:tcPr>
            <w:tcW w:w="540" w:type="dxa"/>
            <w:vAlign w:val="bottom"/>
          </w:tcPr>
          <w:p>
            <w:pPr>
              <w:jc w:val="right"/>
              <w:spacing w:after="0"/>
              <w:rPr>
                <w:sz w:val="20"/>
                <w:szCs w:val="20"/>
                <w:color w:val="auto"/>
              </w:rPr>
            </w:pPr>
            <w:r>
              <w:rPr>
                <w:rFonts w:ascii="Verdana" w:cs="Verdana" w:eastAsia="Verdana" w:hAnsi="Verdana"/>
                <w:sz w:val="18"/>
                <w:szCs w:val="18"/>
                <w:color w:val="auto"/>
              </w:rPr>
              <w:t>357</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1,059</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13,646</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Restructuring charges</w:t>
            </w:r>
            <w:r>
              <w:rPr>
                <w:rFonts w:ascii="Verdana" w:cs="Verdana" w:eastAsia="Verdana" w:hAnsi="Verdana"/>
                <w:sz w:val="11"/>
                <w:szCs w:val="11"/>
                <w:color w:val="auto"/>
              </w:rPr>
              <w:t>2</w:t>
            </w:r>
          </w:p>
        </w:tc>
        <w:tc>
          <w:tcPr>
            <w:tcW w:w="980" w:type="dxa"/>
            <w:vAlign w:val="bottom"/>
            <w:tcBorders>
              <w:bottom w:val="single" w:sz="8" w:color="auto"/>
            </w:tcBorders>
            <w:shd w:val="clear" w:color="auto" w:fill="E0E7ED"/>
          </w:tcPr>
          <w:p>
            <w:pPr>
              <w:spacing w:after="0"/>
              <w:rPr>
                <w:sz w:val="23"/>
                <w:szCs w:val="23"/>
                <w:color w:val="auto"/>
              </w:rPr>
            </w:pPr>
          </w:p>
        </w:tc>
        <w:tc>
          <w:tcPr>
            <w:tcW w:w="5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95"/>
              </w:rPr>
              <w:t>3,971</w:t>
            </w:r>
          </w:p>
        </w:tc>
        <w:tc>
          <w:tcPr>
            <w:tcW w:w="80" w:type="dxa"/>
            <w:vAlign w:val="bottom"/>
            <w:tcBorders>
              <w:bottom w:val="single" w:sz="8" w:color="auto"/>
            </w:tcBorders>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3,478</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3,705</w:t>
            </w: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Total non-operating costs</w:t>
            </w:r>
          </w:p>
        </w:tc>
        <w:tc>
          <w:tcPr>
            <w:tcW w:w="980" w:type="dxa"/>
            <w:vAlign w:val="bottom"/>
          </w:tcPr>
          <w:p>
            <w:pPr>
              <w:jc w:val="right"/>
              <w:ind w:right="779"/>
              <w:spacing w:after="0"/>
              <w:rPr>
                <w:sz w:val="20"/>
                <w:szCs w:val="20"/>
                <w:color w:val="auto"/>
              </w:rPr>
            </w:pPr>
            <w:r>
              <w:rPr>
                <w:rFonts w:ascii="Verdana" w:cs="Verdana" w:eastAsia="Verdana" w:hAnsi="Verdana"/>
                <w:sz w:val="18"/>
                <w:szCs w:val="18"/>
                <w:color w:val="auto"/>
                <w:w w:val="86"/>
              </w:rPr>
              <w:t>$</w:t>
            </w:r>
          </w:p>
        </w:tc>
        <w:tc>
          <w:tcPr>
            <w:tcW w:w="540" w:type="dxa"/>
            <w:vAlign w:val="bottom"/>
          </w:tcPr>
          <w:p>
            <w:pPr>
              <w:jc w:val="right"/>
              <w:spacing w:after="0"/>
              <w:rPr>
                <w:sz w:val="20"/>
                <w:szCs w:val="20"/>
                <w:color w:val="auto"/>
              </w:rPr>
            </w:pPr>
            <w:r>
              <w:rPr>
                <w:rFonts w:ascii="Verdana" w:cs="Verdana" w:eastAsia="Verdana" w:hAnsi="Verdana"/>
                <w:sz w:val="18"/>
                <w:szCs w:val="18"/>
                <w:color w:val="auto"/>
                <w:w w:val="95"/>
              </w:rPr>
              <w:t>4,328</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4,537</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17,351</w:t>
            </w:r>
          </w:p>
        </w:tc>
      </w:tr>
      <w:tr>
        <w:trPr>
          <w:trHeight w:val="20"/>
        </w:trPr>
        <w:tc>
          <w:tcPr>
            <w:tcW w:w="6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29"/>
        </w:numPr>
        <w:rPr>
          <w:rFonts w:ascii="Verdana" w:cs="Verdana" w:eastAsia="Verdana" w:hAnsi="Verdana"/>
          <w:sz w:val="13"/>
          <w:szCs w:val="13"/>
          <w:color w:val="auto"/>
        </w:rPr>
      </w:pPr>
      <w:r>
        <w:rPr>
          <w:rFonts w:ascii="Verdana" w:cs="Verdana" w:eastAsia="Verdana" w:hAnsi="Verdana"/>
          <w:sz w:val="13"/>
          <w:szCs w:val="13"/>
          <w:color w:val="auto"/>
        </w:rPr>
        <w:t>Acquisition expenses related to completed acquisitions, exploratory due diligence, and for 2023 the planned merger with M&amp;M.</w:t>
      </w:r>
    </w:p>
    <w:p>
      <w:pPr>
        <w:ind w:left="480" w:hanging="310"/>
        <w:spacing w:after="0"/>
        <w:tabs>
          <w:tab w:leader="none" w:pos="480" w:val="left"/>
        </w:tabs>
        <w:numPr>
          <w:ilvl w:val="0"/>
          <w:numId w:val="29"/>
        </w:numPr>
        <w:rPr>
          <w:rFonts w:ascii="Verdana" w:cs="Verdana" w:eastAsia="Verdana" w:hAnsi="Verdana"/>
          <w:sz w:val="13"/>
          <w:szCs w:val="13"/>
          <w:color w:val="auto"/>
        </w:rPr>
      </w:pPr>
      <w:r>
        <w:rPr>
          <w:rFonts w:ascii="Verdana" w:cs="Verdana" w:eastAsia="Verdana" w:hAnsi="Verdana"/>
          <w:sz w:val="13"/>
          <w:szCs w:val="13"/>
          <w:color w:val="auto"/>
        </w:rPr>
        <w:t>Restructuring charges related to previously disclosed restructuring and efficiency plans.</w:t>
      </w:r>
    </w:p>
    <w:p>
      <w:pPr>
        <w:spacing w:after="0" w:line="17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 reconciliation of non-GAAP measures, which we believe facilitate the assessment of our financial results and peer comparability, is included in tabular form in this Annual Report.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1. Business—Non-GAAP Financial Information</w:t>
      </w:r>
      <w:r>
        <w:rPr>
          <w:rFonts w:ascii="Verdana" w:cs="Verdana" w:eastAsia="Verdana" w:hAnsi="Verdana"/>
          <w:sz w:val="18"/>
          <w:szCs w:val="18"/>
          <w:i w:val="1"/>
          <w:iCs w:val="1"/>
          <w:color w:val="0000EE"/>
        </w:rPr>
        <w:t>.</w:t>
      </w:r>
      <w:r>
        <w:rPr>
          <w:rFonts w:ascii="Verdana" w:cs="Verdana" w:eastAsia="Verdana" w:hAnsi="Verdana"/>
          <w:sz w:val="18"/>
          <w:szCs w:val="18"/>
          <w:i w:val="1"/>
          <w:iCs w:val="1"/>
          <w:color w:val="auto"/>
        </w:rPr>
        <w:t>”</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Net Interest Income</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Net interest income is the difference between interest income and fees earned on loans and investments (“interest-earning assets”) and interest expense incurred on deposits and borrowings (“interest-bearing liabilities”). Interest rate levels and volume fluctuations within interest-earning assets and interest-bearing liabilities impact net interest income. Net interest margin is tax-equivalent net interest income as a percent of average interest-earning assets.</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Consolidated Average Balance Sheets and Interest Rates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The table below presents our Consolidated Average Balance Sheets, detailing average balances for each major category of assets and liabilities, the interest income earned on interest-earning assets, the interest expense paid for interest-bearing liabilities, and the related interest yields for the periods indicated. Average information is provided on a daily average basis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8" w:name="page59"/>
    <w:bookmarkEnd w:id="5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ind w:left="320"/>
              <w:spacing w:after="0"/>
              <w:rPr>
                <w:sz w:val="20"/>
                <w:szCs w:val="20"/>
                <w:color w:val="auto"/>
              </w:rPr>
            </w:pPr>
            <w:r>
              <w:rPr>
                <w:rFonts w:ascii="Verdana" w:cs="Verdana" w:eastAsia="Verdana" w:hAnsi="Verdana"/>
                <w:sz w:val="13"/>
                <w:szCs w:val="13"/>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w w:val="91"/>
              </w:rPr>
              <w:t>2023</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w w:val="91"/>
              </w:rPr>
              <w:t>2022</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w w:val="91"/>
              </w:rPr>
              <w:t>2021</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60"/>
              <w:spacing w:after="0" w:line="120" w:lineRule="exact"/>
              <w:rPr>
                <w:sz w:val="20"/>
                <w:szCs w:val="20"/>
                <w:color w:val="auto"/>
              </w:rPr>
            </w:pPr>
            <w:r>
              <w:rPr>
                <w:rFonts w:ascii="Verdana" w:cs="Verdana" w:eastAsia="Verdana" w:hAnsi="Verdana"/>
                <w:sz w:val="13"/>
                <w:szCs w:val="13"/>
                <w:b w:val="1"/>
                <w:bCs w:val="1"/>
                <w:color w:val="auto"/>
              </w:rPr>
              <w:t>Average</w:t>
            </w:r>
          </w:p>
        </w:tc>
        <w:tc>
          <w:tcPr>
            <w:tcW w:w="120" w:type="dxa"/>
            <w:vAlign w:val="bottom"/>
          </w:tcPr>
          <w:p>
            <w:pPr>
              <w:spacing w:after="0"/>
              <w:rPr>
                <w:sz w:val="10"/>
                <w:szCs w:val="10"/>
                <w:color w:val="auto"/>
              </w:rPr>
            </w:pPr>
          </w:p>
        </w:tc>
        <w:tc>
          <w:tcPr>
            <w:tcW w:w="98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Income/</w:t>
            </w:r>
          </w:p>
        </w:tc>
        <w:tc>
          <w:tcPr>
            <w:tcW w:w="620" w:type="dxa"/>
            <w:vAlign w:val="bottom"/>
          </w:tcPr>
          <w:p>
            <w:pPr>
              <w:ind w:left="100"/>
              <w:spacing w:after="0" w:line="120" w:lineRule="exact"/>
              <w:rPr>
                <w:sz w:val="20"/>
                <w:szCs w:val="20"/>
                <w:color w:val="auto"/>
              </w:rPr>
            </w:pPr>
            <w:r>
              <w:rPr>
                <w:rFonts w:ascii="Verdana" w:cs="Verdana" w:eastAsia="Verdana" w:hAnsi="Verdana"/>
                <w:sz w:val="13"/>
                <w:szCs w:val="13"/>
                <w:b w:val="1"/>
                <w:bCs w:val="1"/>
                <w:color w:val="auto"/>
              </w:rPr>
              <w:t>Yield/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Average</w:t>
            </w:r>
          </w:p>
        </w:tc>
        <w:tc>
          <w:tcPr>
            <w:tcW w:w="100" w:type="dxa"/>
            <w:vAlign w:val="bottom"/>
          </w:tcPr>
          <w:p>
            <w:pPr>
              <w:spacing w:after="0"/>
              <w:rPr>
                <w:sz w:val="10"/>
                <w:szCs w:val="10"/>
                <w:color w:val="auto"/>
              </w:rPr>
            </w:pPr>
          </w:p>
        </w:tc>
        <w:tc>
          <w:tcPr>
            <w:tcW w:w="980" w:type="dxa"/>
            <w:vAlign w:val="bottom"/>
            <w:gridSpan w:val="2"/>
          </w:tcPr>
          <w:p>
            <w:pPr>
              <w:ind w:left="100"/>
              <w:spacing w:after="0" w:line="120" w:lineRule="exact"/>
              <w:rPr>
                <w:sz w:val="20"/>
                <w:szCs w:val="20"/>
                <w:color w:val="auto"/>
              </w:rPr>
            </w:pPr>
            <w:r>
              <w:rPr>
                <w:rFonts w:ascii="Verdana" w:cs="Verdana" w:eastAsia="Verdana" w:hAnsi="Verdana"/>
                <w:sz w:val="13"/>
                <w:szCs w:val="13"/>
                <w:b w:val="1"/>
                <w:bCs w:val="1"/>
                <w:color w:val="auto"/>
              </w:rPr>
              <w:t>Income/</w:t>
            </w:r>
          </w:p>
        </w:tc>
        <w:tc>
          <w:tcPr>
            <w:tcW w:w="640" w:type="dxa"/>
            <w:vAlign w:val="bottom"/>
          </w:tcPr>
          <w:p>
            <w:pPr>
              <w:ind w:left="100"/>
              <w:spacing w:after="0" w:line="120" w:lineRule="exact"/>
              <w:rPr>
                <w:sz w:val="20"/>
                <w:szCs w:val="20"/>
                <w:color w:val="auto"/>
              </w:rPr>
            </w:pPr>
            <w:r>
              <w:rPr>
                <w:rFonts w:ascii="Verdana" w:cs="Verdana" w:eastAsia="Verdana" w:hAnsi="Verdana"/>
                <w:sz w:val="13"/>
                <w:szCs w:val="13"/>
                <w:b w:val="1"/>
                <w:bCs w:val="1"/>
                <w:color w:val="auto"/>
              </w:rPr>
              <w:t>Yield/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60"/>
              <w:spacing w:after="0" w:line="120" w:lineRule="exact"/>
              <w:rPr>
                <w:sz w:val="20"/>
                <w:szCs w:val="20"/>
                <w:color w:val="auto"/>
              </w:rPr>
            </w:pPr>
            <w:r>
              <w:rPr>
                <w:rFonts w:ascii="Verdana" w:cs="Verdana" w:eastAsia="Verdana" w:hAnsi="Verdana"/>
                <w:sz w:val="13"/>
                <w:szCs w:val="13"/>
                <w:b w:val="1"/>
                <w:bCs w:val="1"/>
                <w:color w:val="auto"/>
              </w:rPr>
              <w:t>Average</w:t>
            </w:r>
          </w:p>
        </w:tc>
        <w:tc>
          <w:tcPr>
            <w:tcW w:w="120" w:type="dxa"/>
            <w:vAlign w:val="bottom"/>
          </w:tcPr>
          <w:p>
            <w:pPr>
              <w:spacing w:after="0"/>
              <w:rPr>
                <w:sz w:val="10"/>
                <w:szCs w:val="10"/>
                <w:color w:val="auto"/>
              </w:rPr>
            </w:pPr>
          </w:p>
        </w:tc>
        <w:tc>
          <w:tcPr>
            <w:tcW w:w="98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Income/</w:t>
            </w:r>
          </w:p>
        </w:tc>
        <w:tc>
          <w:tcPr>
            <w:tcW w:w="620" w:type="dxa"/>
            <w:vAlign w:val="bottom"/>
          </w:tcPr>
          <w:p>
            <w:pPr>
              <w:ind w:left="100"/>
              <w:spacing w:after="0" w:line="120" w:lineRule="exact"/>
              <w:rPr>
                <w:sz w:val="20"/>
                <w:szCs w:val="20"/>
                <w:color w:val="auto"/>
              </w:rPr>
            </w:pPr>
            <w:r>
              <w:rPr>
                <w:rFonts w:ascii="Verdana" w:cs="Verdana" w:eastAsia="Verdana" w:hAnsi="Verdana"/>
                <w:sz w:val="13"/>
                <w:szCs w:val="13"/>
                <w:b w:val="1"/>
                <w:bCs w:val="1"/>
                <w:color w:val="auto"/>
              </w:rPr>
              <w:t>Yield/</w:t>
            </w:r>
          </w:p>
        </w:tc>
        <w:tc>
          <w:tcPr>
            <w:tcW w:w="0" w:type="dxa"/>
            <w:vAlign w:val="bottom"/>
          </w:tcPr>
          <w:p>
            <w:pPr>
              <w:spacing w:after="0"/>
              <w:rPr>
                <w:sz w:val="1"/>
                <w:szCs w:val="1"/>
                <w:color w:val="auto"/>
              </w:rPr>
            </w:pPr>
          </w:p>
        </w:tc>
      </w:tr>
      <w:tr>
        <w:trPr>
          <w:trHeight w:val="170"/>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Balance</w:t>
            </w:r>
          </w:p>
        </w:tc>
        <w:tc>
          <w:tcPr>
            <w:tcW w:w="12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Expense</w:t>
            </w:r>
          </w:p>
        </w:tc>
        <w:tc>
          <w:tcPr>
            <w:tcW w:w="620" w:type="dxa"/>
            <w:vAlign w:val="bottom"/>
          </w:tcPr>
          <w:p>
            <w:pPr>
              <w:ind w:left="140"/>
              <w:spacing w:after="0"/>
              <w:rPr>
                <w:sz w:val="20"/>
                <w:szCs w:val="20"/>
                <w:color w:val="auto"/>
              </w:rPr>
            </w:pPr>
            <w:r>
              <w:rPr>
                <w:rFonts w:ascii="Verdana" w:cs="Verdana" w:eastAsia="Verdana" w:hAnsi="Verdana"/>
                <w:sz w:val="13"/>
                <w:szCs w:val="13"/>
                <w:b w:val="1"/>
                <w:bCs w:val="1"/>
                <w:color w:val="auto"/>
              </w:rPr>
              <w:t>Rate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Expense</w:t>
            </w:r>
          </w:p>
        </w:tc>
        <w:tc>
          <w:tcPr>
            <w:tcW w:w="640" w:type="dxa"/>
            <w:vAlign w:val="bottom"/>
          </w:tcPr>
          <w:p>
            <w:pPr>
              <w:ind w:left="160"/>
              <w:spacing w:after="0"/>
              <w:rPr>
                <w:sz w:val="20"/>
                <w:szCs w:val="20"/>
                <w:color w:val="auto"/>
              </w:rPr>
            </w:pPr>
            <w:r>
              <w:rPr>
                <w:rFonts w:ascii="Verdana" w:cs="Verdana" w:eastAsia="Verdana" w:hAnsi="Verdana"/>
                <w:sz w:val="13"/>
                <w:szCs w:val="13"/>
                <w:b w:val="1"/>
                <w:bCs w:val="1"/>
                <w:color w:val="auto"/>
              </w:rPr>
              <w:t>Rate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Balance</w:t>
            </w:r>
          </w:p>
        </w:tc>
        <w:tc>
          <w:tcPr>
            <w:tcW w:w="12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Expense</w:t>
            </w:r>
          </w:p>
        </w:tc>
        <w:tc>
          <w:tcPr>
            <w:tcW w:w="620" w:type="dxa"/>
            <w:vAlign w:val="bottom"/>
          </w:tcPr>
          <w:p>
            <w:pPr>
              <w:ind w:left="140"/>
              <w:spacing w:after="0"/>
              <w:rPr>
                <w:sz w:val="20"/>
                <w:szCs w:val="20"/>
                <w:color w:val="auto"/>
              </w:rPr>
            </w:pPr>
            <w:r>
              <w:rPr>
                <w:rFonts w:ascii="Verdana" w:cs="Verdana" w:eastAsia="Verdana" w:hAnsi="Verdana"/>
                <w:sz w:val="13"/>
                <w:szCs w:val="13"/>
                <w:b w:val="1"/>
                <w:bCs w:val="1"/>
                <w:color w:val="auto"/>
              </w:rPr>
              <w:t>Rate</w:t>
            </w:r>
          </w:p>
        </w:tc>
        <w:tc>
          <w:tcPr>
            <w:tcW w:w="0" w:type="dxa"/>
            <w:vAlign w:val="bottom"/>
          </w:tcPr>
          <w:p>
            <w:pPr>
              <w:spacing w:after="0"/>
              <w:rPr>
                <w:sz w:val="1"/>
                <w:szCs w:val="1"/>
                <w:color w:val="auto"/>
              </w:rPr>
            </w:pPr>
          </w:p>
        </w:tc>
      </w:tr>
      <w:tr>
        <w:trPr>
          <w:trHeight w:val="161"/>
        </w:trPr>
        <w:tc>
          <w:tcPr>
            <w:tcW w:w="2540" w:type="dxa"/>
            <w:vAlign w:val="bottom"/>
            <w:tcBorders>
              <w:top w:val="single" w:sz="8" w:color="E0E7ED"/>
            </w:tcBorders>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Assets</w:t>
            </w:r>
          </w:p>
        </w:tc>
        <w:tc>
          <w:tcPr>
            <w:tcW w:w="160" w:type="dxa"/>
            <w:vAlign w:val="bottom"/>
            <w:tcBorders>
              <w:top w:val="single" w:sz="8" w:color="auto"/>
            </w:tcBorders>
            <w:shd w:val="clear" w:color="auto" w:fill="E0E7ED"/>
          </w:tcPr>
          <w:p>
            <w:pPr>
              <w:spacing w:after="0"/>
              <w:rPr>
                <w:sz w:val="13"/>
                <w:szCs w:val="13"/>
                <w:color w:val="auto"/>
              </w:rPr>
            </w:pPr>
          </w:p>
        </w:tc>
        <w:tc>
          <w:tcPr>
            <w:tcW w:w="88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120" w:type="dxa"/>
            <w:vAlign w:val="bottom"/>
            <w:tcBorders>
              <w:top w:val="single" w:sz="8" w:color="auto"/>
            </w:tcBorders>
            <w:shd w:val="clear" w:color="auto" w:fill="E0E7ED"/>
          </w:tcPr>
          <w:p>
            <w:pPr>
              <w:spacing w:after="0"/>
              <w:rPr>
                <w:sz w:val="13"/>
                <w:szCs w:val="13"/>
                <w:color w:val="auto"/>
              </w:rPr>
            </w:pPr>
          </w:p>
        </w:tc>
        <w:tc>
          <w:tcPr>
            <w:tcW w:w="90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62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160" w:type="dxa"/>
            <w:vAlign w:val="bottom"/>
            <w:tcBorders>
              <w:top w:val="single" w:sz="8" w:color="auto"/>
            </w:tcBorders>
            <w:shd w:val="clear" w:color="auto" w:fill="E0E7ED"/>
          </w:tcPr>
          <w:p>
            <w:pPr>
              <w:spacing w:after="0"/>
              <w:rPr>
                <w:sz w:val="13"/>
                <w:szCs w:val="13"/>
                <w:color w:val="auto"/>
              </w:rPr>
            </w:pPr>
          </w:p>
        </w:tc>
        <w:tc>
          <w:tcPr>
            <w:tcW w:w="90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100" w:type="dxa"/>
            <w:vAlign w:val="bottom"/>
            <w:tcBorders>
              <w:top w:val="single" w:sz="8" w:color="auto"/>
            </w:tcBorders>
            <w:shd w:val="clear" w:color="auto" w:fill="E0E7ED"/>
          </w:tcPr>
          <w:p>
            <w:pPr>
              <w:spacing w:after="0"/>
              <w:rPr>
                <w:sz w:val="13"/>
                <w:szCs w:val="13"/>
                <w:color w:val="auto"/>
              </w:rPr>
            </w:pPr>
          </w:p>
        </w:tc>
        <w:tc>
          <w:tcPr>
            <w:tcW w:w="90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64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160" w:type="dxa"/>
            <w:vAlign w:val="bottom"/>
            <w:tcBorders>
              <w:top w:val="single" w:sz="8" w:color="auto"/>
            </w:tcBorders>
            <w:shd w:val="clear" w:color="auto" w:fill="E0E7ED"/>
          </w:tcPr>
          <w:p>
            <w:pPr>
              <w:spacing w:after="0"/>
              <w:rPr>
                <w:sz w:val="13"/>
                <w:szCs w:val="13"/>
                <w:color w:val="auto"/>
              </w:rPr>
            </w:pPr>
          </w:p>
        </w:tc>
        <w:tc>
          <w:tcPr>
            <w:tcW w:w="88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120" w:type="dxa"/>
            <w:vAlign w:val="bottom"/>
            <w:tcBorders>
              <w:top w:val="single" w:sz="8" w:color="auto"/>
            </w:tcBorders>
            <w:shd w:val="clear" w:color="auto" w:fill="E0E7ED"/>
          </w:tcPr>
          <w:p>
            <w:pPr>
              <w:spacing w:after="0"/>
              <w:rPr>
                <w:sz w:val="13"/>
                <w:szCs w:val="13"/>
                <w:color w:val="auto"/>
              </w:rPr>
            </w:pPr>
          </w:p>
        </w:tc>
        <w:tc>
          <w:tcPr>
            <w:tcW w:w="900" w:type="dxa"/>
            <w:vAlign w:val="bottom"/>
            <w:tcBorders>
              <w:top w:val="single" w:sz="8" w:color="auto"/>
            </w:tcBorders>
            <w:shd w:val="clear" w:color="auto" w:fill="E0E7ED"/>
          </w:tcPr>
          <w:p>
            <w:pPr>
              <w:spacing w:after="0"/>
              <w:rPr>
                <w:sz w:val="13"/>
                <w:szCs w:val="13"/>
                <w:color w:val="auto"/>
              </w:rPr>
            </w:pPr>
          </w:p>
        </w:tc>
        <w:tc>
          <w:tcPr>
            <w:tcW w:w="80" w:type="dxa"/>
            <w:vAlign w:val="bottom"/>
            <w:tcBorders>
              <w:top w:val="single" w:sz="8" w:color="E0E7ED"/>
            </w:tcBorders>
            <w:shd w:val="clear" w:color="auto" w:fill="E0E7ED"/>
          </w:tcPr>
          <w:p>
            <w:pPr>
              <w:spacing w:after="0"/>
              <w:rPr>
                <w:sz w:val="13"/>
                <w:szCs w:val="13"/>
                <w:color w:val="auto"/>
              </w:rPr>
            </w:pPr>
          </w:p>
        </w:tc>
        <w:tc>
          <w:tcPr>
            <w:tcW w:w="620" w:type="dxa"/>
            <w:vAlign w:val="bottom"/>
            <w:tcBorders>
              <w:top w:val="single" w:sz="8" w:color="auto"/>
            </w:tcBorders>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40" w:type="dxa"/>
            <w:vAlign w:val="bottom"/>
          </w:tcPr>
          <w:p>
            <w:pPr>
              <w:ind w:left="180"/>
              <w:spacing w:after="0" w:line="122" w:lineRule="exact"/>
              <w:rPr>
                <w:sz w:val="20"/>
                <w:szCs w:val="20"/>
                <w:color w:val="auto"/>
              </w:rPr>
            </w:pPr>
            <w:r>
              <w:rPr>
                <w:rFonts w:ascii="Verdana" w:cs="Verdana" w:eastAsia="Verdana" w:hAnsi="Verdana"/>
                <w:sz w:val="13"/>
                <w:szCs w:val="13"/>
                <w:color w:val="auto"/>
              </w:rPr>
              <w:t>Interest-bearing bank deposits and</w:t>
            </w:r>
          </w:p>
        </w:tc>
        <w:tc>
          <w:tcPr>
            <w:tcW w:w="160" w:type="dxa"/>
            <w:vAlign w:val="bottom"/>
            <w:vMerge w:val="restart"/>
          </w:tcPr>
          <w:p>
            <w:pPr>
              <w:jc w:val="right"/>
              <w:spacing w:after="0"/>
              <w:rPr>
                <w:sz w:val="20"/>
                <w:szCs w:val="20"/>
                <w:color w:val="auto"/>
              </w:rPr>
            </w:pPr>
            <w:r>
              <w:rPr>
                <w:rFonts w:ascii="Verdana" w:cs="Verdana" w:eastAsia="Verdana" w:hAnsi="Verdana"/>
                <w:sz w:val="13"/>
                <w:szCs w:val="13"/>
                <w:color w:val="auto"/>
                <w:w w:val="95"/>
              </w:rPr>
              <w:t>$</w:t>
            </w: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214,422</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10,531</w:t>
            </w:r>
          </w:p>
        </w:tc>
        <w:tc>
          <w:tcPr>
            <w:tcW w:w="80" w:type="dxa"/>
            <w:vAlign w:val="bottom"/>
          </w:tcPr>
          <w:p>
            <w:pPr>
              <w:spacing w:after="0"/>
              <w:rPr>
                <w:sz w:val="10"/>
                <w:szCs w:val="10"/>
                <w:color w:val="auto"/>
              </w:rPr>
            </w:pPr>
          </w:p>
        </w:tc>
        <w:tc>
          <w:tcPr>
            <w:tcW w:w="620" w:type="dxa"/>
            <w:vAlign w:val="bottom"/>
            <w:vMerge w:val="restart"/>
          </w:tcPr>
          <w:p>
            <w:pPr>
              <w:ind w:left="120"/>
              <w:spacing w:after="0"/>
              <w:rPr>
                <w:sz w:val="20"/>
                <w:szCs w:val="20"/>
                <w:color w:val="auto"/>
              </w:rPr>
            </w:pPr>
            <w:r>
              <w:rPr>
                <w:rFonts w:ascii="Verdana" w:cs="Verdana" w:eastAsia="Verdana" w:hAnsi="Verdana"/>
                <w:sz w:val="13"/>
                <w:szCs w:val="13"/>
                <w:color w:val="auto"/>
                <w:w w:val="99"/>
              </w:rPr>
              <w:t>4.91 %</w:t>
            </w:r>
          </w:p>
        </w:tc>
        <w:tc>
          <w:tcPr>
            <w:tcW w:w="240" w:type="dxa"/>
            <w:vAlign w:val="bottom"/>
            <w:gridSpan w:val="2"/>
            <w:vMerge w:val="restart"/>
          </w:tcPr>
          <w:p>
            <w:pPr>
              <w:jc w:val="right"/>
              <w:spacing w:after="0"/>
              <w:rPr>
                <w:sz w:val="20"/>
                <w:szCs w:val="20"/>
                <w:color w:val="auto"/>
              </w:rPr>
            </w:pPr>
            <w:r>
              <w:rPr>
                <w:rFonts w:ascii="Verdana" w:cs="Verdana" w:eastAsia="Verdana" w:hAnsi="Verdana"/>
                <w:sz w:val="13"/>
                <w:szCs w:val="13"/>
                <w:color w:val="auto"/>
              </w:rPr>
              <w:t>$</w:t>
            </w:r>
          </w:p>
        </w:tc>
        <w:tc>
          <w:tcPr>
            <w:tcW w:w="9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290,875</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vMerge w:val="restart"/>
          </w:tcPr>
          <w:p>
            <w:pPr>
              <w:jc w:val="right"/>
              <w:spacing w:after="0"/>
              <w:rPr>
                <w:sz w:val="20"/>
                <w:szCs w:val="20"/>
                <w:color w:val="auto"/>
              </w:rPr>
            </w:pPr>
            <w:r>
              <w:rPr>
                <w:rFonts w:ascii="Verdana" w:cs="Verdana" w:eastAsia="Verdana" w:hAnsi="Verdana"/>
                <w:sz w:val="13"/>
                <w:szCs w:val="13"/>
                <w:color w:val="auto"/>
              </w:rPr>
              <w:t>3,097</w:t>
            </w:r>
          </w:p>
        </w:tc>
        <w:tc>
          <w:tcPr>
            <w:tcW w:w="80" w:type="dxa"/>
            <w:vAlign w:val="bottom"/>
          </w:tcPr>
          <w:p>
            <w:pPr>
              <w:spacing w:after="0"/>
              <w:rPr>
                <w:sz w:val="10"/>
                <w:szCs w:val="10"/>
                <w:color w:val="auto"/>
              </w:rPr>
            </w:pPr>
          </w:p>
        </w:tc>
        <w:tc>
          <w:tcPr>
            <w:tcW w:w="640" w:type="dxa"/>
            <w:vAlign w:val="bottom"/>
            <w:vMerge w:val="restart"/>
          </w:tcPr>
          <w:p>
            <w:pPr>
              <w:ind w:left="140"/>
              <w:spacing w:after="0"/>
              <w:rPr>
                <w:sz w:val="20"/>
                <w:szCs w:val="20"/>
                <w:color w:val="auto"/>
              </w:rPr>
            </w:pPr>
            <w:r>
              <w:rPr>
                <w:rFonts w:ascii="Verdana" w:cs="Verdana" w:eastAsia="Verdana" w:hAnsi="Verdana"/>
                <w:sz w:val="13"/>
                <w:szCs w:val="13"/>
                <w:color w:val="auto"/>
                <w:w w:val="99"/>
              </w:rPr>
              <w:t>1.06 %</w:t>
            </w:r>
          </w:p>
        </w:tc>
        <w:tc>
          <w:tcPr>
            <w:tcW w:w="240" w:type="dxa"/>
            <w:vAlign w:val="bottom"/>
            <w:gridSpan w:val="2"/>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630,687</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1,151</w:t>
            </w:r>
          </w:p>
        </w:tc>
        <w:tc>
          <w:tcPr>
            <w:tcW w:w="80" w:type="dxa"/>
            <w:vAlign w:val="bottom"/>
          </w:tcPr>
          <w:p>
            <w:pPr>
              <w:spacing w:after="0"/>
              <w:rPr>
                <w:sz w:val="10"/>
                <w:szCs w:val="10"/>
                <w:color w:val="auto"/>
              </w:rPr>
            </w:pPr>
          </w:p>
        </w:tc>
        <w:tc>
          <w:tcPr>
            <w:tcW w:w="620" w:type="dxa"/>
            <w:vAlign w:val="bottom"/>
            <w:vMerge w:val="restart"/>
          </w:tcPr>
          <w:p>
            <w:pPr>
              <w:ind w:left="120"/>
              <w:spacing w:after="0"/>
              <w:rPr>
                <w:sz w:val="20"/>
                <w:szCs w:val="20"/>
                <w:color w:val="auto"/>
              </w:rPr>
            </w:pPr>
            <w:r>
              <w:rPr>
                <w:rFonts w:ascii="Verdana" w:cs="Verdana" w:eastAsia="Verdana" w:hAnsi="Verdana"/>
                <w:sz w:val="13"/>
                <w:szCs w:val="13"/>
                <w:color w:val="auto"/>
                <w:w w:val="99"/>
              </w:rPr>
              <w:t>0.18 %</w:t>
            </w:r>
          </w:p>
        </w:tc>
        <w:tc>
          <w:tcPr>
            <w:tcW w:w="0" w:type="dxa"/>
            <w:vAlign w:val="bottom"/>
          </w:tcPr>
          <w:p>
            <w:pPr>
              <w:spacing w:after="0"/>
              <w:rPr>
                <w:sz w:val="1"/>
                <w:szCs w:val="1"/>
                <w:color w:val="auto"/>
              </w:rPr>
            </w:pPr>
          </w:p>
        </w:tc>
      </w:tr>
      <w:tr>
        <w:trPr>
          <w:trHeight w:val="170"/>
        </w:trPr>
        <w:tc>
          <w:tcPr>
            <w:tcW w:w="2540" w:type="dxa"/>
            <w:vAlign w:val="bottom"/>
          </w:tcPr>
          <w:p>
            <w:pPr>
              <w:ind w:left="180"/>
              <w:spacing w:after="0"/>
              <w:rPr>
                <w:sz w:val="20"/>
                <w:szCs w:val="20"/>
                <w:color w:val="auto"/>
              </w:rPr>
            </w:pPr>
            <w:r>
              <w:rPr>
                <w:rFonts w:ascii="Verdana" w:cs="Verdana" w:eastAsia="Verdana" w:hAnsi="Verdana"/>
                <w:sz w:val="13"/>
                <w:szCs w:val="13"/>
                <w:color w:val="auto"/>
              </w:rPr>
              <w:t>federal funds sold</w:t>
            </w: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Investment securities:</w:t>
            </w: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40" w:type="dxa"/>
            <w:vAlign w:val="bottom"/>
          </w:tcPr>
          <w:p>
            <w:pPr>
              <w:ind w:left="360"/>
              <w:spacing w:after="0"/>
              <w:rPr>
                <w:sz w:val="20"/>
                <w:szCs w:val="20"/>
                <w:color w:val="auto"/>
              </w:rPr>
            </w:pPr>
            <w:r>
              <w:rPr>
                <w:rFonts w:ascii="Verdana" w:cs="Verdana" w:eastAsia="Verdana" w:hAnsi="Verdana"/>
                <w:sz w:val="13"/>
                <w:szCs w:val="13"/>
                <w:color w:val="auto"/>
              </w:rPr>
              <w:t>U.S. Government obligations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79,669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578</w:t>
            </w:r>
          </w:p>
        </w:tc>
        <w:tc>
          <w:tcPr>
            <w:tcW w:w="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Verdana" w:cs="Verdana" w:eastAsia="Verdana" w:hAnsi="Verdana"/>
                <w:sz w:val="13"/>
                <w:szCs w:val="13"/>
                <w:color w:val="auto"/>
                <w:w w:val="99"/>
              </w:rPr>
              <w:t>0.73 %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179,557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1,079</w:t>
            </w: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Verdana" w:cs="Verdana" w:eastAsia="Verdana" w:hAnsi="Verdana"/>
                <w:sz w:val="13"/>
                <w:szCs w:val="13"/>
                <w:color w:val="auto"/>
                <w:w w:val="99"/>
              </w:rPr>
              <w:t>0.60 %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180,041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1,692</w:t>
            </w:r>
          </w:p>
        </w:tc>
        <w:tc>
          <w:tcPr>
            <w:tcW w:w="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Verdana" w:cs="Verdana" w:eastAsia="Verdana" w:hAnsi="Verdana"/>
                <w:sz w:val="13"/>
                <w:szCs w:val="13"/>
                <w:color w:val="auto"/>
                <w:w w:val="99"/>
              </w:rPr>
              <w:t>0.94 %</w:t>
            </w:r>
          </w:p>
        </w:tc>
        <w:tc>
          <w:tcPr>
            <w:tcW w:w="0" w:type="dxa"/>
            <w:vAlign w:val="bottom"/>
          </w:tcPr>
          <w:p>
            <w:pPr>
              <w:spacing w:after="0"/>
              <w:rPr>
                <w:sz w:val="1"/>
                <w:szCs w:val="1"/>
                <w:color w:val="auto"/>
              </w:rPr>
            </w:pPr>
          </w:p>
        </w:tc>
      </w:tr>
      <w:tr>
        <w:trPr>
          <w:trHeight w:val="127"/>
        </w:trPr>
        <w:tc>
          <w:tcPr>
            <w:tcW w:w="2540" w:type="dxa"/>
            <w:vAlign w:val="bottom"/>
            <w:shd w:val="clear" w:color="auto" w:fill="E0E7ED"/>
          </w:tcPr>
          <w:p>
            <w:pPr>
              <w:ind w:left="360"/>
              <w:spacing w:after="0" w:line="127" w:lineRule="exact"/>
              <w:rPr>
                <w:sz w:val="20"/>
                <w:szCs w:val="20"/>
                <w:color w:val="auto"/>
              </w:rPr>
            </w:pPr>
            <w:r>
              <w:rPr>
                <w:rFonts w:ascii="Verdana" w:cs="Verdana" w:eastAsia="Verdana" w:hAnsi="Verdana"/>
                <w:sz w:val="13"/>
                <w:szCs w:val="13"/>
                <w:color w:val="auto"/>
                <w:w w:val="99"/>
              </w:rPr>
              <w:t>Obligations of states and political</w:t>
            </w:r>
          </w:p>
        </w:tc>
        <w:tc>
          <w:tcPr>
            <w:tcW w:w="16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233,377</w:t>
            </w:r>
          </w:p>
        </w:tc>
        <w:tc>
          <w:tcPr>
            <w:tcW w:w="8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9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6,560</w:t>
            </w:r>
          </w:p>
        </w:tc>
        <w:tc>
          <w:tcPr>
            <w:tcW w:w="80" w:type="dxa"/>
            <w:vAlign w:val="bottom"/>
            <w:shd w:val="clear" w:color="auto" w:fill="E0E7ED"/>
          </w:tcPr>
          <w:p>
            <w:pPr>
              <w:spacing w:after="0"/>
              <w:rPr>
                <w:sz w:val="11"/>
                <w:szCs w:val="11"/>
                <w:color w:val="auto"/>
              </w:rPr>
            </w:pPr>
          </w:p>
        </w:tc>
        <w:tc>
          <w:tcPr>
            <w:tcW w:w="620" w:type="dxa"/>
            <w:vAlign w:val="bottom"/>
            <w:vMerge w:val="restart"/>
            <w:shd w:val="clear" w:color="auto" w:fill="E0E7ED"/>
          </w:tcPr>
          <w:p>
            <w:pPr>
              <w:ind w:left="120"/>
              <w:spacing w:after="0"/>
              <w:rPr>
                <w:sz w:val="20"/>
                <w:szCs w:val="20"/>
                <w:color w:val="auto"/>
              </w:rPr>
            </w:pPr>
            <w:r>
              <w:rPr>
                <w:rFonts w:ascii="Verdana" w:cs="Verdana" w:eastAsia="Verdana" w:hAnsi="Verdana"/>
                <w:sz w:val="13"/>
                <w:szCs w:val="13"/>
                <w:color w:val="auto"/>
                <w:w w:val="99"/>
              </w:rPr>
              <w:t>2.81 %</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9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286,220</w:t>
            </w:r>
          </w:p>
        </w:tc>
        <w:tc>
          <w:tcPr>
            <w:tcW w:w="8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90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7,611</w:t>
            </w:r>
          </w:p>
        </w:tc>
        <w:tc>
          <w:tcPr>
            <w:tcW w:w="80" w:type="dxa"/>
            <w:vAlign w:val="bottom"/>
            <w:shd w:val="clear" w:color="auto" w:fill="E0E7ED"/>
          </w:tcPr>
          <w:p>
            <w:pPr>
              <w:spacing w:after="0"/>
              <w:rPr>
                <w:sz w:val="11"/>
                <w:szCs w:val="11"/>
                <w:color w:val="auto"/>
              </w:rPr>
            </w:pPr>
          </w:p>
        </w:tc>
        <w:tc>
          <w:tcPr>
            <w:tcW w:w="640" w:type="dxa"/>
            <w:vAlign w:val="bottom"/>
            <w:vMerge w:val="restart"/>
            <w:shd w:val="clear" w:color="auto" w:fill="E0E7ED"/>
          </w:tcPr>
          <w:p>
            <w:pPr>
              <w:ind w:left="140"/>
              <w:spacing w:after="0"/>
              <w:rPr>
                <w:sz w:val="20"/>
                <w:szCs w:val="20"/>
                <w:color w:val="auto"/>
              </w:rPr>
            </w:pPr>
            <w:r>
              <w:rPr>
                <w:rFonts w:ascii="Verdana" w:cs="Verdana" w:eastAsia="Verdana" w:hAnsi="Verdana"/>
                <w:sz w:val="13"/>
                <w:szCs w:val="13"/>
                <w:color w:val="auto"/>
                <w:w w:val="99"/>
              </w:rPr>
              <w:t>2.66 %</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299,064</w:t>
            </w:r>
          </w:p>
        </w:tc>
        <w:tc>
          <w:tcPr>
            <w:tcW w:w="8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9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7,694</w:t>
            </w:r>
          </w:p>
        </w:tc>
        <w:tc>
          <w:tcPr>
            <w:tcW w:w="80" w:type="dxa"/>
            <w:vAlign w:val="bottom"/>
            <w:shd w:val="clear" w:color="auto" w:fill="E0E7ED"/>
          </w:tcPr>
          <w:p>
            <w:pPr>
              <w:spacing w:after="0"/>
              <w:rPr>
                <w:sz w:val="11"/>
                <w:szCs w:val="11"/>
                <w:color w:val="auto"/>
              </w:rPr>
            </w:pPr>
          </w:p>
        </w:tc>
        <w:tc>
          <w:tcPr>
            <w:tcW w:w="620" w:type="dxa"/>
            <w:vAlign w:val="bottom"/>
            <w:vMerge w:val="restart"/>
            <w:shd w:val="clear" w:color="auto" w:fill="E0E7ED"/>
          </w:tcPr>
          <w:p>
            <w:pPr>
              <w:ind w:left="120"/>
              <w:spacing w:after="0"/>
              <w:rPr>
                <w:sz w:val="20"/>
                <w:szCs w:val="20"/>
                <w:color w:val="auto"/>
              </w:rPr>
            </w:pPr>
            <w:r>
              <w:rPr>
                <w:rFonts w:ascii="Verdana" w:cs="Verdana" w:eastAsia="Verdana" w:hAnsi="Verdana"/>
                <w:sz w:val="13"/>
                <w:szCs w:val="13"/>
                <w:color w:val="auto"/>
                <w:w w:val="99"/>
              </w:rPr>
              <w:t>2.57 %</w:t>
            </w:r>
          </w:p>
        </w:tc>
        <w:tc>
          <w:tcPr>
            <w:tcW w:w="0" w:type="dxa"/>
            <w:vAlign w:val="bottom"/>
          </w:tcPr>
          <w:p>
            <w:pPr>
              <w:spacing w:after="0"/>
              <w:rPr>
                <w:sz w:val="1"/>
                <w:szCs w:val="1"/>
                <w:color w:val="auto"/>
              </w:rPr>
            </w:pPr>
          </w:p>
        </w:tc>
      </w:tr>
      <w:tr>
        <w:trPr>
          <w:trHeight w:val="176"/>
        </w:trPr>
        <w:tc>
          <w:tcPr>
            <w:tcW w:w="2540" w:type="dxa"/>
            <w:vAlign w:val="bottom"/>
            <w:shd w:val="clear" w:color="auto" w:fill="E0E7ED"/>
          </w:tcPr>
          <w:p>
            <w:pPr>
              <w:ind w:left="360"/>
              <w:spacing w:after="0" w:line="176" w:lineRule="exact"/>
              <w:rPr>
                <w:sz w:val="20"/>
                <w:szCs w:val="20"/>
                <w:color w:val="auto"/>
              </w:rPr>
            </w:pPr>
            <w:r>
              <w:rPr>
                <w:rFonts w:ascii="Verdana" w:cs="Verdana" w:eastAsia="Verdana" w:hAnsi="Verdana"/>
                <w:sz w:val="13"/>
                <w:szCs w:val="13"/>
                <w:color w:val="auto"/>
              </w:rPr>
              <w:t>subdivisions</w:t>
            </w:r>
            <w:r>
              <w:rPr>
                <w:rFonts w:ascii="Verdana" w:cs="Verdana" w:eastAsia="Verdana" w:hAnsi="Verdana"/>
                <w:sz w:val="16"/>
                <w:szCs w:val="16"/>
                <w:color w:val="auto"/>
                <w:vertAlign w:val="superscript"/>
              </w:rPr>
              <w:t>1</w:t>
            </w:r>
          </w:p>
        </w:tc>
        <w:tc>
          <w:tcPr>
            <w:tcW w:w="16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40" w:type="dxa"/>
            <w:vAlign w:val="bottom"/>
          </w:tcPr>
          <w:p>
            <w:pPr>
              <w:ind w:left="360"/>
              <w:spacing w:after="0"/>
              <w:rPr>
                <w:sz w:val="20"/>
                <w:szCs w:val="20"/>
                <w:color w:val="auto"/>
              </w:rPr>
            </w:pPr>
            <w:r>
              <w:rPr>
                <w:rFonts w:ascii="Verdana" w:cs="Verdana" w:eastAsia="Verdana" w:hAnsi="Verdana"/>
                <w:sz w:val="13"/>
                <w:szCs w:val="13"/>
                <w:color w:val="auto"/>
              </w:rPr>
              <w:t>Other securities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2,875,769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76,568</w:t>
            </w:r>
          </w:p>
        </w:tc>
        <w:tc>
          <w:tcPr>
            <w:tcW w:w="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Verdana" w:cs="Verdana" w:eastAsia="Verdana" w:hAnsi="Verdana"/>
                <w:sz w:val="13"/>
                <w:szCs w:val="13"/>
                <w:color w:val="auto"/>
                <w:w w:val="99"/>
              </w:rPr>
              <w:t>2.66 %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3,265,271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61,591</w:t>
            </w: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Verdana" w:cs="Verdana" w:eastAsia="Verdana" w:hAnsi="Verdana"/>
                <w:sz w:val="13"/>
                <w:szCs w:val="13"/>
                <w:color w:val="auto"/>
                <w:w w:val="99"/>
              </w:rPr>
              <w:t>1.89 %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2,876,714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37,166</w:t>
            </w:r>
          </w:p>
        </w:tc>
        <w:tc>
          <w:tcPr>
            <w:tcW w:w="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Verdana" w:cs="Verdana" w:eastAsia="Verdana" w:hAnsi="Verdana"/>
                <w:sz w:val="13"/>
                <w:szCs w:val="13"/>
                <w:color w:val="auto"/>
                <w:w w:val="99"/>
              </w:rPr>
              <w:t>1.29 %</w:t>
            </w:r>
          </w:p>
        </w:tc>
        <w:tc>
          <w:tcPr>
            <w:tcW w:w="0" w:type="dxa"/>
            <w:vAlign w:val="bottom"/>
          </w:tcPr>
          <w:p>
            <w:pPr>
              <w:spacing w:after="0"/>
              <w:rPr>
                <w:sz w:val="1"/>
                <w:szCs w:val="1"/>
                <w:color w:val="auto"/>
              </w:rPr>
            </w:pPr>
          </w:p>
        </w:tc>
      </w:tr>
      <w:tr>
        <w:trPr>
          <w:trHeight w:val="181"/>
        </w:trPr>
        <w:tc>
          <w:tcPr>
            <w:tcW w:w="25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Loans held for sale</w:t>
            </w: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1,885</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116</w:t>
            </w: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ind w:left="120"/>
              <w:spacing w:after="0"/>
              <w:rPr>
                <w:sz w:val="20"/>
                <w:szCs w:val="20"/>
                <w:color w:val="auto"/>
              </w:rPr>
            </w:pPr>
            <w:r>
              <w:rPr>
                <w:rFonts w:ascii="Verdana" w:cs="Verdana" w:eastAsia="Verdana" w:hAnsi="Verdana"/>
                <w:sz w:val="13"/>
                <w:szCs w:val="13"/>
                <w:color w:val="auto"/>
                <w:w w:val="99"/>
              </w:rPr>
              <w:t>6.13 %</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5,178</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192</w:t>
            </w:r>
          </w:p>
        </w:tc>
        <w:tc>
          <w:tcPr>
            <w:tcW w:w="80" w:type="dxa"/>
            <w:vAlign w:val="bottom"/>
            <w:shd w:val="clear" w:color="auto" w:fill="E0E7ED"/>
          </w:tcPr>
          <w:p>
            <w:pPr>
              <w:spacing w:after="0"/>
              <w:rPr>
                <w:sz w:val="15"/>
                <w:szCs w:val="15"/>
                <w:color w:val="auto"/>
              </w:rPr>
            </w:pPr>
          </w:p>
        </w:tc>
        <w:tc>
          <w:tcPr>
            <w:tcW w:w="640" w:type="dxa"/>
            <w:vAlign w:val="bottom"/>
            <w:shd w:val="clear" w:color="auto" w:fill="E0E7ED"/>
          </w:tcPr>
          <w:p>
            <w:pPr>
              <w:ind w:left="140"/>
              <w:spacing w:after="0"/>
              <w:rPr>
                <w:sz w:val="20"/>
                <w:szCs w:val="20"/>
                <w:color w:val="auto"/>
              </w:rPr>
            </w:pPr>
            <w:r>
              <w:rPr>
                <w:rFonts w:ascii="Verdana" w:cs="Verdana" w:eastAsia="Verdana" w:hAnsi="Verdana"/>
                <w:sz w:val="13"/>
                <w:szCs w:val="13"/>
                <w:color w:val="auto"/>
                <w:w w:val="99"/>
              </w:rPr>
              <w:t>3.71 %</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21,803</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506</w:t>
            </w: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ind w:left="120"/>
              <w:spacing w:after="0"/>
              <w:rPr>
                <w:sz w:val="20"/>
                <w:szCs w:val="20"/>
                <w:color w:val="auto"/>
              </w:rPr>
            </w:pPr>
            <w:r>
              <w:rPr>
                <w:rFonts w:ascii="Verdana" w:cs="Verdana" w:eastAsia="Verdana" w:hAnsi="Verdana"/>
                <w:sz w:val="13"/>
                <w:szCs w:val="13"/>
                <w:color w:val="auto"/>
                <w:w w:val="99"/>
              </w:rPr>
              <w:t>2.32 %</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E0E7ED"/>
            </w:tcBorders>
          </w:tcPr>
          <w:p>
            <w:pPr>
              <w:ind w:left="180"/>
              <w:spacing w:after="0" w:line="176" w:lineRule="exact"/>
              <w:rPr>
                <w:sz w:val="20"/>
                <w:szCs w:val="20"/>
                <w:color w:val="auto"/>
              </w:rPr>
            </w:pPr>
            <w:r>
              <w:rPr>
                <w:rFonts w:ascii="Verdana" w:cs="Verdana" w:eastAsia="Verdana" w:hAnsi="Verdana"/>
                <w:sz w:val="13"/>
                <w:szCs w:val="13"/>
                <w:color w:val="auto"/>
              </w:rPr>
              <w:t>Portfolio loans</w:t>
            </w:r>
            <w:r>
              <w:rPr>
                <w:rFonts w:ascii="Verdana" w:cs="Verdana" w:eastAsia="Verdana" w:hAnsi="Verdana"/>
                <w:sz w:val="16"/>
                <w:szCs w:val="16"/>
                <w:color w:val="auto"/>
                <w:vertAlign w:val="superscript"/>
              </w:rPr>
              <w:t>1, 2</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7,759,472</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387,193</w:t>
            </w:r>
          </w:p>
        </w:tc>
        <w:tc>
          <w:tcPr>
            <w:tcW w:w="80" w:type="dxa"/>
            <w:vAlign w:val="bottom"/>
            <w:tcBorders>
              <w:bottom w:val="single" w:sz="8" w:color="E0E7ED"/>
            </w:tcBorders>
          </w:tcPr>
          <w:p>
            <w:pPr>
              <w:spacing w:after="0"/>
              <w:rPr>
                <w:sz w:val="15"/>
                <w:szCs w:val="15"/>
                <w:color w:val="auto"/>
              </w:rPr>
            </w:pPr>
          </w:p>
        </w:tc>
        <w:tc>
          <w:tcPr>
            <w:tcW w:w="620" w:type="dxa"/>
            <w:vAlign w:val="bottom"/>
            <w:tcBorders>
              <w:bottom w:val="single" w:sz="8" w:color="auto"/>
            </w:tcBorders>
          </w:tcPr>
          <w:p>
            <w:pPr>
              <w:ind w:left="120"/>
              <w:spacing w:after="0"/>
              <w:rPr>
                <w:sz w:val="20"/>
                <w:szCs w:val="20"/>
                <w:color w:val="auto"/>
              </w:rPr>
            </w:pPr>
            <w:r>
              <w:rPr>
                <w:rFonts w:ascii="Verdana" w:cs="Verdana" w:eastAsia="Verdana" w:hAnsi="Verdana"/>
                <w:sz w:val="13"/>
                <w:szCs w:val="13"/>
                <w:color w:val="auto"/>
                <w:w w:val="99"/>
              </w:rPr>
              <w:t>4.99 %</w:t>
            </w:r>
          </w:p>
        </w:tc>
        <w:tc>
          <w:tcPr>
            <w:tcW w:w="8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7,445,962</w:t>
            </w:r>
          </w:p>
        </w:tc>
        <w:tc>
          <w:tcPr>
            <w:tcW w:w="80" w:type="dxa"/>
            <w:vAlign w:val="bottom"/>
            <w:tcBorders>
              <w:bottom w:val="single" w:sz="8" w:color="E0E7E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288,615</w:t>
            </w:r>
          </w:p>
        </w:tc>
        <w:tc>
          <w:tcPr>
            <w:tcW w:w="80" w:type="dxa"/>
            <w:vAlign w:val="bottom"/>
            <w:tcBorders>
              <w:bottom w:val="single" w:sz="8" w:color="E0E7ED"/>
            </w:tcBorders>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Verdana" w:cs="Verdana" w:eastAsia="Verdana" w:hAnsi="Verdana"/>
                <w:sz w:val="13"/>
                <w:szCs w:val="13"/>
                <w:color w:val="auto"/>
                <w:w w:val="99"/>
              </w:rPr>
              <w:t>3.88 %</w:t>
            </w:r>
          </w:p>
        </w:tc>
        <w:tc>
          <w:tcPr>
            <w:tcW w:w="8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6,969,807</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252,946</w:t>
            </w:r>
          </w:p>
        </w:tc>
        <w:tc>
          <w:tcPr>
            <w:tcW w:w="80" w:type="dxa"/>
            <w:vAlign w:val="bottom"/>
            <w:tcBorders>
              <w:bottom w:val="single" w:sz="8" w:color="E0E7ED"/>
            </w:tcBorders>
          </w:tcPr>
          <w:p>
            <w:pPr>
              <w:spacing w:after="0"/>
              <w:rPr>
                <w:sz w:val="15"/>
                <w:szCs w:val="15"/>
                <w:color w:val="auto"/>
              </w:rPr>
            </w:pPr>
          </w:p>
        </w:tc>
        <w:tc>
          <w:tcPr>
            <w:tcW w:w="620" w:type="dxa"/>
            <w:vAlign w:val="bottom"/>
            <w:tcBorders>
              <w:bottom w:val="single" w:sz="8" w:color="auto"/>
            </w:tcBorders>
          </w:tcPr>
          <w:p>
            <w:pPr>
              <w:ind w:left="120"/>
              <w:spacing w:after="0"/>
              <w:rPr>
                <w:sz w:val="20"/>
                <w:szCs w:val="20"/>
                <w:color w:val="auto"/>
              </w:rPr>
            </w:pPr>
            <w:r>
              <w:rPr>
                <w:rFonts w:ascii="Verdana" w:cs="Verdana" w:eastAsia="Verdana" w:hAnsi="Verdana"/>
                <w:sz w:val="13"/>
                <w:szCs w:val="13"/>
                <w:color w:val="auto"/>
                <w:w w:val="99"/>
              </w:rPr>
              <w:t>3.63 %</w:t>
            </w:r>
          </w:p>
        </w:tc>
        <w:tc>
          <w:tcPr>
            <w:tcW w:w="0" w:type="dxa"/>
            <w:vAlign w:val="bottom"/>
          </w:tcPr>
          <w:p>
            <w:pPr>
              <w:spacing w:after="0"/>
              <w:rPr>
                <w:sz w:val="1"/>
                <w:szCs w:val="1"/>
                <w:color w:val="auto"/>
              </w:rPr>
            </w:pPr>
          </w:p>
        </w:tc>
      </w:tr>
      <w:tr>
        <w:trPr>
          <w:trHeight w:val="194"/>
        </w:trPr>
        <w:tc>
          <w:tcPr>
            <w:tcW w:w="2540" w:type="dxa"/>
            <w:vAlign w:val="bottom"/>
            <w:tcBorders>
              <w:bottom w:val="single" w:sz="8" w:color="E0E7ED"/>
            </w:tcBorders>
            <w:shd w:val="clear" w:color="auto" w:fill="E0E7ED"/>
          </w:tcPr>
          <w:p>
            <w:pPr>
              <w:ind w:left="180"/>
              <w:spacing w:after="0" w:line="169" w:lineRule="exact"/>
              <w:rPr>
                <w:sz w:val="20"/>
                <w:szCs w:val="20"/>
                <w:color w:val="auto"/>
              </w:rPr>
            </w:pPr>
            <w:r>
              <w:rPr>
                <w:rFonts w:ascii="Verdana" w:cs="Verdana" w:eastAsia="Verdana" w:hAnsi="Verdana"/>
                <w:sz w:val="13"/>
                <w:szCs w:val="13"/>
                <w:color w:val="auto"/>
              </w:rPr>
              <w:t>Total interest-earning assets</w:t>
            </w:r>
            <w:r>
              <w:rPr>
                <w:rFonts w:ascii="Verdana" w:cs="Verdana" w:eastAsia="Verdana" w:hAnsi="Verdana"/>
                <w:sz w:val="16"/>
                <w:szCs w:val="16"/>
                <w:color w:val="auto"/>
                <w:vertAlign w:val="superscript"/>
              </w:rPr>
              <w:t>1, 3</w:t>
            </w:r>
          </w:p>
        </w:tc>
        <w:tc>
          <w:tcPr>
            <w:tcW w:w="160" w:type="dxa"/>
            <w:vAlign w:val="bottom"/>
            <w:tcBorders>
              <w:bottom w:val="single" w:sz="8" w:color="E0E7ED"/>
            </w:tcBorders>
            <w:shd w:val="clear" w:color="auto" w:fill="E0E7ED"/>
          </w:tcPr>
          <w:p>
            <w:pPr>
              <w:spacing w:after="0"/>
              <w:rPr>
                <w:sz w:val="16"/>
                <w:szCs w:val="16"/>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11,164,594</w:t>
            </w:r>
          </w:p>
        </w:tc>
        <w:tc>
          <w:tcPr>
            <w:tcW w:w="8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481,546</w:t>
            </w:r>
          </w:p>
        </w:tc>
        <w:tc>
          <w:tcPr>
            <w:tcW w:w="80" w:type="dxa"/>
            <w:vAlign w:val="bottom"/>
            <w:tcBorders>
              <w:bottom w:val="single" w:sz="8" w:color="E0E7ED"/>
            </w:tcBorders>
            <w:shd w:val="clear" w:color="auto" w:fill="E0E7ED"/>
          </w:tcPr>
          <w:p>
            <w:pPr>
              <w:spacing w:after="0"/>
              <w:rPr>
                <w:sz w:val="16"/>
                <w:szCs w:val="16"/>
                <w:color w:val="auto"/>
              </w:rPr>
            </w:pPr>
          </w:p>
        </w:tc>
        <w:tc>
          <w:tcPr>
            <w:tcW w:w="620" w:type="dxa"/>
            <w:vAlign w:val="bottom"/>
            <w:tcBorders>
              <w:bottom w:val="single" w:sz="8" w:color="E0E7ED"/>
            </w:tcBorders>
            <w:shd w:val="clear" w:color="auto" w:fill="E0E7ED"/>
          </w:tcPr>
          <w:p>
            <w:pPr>
              <w:ind w:left="120"/>
              <w:spacing w:after="0"/>
              <w:rPr>
                <w:sz w:val="20"/>
                <w:szCs w:val="20"/>
                <w:color w:val="auto"/>
              </w:rPr>
            </w:pPr>
            <w:r>
              <w:rPr>
                <w:rFonts w:ascii="Verdana" w:cs="Verdana" w:eastAsia="Verdana" w:hAnsi="Verdana"/>
                <w:sz w:val="13"/>
                <w:szCs w:val="13"/>
                <w:color w:val="auto"/>
                <w:w w:val="99"/>
              </w:rPr>
              <w:t>4.31 %</w:t>
            </w:r>
          </w:p>
        </w:tc>
        <w:tc>
          <w:tcPr>
            <w:tcW w:w="80" w:type="dxa"/>
            <w:vAlign w:val="bottom"/>
            <w:tcBorders>
              <w:bottom w:val="single" w:sz="8" w:color="E0E7ED"/>
            </w:tcBorders>
            <w:shd w:val="clear" w:color="auto" w:fill="E0E7ED"/>
          </w:tcPr>
          <w:p>
            <w:pPr>
              <w:spacing w:after="0"/>
              <w:rPr>
                <w:sz w:val="16"/>
                <w:szCs w:val="16"/>
                <w:color w:val="auto"/>
              </w:rPr>
            </w:pPr>
          </w:p>
        </w:tc>
        <w:tc>
          <w:tcPr>
            <w:tcW w:w="160" w:type="dxa"/>
            <w:vAlign w:val="bottom"/>
            <w:tcBorders>
              <w:bottom w:val="single" w:sz="8" w:color="E0E7ED"/>
            </w:tcBorders>
            <w:shd w:val="clear" w:color="auto" w:fill="E0E7ED"/>
          </w:tcPr>
          <w:p>
            <w:pPr>
              <w:spacing w:after="0"/>
              <w:rPr>
                <w:sz w:val="16"/>
                <w:szCs w:val="16"/>
                <w:color w:val="auto"/>
              </w:rPr>
            </w:pPr>
          </w:p>
        </w:tc>
        <w:tc>
          <w:tcPr>
            <w:tcW w:w="900" w:type="dxa"/>
            <w:vAlign w:val="bottom"/>
            <w:tcBorders>
              <w:bottom w:val="single" w:sz="8" w:color="E0E7ED"/>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11,473,063</w:t>
            </w:r>
          </w:p>
        </w:tc>
        <w:tc>
          <w:tcPr>
            <w:tcW w:w="8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362,185</w:t>
            </w:r>
          </w:p>
        </w:tc>
        <w:tc>
          <w:tcPr>
            <w:tcW w:w="80" w:type="dxa"/>
            <w:vAlign w:val="bottom"/>
            <w:tcBorders>
              <w:bottom w:val="single" w:sz="8" w:color="E0E7ED"/>
            </w:tcBorders>
            <w:shd w:val="clear" w:color="auto" w:fill="E0E7ED"/>
          </w:tcPr>
          <w:p>
            <w:pPr>
              <w:spacing w:after="0"/>
              <w:rPr>
                <w:sz w:val="16"/>
                <w:szCs w:val="16"/>
                <w:color w:val="auto"/>
              </w:rPr>
            </w:pPr>
          </w:p>
        </w:tc>
        <w:tc>
          <w:tcPr>
            <w:tcW w:w="640" w:type="dxa"/>
            <w:vAlign w:val="bottom"/>
            <w:tcBorders>
              <w:bottom w:val="single" w:sz="8" w:color="E0E7ED"/>
            </w:tcBorders>
            <w:shd w:val="clear" w:color="auto" w:fill="E0E7ED"/>
          </w:tcPr>
          <w:p>
            <w:pPr>
              <w:ind w:left="140"/>
              <w:spacing w:after="0"/>
              <w:rPr>
                <w:sz w:val="20"/>
                <w:szCs w:val="20"/>
                <w:color w:val="auto"/>
              </w:rPr>
            </w:pPr>
            <w:r>
              <w:rPr>
                <w:rFonts w:ascii="Verdana" w:cs="Verdana" w:eastAsia="Verdana" w:hAnsi="Verdana"/>
                <w:sz w:val="13"/>
                <w:szCs w:val="13"/>
                <w:color w:val="auto"/>
                <w:w w:val="99"/>
              </w:rPr>
              <w:t>3.16 %</w:t>
            </w:r>
          </w:p>
        </w:tc>
        <w:tc>
          <w:tcPr>
            <w:tcW w:w="80" w:type="dxa"/>
            <w:vAlign w:val="bottom"/>
            <w:tcBorders>
              <w:bottom w:val="single" w:sz="8" w:color="E0E7ED"/>
            </w:tcBorders>
            <w:shd w:val="clear" w:color="auto" w:fill="E0E7ED"/>
          </w:tcPr>
          <w:p>
            <w:pPr>
              <w:spacing w:after="0"/>
              <w:rPr>
                <w:sz w:val="16"/>
                <w:szCs w:val="16"/>
                <w:color w:val="auto"/>
              </w:rPr>
            </w:pPr>
          </w:p>
        </w:tc>
        <w:tc>
          <w:tcPr>
            <w:tcW w:w="160" w:type="dxa"/>
            <w:vAlign w:val="bottom"/>
            <w:tcBorders>
              <w:bottom w:val="single" w:sz="8" w:color="E0E7ED"/>
            </w:tcBorders>
            <w:shd w:val="clear" w:color="auto" w:fill="E0E7ED"/>
          </w:tcPr>
          <w:p>
            <w:pPr>
              <w:spacing w:after="0"/>
              <w:rPr>
                <w:sz w:val="16"/>
                <w:szCs w:val="16"/>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10,978,116</w:t>
            </w:r>
          </w:p>
        </w:tc>
        <w:tc>
          <w:tcPr>
            <w:tcW w:w="8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301,155</w:t>
            </w:r>
          </w:p>
        </w:tc>
        <w:tc>
          <w:tcPr>
            <w:tcW w:w="80" w:type="dxa"/>
            <w:vAlign w:val="bottom"/>
            <w:tcBorders>
              <w:bottom w:val="single" w:sz="8" w:color="E0E7ED"/>
            </w:tcBorders>
            <w:shd w:val="clear" w:color="auto" w:fill="E0E7ED"/>
          </w:tcPr>
          <w:p>
            <w:pPr>
              <w:spacing w:after="0"/>
              <w:rPr>
                <w:sz w:val="16"/>
                <w:szCs w:val="16"/>
                <w:color w:val="auto"/>
              </w:rPr>
            </w:pPr>
          </w:p>
        </w:tc>
        <w:tc>
          <w:tcPr>
            <w:tcW w:w="620" w:type="dxa"/>
            <w:vAlign w:val="bottom"/>
            <w:tcBorders>
              <w:bottom w:val="single" w:sz="8" w:color="E0E7ED"/>
            </w:tcBorders>
            <w:shd w:val="clear" w:color="auto" w:fill="E0E7ED"/>
          </w:tcPr>
          <w:p>
            <w:pPr>
              <w:ind w:left="120"/>
              <w:spacing w:after="0"/>
              <w:rPr>
                <w:sz w:val="20"/>
                <w:szCs w:val="20"/>
                <w:color w:val="auto"/>
              </w:rPr>
            </w:pPr>
            <w:r>
              <w:rPr>
                <w:rFonts w:ascii="Verdana" w:cs="Verdana" w:eastAsia="Verdana" w:hAnsi="Verdana"/>
                <w:sz w:val="13"/>
                <w:szCs w:val="13"/>
                <w:color w:val="auto"/>
                <w:w w:val="99"/>
              </w:rPr>
              <w:t>2.74 %</w:t>
            </w:r>
          </w:p>
        </w:tc>
        <w:tc>
          <w:tcPr>
            <w:tcW w:w="0" w:type="dxa"/>
            <w:vAlign w:val="bottom"/>
          </w:tcPr>
          <w:p>
            <w:pPr>
              <w:spacing w:after="0"/>
              <w:rPr>
                <w:sz w:val="1"/>
                <w:szCs w:val="1"/>
                <w:color w:val="auto"/>
              </w:rPr>
            </w:pPr>
          </w:p>
        </w:tc>
      </w:tr>
      <w:tr>
        <w:trPr>
          <w:trHeight w:val="20"/>
        </w:trPr>
        <w:tc>
          <w:tcPr>
            <w:tcW w:w="254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8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8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2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and due from banks</w:t>
            </w: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116,530</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120,910</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133,711</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40" w:type="dxa"/>
            <w:vAlign w:val="bottom"/>
          </w:tcPr>
          <w:p>
            <w:pPr>
              <w:ind w:left="180"/>
              <w:spacing w:after="0"/>
              <w:rPr>
                <w:sz w:val="20"/>
                <w:szCs w:val="20"/>
                <w:color w:val="auto"/>
              </w:rPr>
            </w:pPr>
            <w:r>
              <w:rPr>
                <w:rFonts w:ascii="Verdana" w:cs="Verdana" w:eastAsia="Verdana" w:hAnsi="Verdana"/>
                <w:sz w:val="13"/>
                <w:szCs w:val="13"/>
                <w:color w:val="auto"/>
              </w:rPr>
              <w:t>Premises and equipment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124,565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131,657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138,731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ACL</w:t>
            </w: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(92,991)</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(89,387)</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(97,397)</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4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Other assets</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933,520</w:t>
            </w:r>
          </w:p>
        </w:tc>
        <w:tc>
          <w:tcPr>
            <w:tcW w:w="80" w:type="dxa"/>
            <w:vAlign w:val="bottom"/>
            <w:tcBorders>
              <w:bottom w:val="single" w:sz="8" w:color="E0E7ED"/>
            </w:tcBorders>
          </w:tcPr>
          <w:p>
            <w:pPr>
              <w:spacing w:after="0"/>
              <w:rPr>
                <w:sz w:val="14"/>
                <w:szCs w:val="14"/>
                <w:color w:val="auto"/>
              </w:rPr>
            </w:pPr>
          </w:p>
        </w:tc>
        <w:tc>
          <w:tcPr>
            <w:tcW w:w="120" w:type="dxa"/>
            <w:vAlign w:val="bottom"/>
            <w:tcBorders>
              <w:bottom w:val="single" w:sz="8" w:color="E0E7ED"/>
            </w:tcBorders>
          </w:tcPr>
          <w:p>
            <w:pPr>
              <w:spacing w:after="0"/>
              <w:rPr>
                <w:sz w:val="14"/>
                <w:szCs w:val="14"/>
                <w:color w:val="auto"/>
              </w:rPr>
            </w:pPr>
          </w:p>
        </w:tc>
        <w:tc>
          <w:tcPr>
            <w:tcW w:w="90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62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856,705</w:t>
            </w:r>
          </w:p>
        </w:tc>
        <w:tc>
          <w:tcPr>
            <w:tcW w:w="8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90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64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751,774</w:t>
            </w:r>
          </w:p>
        </w:tc>
        <w:tc>
          <w:tcPr>
            <w:tcW w:w="80" w:type="dxa"/>
            <w:vAlign w:val="bottom"/>
            <w:tcBorders>
              <w:bottom w:val="single" w:sz="8" w:color="E0E7ED"/>
            </w:tcBorders>
          </w:tcPr>
          <w:p>
            <w:pPr>
              <w:spacing w:after="0"/>
              <w:rPr>
                <w:sz w:val="14"/>
                <w:szCs w:val="14"/>
                <w:color w:val="auto"/>
              </w:rPr>
            </w:pPr>
          </w:p>
        </w:tc>
        <w:tc>
          <w:tcPr>
            <w:tcW w:w="120" w:type="dxa"/>
            <w:vAlign w:val="bottom"/>
            <w:tcBorders>
              <w:bottom w:val="single" w:sz="8" w:color="E0E7ED"/>
            </w:tcBorders>
          </w:tcPr>
          <w:p>
            <w:pPr>
              <w:spacing w:after="0"/>
              <w:rPr>
                <w:sz w:val="14"/>
                <w:szCs w:val="14"/>
                <w:color w:val="auto"/>
              </w:rPr>
            </w:pPr>
          </w:p>
        </w:tc>
        <w:tc>
          <w:tcPr>
            <w:tcW w:w="90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62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5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assets</w:t>
            </w: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12,246,218</w:t>
            </w:r>
          </w:p>
        </w:tc>
        <w:tc>
          <w:tcPr>
            <w:tcW w:w="8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E0E7ED"/>
            </w:tcBorders>
            <w:shd w:val="clear" w:color="auto" w:fill="E0E7ED"/>
          </w:tcPr>
          <w:p>
            <w:pPr>
              <w:spacing w:after="0"/>
              <w:rPr>
                <w:sz w:val="16"/>
                <w:szCs w:val="16"/>
                <w:color w:val="auto"/>
              </w:rPr>
            </w:pPr>
          </w:p>
        </w:tc>
        <w:tc>
          <w:tcPr>
            <w:tcW w:w="90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62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12,492,948</w:t>
            </w:r>
          </w:p>
        </w:tc>
        <w:tc>
          <w:tcPr>
            <w:tcW w:w="8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90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64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71"/>
              </w:rPr>
              <w:t>$</w:t>
            </w:r>
          </w:p>
        </w:tc>
        <w:tc>
          <w:tcPr>
            <w:tcW w:w="8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11,904,935</w:t>
            </w:r>
          </w:p>
        </w:tc>
        <w:tc>
          <w:tcPr>
            <w:tcW w:w="8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E0E7ED"/>
            </w:tcBorders>
            <w:shd w:val="clear" w:color="auto" w:fill="E0E7ED"/>
          </w:tcPr>
          <w:p>
            <w:pPr>
              <w:spacing w:after="0"/>
              <w:rPr>
                <w:sz w:val="16"/>
                <w:szCs w:val="16"/>
                <w:color w:val="auto"/>
              </w:rPr>
            </w:pPr>
          </w:p>
        </w:tc>
        <w:tc>
          <w:tcPr>
            <w:tcW w:w="90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62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2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w w:val="98"/>
              </w:rPr>
              <w:t>Liabilities and stockholders’ equity</w:t>
            </w: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40" w:type="dxa"/>
            <w:vAlign w:val="bottom"/>
          </w:tcPr>
          <w:p>
            <w:pPr>
              <w:ind w:left="180"/>
              <w:spacing w:after="0" w:line="122" w:lineRule="exact"/>
              <w:rPr>
                <w:sz w:val="20"/>
                <w:szCs w:val="20"/>
                <w:color w:val="auto"/>
              </w:rPr>
            </w:pPr>
            <w:r>
              <w:rPr>
                <w:rFonts w:ascii="Verdana" w:cs="Verdana" w:eastAsia="Verdana" w:hAnsi="Verdana"/>
                <w:sz w:val="13"/>
                <w:szCs w:val="13"/>
                <w:color w:val="auto"/>
              </w:rPr>
              <w:t>Interest-bearing transaction</w:t>
            </w:r>
          </w:p>
        </w:tc>
        <w:tc>
          <w:tcPr>
            <w:tcW w:w="160" w:type="dxa"/>
            <w:vAlign w:val="bottom"/>
            <w:vMerge w:val="restart"/>
          </w:tcPr>
          <w:p>
            <w:pPr>
              <w:jc w:val="right"/>
              <w:spacing w:after="0"/>
              <w:rPr>
                <w:sz w:val="20"/>
                <w:szCs w:val="20"/>
                <w:color w:val="auto"/>
              </w:rPr>
            </w:pPr>
            <w:r>
              <w:rPr>
                <w:rFonts w:ascii="Verdana" w:cs="Verdana" w:eastAsia="Verdana" w:hAnsi="Verdana"/>
                <w:sz w:val="13"/>
                <w:szCs w:val="13"/>
                <w:color w:val="auto"/>
                <w:w w:val="95"/>
              </w:rPr>
              <w:t>$</w:t>
            </w: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2,775,045</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43,268</w:t>
            </w:r>
          </w:p>
        </w:tc>
        <w:tc>
          <w:tcPr>
            <w:tcW w:w="80" w:type="dxa"/>
            <w:vAlign w:val="bottom"/>
          </w:tcPr>
          <w:p>
            <w:pPr>
              <w:spacing w:after="0"/>
              <w:rPr>
                <w:sz w:val="10"/>
                <w:szCs w:val="10"/>
                <w:color w:val="auto"/>
              </w:rPr>
            </w:pPr>
          </w:p>
        </w:tc>
        <w:tc>
          <w:tcPr>
            <w:tcW w:w="620" w:type="dxa"/>
            <w:vAlign w:val="bottom"/>
            <w:vMerge w:val="restart"/>
          </w:tcPr>
          <w:p>
            <w:pPr>
              <w:ind w:left="120"/>
              <w:spacing w:after="0"/>
              <w:rPr>
                <w:sz w:val="20"/>
                <w:szCs w:val="20"/>
                <w:color w:val="auto"/>
              </w:rPr>
            </w:pPr>
            <w:r>
              <w:rPr>
                <w:rFonts w:ascii="Verdana" w:cs="Verdana" w:eastAsia="Verdana" w:hAnsi="Verdana"/>
                <w:sz w:val="13"/>
                <w:szCs w:val="13"/>
                <w:color w:val="auto"/>
                <w:w w:val="99"/>
              </w:rPr>
              <w:t>1.56 %</w:t>
            </w:r>
          </w:p>
        </w:tc>
        <w:tc>
          <w:tcPr>
            <w:tcW w:w="240" w:type="dxa"/>
            <w:vAlign w:val="bottom"/>
            <w:gridSpan w:val="2"/>
            <w:vMerge w:val="restart"/>
          </w:tcPr>
          <w:p>
            <w:pPr>
              <w:jc w:val="right"/>
              <w:spacing w:after="0"/>
              <w:rPr>
                <w:sz w:val="20"/>
                <w:szCs w:val="20"/>
                <w:color w:val="auto"/>
              </w:rPr>
            </w:pPr>
            <w:r>
              <w:rPr>
                <w:rFonts w:ascii="Verdana" w:cs="Verdana" w:eastAsia="Verdana" w:hAnsi="Verdana"/>
                <w:sz w:val="13"/>
                <w:szCs w:val="13"/>
                <w:color w:val="auto"/>
              </w:rPr>
              <w:t>$</w:t>
            </w:r>
          </w:p>
        </w:tc>
        <w:tc>
          <w:tcPr>
            <w:tcW w:w="9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2,785,439</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vMerge w:val="restart"/>
          </w:tcPr>
          <w:p>
            <w:pPr>
              <w:jc w:val="right"/>
              <w:spacing w:after="0"/>
              <w:rPr>
                <w:sz w:val="20"/>
                <w:szCs w:val="20"/>
                <w:color w:val="auto"/>
              </w:rPr>
            </w:pPr>
            <w:r>
              <w:rPr>
                <w:rFonts w:ascii="Verdana" w:cs="Verdana" w:eastAsia="Verdana" w:hAnsi="Verdana"/>
                <w:sz w:val="13"/>
                <w:szCs w:val="13"/>
                <w:color w:val="auto"/>
              </w:rPr>
              <w:t>7,150</w:t>
            </w:r>
          </w:p>
        </w:tc>
        <w:tc>
          <w:tcPr>
            <w:tcW w:w="80" w:type="dxa"/>
            <w:vAlign w:val="bottom"/>
          </w:tcPr>
          <w:p>
            <w:pPr>
              <w:spacing w:after="0"/>
              <w:rPr>
                <w:sz w:val="10"/>
                <w:szCs w:val="10"/>
                <w:color w:val="auto"/>
              </w:rPr>
            </w:pPr>
          </w:p>
        </w:tc>
        <w:tc>
          <w:tcPr>
            <w:tcW w:w="640" w:type="dxa"/>
            <w:vAlign w:val="bottom"/>
            <w:vMerge w:val="restart"/>
          </w:tcPr>
          <w:p>
            <w:pPr>
              <w:ind w:left="140"/>
              <w:spacing w:after="0"/>
              <w:rPr>
                <w:sz w:val="20"/>
                <w:szCs w:val="20"/>
                <w:color w:val="auto"/>
              </w:rPr>
            </w:pPr>
            <w:r>
              <w:rPr>
                <w:rFonts w:ascii="Verdana" w:cs="Verdana" w:eastAsia="Verdana" w:hAnsi="Verdana"/>
                <w:sz w:val="13"/>
                <w:szCs w:val="13"/>
                <w:color w:val="auto"/>
                <w:w w:val="99"/>
              </w:rPr>
              <w:t>0.26 %</w:t>
            </w:r>
          </w:p>
        </w:tc>
        <w:tc>
          <w:tcPr>
            <w:tcW w:w="240" w:type="dxa"/>
            <w:vAlign w:val="bottom"/>
            <w:gridSpan w:val="2"/>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2,619,942</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1,922</w:t>
            </w:r>
          </w:p>
        </w:tc>
        <w:tc>
          <w:tcPr>
            <w:tcW w:w="80" w:type="dxa"/>
            <w:vAlign w:val="bottom"/>
          </w:tcPr>
          <w:p>
            <w:pPr>
              <w:spacing w:after="0"/>
              <w:rPr>
                <w:sz w:val="10"/>
                <w:szCs w:val="10"/>
                <w:color w:val="auto"/>
              </w:rPr>
            </w:pPr>
          </w:p>
        </w:tc>
        <w:tc>
          <w:tcPr>
            <w:tcW w:w="620" w:type="dxa"/>
            <w:vAlign w:val="bottom"/>
            <w:vMerge w:val="restart"/>
          </w:tcPr>
          <w:p>
            <w:pPr>
              <w:ind w:left="120"/>
              <w:spacing w:after="0"/>
              <w:rPr>
                <w:sz w:val="20"/>
                <w:szCs w:val="20"/>
                <w:color w:val="auto"/>
              </w:rPr>
            </w:pPr>
            <w:r>
              <w:rPr>
                <w:rFonts w:ascii="Verdana" w:cs="Verdana" w:eastAsia="Verdana" w:hAnsi="Verdana"/>
                <w:sz w:val="13"/>
                <w:szCs w:val="13"/>
                <w:color w:val="auto"/>
                <w:w w:val="99"/>
              </w:rPr>
              <w:t>0.07 %</w:t>
            </w:r>
          </w:p>
        </w:tc>
        <w:tc>
          <w:tcPr>
            <w:tcW w:w="0" w:type="dxa"/>
            <w:vAlign w:val="bottom"/>
          </w:tcPr>
          <w:p>
            <w:pPr>
              <w:spacing w:after="0"/>
              <w:rPr>
                <w:sz w:val="1"/>
                <w:szCs w:val="1"/>
                <w:color w:val="auto"/>
              </w:rPr>
            </w:pPr>
          </w:p>
        </w:tc>
      </w:tr>
      <w:tr>
        <w:trPr>
          <w:trHeight w:val="170"/>
        </w:trPr>
        <w:tc>
          <w:tcPr>
            <w:tcW w:w="2540" w:type="dxa"/>
            <w:vAlign w:val="bottom"/>
          </w:tcPr>
          <w:p>
            <w:pPr>
              <w:ind w:left="180"/>
              <w:spacing w:after="0"/>
              <w:rPr>
                <w:sz w:val="20"/>
                <w:szCs w:val="20"/>
                <w:color w:val="auto"/>
              </w:rPr>
            </w:pPr>
            <w:r>
              <w:rPr>
                <w:rFonts w:ascii="Verdana" w:cs="Verdana" w:eastAsia="Verdana" w:hAnsi="Verdana"/>
                <w:sz w:val="13"/>
                <w:szCs w:val="13"/>
                <w:color w:val="auto"/>
              </w:rPr>
              <w:t>deposits</w:t>
            </w: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w w:val="98"/>
              </w:rPr>
              <w:t>Savings and money market deposits</w:t>
            </w: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2,870,397</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37,038</w:t>
            </w: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ind w:left="120"/>
              <w:spacing w:after="0"/>
              <w:rPr>
                <w:sz w:val="20"/>
                <w:szCs w:val="20"/>
                <w:color w:val="auto"/>
              </w:rPr>
            </w:pPr>
            <w:r>
              <w:rPr>
                <w:rFonts w:ascii="Verdana" w:cs="Verdana" w:eastAsia="Verdana" w:hAnsi="Verdana"/>
                <w:sz w:val="13"/>
                <w:szCs w:val="13"/>
                <w:color w:val="auto"/>
                <w:w w:val="99"/>
              </w:rPr>
              <w:t>1.29 %</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3,326,259</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4,237</w:t>
            </w:r>
          </w:p>
        </w:tc>
        <w:tc>
          <w:tcPr>
            <w:tcW w:w="80" w:type="dxa"/>
            <w:vAlign w:val="bottom"/>
            <w:shd w:val="clear" w:color="auto" w:fill="E0E7ED"/>
          </w:tcPr>
          <w:p>
            <w:pPr>
              <w:spacing w:after="0"/>
              <w:rPr>
                <w:sz w:val="15"/>
                <w:szCs w:val="15"/>
                <w:color w:val="auto"/>
              </w:rPr>
            </w:pPr>
          </w:p>
        </w:tc>
        <w:tc>
          <w:tcPr>
            <w:tcW w:w="640" w:type="dxa"/>
            <w:vAlign w:val="bottom"/>
            <w:shd w:val="clear" w:color="auto" w:fill="E0E7ED"/>
          </w:tcPr>
          <w:p>
            <w:pPr>
              <w:ind w:left="140"/>
              <w:spacing w:after="0"/>
              <w:rPr>
                <w:sz w:val="20"/>
                <w:szCs w:val="20"/>
                <w:color w:val="auto"/>
              </w:rPr>
            </w:pPr>
            <w:r>
              <w:rPr>
                <w:rFonts w:ascii="Verdana" w:cs="Verdana" w:eastAsia="Verdana" w:hAnsi="Verdana"/>
                <w:sz w:val="13"/>
                <w:szCs w:val="13"/>
                <w:color w:val="auto"/>
                <w:w w:val="99"/>
              </w:rPr>
              <w:t>0.13 %</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3,092,992</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2,817</w:t>
            </w: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ind w:left="120"/>
              <w:spacing w:after="0"/>
              <w:rPr>
                <w:sz w:val="20"/>
                <w:szCs w:val="20"/>
                <w:color w:val="auto"/>
              </w:rPr>
            </w:pPr>
            <w:r>
              <w:rPr>
                <w:rFonts w:ascii="Verdana" w:cs="Verdana" w:eastAsia="Verdana" w:hAnsi="Verdana"/>
                <w:sz w:val="13"/>
                <w:szCs w:val="13"/>
                <w:color w:val="auto"/>
                <w:w w:val="99"/>
              </w:rPr>
              <w:t>0.09 %</w:t>
            </w:r>
          </w:p>
        </w:tc>
        <w:tc>
          <w:tcPr>
            <w:tcW w:w="0" w:type="dxa"/>
            <w:vAlign w:val="bottom"/>
          </w:tcPr>
          <w:p>
            <w:pPr>
              <w:spacing w:after="0"/>
              <w:rPr>
                <w:sz w:val="1"/>
                <w:szCs w:val="1"/>
                <w:color w:val="auto"/>
              </w:rPr>
            </w:pPr>
          </w:p>
        </w:tc>
      </w:tr>
      <w:tr>
        <w:trPr>
          <w:trHeight w:val="170"/>
        </w:trPr>
        <w:tc>
          <w:tcPr>
            <w:tcW w:w="2540" w:type="dxa"/>
            <w:vAlign w:val="bottom"/>
          </w:tcPr>
          <w:p>
            <w:pPr>
              <w:ind w:left="180"/>
              <w:spacing w:after="0"/>
              <w:rPr>
                <w:sz w:val="20"/>
                <w:szCs w:val="20"/>
                <w:color w:val="auto"/>
              </w:rPr>
            </w:pPr>
            <w:r>
              <w:rPr>
                <w:rFonts w:ascii="Verdana" w:cs="Verdana" w:eastAsia="Verdana" w:hAnsi="Verdana"/>
                <w:sz w:val="13"/>
                <w:szCs w:val="13"/>
                <w:color w:val="auto"/>
              </w:rPr>
              <w:t>Time deposits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1,406,928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43,679</w:t>
            </w:r>
          </w:p>
        </w:tc>
        <w:tc>
          <w:tcPr>
            <w:tcW w:w="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Verdana" w:cs="Verdana" w:eastAsia="Verdana" w:hAnsi="Verdana"/>
                <w:sz w:val="13"/>
                <w:szCs w:val="13"/>
                <w:color w:val="auto"/>
                <w:w w:val="99"/>
              </w:rPr>
              <w:t>3.10 %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846,738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4,725</w:t>
            </w: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Verdana" w:cs="Verdana" w:eastAsia="Verdana" w:hAnsi="Verdana"/>
                <w:sz w:val="13"/>
                <w:szCs w:val="13"/>
                <w:color w:val="auto"/>
                <w:w w:val="99"/>
              </w:rPr>
              <w:t>0.56 %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1,040,709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7,844</w:t>
            </w:r>
          </w:p>
        </w:tc>
        <w:tc>
          <w:tcPr>
            <w:tcW w:w="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Verdana" w:cs="Verdana" w:eastAsia="Verdana" w:hAnsi="Verdana"/>
                <w:sz w:val="13"/>
                <w:szCs w:val="13"/>
                <w:color w:val="auto"/>
                <w:w w:val="99"/>
              </w:rPr>
              <w:t>0.75 %</w:t>
            </w:r>
          </w:p>
        </w:tc>
        <w:tc>
          <w:tcPr>
            <w:tcW w:w="0" w:type="dxa"/>
            <w:vAlign w:val="bottom"/>
          </w:tcPr>
          <w:p>
            <w:pPr>
              <w:spacing w:after="0"/>
              <w:rPr>
                <w:sz w:val="1"/>
                <w:szCs w:val="1"/>
                <w:color w:val="auto"/>
              </w:rPr>
            </w:pPr>
          </w:p>
        </w:tc>
      </w:tr>
      <w:tr>
        <w:trPr>
          <w:trHeight w:val="127"/>
        </w:trPr>
        <w:tc>
          <w:tcPr>
            <w:tcW w:w="254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Federal funds purchased and</w:t>
            </w:r>
          </w:p>
        </w:tc>
        <w:tc>
          <w:tcPr>
            <w:tcW w:w="16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200,894</w:t>
            </w:r>
          </w:p>
        </w:tc>
        <w:tc>
          <w:tcPr>
            <w:tcW w:w="8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9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5,203</w:t>
            </w:r>
          </w:p>
        </w:tc>
        <w:tc>
          <w:tcPr>
            <w:tcW w:w="80" w:type="dxa"/>
            <w:vAlign w:val="bottom"/>
            <w:shd w:val="clear" w:color="auto" w:fill="E0E7ED"/>
          </w:tcPr>
          <w:p>
            <w:pPr>
              <w:spacing w:after="0"/>
              <w:rPr>
                <w:sz w:val="11"/>
                <w:szCs w:val="11"/>
                <w:color w:val="auto"/>
              </w:rPr>
            </w:pPr>
          </w:p>
        </w:tc>
        <w:tc>
          <w:tcPr>
            <w:tcW w:w="620" w:type="dxa"/>
            <w:vAlign w:val="bottom"/>
            <w:vMerge w:val="restart"/>
            <w:shd w:val="clear" w:color="auto" w:fill="E0E7ED"/>
          </w:tcPr>
          <w:p>
            <w:pPr>
              <w:ind w:left="120"/>
              <w:spacing w:after="0"/>
              <w:rPr>
                <w:sz w:val="20"/>
                <w:szCs w:val="20"/>
                <w:color w:val="auto"/>
              </w:rPr>
            </w:pPr>
            <w:r>
              <w:rPr>
                <w:rFonts w:ascii="Verdana" w:cs="Verdana" w:eastAsia="Verdana" w:hAnsi="Verdana"/>
                <w:sz w:val="13"/>
                <w:szCs w:val="13"/>
                <w:color w:val="auto"/>
                <w:w w:val="99"/>
              </w:rPr>
              <w:t>2.59 %</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9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244,004</w:t>
            </w:r>
          </w:p>
        </w:tc>
        <w:tc>
          <w:tcPr>
            <w:tcW w:w="8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90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1,475</w:t>
            </w:r>
          </w:p>
        </w:tc>
        <w:tc>
          <w:tcPr>
            <w:tcW w:w="80" w:type="dxa"/>
            <w:vAlign w:val="bottom"/>
            <w:shd w:val="clear" w:color="auto" w:fill="E0E7ED"/>
          </w:tcPr>
          <w:p>
            <w:pPr>
              <w:spacing w:after="0"/>
              <w:rPr>
                <w:sz w:val="11"/>
                <w:szCs w:val="11"/>
                <w:color w:val="auto"/>
              </w:rPr>
            </w:pPr>
          </w:p>
        </w:tc>
        <w:tc>
          <w:tcPr>
            <w:tcW w:w="640" w:type="dxa"/>
            <w:vAlign w:val="bottom"/>
            <w:vMerge w:val="restart"/>
            <w:shd w:val="clear" w:color="auto" w:fill="E0E7ED"/>
          </w:tcPr>
          <w:p>
            <w:pPr>
              <w:ind w:left="140"/>
              <w:spacing w:after="0"/>
              <w:rPr>
                <w:sz w:val="20"/>
                <w:szCs w:val="20"/>
                <w:color w:val="auto"/>
              </w:rPr>
            </w:pPr>
            <w:r>
              <w:rPr>
                <w:rFonts w:ascii="Verdana" w:cs="Verdana" w:eastAsia="Verdana" w:hAnsi="Verdana"/>
                <w:sz w:val="13"/>
                <w:szCs w:val="13"/>
                <w:color w:val="auto"/>
                <w:w w:val="99"/>
              </w:rPr>
              <w:t>0.60 %</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218,454</w:t>
            </w:r>
          </w:p>
        </w:tc>
        <w:tc>
          <w:tcPr>
            <w:tcW w:w="8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9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227</w:t>
            </w:r>
          </w:p>
        </w:tc>
        <w:tc>
          <w:tcPr>
            <w:tcW w:w="80" w:type="dxa"/>
            <w:vAlign w:val="bottom"/>
            <w:shd w:val="clear" w:color="auto" w:fill="E0E7ED"/>
          </w:tcPr>
          <w:p>
            <w:pPr>
              <w:spacing w:after="0"/>
              <w:rPr>
                <w:sz w:val="11"/>
                <w:szCs w:val="11"/>
                <w:color w:val="auto"/>
              </w:rPr>
            </w:pPr>
          </w:p>
        </w:tc>
        <w:tc>
          <w:tcPr>
            <w:tcW w:w="620" w:type="dxa"/>
            <w:vAlign w:val="bottom"/>
            <w:vMerge w:val="restart"/>
            <w:shd w:val="clear" w:color="auto" w:fill="E0E7ED"/>
          </w:tcPr>
          <w:p>
            <w:pPr>
              <w:ind w:left="120"/>
              <w:spacing w:after="0"/>
              <w:rPr>
                <w:sz w:val="20"/>
                <w:szCs w:val="20"/>
                <w:color w:val="auto"/>
              </w:rPr>
            </w:pPr>
            <w:r>
              <w:rPr>
                <w:rFonts w:ascii="Verdana" w:cs="Verdana" w:eastAsia="Verdana" w:hAnsi="Verdana"/>
                <w:sz w:val="13"/>
                <w:szCs w:val="13"/>
                <w:color w:val="auto"/>
                <w:w w:val="99"/>
              </w:rPr>
              <w:t>0.10 %</w:t>
            </w:r>
          </w:p>
        </w:tc>
        <w:tc>
          <w:tcPr>
            <w:tcW w:w="0" w:type="dxa"/>
            <w:vAlign w:val="bottom"/>
          </w:tcPr>
          <w:p>
            <w:pPr>
              <w:spacing w:after="0"/>
              <w:rPr>
                <w:sz w:val="1"/>
                <w:szCs w:val="1"/>
                <w:color w:val="auto"/>
              </w:rPr>
            </w:pPr>
          </w:p>
        </w:tc>
      </w:tr>
      <w:tr>
        <w:trPr>
          <w:trHeight w:val="176"/>
        </w:trPr>
        <w:tc>
          <w:tcPr>
            <w:tcW w:w="25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repurchase agreements</w:t>
            </w:r>
          </w:p>
        </w:tc>
        <w:tc>
          <w:tcPr>
            <w:tcW w:w="16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180"/>
              <w:spacing w:after="0" w:line="176" w:lineRule="exact"/>
              <w:rPr>
                <w:sz w:val="20"/>
                <w:szCs w:val="20"/>
                <w:color w:val="auto"/>
              </w:rPr>
            </w:pPr>
            <w:r>
              <w:rPr>
                <w:rFonts w:ascii="Verdana" w:cs="Verdana" w:eastAsia="Verdana" w:hAnsi="Verdana"/>
                <w:sz w:val="13"/>
                <w:szCs w:val="13"/>
                <w:color w:val="auto"/>
              </w:rPr>
              <w:t>Borrowings</w:t>
            </w:r>
            <w:r>
              <w:rPr>
                <w:rFonts w:ascii="Verdana" w:cs="Verdana" w:eastAsia="Verdana" w:hAnsi="Verdana"/>
                <w:sz w:val="16"/>
                <w:szCs w:val="16"/>
                <w:color w:val="auto"/>
                <w:vertAlign w:val="superscript"/>
              </w:rPr>
              <w:t>4</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500,301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26,881</w:t>
            </w:r>
          </w:p>
        </w:tc>
        <w:tc>
          <w:tcPr>
            <w:tcW w:w="8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Verdana" w:cs="Verdana" w:eastAsia="Verdana" w:hAnsi="Verdana"/>
                <w:sz w:val="13"/>
                <w:szCs w:val="13"/>
                <w:color w:val="auto"/>
                <w:w w:val="99"/>
              </w:rPr>
              <w:t>5.37 %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309,175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15,932</w:t>
            </w: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Verdana" w:cs="Verdana" w:eastAsia="Verdana" w:hAnsi="Verdana"/>
                <w:sz w:val="13"/>
                <w:szCs w:val="13"/>
                <w:color w:val="auto"/>
                <w:w w:val="99"/>
              </w:rPr>
              <w:t>5.15 %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268,767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12,452</w:t>
            </w:r>
          </w:p>
        </w:tc>
        <w:tc>
          <w:tcPr>
            <w:tcW w:w="8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Verdana" w:cs="Verdana" w:eastAsia="Verdana" w:hAnsi="Verdana"/>
                <w:sz w:val="13"/>
                <w:szCs w:val="13"/>
                <w:color w:val="auto"/>
                <w:w w:val="99"/>
              </w:rPr>
              <w:t>4.63 %</w:t>
            </w:r>
          </w:p>
        </w:tc>
        <w:tc>
          <w:tcPr>
            <w:tcW w:w="0" w:type="dxa"/>
            <w:vAlign w:val="bottom"/>
          </w:tcPr>
          <w:p>
            <w:pPr>
              <w:spacing w:after="0"/>
              <w:rPr>
                <w:sz w:val="1"/>
                <w:szCs w:val="1"/>
                <w:color w:val="auto"/>
              </w:rPr>
            </w:pPr>
          </w:p>
        </w:tc>
      </w:tr>
      <w:tr>
        <w:trPr>
          <w:trHeight w:val="121"/>
        </w:trPr>
        <w:tc>
          <w:tcPr>
            <w:tcW w:w="2540" w:type="dxa"/>
            <w:vAlign w:val="bottom"/>
            <w:shd w:val="clear" w:color="auto" w:fill="E0E7ED"/>
          </w:tcPr>
          <w:p>
            <w:pPr>
              <w:ind w:left="180"/>
              <w:spacing w:after="0" w:line="122" w:lineRule="exact"/>
              <w:rPr>
                <w:sz w:val="20"/>
                <w:szCs w:val="20"/>
                <w:color w:val="auto"/>
              </w:rPr>
            </w:pPr>
            <w:r>
              <w:rPr>
                <w:rFonts w:ascii="Verdana" w:cs="Verdana" w:eastAsia="Verdana" w:hAnsi="Verdana"/>
                <w:sz w:val="13"/>
                <w:szCs w:val="13"/>
                <w:color w:val="auto"/>
              </w:rPr>
              <w:t>Junior subordinated debt issued to</w:t>
            </w:r>
          </w:p>
        </w:tc>
        <w:tc>
          <w:tcPr>
            <w:tcW w:w="160" w:type="dxa"/>
            <w:vAlign w:val="bottom"/>
            <w:shd w:val="clear" w:color="auto" w:fill="E0E7ED"/>
          </w:tcPr>
          <w:p>
            <w:pPr>
              <w:spacing w:after="0"/>
              <w:rPr>
                <w:sz w:val="10"/>
                <w:szCs w:val="10"/>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71,894</w:t>
            </w:r>
          </w:p>
        </w:tc>
        <w:tc>
          <w:tcPr>
            <w:tcW w:w="80" w:type="dxa"/>
            <w:vAlign w:val="bottom"/>
            <w:shd w:val="clear" w:color="auto" w:fill="E0E7ED"/>
          </w:tcPr>
          <w:p>
            <w:pPr>
              <w:spacing w:after="0"/>
              <w:rPr>
                <w:sz w:val="10"/>
                <w:szCs w:val="10"/>
                <w:color w:val="auto"/>
              </w:rPr>
            </w:pPr>
          </w:p>
        </w:tc>
        <w:tc>
          <w:tcPr>
            <w:tcW w:w="120" w:type="dxa"/>
            <w:vAlign w:val="bottom"/>
            <w:shd w:val="clear" w:color="auto" w:fill="E0E7ED"/>
          </w:tcPr>
          <w:p>
            <w:pPr>
              <w:spacing w:after="0"/>
              <w:rPr>
                <w:sz w:val="10"/>
                <w:szCs w:val="10"/>
                <w:color w:val="auto"/>
              </w:rPr>
            </w:pPr>
          </w:p>
        </w:tc>
        <w:tc>
          <w:tcPr>
            <w:tcW w:w="9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3,853</w:t>
            </w:r>
          </w:p>
        </w:tc>
        <w:tc>
          <w:tcPr>
            <w:tcW w:w="80" w:type="dxa"/>
            <w:vAlign w:val="bottom"/>
            <w:shd w:val="clear" w:color="auto" w:fill="E0E7ED"/>
          </w:tcPr>
          <w:p>
            <w:pPr>
              <w:spacing w:after="0"/>
              <w:rPr>
                <w:sz w:val="10"/>
                <w:szCs w:val="10"/>
                <w:color w:val="auto"/>
              </w:rPr>
            </w:pPr>
          </w:p>
        </w:tc>
        <w:tc>
          <w:tcPr>
            <w:tcW w:w="620" w:type="dxa"/>
            <w:vAlign w:val="bottom"/>
            <w:vMerge w:val="restart"/>
            <w:shd w:val="clear" w:color="auto" w:fill="E0E7ED"/>
          </w:tcPr>
          <w:p>
            <w:pPr>
              <w:ind w:left="120"/>
              <w:spacing w:after="0"/>
              <w:rPr>
                <w:sz w:val="20"/>
                <w:szCs w:val="20"/>
                <w:color w:val="auto"/>
              </w:rPr>
            </w:pPr>
            <w:r>
              <w:rPr>
                <w:rFonts w:ascii="Verdana" w:cs="Verdana" w:eastAsia="Verdana" w:hAnsi="Verdana"/>
                <w:sz w:val="13"/>
                <w:szCs w:val="13"/>
                <w:color w:val="auto"/>
                <w:w w:val="99"/>
              </w:rPr>
              <w:t>5.36 %</w:t>
            </w:r>
          </w:p>
        </w:tc>
        <w:tc>
          <w:tcPr>
            <w:tcW w:w="80" w:type="dxa"/>
            <w:vAlign w:val="bottom"/>
            <w:shd w:val="clear" w:color="auto" w:fill="E0E7ED"/>
          </w:tcPr>
          <w:p>
            <w:pPr>
              <w:spacing w:after="0"/>
              <w:rPr>
                <w:sz w:val="10"/>
                <w:szCs w:val="10"/>
                <w:color w:val="auto"/>
              </w:rPr>
            </w:pPr>
          </w:p>
        </w:tc>
        <w:tc>
          <w:tcPr>
            <w:tcW w:w="160" w:type="dxa"/>
            <w:vAlign w:val="bottom"/>
            <w:shd w:val="clear" w:color="auto" w:fill="E0E7ED"/>
          </w:tcPr>
          <w:p>
            <w:pPr>
              <w:spacing w:after="0"/>
              <w:rPr>
                <w:sz w:val="10"/>
                <w:szCs w:val="10"/>
                <w:color w:val="auto"/>
              </w:rPr>
            </w:pPr>
          </w:p>
        </w:tc>
        <w:tc>
          <w:tcPr>
            <w:tcW w:w="9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71,716</w:t>
            </w:r>
          </w:p>
        </w:tc>
        <w:tc>
          <w:tcPr>
            <w:tcW w:w="8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90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3,029</w:t>
            </w:r>
          </w:p>
        </w:tc>
        <w:tc>
          <w:tcPr>
            <w:tcW w:w="80" w:type="dxa"/>
            <w:vAlign w:val="bottom"/>
            <w:shd w:val="clear" w:color="auto" w:fill="E0E7ED"/>
          </w:tcPr>
          <w:p>
            <w:pPr>
              <w:spacing w:after="0"/>
              <w:rPr>
                <w:sz w:val="10"/>
                <w:szCs w:val="10"/>
                <w:color w:val="auto"/>
              </w:rPr>
            </w:pPr>
          </w:p>
        </w:tc>
        <w:tc>
          <w:tcPr>
            <w:tcW w:w="640" w:type="dxa"/>
            <w:vAlign w:val="bottom"/>
            <w:vMerge w:val="restart"/>
            <w:shd w:val="clear" w:color="auto" w:fill="E0E7ED"/>
          </w:tcPr>
          <w:p>
            <w:pPr>
              <w:ind w:left="140"/>
              <w:spacing w:after="0"/>
              <w:rPr>
                <w:sz w:val="20"/>
                <w:szCs w:val="20"/>
                <w:color w:val="auto"/>
              </w:rPr>
            </w:pPr>
            <w:r>
              <w:rPr>
                <w:rFonts w:ascii="Verdana" w:cs="Verdana" w:eastAsia="Verdana" w:hAnsi="Verdana"/>
                <w:sz w:val="13"/>
                <w:szCs w:val="13"/>
                <w:color w:val="auto"/>
                <w:w w:val="99"/>
              </w:rPr>
              <w:t>4.22 %</w:t>
            </w:r>
          </w:p>
        </w:tc>
        <w:tc>
          <w:tcPr>
            <w:tcW w:w="80" w:type="dxa"/>
            <w:vAlign w:val="bottom"/>
            <w:shd w:val="clear" w:color="auto" w:fill="E0E7ED"/>
          </w:tcPr>
          <w:p>
            <w:pPr>
              <w:spacing w:after="0"/>
              <w:rPr>
                <w:sz w:val="10"/>
                <w:szCs w:val="10"/>
                <w:color w:val="auto"/>
              </w:rPr>
            </w:pPr>
          </w:p>
        </w:tc>
        <w:tc>
          <w:tcPr>
            <w:tcW w:w="160" w:type="dxa"/>
            <w:vAlign w:val="bottom"/>
            <w:shd w:val="clear" w:color="auto" w:fill="E0E7ED"/>
          </w:tcPr>
          <w:p>
            <w:pPr>
              <w:spacing w:after="0"/>
              <w:rPr>
                <w:sz w:val="10"/>
                <w:szCs w:val="10"/>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71,545</w:t>
            </w:r>
          </w:p>
        </w:tc>
        <w:tc>
          <w:tcPr>
            <w:tcW w:w="80" w:type="dxa"/>
            <w:vAlign w:val="bottom"/>
            <w:shd w:val="clear" w:color="auto" w:fill="E0E7ED"/>
          </w:tcPr>
          <w:p>
            <w:pPr>
              <w:spacing w:after="0"/>
              <w:rPr>
                <w:sz w:val="10"/>
                <w:szCs w:val="10"/>
                <w:color w:val="auto"/>
              </w:rPr>
            </w:pPr>
          </w:p>
        </w:tc>
        <w:tc>
          <w:tcPr>
            <w:tcW w:w="120" w:type="dxa"/>
            <w:vAlign w:val="bottom"/>
            <w:shd w:val="clear" w:color="auto" w:fill="E0E7ED"/>
          </w:tcPr>
          <w:p>
            <w:pPr>
              <w:spacing w:after="0"/>
              <w:rPr>
                <w:sz w:val="10"/>
                <w:szCs w:val="10"/>
                <w:color w:val="auto"/>
              </w:rPr>
            </w:pPr>
          </w:p>
        </w:tc>
        <w:tc>
          <w:tcPr>
            <w:tcW w:w="9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2,840</w:t>
            </w:r>
          </w:p>
        </w:tc>
        <w:tc>
          <w:tcPr>
            <w:tcW w:w="80" w:type="dxa"/>
            <w:vAlign w:val="bottom"/>
            <w:shd w:val="clear" w:color="auto" w:fill="E0E7ED"/>
          </w:tcPr>
          <w:p>
            <w:pPr>
              <w:spacing w:after="0"/>
              <w:rPr>
                <w:sz w:val="10"/>
                <w:szCs w:val="10"/>
                <w:color w:val="auto"/>
              </w:rPr>
            </w:pPr>
          </w:p>
        </w:tc>
        <w:tc>
          <w:tcPr>
            <w:tcW w:w="620" w:type="dxa"/>
            <w:vAlign w:val="bottom"/>
            <w:vMerge w:val="restart"/>
            <w:shd w:val="clear" w:color="auto" w:fill="E0E7ED"/>
          </w:tcPr>
          <w:p>
            <w:pPr>
              <w:ind w:left="120"/>
              <w:spacing w:after="0"/>
              <w:rPr>
                <w:sz w:val="20"/>
                <w:szCs w:val="20"/>
                <w:color w:val="auto"/>
              </w:rPr>
            </w:pPr>
            <w:r>
              <w:rPr>
                <w:rFonts w:ascii="Verdana" w:cs="Verdana" w:eastAsia="Verdana" w:hAnsi="Verdana"/>
                <w:sz w:val="13"/>
                <w:szCs w:val="13"/>
                <w:color w:val="auto"/>
                <w:w w:val="99"/>
              </w:rPr>
              <w:t>3.97 %</w:t>
            </w:r>
          </w:p>
        </w:tc>
        <w:tc>
          <w:tcPr>
            <w:tcW w:w="0" w:type="dxa"/>
            <w:vAlign w:val="bottom"/>
          </w:tcPr>
          <w:p>
            <w:pPr>
              <w:spacing w:after="0"/>
              <w:rPr>
                <w:sz w:val="1"/>
                <w:szCs w:val="1"/>
                <w:color w:val="auto"/>
              </w:rPr>
            </w:pPr>
          </w:p>
        </w:tc>
      </w:tr>
      <w:tr>
        <w:trPr>
          <w:trHeight w:val="170"/>
        </w:trPr>
        <w:tc>
          <w:tcPr>
            <w:tcW w:w="25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unconsolidated trusts</w:t>
            </w:r>
          </w:p>
        </w:tc>
        <w:tc>
          <w:tcPr>
            <w:tcW w:w="160" w:type="dxa"/>
            <w:vAlign w:val="bottom"/>
            <w:tcBorders>
              <w:bottom w:val="single" w:sz="8" w:color="auto"/>
            </w:tcBorders>
            <w:shd w:val="clear" w:color="auto" w:fill="E0E7ED"/>
          </w:tcPr>
          <w:p>
            <w:pPr>
              <w:spacing w:after="0"/>
              <w:rPr>
                <w:sz w:val="14"/>
                <w:szCs w:val="14"/>
                <w:color w:val="auto"/>
              </w:rPr>
            </w:pPr>
          </w:p>
        </w:tc>
        <w:tc>
          <w:tcPr>
            <w:tcW w:w="880" w:type="dxa"/>
            <w:vAlign w:val="bottom"/>
            <w:tcBorders>
              <w:bottom w:val="single" w:sz="8" w:color="auto"/>
            </w:tcBorders>
            <w:vMerge w:val="continue"/>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20" w:type="dxa"/>
            <w:vAlign w:val="bottom"/>
            <w:tcBorders>
              <w:bottom w:val="single" w:sz="8" w:color="auto"/>
            </w:tcBorders>
            <w:shd w:val="clear" w:color="auto" w:fill="E0E7ED"/>
          </w:tcPr>
          <w:p>
            <w:pPr>
              <w:spacing w:after="0"/>
              <w:rPr>
                <w:sz w:val="14"/>
                <w:szCs w:val="14"/>
                <w:color w:val="auto"/>
              </w:rPr>
            </w:pPr>
          </w:p>
        </w:tc>
        <w:tc>
          <w:tcPr>
            <w:tcW w:w="900" w:type="dxa"/>
            <w:vAlign w:val="bottom"/>
            <w:tcBorders>
              <w:bottom w:val="single" w:sz="8" w:color="auto"/>
            </w:tcBorders>
            <w:vMerge w:val="continue"/>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620" w:type="dxa"/>
            <w:vAlign w:val="bottom"/>
            <w:tcBorders>
              <w:bottom w:val="single" w:sz="8" w:color="auto"/>
            </w:tcBorders>
            <w:vMerge w:val="continue"/>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60" w:type="dxa"/>
            <w:vAlign w:val="bottom"/>
            <w:tcBorders>
              <w:bottom w:val="single" w:sz="8" w:color="auto"/>
            </w:tcBorders>
            <w:shd w:val="clear" w:color="auto" w:fill="E0E7ED"/>
          </w:tcPr>
          <w:p>
            <w:pPr>
              <w:spacing w:after="0"/>
              <w:rPr>
                <w:sz w:val="14"/>
                <w:szCs w:val="14"/>
                <w:color w:val="auto"/>
              </w:rPr>
            </w:pPr>
          </w:p>
        </w:tc>
        <w:tc>
          <w:tcPr>
            <w:tcW w:w="900" w:type="dxa"/>
            <w:vAlign w:val="bottom"/>
            <w:tcBorders>
              <w:bottom w:val="single" w:sz="8" w:color="auto"/>
            </w:tcBorders>
            <w:vMerge w:val="continue"/>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00" w:type="dxa"/>
            <w:vAlign w:val="bottom"/>
            <w:tcBorders>
              <w:bottom w:val="single" w:sz="8" w:color="auto"/>
            </w:tcBorders>
            <w:shd w:val="clear" w:color="auto" w:fill="E0E7ED"/>
          </w:tcPr>
          <w:p>
            <w:pPr>
              <w:spacing w:after="0"/>
              <w:rPr>
                <w:sz w:val="14"/>
                <w:szCs w:val="14"/>
                <w:color w:val="auto"/>
              </w:rPr>
            </w:pPr>
          </w:p>
        </w:tc>
        <w:tc>
          <w:tcPr>
            <w:tcW w:w="900" w:type="dxa"/>
            <w:vAlign w:val="bottom"/>
            <w:tcBorders>
              <w:bottom w:val="single" w:sz="8" w:color="auto"/>
            </w:tcBorders>
            <w:vMerge w:val="continue"/>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640" w:type="dxa"/>
            <w:vAlign w:val="bottom"/>
            <w:tcBorders>
              <w:bottom w:val="single" w:sz="8" w:color="auto"/>
            </w:tcBorders>
            <w:vMerge w:val="continue"/>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60" w:type="dxa"/>
            <w:vAlign w:val="bottom"/>
            <w:tcBorders>
              <w:bottom w:val="single" w:sz="8" w:color="auto"/>
            </w:tcBorders>
            <w:shd w:val="clear" w:color="auto" w:fill="E0E7ED"/>
          </w:tcPr>
          <w:p>
            <w:pPr>
              <w:spacing w:after="0"/>
              <w:rPr>
                <w:sz w:val="14"/>
                <w:szCs w:val="14"/>
                <w:color w:val="auto"/>
              </w:rPr>
            </w:pPr>
          </w:p>
        </w:tc>
        <w:tc>
          <w:tcPr>
            <w:tcW w:w="880" w:type="dxa"/>
            <w:vAlign w:val="bottom"/>
            <w:tcBorders>
              <w:bottom w:val="single" w:sz="8" w:color="auto"/>
            </w:tcBorders>
            <w:vMerge w:val="continue"/>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20" w:type="dxa"/>
            <w:vAlign w:val="bottom"/>
            <w:tcBorders>
              <w:bottom w:val="single" w:sz="8" w:color="auto"/>
            </w:tcBorders>
            <w:shd w:val="clear" w:color="auto" w:fill="E0E7ED"/>
          </w:tcPr>
          <w:p>
            <w:pPr>
              <w:spacing w:after="0"/>
              <w:rPr>
                <w:sz w:val="14"/>
                <w:szCs w:val="14"/>
                <w:color w:val="auto"/>
              </w:rPr>
            </w:pPr>
          </w:p>
        </w:tc>
        <w:tc>
          <w:tcPr>
            <w:tcW w:w="900" w:type="dxa"/>
            <w:vAlign w:val="bottom"/>
            <w:tcBorders>
              <w:bottom w:val="single" w:sz="8" w:color="auto"/>
            </w:tcBorders>
            <w:vMerge w:val="continue"/>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620" w:type="dxa"/>
            <w:vAlign w:val="bottom"/>
            <w:tcBorders>
              <w:bottom w:val="single" w:sz="8" w:color="auto"/>
            </w:tcBorders>
            <w:vMerge w:val="continue"/>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40" w:type="dxa"/>
            <w:vAlign w:val="bottom"/>
          </w:tcPr>
          <w:p>
            <w:pPr>
              <w:ind w:left="180"/>
              <w:spacing w:after="0"/>
              <w:rPr>
                <w:sz w:val="20"/>
                <w:szCs w:val="20"/>
                <w:color w:val="auto"/>
              </w:rPr>
            </w:pPr>
            <w:r>
              <w:rPr>
                <w:rFonts w:ascii="Verdana" w:cs="Verdana" w:eastAsia="Verdana" w:hAnsi="Verdana"/>
                <w:sz w:val="13"/>
                <w:szCs w:val="13"/>
                <w:color w:val="auto"/>
              </w:rPr>
              <w:t>Total interest-bearing liabilities</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7,825,459</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159,922</w:t>
            </w:r>
          </w:p>
        </w:tc>
        <w:tc>
          <w:tcPr>
            <w:tcW w:w="8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Verdana" w:cs="Verdana" w:eastAsia="Verdana" w:hAnsi="Verdana"/>
                <w:sz w:val="13"/>
                <w:szCs w:val="13"/>
                <w:color w:val="auto"/>
                <w:w w:val="99"/>
              </w:rPr>
              <w:t>2.04 %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7,583,331</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36,548</w:t>
            </w: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Verdana" w:cs="Verdana" w:eastAsia="Verdana" w:hAnsi="Verdana"/>
                <w:sz w:val="13"/>
                <w:szCs w:val="13"/>
                <w:color w:val="auto"/>
                <w:w w:val="99"/>
              </w:rPr>
              <w:t>0.48 %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7,312,409</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28,102</w:t>
            </w:r>
          </w:p>
        </w:tc>
        <w:tc>
          <w:tcPr>
            <w:tcW w:w="8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Verdana" w:cs="Verdana" w:eastAsia="Verdana" w:hAnsi="Verdana"/>
                <w:sz w:val="13"/>
                <w:szCs w:val="13"/>
                <w:color w:val="auto"/>
                <w:w w:val="99"/>
              </w:rPr>
              <w:t>0.38 %</w:t>
            </w:r>
          </w:p>
        </w:tc>
        <w:tc>
          <w:tcPr>
            <w:tcW w:w="0" w:type="dxa"/>
            <w:vAlign w:val="bottom"/>
          </w:tcPr>
          <w:p>
            <w:pPr>
              <w:spacing w:after="0"/>
              <w:rPr>
                <w:sz w:val="1"/>
                <w:szCs w:val="1"/>
                <w:color w:val="auto"/>
              </w:rPr>
            </w:pPr>
          </w:p>
        </w:tc>
      </w:tr>
      <w:tr>
        <w:trPr>
          <w:trHeight w:val="20"/>
        </w:trPr>
        <w:tc>
          <w:tcPr>
            <w:tcW w:w="254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8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6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90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6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8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62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8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6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9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6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8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62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180"/>
              <w:spacing w:after="0" w:line="176" w:lineRule="exact"/>
              <w:rPr>
                <w:sz w:val="20"/>
                <w:szCs w:val="20"/>
                <w:color w:val="auto"/>
              </w:rPr>
            </w:pPr>
            <w:r>
              <w:rPr>
                <w:rFonts w:ascii="Verdana" w:cs="Verdana" w:eastAsia="Verdana" w:hAnsi="Verdana"/>
                <w:sz w:val="13"/>
                <w:szCs w:val="13"/>
                <w:color w:val="auto"/>
              </w:rPr>
              <w:t>Net interest spread</w:t>
            </w:r>
            <w:r>
              <w:rPr>
                <w:rFonts w:ascii="Verdana" w:cs="Verdana" w:eastAsia="Verdana" w:hAnsi="Verdana"/>
                <w:sz w:val="16"/>
                <w:szCs w:val="16"/>
                <w:color w:val="auto"/>
                <w:vertAlign w:val="superscript"/>
              </w:rPr>
              <w:t>1</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ind w:left="120"/>
              <w:spacing w:after="0"/>
              <w:rPr>
                <w:sz w:val="20"/>
                <w:szCs w:val="20"/>
                <w:color w:val="auto"/>
              </w:rPr>
            </w:pPr>
            <w:r>
              <w:rPr>
                <w:rFonts w:ascii="Verdana" w:cs="Verdana" w:eastAsia="Verdana" w:hAnsi="Verdana"/>
                <w:sz w:val="13"/>
                <w:szCs w:val="13"/>
                <w:color w:val="auto"/>
                <w:w w:val="99"/>
              </w:rPr>
              <w:t>2.27 %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Verdana" w:cs="Verdana" w:eastAsia="Verdana" w:hAnsi="Verdana"/>
                <w:sz w:val="13"/>
                <w:szCs w:val="13"/>
                <w:color w:val="auto"/>
                <w:w w:val="99"/>
              </w:rPr>
              <w:t>2.68 %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ind w:left="120"/>
              <w:spacing w:after="0"/>
              <w:rPr>
                <w:sz w:val="20"/>
                <w:szCs w:val="20"/>
                <w:color w:val="auto"/>
              </w:rPr>
            </w:pPr>
            <w:r>
              <w:rPr>
                <w:rFonts w:ascii="Verdana" w:cs="Verdana" w:eastAsia="Verdana" w:hAnsi="Verdana"/>
                <w:sz w:val="13"/>
                <w:szCs w:val="13"/>
                <w:color w:val="auto"/>
                <w:w w:val="99"/>
              </w:rPr>
              <w:t>2.36 %</w:t>
            </w:r>
          </w:p>
        </w:tc>
        <w:tc>
          <w:tcPr>
            <w:tcW w:w="0" w:type="dxa"/>
            <w:vAlign w:val="bottom"/>
          </w:tcPr>
          <w:p>
            <w:pPr>
              <w:spacing w:after="0"/>
              <w:rPr>
                <w:sz w:val="1"/>
                <w:szCs w:val="1"/>
                <w:color w:val="auto"/>
              </w:rPr>
            </w:pPr>
          </w:p>
        </w:tc>
      </w:tr>
      <w:tr>
        <w:trPr>
          <w:trHeight w:val="20"/>
        </w:trPr>
        <w:tc>
          <w:tcPr>
            <w:tcW w:w="254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8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E0E7ED"/>
            </w:tcBorders>
          </w:tcPr>
          <w:p>
            <w:pPr>
              <w:spacing w:after="0" w:line="20" w:lineRule="exact"/>
              <w:rPr>
                <w:sz w:val="1"/>
                <w:szCs w:val="1"/>
                <w:color w:val="auto"/>
              </w:rPr>
            </w:pPr>
          </w:p>
        </w:tc>
        <w:tc>
          <w:tcPr>
            <w:tcW w:w="90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90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90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8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E0E7ED"/>
            </w:tcBorders>
          </w:tcPr>
          <w:p>
            <w:pPr>
              <w:spacing w:after="0" w:line="20" w:lineRule="exact"/>
              <w:rPr>
                <w:sz w:val="1"/>
                <w:szCs w:val="1"/>
                <w:color w:val="auto"/>
              </w:rPr>
            </w:pPr>
          </w:p>
        </w:tc>
        <w:tc>
          <w:tcPr>
            <w:tcW w:w="90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4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8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6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9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6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8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62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540" w:type="dxa"/>
            <w:vAlign w:val="bottom"/>
          </w:tcPr>
          <w:p>
            <w:pPr>
              <w:ind w:left="180"/>
              <w:spacing w:after="0"/>
              <w:rPr>
                <w:sz w:val="20"/>
                <w:szCs w:val="20"/>
                <w:color w:val="auto"/>
              </w:rPr>
            </w:pPr>
            <w:r>
              <w:rPr>
                <w:rFonts w:ascii="Verdana" w:cs="Verdana" w:eastAsia="Verdana" w:hAnsi="Verdana"/>
                <w:sz w:val="13"/>
                <w:szCs w:val="13"/>
                <w:color w:val="auto"/>
              </w:rPr>
              <w:t>Noninterest-bearing deposits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3,018,563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3,550,517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3,142,155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liabilities</w:t>
            </w: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204,685</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163,929</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125,509</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4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Stockholders’ equity</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1,197,511</w:t>
            </w:r>
          </w:p>
        </w:tc>
        <w:tc>
          <w:tcPr>
            <w:tcW w:w="80" w:type="dxa"/>
            <w:vAlign w:val="bottom"/>
            <w:tcBorders>
              <w:bottom w:val="single" w:sz="8" w:color="E0E7ED"/>
            </w:tcBorders>
          </w:tcPr>
          <w:p>
            <w:pPr>
              <w:spacing w:after="0"/>
              <w:rPr>
                <w:sz w:val="14"/>
                <w:szCs w:val="14"/>
                <w:color w:val="auto"/>
              </w:rPr>
            </w:pPr>
          </w:p>
        </w:tc>
        <w:tc>
          <w:tcPr>
            <w:tcW w:w="120" w:type="dxa"/>
            <w:vAlign w:val="bottom"/>
            <w:tcBorders>
              <w:bottom w:val="single" w:sz="8" w:color="E0E7ED"/>
            </w:tcBorders>
          </w:tcPr>
          <w:p>
            <w:pPr>
              <w:spacing w:after="0"/>
              <w:rPr>
                <w:sz w:val="14"/>
                <w:szCs w:val="14"/>
                <w:color w:val="auto"/>
              </w:rPr>
            </w:pPr>
          </w:p>
        </w:tc>
        <w:tc>
          <w:tcPr>
            <w:tcW w:w="90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62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1,195,171</w:t>
            </w:r>
          </w:p>
        </w:tc>
        <w:tc>
          <w:tcPr>
            <w:tcW w:w="8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90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64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1,324,862</w:t>
            </w:r>
          </w:p>
        </w:tc>
        <w:tc>
          <w:tcPr>
            <w:tcW w:w="80" w:type="dxa"/>
            <w:vAlign w:val="bottom"/>
            <w:tcBorders>
              <w:bottom w:val="single" w:sz="8" w:color="E0E7ED"/>
            </w:tcBorders>
          </w:tcPr>
          <w:p>
            <w:pPr>
              <w:spacing w:after="0"/>
              <w:rPr>
                <w:sz w:val="14"/>
                <w:szCs w:val="14"/>
                <w:color w:val="auto"/>
              </w:rPr>
            </w:pPr>
          </w:p>
        </w:tc>
        <w:tc>
          <w:tcPr>
            <w:tcW w:w="120" w:type="dxa"/>
            <w:vAlign w:val="bottom"/>
            <w:tcBorders>
              <w:bottom w:val="single" w:sz="8" w:color="E0E7ED"/>
            </w:tcBorders>
          </w:tcPr>
          <w:p>
            <w:pPr>
              <w:spacing w:after="0"/>
              <w:rPr>
                <w:sz w:val="14"/>
                <w:szCs w:val="14"/>
                <w:color w:val="auto"/>
              </w:rPr>
            </w:pPr>
          </w:p>
        </w:tc>
        <w:tc>
          <w:tcPr>
            <w:tcW w:w="90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62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5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w w:val="96"/>
              </w:rPr>
              <w:t>Total liabilities and stockholders’ equity</w:t>
            </w: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12,246,218</w:t>
            </w:r>
          </w:p>
        </w:tc>
        <w:tc>
          <w:tcPr>
            <w:tcW w:w="8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E0E7ED"/>
            </w:tcBorders>
            <w:shd w:val="clear" w:color="auto" w:fill="E0E7ED"/>
          </w:tcPr>
          <w:p>
            <w:pPr>
              <w:spacing w:after="0"/>
              <w:rPr>
                <w:sz w:val="16"/>
                <w:szCs w:val="16"/>
                <w:color w:val="auto"/>
              </w:rPr>
            </w:pPr>
          </w:p>
        </w:tc>
        <w:tc>
          <w:tcPr>
            <w:tcW w:w="90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62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12,492,948</w:t>
            </w:r>
          </w:p>
        </w:tc>
        <w:tc>
          <w:tcPr>
            <w:tcW w:w="8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90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64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71"/>
              </w:rPr>
              <w:t>$</w:t>
            </w:r>
          </w:p>
        </w:tc>
        <w:tc>
          <w:tcPr>
            <w:tcW w:w="8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11,904,935</w:t>
            </w:r>
          </w:p>
        </w:tc>
        <w:tc>
          <w:tcPr>
            <w:tcW w:w="8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E0E7ED"/>
            </w:tcBorders>
            <w:shd w:val="clear" w:color="auto" w:fill="E0E7ED"/>
          </w:tcPr>
          <w:p>
            <w:pPr>
              <w:spacing w:after="0"/>
              <w:rPr>
                <w:sz w:val="16"/>
                <w:szCs w:val="16"/>
                <w:color w:val="auto"/>
              </w:rPr>
            </w:pPr>
          </w:p>
        </w:tc>
        <w:tc>
          <w:tcPr>
            <w:tcW w:w="90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62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2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E0E7ED"/>
          </w:tcPr>
          <w:p>
            <w:pPr>
              <w:ind w:left="20"/>
              <w:spacing w:after="0" w:line="176" w:lineRule="exact"/>
              <w:rPr>
                <w:sz w:val="20"/>
                <w:szCs w:val="20"/>
                <w:color w:val="auto"/>
              </w:rPr>
            </w:pPr>
            <w:r>
              <w:rPr>
                <w:rFonts w:ascii="Verdana" w:cs="Verdana" w:eastAsia="Verdana" w:hAnsi="Verdana"/>
                <w:sz w:val="13"/>
                <w:szCs w:val="13"/>
                <w:color w:val="auto"/>
              </w:rPr>
              <w:t>Interest income / earning assets</w:t>
            </w:r>
            <w:r>
              <w:rPr>
                <w:rFonts w:ascii="Verdana" w:cs="Verdana" w:eastAsia="Verdana" w:hAnsi="Verdana"/>
                <w:sz w:val="16"/>
                <w:szCs w:val="16"/>
                <w:color w:val="auto"/>
                <w:vertAlign w:val="superscript"/>
              </w:rPr>
              <w:t>1, 3</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11,164,594</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481,546</w:t>
            </w: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ind w:left="120"/>
              <w:spacing w:after="0"/>
              <w:rPr>
                <w:sz w:val="20"/>
                <w:szCs w:val="20"/>
                <w:color w:val="auto"/>
              </w:rPr>
            </w:pPr>
            <w:r>
              <w:rPr>
                <w:rFonts w:ascii="Verdana" w:cs="Verdana" w:eastAsia="Verdana" w:hAnsi="Verdana"/>
                <w:sz w:val="13"/>
                <w:szCs w:val="13"/>
                <w:color w:val="auto"/>
                <w:w w:val="99"/>
              </w:rPr>
              <w:t>4.31 %</w:t>
            </w:r>
          </w:p>
        </w:tc>
        <w:tc>
          <w:tcPr>
            <w:tcW w:w="240" w:type="dxa"/>
            <w:vAlign w:val="bottom"/>
            <w:gridSpan w:val="2"/>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11,473,063</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362,185</w:t>
            </w:r>
          </w:p>
        </w:tc>
        <w:tc>
          <w:tcPr>
            <w:tcW w:w="80" w:type="dxa"/>
            <w:vAlign w:val="bottom"/>
            <w:shd w:val="clear" w:color="auto" w:fill="E0E7ED"/>
          </w:tcPr>
          <w:p>
            <w:pPr>
              <w:spacing w:after="0"/>
              <w:rPr>
                <w:sz w:val="15"/>
                <w:szCs w:val="15"/>
                <w:color w:val="auto"/>
              </w:rPr>
            </w:pPr>
          </w:p>
        </w:tc>
        <w:tc>
          <w:tcPr>
            <w:tcW w:w="640" w:type="dxa"/>
            <w:vAlign w:val="bottom"/>
            <w:shd w:val="clear" w:color="auto" w:fill="E0E7ED"/>
          </w:tcPr>
          <w:p>
            <w:pPr>
              <w:ind w:left="140"/>
              <w:spacing w:after="0"/>
              <w:rPr>
                <w:sz w:val="20"/>
                <w:szCs w:val="20"/>
                <w:color w:val="auto"/>
              </w:rPr>
            </w:pPr>
            <w:r>
              <w:rPr>
                <w:rFonts w:ascii="Verdana" w:cs="Verdana" w:eastAsia="Verdana" w:hAnsi="Verdana"/>
                <w:sz w:val="13"/>
                <w:szCs w:val="13"/>
                <w:color w:val="auto"/>
                <w:w w:val="99"/>
              </w:rPr>
              <w:t>3.16 %</w:t>
            </w:r>
          </w:p>
        </w:tc>
        <w:tc>
          <w:tcPr>
            <w:tcW w:w="240" w:type="dxa"/>
            <w:vAlign w:val="bottom"/>
            <w:gridSpan w:val="2"/>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10,978,116</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301,155</w:t>
            </w: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ind w:left="120"/>
              <w:spacing w:after="0"/>
              <w:rPr>
                <w:sz w:val="20"/>
                <w:szCs w:val="20"/>
                <w:color w:val="auto"/>
              </w:rPr>
            </w:pPr>
            <w:r>
              <w:rPr>
                <w:rFonts w:ascii="Verdana" w:cs="Verdana" w:eastAsia="Verdana" w:hAnsi="Verdana"/>
                <w:sz w:val="13"/>
                <w:szCs w:val="13"/>
                <w:color w:val="auto"/>
                <w:w w:val="99"/>
              </w:rPr>
              <w:t>2.74 %</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E0E7ED"/>
            </w:tcBorders>
          </w:tcPr>
          <w:p>
            <w:pPr>
              <w:ind w:left="20"/>
              <w:spacing w:after="0"/>
              <w:rPr>
                <w:sz w:val="20"/>
                <w:szCs w:val="20"/>
                <w:color w:val="auto"/>
              </w:rPr>
            </w:pPr>
            <w:r>
              <w:rPr>
                <w:rFonts w:ascii="Verdana" w:cs="Verdana" w:eastAsia="Verdana" w:hAnsi="Verdana"/>
                <w:sz w:val="13"/>
                <w:szCs w:val="13"/>
                <w:color w:val="auto"/>
              </w:rPr>
              <w:t>Interest expense / earning assets</w:t>
            </w:r>
          </w:p>
        </w:tc>
        <w:tc>
          <w:tcPr>
            <w:tcW w:w="160" w:type="dxa"/>
            <w:vAlign w:val="bottom"/>
            <w:tcBorders>
              <w:bottom w:val="single" w:sz="8" w:color="E0E7ED"/>
            </w:tcBorders>
          </w:tcPr>
          <w:p>
            <w:pPr>
              <w:spacing w:after="0"/>
              <w:rPr>
                <w:sz w:val="14"/>
                <w:szCs w:val="14"/>
                <w:color w:val="auto"/>
              </w:rPr>
            </w:pPr>
          </w:p>
        </w:tc>
        <w:tc>
          <w:tcPr>
            <w:tcW w:w="88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11,164,594</w:t>
            </w:r>
          </w:p>
        </w:tc>
        <w:tc>
          <w:tcPr>
            <w:tcW w:w="80" w:type="dxa"/>
            <w:vAlign w:val="bottom"/>
            <w:tcBorders>
              <w:bottom w:val="single" w:sz="8" w:color="E0E7ED"/>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159,922</w:t>
            </w:r>
          </w:p>
        </w:tc>
        <w:tc>
          <w:tcPr>
            <w:tcW w:w="80" w:type="dxa"/>
            <w:vAlign w:val="bottom"/>
            <w:tcBorders>
              <w:bottom w:val="single" w:sz="8" w:color="E0E7ED"/>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Verdana" w:cs="Verdana" w:eastAsia="Verdana" w:hAnsi="Verdana"/>
                <w:sz w:val="13"/>
                <w:szCs w:val="13"/>
                <w:color w:val="auto"/>
                <w:w w:val="99"/>
              </w:rPr>
              <w:t>1.43 %</w:t>
            </w:r>
          </w:p>
        </w:tc>
        <w:tc>
          <w:tcPr>
            <w:tcW w:w="80" w:type="dxa"/>
            <w:vAlign w:val="bottom"/>
            <w:tcBorders>
              <w:bottom w:val="single" w:sz="8" w:color="E0E7ED"/>
            </w:tcBorders>
          </w:tcPr>
          <w:p>
            <w:pPr>
              <w:spacing w:after="0"/>
              <w:rPr>
                <w:sz w:val="14"/>
                <w:szCs w:val="14"/>
                <w:color w:val="auto"/>
              </w:rPr>
            </w:pPr>
          </w:p>
        </w:tc>
        <w:tc>
          <w:tcPr>
            <w:tcW w:w="160" w:type="dxa"/>
            <w:vAlign w:val="bottom"/>
            <w:tcBorders>
              <w:bottom w:val="single" w:sz="8" w:color="E0E7ED"/>
            </w:tcBorders>
          </w:tcPr>
          <w:p>
            <w:pPr>
              <w:spacing w:after="0"/>
              <w:rPr>
                <w:sz w:val="14"/>
                <w:szCs w:val="14"/>
                <w:color w:val="auto"/>
              </w:rPr>
            </w:pPr>
          </w:p>
        </w:tc>
        <w:tc>
          <w:tcPr>
            <w:tcW w:w="900" w:type="dxa"/>
            <w:vAlign w:val="bottom"/>
            <w:tcBorders>
              <w:bottom w:val="single" w:sz="8" w:color="E0E7ED"/>
            </w:tcBorders>
          </w:tcPr>
          <w:p>
            <w:pPr>
              <w:jc w:val="right"/>
              <w:ind w:right="17"/>
              <w:spacing w:after="0"/>
              <w:rPr>
                <w:sz w:val="20"/>
                <w:szCs w:val="20"/>
                <w:color w:val="auto"/>
              </w:rPr>
            </w:pPr>
            <w:r>
              <w:rPr>
                <w:rFonts w:ascii="Verdana" w:cs="Verdana" w:eastAsia="Verdana" w:hAnsi="Verdana"/>
                <w:sz w:val="13"/>
                <w:szCs w:val="13"/>
                <w:color w:val="auto"/>
              </w:rPr>
              <w:t>11,473,063</w:t>
            </w:r>
          </w:p>
        </w:tc>
        <w:tc>
          <w:tcPr>
            <w:tcW w:w="80" w:type="dxa"/>
            <w:vAlign w:val="bottom"/>
            <w:tcBorders>
              <w:bottom w:val="single" w:sz="8" w:color="E0E7ED"/>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36,548</w:t>
            </w:r>
          </w:p>
        </w:tc>
        <w:tc>
          <w:tcPr>
            <w:tcW w:w="80" w:type="dxa"/>
            <w:vAlign w:val="bottom"/>
            <w:tcBorders>
              <w:bottom w:val="single" w:sz="8" w:color="E0E7ED"/>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Verdana" w:cs="Verdana" w:eastAsia="Verdana" w:hAnsi="Verdana"/>
                <w:sz w:val="13"/>
                <w:szCs w:val="13"/>
                <w:color w:val="auto"/>
                <w:w w:val="99"/>
              </w:rPr>
              <w:t>0.32 %</w:t>
            </w:r>
          </w:p>
        </w:tc>
        <w:tc>
          <w:tcPr>
            <w:tcW w:w="80" w:type="dxa"/>
            <w:vAlign w:val="bottom"/>
            <w:tcBorders>
              <w:bottom w:val="single" w:sz="8" w:color="E0E7ED"/>
            </w:tcBorders>
          </w:tcPr>
          <w:p>
            <w:pPr>
              <w:spacing w:after="0"/>
              <w:rPr>
                <w:sz w:val="14"/>
                <w:szCs w:val="14"/>
                <w:color w:val="auto"/>
              </w:rPr>
            </w:pPr>
          </w:p>
        </w:tc>
        <w:tc>
          <w:tcPr>
            <w:tcW w:w="160" w:type="dxa"/>
            <w:vAlign w:val="bottom"/>
            <w:tcBorders>
              <w:bottom w:val="single" w:sz="8" w:color="E0E7ED"/>
            </w:tcBorders>
          </w:tcPr>
          <w:p>
            <w:pPr>
              <w:spacing w:after="0"/>
              <w:rPr>
                <w:sz w:val="14"/>
                <w:szCs w:val="14"/>
                <w:color w:val="auto"/>
              </w:rPr>
            </w:pPr>
          </w:p>
        </w:tc>
        <w:tc>
          <w:tcPr>
            <w:tcW w:w="88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10,978,116</w:t>
            </w:r>
          </w:p>
        </w:tc>
        <w:tc>
          <w:tcPr>
            <w:tcW w:w="80" w:type="dxa"/>
            <w:vAlign w:val="bottom"/>
            <w:tcBorders>
              <w:bottom w:val="single" w:sz="8" w:color="E0E7ED"/>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28,102</w:t>
            </w:r>
          </w:p>
        </w:tc>
        <w:tc>
          <w:tcPr>
            <w:tcW w:w="80" w:type="dxa"/>
            <w:vAlign w:val="bottom"/>
            <w:tcBorders>
              <w:bottom w:val="single" w:sz="8" w:color="E0E7ED"/>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Verdana" w:cs="Verdana" w:eastAsia="Verdana" w:hAnsi="Verdana"/>
                <w:sz w:val="13"/>
                <w:szCs w:val="13"/>
                <w:color w:val="auto"/>
                <w:w w:val="99"/>
              </w:rPr>
              <w:t>0.25 %</w:t>
            </w:r>
          </w:p>
        </w:tc>
        <w:tc>
          <w:tcPr>
            <w:tcW w:w="0" w:type="dxa"/>
            <w:vAlign w:val="bottom"/>
          </w:tcPr>
          <w:p>
            <w:pPr>
              <w:spacing w:after="0"/>
              <w:rPr>
                <w:sz w:val="1"/>
                <w:szCs w:val="1"/>
                <w:color w:val="auto"/>
              </w:rPr>
            </w:pPr>
          </w:p>
        </w:tc>
      </w:tr>
      <w:tr>
        <w:trPr>
          <w:trHeight w:val="199"/>
        </w:trPr>
        <w:tc>
          <w:tcPr>
            <w:tcW w:w="2540" w:type="dxa"/>
            <w:vAlign w:val="bottom"/>
            <w:tcBorders>
              <w:bottom w:val="single" w:sz="8" w:color="E0E7ED"/>
            </w:tcBorders>
            <w:shd w:val="clear" w:color="auto" w:fill="E0E7ED"/>
          </w:tcPr>
          <w:p>
            <w:pPr>
              <w:ind w:left="20"/>
              <w:spacing w:after="0" w:line="175" w:lineRule="exact"/>
              <w:rPr>
                <w:sz w:val="20"/>
                <w:szCs w:val="20"/>
                <w:color w:val="auto"/>
              </w:rPr>
            </w:pPr>
            <w:r>
              <w:rPr>
                <w:rFonts w:ascii="Verdana" w:cs="Verdana" w:eastAsia="Verdana" w:hAnsi="Verdana"/>
                <w:sz w:val="13"/>
                <w:szCs w:val="13"/>
                <w:color w:val="auto"/>
              </w:rPr>
              <w:t>Net interest margin</w:t>
            </w:r>
            <w:r>
              <w:rPr>
                <w:rFonts w:ascii="Verdana" w:cs="Verdana" w:eastAsia="Verdana" w:hAnsi="Verdana"/>
                <w:sz w:val="16"/>
                <w:szCs w:val="16"/>
                <w:color w:val="auto"/>
                <w:vertAlign w:val="superscript"/>
              </w:rPr>
              <w:t>1</w:t>
            </w:r>
          </w:p>
        </w:tc>
        <w:tc>
          <w:tcPr>
            <w:tcW w:w="160" w:type="dxa"/>
            <w:vAlign w:val="bottom"/>
            <w:tcBorders>
              <w:bottom w:val="single" w:sz="8" w:color="E0E7ED"/>
            </w:tcBorders>
            <w:shd w:val="clear" w:color="auto" w:fill="E0E7ED"/>
          </w:tcPr>
          <w:p>
            <w:pPr>
              <w:spacing w:after="0"/>
              <w:rPr>
                <w:sz w:val="16"/>
                <w:szCs w:val="16"/>
                <w:color w:val="auto"/>
              </w:rPr>
            </w:pPr>
          </w:p>
        </w:tc>
        <w:tc>
          <w:tcPr>
            <w:tcW w:w="88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321,624</w:t>
            </w:r>
          </w:p>
        </w:tc>
        <w:tc>
          <w:tcPr>
            <w:tcW w:w="80" w:type="dxa"/>
            <w:vAlign w:val="bottom"/>
            <w:tcBorders>
              <w:bottom w:val="single" w:sz="8" w:color="E0E7ED"/>
            </w:tcBorders>
            <w:shd w:val="clear" w:color="auto" w:fill="E0E7ED"/>
          </w:tcPr>
          <w:p>
            <w:pPr>
              <w:spacing w:after="0"/>
              <w:rPr>
                <w:sz w:val="16"/>
                <w:szCs w:val="16"/>
                <w:color w:val="auto"/>
              </w:rPr>
            </w:pPr>
          </w:p>
        </w:tc>
        <w:tc>
          <w:tcPr>
            <w:tcW w:w="620" w:type="dxa"/>
            <w:vAlign w:val="bottom"/>
            <w:tcBorders>
              <w:bottom w:val="single" w:sz="8" w:color="auto"/>
            </w:tcBorders>
            <w:shd w:val="clear" w:color="auto" w:fill="E0E7ED"/>
          </w:tcPr>
          <w:p>
            <w:pPr>
              <w:ind w:left="120"/>
              <w:spacing w:after="0"/>
              <w:rPr>
                <w:sz w:val="20"/>
                <w:szCs w:val="20"/>
                <w:color w:val="auto"/>
              </w:rPr>
            </w:pPr>
            <w:r>
              <w:rPr>
                <w:rFonts w:ascii="Verdana" w:cs="Verdana" w:eastAsia="Verdana" w:hAnsi="Verdana"/>
                <w:sz w:val="13"/>
                <w:szCs w:val="13"/>
                <w:color w:val="auto"/>
                <w:w w:val="99"/>
              </w:rPr>
              <w:t>2.88 %</w:t>
            </w:r>
          </w:p>
        </w:tc>
        <w:tc>
          <w:tcPr>
            <w:tcW w:w="80" w:type="dxa"/>
            <w:vAlign w:val="bottom"/>
            <w:tcBorders>
              <w:bottom w:val="single" w:sz="8" w:color="E0E7ED"/>
            </w:tcBorders>
            <w:shd w:val="clear" w:color="auto" w:fill="E0E7ED"/>
          </w:tcPr>
          <w:p>
            <w:pPr>
              <w:spacing w:after="0"/>
              <w:rPr>
                <w:sz w:val="16"/>
                <w:szCs w:val="16"/>
                <w:color w:val="auto"/>
              </w:rPr>
            </w:pPr>
          </w:p>
        </w:tc>
        <w:tc>
          <w:tcPr>
            <w:tcW w:w="160" w:type="dxa"/>
            <w:vAlign w:val="bottom"/>
            <w:tcBorders>
              <w:bottom w:val="single" w:sz="8" w:color="E0E7ED"/>
            </w:tcBorders>
            <w:shd w:val="clear" w:color="auto" w:fill="E0E7ED"/>
          </w:tcPr>
          <w:p>
            <w:pPr>
              <w:spacing w:after="0"/>
              <w:rPr>
                <w:sz w:val="16"/>
                <w:szCs w:val="16"/>
                <w:color w:val="auto"/>
              </w:rPr>
            </w:pPr>
          </w:p>
        </w:tc>
        <w:tc>
          <w:tcPr>
            <w:tcW w:w="90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325,637</w:t>
            </w:r>
          </w:p>
        </w:tc>
        <w:tc>
          <w:tcPr>
            <w:tcW w:w="80" w:type="dxa"/>
            <w:vAlign w:val="bottom"/>
            <w:tcBorders>
              <w:bottom w:val="single" w:sz="8" w:color="E0E7ED"/>
            </w:tcBorders>
            <w:shd w:val="clear" w:color="auto" w:fill="E0E7ED"/>
          </w:tcPr>
          <w:p>
            <w:pPr>
              <w:spacing w:after="0"/>
              <w:rPr>
                <w:sz w:val="16"/>
                <w:szCs w:val="16"/>
                <w:color w:val="auto"/>
              </w:rPr>
            </w:pPr>
          </w:p>
        </w:tc>
        <w:tc>
          <w:tcPr>
            <w:tcW w:w="640" w:type="dxa"/>
            <w:vAlign w:val="bottom"/>
            <w:tcBorders>
              <w:bottom w:val="single" w:sz="8" w:color="auto"/>
            </w:tcBorders>
            <w:shd w:val="clear" w:color="auto" w:fill="E0E7ED"/>
          </w:tcPr>
          <w:p>
            <w:pPr>
              <w:ind w:left="140"/>
              <w:spacing w:after="0"/>
              <w:rPr>
                <w:sz w:val="20"/>
                <w:szCs w:val="20"/>
                <w:color w:val="auto"/>
              </w:rPr>
            </w:pPr>
            <w:r>
              <w:rPr>
                <w:rFonts w:ascii="Verdana" w:cs="Verdana" w:eastAsia="Verdana" w:hAnsi="Verdana"/>
                <w:sz w:val="13"/>
                <w:szCs w:val="13"/>
                <w:color w:val="auto"/>
                <w:w w:val="99"/>
              </w:rPr>
              <w:t>2.84 %</w:t>
            </w:r>
          </w:p>
        </w:tc>
        <w:tc>
          <w:tcPr>
            <w:tcW w:w="80" w:type="dxa"/>
            <w:vAlign w:val="bottom"/>
            <w:tcBorders>
              <w:bottom w:val="single" w:sz="8" w:color="E0E7ED"/>
            </w:tcBorders>
            <w:shd w:val="clear" w:color="auto" w:fill="E0E7ED"/>
          </w:tcPr>
          <w:p>
            <w:pPr>
              <w:spacing w:after="0"/>
              <w:rPr>
                <w:sz w:val="16"/>
                <w:szCs w:val="16"/>
                <w:color w:val="auto"/>
              </w:rPr>
            </w:pPr>
          </w:p>
        </w:tc>
        <w:tc>
          <w:tcPr>
            <w:tcW w:w="160" w:type="dxa"/>
            <w:vAlign w:val="bottom"/>
            <w:tcBorders>
              <w:bottom w:val="single" w:sz="8" w:color="E0E7ED"/>
            </w:tcBorders>
            <w:shd w:val="clear" w:color="auto" w:fill="E0E7ED"/>
          </w:tcPr>
          <w:p>
            <w:pPr>
              <w:spacing w:after="0"/>
              <w:rPr>
                <w:sz w:val="16"/>
                <w:szCs w:val="16"/>
                <w:color w:val="auto"/>
              </w:rPr>
            </w:pPr>
          </w:p>
        </w:tc>
        <w:tc>
          <w:tcPr>
            <w:tcW w:w="88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273,053</w:t>
            </w:r>
          </w:p>
        </w:tc>
        <w:tc>
          <w:tcPr>
            <w:tcW w:w="80" w:type="dxa"/>
            <w:vAlign w:val="bottom"/>
            <w:tcBorders>
              <w:bottom w:val="single" w:sz="8" w:color="E0E7ED"/>
            </w:tcBorders>
            <w:shd w:val="clear" w:color="auto" w:fill="E0E7ED"/>
          </w:tcPr>
          <w:p>
            <w:pPr>
              <w:spacing w:after="0"/>
              <w:rPr>
                <w:sz w:val="16"/>
                <w:szCs w:val="16"/>
                <w:color w:val="auto"/>
              </w:rPr>
            </w:pPr>
          </w:p>
        </w:tc>
        <w:tc>
          <w:tcPr>
            <w:tcW w:w="620" w:type="dxa"/>
            <w:vAlign w:val="bottom"/>
            <w:tcBorders>
              <w:bottom w:val="single" w:sz="8" w:color="auto"/>
            </w:tcBorders>
            <w:shd w:val="clear" w:color="auto" w:fill="E0E7ED"/>
          </w:tcPr>
          <w:p>
            <w:pPr>
              <w:ind w:left="120"/>
              <w:spacing w:after="0"/>
              <w:rPr>
                <w:sz w:val="20"/>
                <w:szCs w:val="20"/>
                <w:color w:val="auto"/>
              </w:rPr>
            </w:pPr>
            <w:r>
              <w:rPr>
                <w:rFonts w:ascii="Verdana" w:cs="Verdana" w:eastAsia="Verdana" w:hAnsi="Verdana"/>
                <w:sz w:val="13"/>
                <w:szCs w:val="13"/>
                <w:color w:val="auto"/>
                <w:w w:val="99"/>
              </w:rPr>
              <w:t>2.49 %</w:t>
            </w:r>
          </w:p>
        </w:tc>
        <w:tc>
          <w:tcPr>
            <w:tcW w:w="0" w:type="dxa"/>
            <w:vAlign w:val="bottom"/>
          </w:tcPr>
          <w:p>
            <w:pPr>
              <w:spacing w:after="0"/>
              <w:rPr>
                <w:sz w:val="1"/>
                <w:szCs w:val="1"/>
                <w:color w:val="auto"/>
              </w:rPr>
            </w:pPr>
          </w:p>
        </w:tc>
      </w:tr>
      <w:tr>
        <w:trPr>
          <w:trHeight w:val="20"/>
        </w:trPr>
        <w:tc>
          <w:tcPr>
            <w:tcW w:w="254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8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8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31" w:lineRule="auto"/>
        <w:tabs>
          <w:tab w:leader="none" w:pos="480" w:val="left"/>
        </w:tabs>
        <w:numPr>
          <w:ilvl w:val="0"/>
          <w:numId w:val="30"/>
        </w:numPr>
        <w:rPr>
          <w:rFonts w:ascii="Verdana" w:cs="Verdana" w:eastAsia="Verdana" w:hAnsi="Verdana"/>
          <w:sz w:val="13"/>
          <w:szCs w:val="13"/>
          <w:color w:val="auto"/>
        </w:rPr>
      </w:pPr>
      <w:r>
        <w:rPr>
          <w:rFonts w:ascii="Verdana" w:cs="Verdana" w:eastAsia="Verdana" w:hAnsi="Verdana"/>
          <w:sz w:val="13"/>
          <w:szCs w:val="13"/>
          <w:color w:val="auto"/>
        </w:rPr>
        <w:t>On a tax-equivalent basis, assuming a federal income tax rate of 21.0%.</w:t>
      </w:r>
    </w:p>
    <w:p>
      <w:pPr>
        <w:ind w:left="480" w:hanging="310"/>
        <w:spacing w:after="0" w:line="225" w:lineRule="auto"/>
        <w:tabs>
          <w:tab w:leader="none" w:pos="480" w:val="left"/>
        </w:tabs>
        <w:numPr>
          <w:ilvl w:val="0"/>
          <w:numId w:val="30"/>
        </w:numPr>
        <w:rPr>
          <w:rFonts w:ascii="Verdana" w:cs="Verdana" w:eastAsia="Verdana" w:hAnsi="Verdana"/>
          <w:sz w:val="13"/>
          <w:szCs w:val="13"/>
          <w:color w:val="auto"/>
        </w:rPr>
      </w:pPr>
      <w:r>
        <w:rPr>
          <w:rFonts w:ascii="Verdana" w:cs="Verdana" w:eastAsia="Verdana" w:hAnsi="Verdana"/>
          <w:sz w:val="13"/>
          <w:szCs w:val="13"/>
          <w:color w:val="auto"/>
        </w:rPr>
        <w:t>Non-accrual loans have been included in average portfolio loans.</w:t>
      </w:r>
    </w:p>
    <w:p>
      <w:pPr>
        <w:ind w:left="500" w:hanging="330"/>
        <w:spacing w:after="0" w:line="225" w:lineRule="auto"/>
        <w:tabs>
          <w:tab w:leader="none" w:pos="491" w:val="left"/>
        </w:tabs>
        <w:numPr>
          <w:ilvl w:val="0"/>
          <w:numId w:val="30"/>
        </w:numPr>
        <w:rPr>
          <w:rFonts w:ascii="Verdana" w:cs="Verdana" w:eastAsia="Verdana" w:hAnsi="Verdana"/>
          <w:sz w:val="13"/>
          <w:szCs w:val="13"/>
          <w:color w:val="auto"/>
        </w:rPr>
      </w:pPr>
      <w:r>
        <w:rPr>
          <w:rFonts w:ascii="Verdana" w:cs="Verdana" w:eastAsia="Verdana" w:hAnsi="Verdana"/>
          <w:sz w:val="13"/>
          <w:szCs w:val="13"/>
          <w:color w:val="auto"/>
        </w:rPr>
        <w:t>Interest income includes tax-equivalent adjustments of $2.2 million for 2023, $2.2 million for 2022, and $2.4 million for 2021. Interest income includes an immaterial amount of fees, net of deferred costs, related to PPP loans for 2023, $1.9 million for 2022, and $14.0 million for 2021.</w:t>
      </w:r>
    </w:p>
    <w:p>
      <w:pPr>
        <w:ind w:left="500" w:hanging="330"/>
        <w:spacing w:after="0" w:line="237" w:lineRule="auto"/>
        <w:tabs>
          <w:tab w:leader="none" w:pos="491" w:val="left"/>
        </w:tabs>
        <w:numPr>
          <w:ilvl w:val="0"/>
          <w:numId w:val="30"/>
        </w:numPr>
        <w:rPr>
          <w:rFonts w:ascii="Verdana" w:cs="Verdana" w:eastAsia="Verdana" w:hAnsi="Verdana"/>
          <w:sz w:val="13"/>
          <w:szCs w:val="13"/>
          <w:color w:val="auto"/>
        </w:rPr>
      </w:pPr>
      <w:r>
        <w:rPr>
          <w:rFonts w:ascii="Verdana" w:cs="Verdana" w:eastAsia="Verdana" w:hAnsi="Verdana"/>
          <w:sz w:val="13"/>
          <w:szCs w:val="13"/>
          <w:color w:val="auto"/>
        </w:rPr>
        <w:t>Borrowings include short-term borrowings, long-term debt, senior notes, and subordinated notes. Interest expense includes a non-usage fee on our revolving credit facility.</w:t>
      </w:r>
    </w:p>
    <w:p>
      <w:pPr>
        <w:spacing w:after="0" w:line="5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9" w:name="page60"/>
    <w:bookmarkEnd w:id="5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36" w:lineRule="auto"/>
        <w:rPr>
          <w:sz w:val="20"/>
          <w:szCs w:val="20"/>
          <w:color w:val="auto"/>
        </w:rPr>
      </w:pPr>
      <w:r>
        <w:rPr>
          <w:rFonts w:ascii="Verdana" w:cs="Verdana" w:eastAsia="Verdana" w:hAnsi="Verdana"/>
          <w:sz w:val="18"/>
          <w:szCs w:val="18"/>
          <w:color w:val="auto"/>
        </w:rPr>
        <w:t>The following table presents, for the major components of interest-earning assets and interest-bearing liabilities, a breakout of changes in interest income and interest expense attributable to (1) changes in average volume and</w:t>
      </w:r>
    </w:p>
    <w:p>
      <w:pPr>
        <w:spacing w:after="0" w:line="2" w:lineRule="exact"/>
        <w:rPr>
          <w:sz w:val="20"/>
          <w:szCs w:val="20"/>
          <w:color w:val="auto"/>
        </w:rPr>
      </w:pPr>
    </w:p>
    <w:p>
      <w:pPr>
        <w:jc w:val="both"/>
        <w:ind w:firstLine="8"/>
        <w:spacing w:after="0" w:line="245" w:lineRule="auto"/>
        <w:tabs>
          <w:tab w:leader="none" w:pos="360" w:val="left"/>
        </w:tabs>
        <w:numPr>
          <w:ilvl w:val="0"/>
          <w:numId w:val="31"/>
        </w:numPr>
        <w:rPr>
          <w:rFonts w:ascii="Verdana" w:cs="Verdana" w:eastAsia="Verdana" w:hAnsi="Verdana"/>
          <w:sz w:val="18"/>
          <w:szCs w:val="18"/>
          <w:color w:val="auto"/>
        </w:rPr>
      </w:pPr>
      <w:r>
        <w:rPr>
          <w:rFonts w:ascii="Verdana" w:cs="Verdana" w:eastAsia="Verdana" w:hAnsi="Verdana"/>
          <w:sz w:val="18"/>
          <w:szCs w:val="18"/>
          <w:color w:val="auto"/>
        </w:rPr>
        <w:t xml:space="preserve">changes in average yield. For purposes of this table, changes attributable to both rate and volume, which cannot be segregated, have been allocated proportionately, based on changes due to rate and changes due to volume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180"/>
              <w:spacing w:after="0"/>
              <w:rPr>
                <w:sz w:val="20"/>
                <w:szCs w:val="20"/>
                <w:color w:val="auto"/>
              </w:rPr>
            </w:pPr>
            <w:r>
              <w:rPr>
                <w:rFonts w:ascii="Verdana" w:cs="Verdana" w:eastAsia="Verdana" w:hAnsi="Verdana"/>
                <w:sz w:val="13"/>
                <w:szCs w:val="13"/>
                <w:b w:val="1"/>
                <w:bCs w:val="1"/>
                <w:color w:val="auto"/>
              </w:rPr>
              <w:t>Years Ended December 31,</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7"/>
          </w:tcPr>
          <w:p>
            <w:pPr>
              <w:jc w:val="right"/>
              <w:ind w:right="754"/>
              <w:spacing w:after="0"/>
              <w:rPr>
                <w:sz w:val="20"/>
                <w:szCs w:val="20"/>
                <w:color w:val="auto"/>
              </w:rPr>
            </w:pPr>
            <w:r>
              <w:rPr>
                <w:rFonts w:ascii="Verdana" w:cs="Verdana" w:eastAsia="Verdana" w:hAnsi="Verdana"/>
                <w:sz w:val="13"/>
                <w:szCs w:val="13"/>
                <w:b w:val="1"/>
                <w:bCs w:val="1"/>
                <w:color w:val="auto"/>
              </w:rPr>
              <w:t>2023 vs. 2022 Change Due To</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7"/>
          </w:tcPr>
          <w:p>
            <w:pPr>
              <w:jc w:val="right"/>
              <w:ind w:right="733"/>
              <w:spacing w:after="0"/>
              <w:rPr>
                <w:sz w:val="20"/>
                <w:szCs w:val="20"/>
                <w:color w:val="auto"/>
              </w:rPr>
            </w:pPr>
            <w:r>
              <w:rPr>
                <w:rFonts w:ascii="Verdana" w:cs="Verdana" w:eastAsia="Verdana" w:hAnsi="Verdana"/>
                <w:sz w:val="13"/>
                <w:szCs w:val="13"/>
                <w:b w:val="1"/>
                <w:bCs w:val="1"/>
                <w:color w:val="auto"/>
              </w:rPr>
              <w:t>2022 vs. 2021 Change Due To</w:t>
            </w:r>
          </w:p>
        </w:tc>
        <w:tc>
          <w:tcPr>
            <w:tcW w:w="0" w:type="dxa"/>
            <w:vAlign w:val="bottom"/>
          </w:tcPr>
          <w:p>
            <w:pPr>
              <w:spacing w:after="0"/>
              <w:rPr>
                <w:sz w:val="1"/>
                <w:szCs w:val="1"/>
                <w:color w:val="auto"/>
              </w:rPr>
            </w:pPr>
          </w:p>
        </w:tc>
      </w:tr>
      <w:tr>
        <w:trPr>
          <w:trHeight w:val="120"/>
        </w:trPr>
        <w:tc>
          <w:tcPr>
            <w:tcW w:w="3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ind w:left="60"/>
              <w:spacing w:after="0" w:line="120" w:lineRule="exact"/>
              <w:rPr>
                <w:sz w:val="20"/>
                <w:szCs w:val="20"/>
                <w:color w:val="auto"/>
              </w:rPr>
            </w:pPr>
            <w:r>
              <w:rPr>
                <w:rFonts w:ascii="Verdana" w:cs="Verdana" w:eastAsia="Verdana" w:hAnsi="Verdana"/>
                <w:sz w:val="13"/>
                <w:szCs w:val="13"/>
                <w:b w:val="1"/>
                <w:bCs w:val="1"/>
                <w:color w:val="auto"/>
              </w:rPr>
              <w:t>Average</w:t>
            </w:r>
          </w:p>
        </w:tc>
        <w:tc>
          <w:tcPr>
            <w:tcW w:w="160" w:type="dxa"/>
            <w:vAlign w:val="bottom"/>
          </w:tcPr>
          <w:p>
            <w:pPr>
              <w:spacing w:after="0"/>
              <w:rPr>
                <w:sz w:val="10"/>
                <w:szCs w:val="10"/>
                <w:color w:val="auto"/>
              </w:rPr>
            </w:pPr>
          </w:p>
        </w:tc>
        <w:tc>
          <w:tcPr>
            <w:tcW w:w="1060" w:type="dxa"/>
            <w:vAlign w:val="bottom"/>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6"/>
              </w:rPr>
              <w:t>Average</w:t>
            </w:r>
          </w:p>
        </w:tc>
        <w:tc>
          <w:tcPr>
            <w:tcW w:w="220" w:type="dxa"/>
            <w:vAlign w:val="bottom"/>
          </w:tcPr>
          <w:p>
            <w:pPr>
              <w:spacing w:after="0"/>
              <w:rPr>
                <w:sz w:val="10"/>
                <w:szCs w:val="10"/>
                <w:color w:val="auto"/>
              </w:rPr>
            </w:pPr>
          </w:p>
        </w:tc>
        <w:tc>
          <w:tcPr>
            <w:tcW w:w="1120" w:type="dxa"/>
            <w:vAlign w:val="bottom"/>
          </w:tcPr>
          <w:p>
            <w:pPr>
              <w:jc w:val="right"/>
              <w:ind w:right="394"/>
              <w:spacing w:after="0" w:line="120" w:lineRule="exact"/>
              <w:rPr>
                <w:sz w:val="20"/>
                <w:szCs w:val="20"/>
                <w:color w:val="auto"/>
              </w:rPr>
            </w:pPr>
            <w:r>
              <w:rPr>
                <w:rFonts w:ascii="Verdana" w:cs="Verdana" w:eastAsia="Verdana" w:hAnsi="Verdana"/>
                <w:sz w:val="13"/>
                <w:szCs w:val="13"/>
                <w:b w:val="1"/>
                <w:bCs w:val="1"/>
                <w:color w:val="auto"/>
              </w:rPr>
              <w:t>Total</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ind w:left="60"/>
              <w:spacing w:after="0" w:line="120" w:lineRule="exact"/>
              <w:rPr>
                <w:sz w:val="20"/>
                <w:szCs w:val="20"/>
                <w:color w:val="auto"/>
              </w:rPr>
            </w:pPr>
            <w:r>
              <w:rPr>
                <w:rFonts w:ascii="Verdana" w:cs="Verdana" w:eastAsia="Verdana" w:hAnsi="Verdana"/>
                <w:sz w:val="13"/>
                <w:szCs w:val="13"/>
                <w:b w:val="1"/>
                <w:bCs w:val="1"/>
                <w:color w:val="auto"/>
              </w:rPr>
              <w:t>Average</w:t>
            </w:r>
          </w:p>
        </w:tc>
        <w:tc>
          <w:tcPr>
            <w:tcW w:w="160" w:type="dxa"/>
            <w:vAlign w:val="bottom"/>
          </w:tcPr>
          <w:p>
            <w:pPr>
              <w:spacing w:after="0"/>
              <w:rPr>
                <w:sz w:val="10"/>
                <w:szCs w:val="10"/>
                <w:color w:val="auto"/>
              </w:rPr>
            </w:pPr>
          </w:p>
        </w:tc>
        <w:tc>
          <w:tcPr>
            <w:tcW w:w="1060" w:type="dxa"/>
            <w:vAlign w:val="bottom"/>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6"/>
              </w:rPr>
              <w:t>Average</w:t>
            </w:r>
          </w:p>
        </w:tc>
        <w:tc>
          <w:tcPr>
            <w:tcW w:w="260" w:type="dxa"/>
            <w:vAlign w:val="bottom"/>
          </w:tcPr>
          <w:p>
            <w:pPr>
              <w:spacing w:after="0"/>
              <w:rPr>
                <w:sz w:val="10"/>
                <w:szCs w:val="10"/>
                <w:color w:val="auto"/>
              </w:rPr>
            </w:pPr>
          </w:p>
        </w:tc>
        <w:tc>
          <w:tcPr>
            <w:tcW w:w="1060" w:type="dxa"/>
            <w:vAlign w:val="bottom"/>
          </w:tcPr>
          <w:p>
            <w:pPr>
              <w:jc w:val="right"/>
              <w:ind w:right="393"/>
              <w:spacing w:after="0" w:line="120" w:lineRule="exact"/>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Volume</w:t>
            </w:r>
          </w:p>
        </w:tc>
        <w:tc>
          <w:tcPr>
            <w:tcW w:w="1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6"/>
              </w:rPr>
              <w:t>Yield/Rate</w:t>
            </w:r>
          </w:p>
        </w:tc>
        <w:tc>
          <w:tcPr>
            <w:tcW w:w="2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Volume</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6"/>
              </w:rPr>
              <w:t>Yield/Rate</w:t>
            </w:r>
          </w:p>
        </w:tc>
        <w:tc>
          <w:tcPr>
            <w:tcW w:w="260" w:type="dxa"/>
            <w:vAlign w:val="bottom"/>
          </w:tcPr>
          <w:p>
            <w:pPr>
              <w:spacing w:after="0"/>
              <w:rPr>
                <w:sz w:val="14"/>
                <w:szCs w:val="14"/>
                <w:color w:val="auto"/>
              </w:rPr>
            </w:pPr>
          </w:p>
        </w:tc>
        <w:tc>
          <w:tcPr>
            <w:tcW w:w="1060" w:type="dxa"/>
            <w:vAlign w:val="bottom"/>
          </w:tcPr>
          <w:p>
            <w:pPr>
              <w:jc w:val="right"/>
              <w:ind w:right="313"/>
              <w:spacing w:after="0"/>
              <w:rPr>
                <w:sz w:val="20"/>
                <w:szCs w:val="20"/>
                <w:color w:val="auto"/>
              </w:rPr>
            </w:pPr>
            <w:r>
              <w:rPr>
                <w:rFonts w:ascii="Verdana" w:cs="Verdana" w:eastAsia="Verdana" w:hAnsi="Verdana"/>
                <w:sz w:val="13"/>
                <w:szCs w:val="13"/>
                <w:b w:val="1"/>
                <w:bCs w:val="1"/>
                <w:color w:val="auto"/>
              </w:rPr>
              <w:t>Change</w:t>
            </w:r>
          </w:p>
        </w:tc>
        <w:tc>
          <w:tcPr>
            <w:tcW w:w="0" w:type="dxa"/>
            <w:vAlign w:val="bottom"/>
          </w:tcPr>
          <w:p>
            <w:pPr>
              <w:spacing w:after="0"/>
              <w:rPr>
                <w:sz w:val="1"/>
                <w:szCs w:val="1"/>
                <w:color w:val="auto"/>
              </w:rPr>
            </w:pPr>
          </w:p>
        </w:tc>
      </w:tr>
      <w:tr>
        <w:trPr>
          <w:trHeight w:val="223"/>
        </w:trPr>
        <w:tc>
          <w:tcPr>
            <w:tcW w:w="36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Increase (decrease) in interest</w:t>
            </w:r>
          </w:p>
        </w:tc>
        <w:tc>
          <w:tcPr>
            <w:tcW w:w="220" w:type="dxa"/>
            <w:vAlign w:val="bottom"/>
            <w:tcBorders>
              <w:top w:val="single" w:sz="8" w:color="auto"/>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06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income</w:t>
            </w:r>
          </w:p>
        </w:tc>
        <w:tc>
          <w:tcPr>
            <w:tcW w:w="2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00" w:type="dxa"/>
            <w:vAlign w:val="bottom"/>
          </w:tcPr>
          <w:p>
            <w:pPr>
              <w:ind w:left="180"/>
              <w:spacing w:after="0"/>
              <w:rPr>
                <w:sz w:val="20"/>
                <w:szCs w:val="20"/>
                <w:color w:val="auto"/>
              </w:rPr>
            </w:pPr>
            <w:r>
              <w:rPr>
                <w:rFonts w:ascii="Verdana" w:cs="Verdana" w:eastAsia="Verdana" w:hAnsi="Verdana"/>
                <w:sz w:val="18"/>
                <w:szCs w:val="18"/>
                <w:color w:val="auto"/>
              </w:rPr>
              <w:t>Interest-bearing bank deposits and</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600" w:type="dxa"/>
            <w:vAlign w:val="bottom"/>
          </w:tcPr>
          <w:p>
            <w:pPr>
              <w:ind w:left="180"/>
              <w:spacing w:after="0"/>
              <w:rPr>
                <w:sz w:val="20"/>
                <w:szCs w:val="20"/>
                <w:color w:val="auto"/>
              </w:rPr>
            </w:pPr>
            <w:r>
              <w:rPr>
                <w:rFonts w:ascii="Verdana" w:cs="Verdana" w:eastAsia="Verdana" w:hAnsi="Verdana"/>
                <w:sz w:val="18"/>
                <w:szCs w:val="18"/>
                <w:color w:val="auto"/>
              </w:rPr>
              <w:t>federal funds sold</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tcPr>
          <w:p>
            <w:pPr>
              <w:jc w:val="right"/>
              <w:spacing w:after="0"/>
              <w:rPr>
                <w:sz w:val="20"/>
                <w:szCs w:val="20"/>
                <w:color w:val="auto"/>
              </w:rPr>
            </w:pPr>
            <w:r>
              <w:rPr>
                <w:rFonts w:ascii="Verdana" w:cs="Verdana" w:eastAsia="Verdana" w:hAnsi="Verdana"/>
                <w:sz w:val="18"/>
                <w:szCs w:val="18"/>
                <w:color w:val="auto"/>
              </w:rPr>
              <w:t>(1,013)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8,447</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120" w:type="dxa"/>
            <w:vAlign w:val="bottom"/>
          </w:tcPr>
          <w:p>
            <w:pPr>
              <w:jc w:val="right"/>
              <w:ind w:right="194"/>
              <w:spacing w:after="0"/>
              <w:rPr>
                <w:sz w:val="20"/>
                <w:szCs w:val="20"/>
                <w:color w:val="auto"/>
              </w:rPr>
            </w:pPr>
            <w:r>
              <w:rPr>
                <w:rFonts w:ascii="Verdana" w:cs="Verdana" w:eastAsia="Verdana" w:hAnsi="Verdana"/>
                <w:sz w:val="18"/>
                <w:szCs w:val="18"/>
                <w:color w:val="auto"/>
              </w:rPr>
              <w:t>7,434</w:t>
            </w:r>
          </w:p>
        </w:tc>
        <w:tc>
          <w:tcPr>
            <w:tcW w:w="300" w:type="dxa"/>
            <w:vAlign w:val="bottom"/>
            <w:gridSpan w:val="2"/>
          </w:tcPr>
          <w:p>
            <w:pPr>
              <w:jc w:val="right"/>
              <w:ind w:right="8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(921)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ind w:right="13"/>
              <w:spacing w:after="0"/>
              <w:rPr>
                <w:sz w:val="20"/>
                <w:szCs w:val="20"/>
                <w:color w:val="auto"/>
              </w:rPr>
            </w:pPr>
            <w:r>
              <w:rPr>
                <w:rFonts w:ascii="Verdana" w:cs="Verdana" w:eastAsia="Verdana" w:hAnsi="Verdana"/>
                <w:sz w:val="18"/>
                <w:szCs w:val="18"/>
                <w:color w:val="auto"/>
              </w:rPr>
              <w:t>2,867</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060" w:type="dxa"/>
            <w:vAlign w:val="bottom"/>
          </w:tcPr>
          <w:p>
            <w:pPr>
              <w:jc w:val="right"/>
              <w:ind w:right="193"/>
              <w:spacing w:after="0"/>
              <w:rPr>
                <w:sz w:val="20"/>
                <w:szCs w:val="20"/>
                <w:color w:val="auto"/>
              </w:rPr>
            </w:pPr>
            <w:r>
              <w:rPr>
                <w:rFonts w:ascii="Verdana" w:cs="Verdana" w:eastAsia="Verdana" w:hAnsi="Verdana"/>
                <w:sz w:val="18"/>
                <w:szCs w:val="18"/>
                <w:color w:val="auto"/>
              </w:rPr>
              <w:t>1,946</w:t>
            </w:r>
          </w:p>
        </w:tc>
        <w:tc>
          <w:tcPr>
            <w:tcW w:w="0" w:type="dxa"/>
            <w:vAlign w:val="bottom"/>
          </w:tcPr>
          <w:p>
            <w:pPr>
              <w:spacing w:after="0"/>
              <w:rPr>
                <w:sz w:val="1"/>
                <w:szCs w:val="1"/>
                <w:color w:val="auto"/>
              </w:rPr>
            </w:pPr>
          </w:p>
        </w:tc>
      </w:tr>
      <w:tr>
        <w:trPr>
          <w:trHeight w:val="277"/>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Investment securities:</w:t>
            </w:r>
          </w:p>
        </w:tc>
        <w:tc>
          <w:tcPr>
            <w:tcW w:w="220" w:type="dxa"/>
            <w:vAlign w:val="bottom"/>
            <w:shd w:val="clear" w:color="auto" w:fill="E0E7ED"/>
          </w:tcPr>
          <w:p>
            <w:pPr>
              <w:spacing w:after="0"/>
              <w:rPr>
                <w:sz w:val="24"/>
                <w:szCs w:val="24"/>
                <w:color w:val="auto"/>
              </w:rPr>
            </w:pPr>
          </w:p>
        </w:tc>
        <w:tc>
          <w:tcPr>
            <w:tcW w:w="9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1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9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06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00" w:type="dxa"/>
            <w:vAlign w:val="bottom"/>
          </w:tcPr>
          <w:p>
            <w:pPr>
              <w:ind w:left="360"/>
              <w:spacing w:after="0"/>
              <w:rPr>
                <w:sz w:val="20"/>
                <w:szCs w:val="20"/>
                <w:color w:val="auto"/>
              </w:rPr>
            </w:pPr>
            <w:r>
              <w:rPr>
                <w:rFonts w:ascii="Verdana" w:cs="Verdana" w:eastAsia="Verdana" w:hAnsi="Verdana"/>
                <w:sz w:val="18"/>
                <w:szCs w:val="18"/>
                <w:color w:val="auto"/>
              </w:rPr>
              <w:t>U.S. Government obligations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(691)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190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4"/>
              <w:spacing w:after="0"/>
              <w:rPr>
                <w:sz w:val="20"/>
                <w:szCs w:val="20"/>
                <w:color w:val="auto"/>
              </w:rPr>
            </w:pPr>
            <w:r>
              <w:rPr>
                <w:rFonts w:ascii="Verdana" w:cs="Verdana" w:eastAsia="Verdana" w:hAnsi="Verdana"/>
                <w:sz w:val="18"/>
                <w:szCs w:val="18"/>
                <w:color w:val="auto"/>
              </w:rPr>
              <w:t>(501)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(608)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33"/>
              <w:spacing w:after="0"/>
              <w:rPr>
                <w:sz w:val="20"/>
                <w:szCs w:val="20"/>
                <w:color w:val="auto"/>
              </w:rPr>
            </w:pPr>
            <w:r>
              <w:rPr>
                <w:rFonts w:ascii="Verdana" w:cs="Verdana" w:eastAsia="Verdana" w:hAnsi="Verdana"/>
                <w:sz w:val="18"/>
                <w:szCs w:val="18"/>
                <w:color w:val="auto"/>
              </w:rPr>
              <w:t>(613)</w:t>
            </w:r>
          </w:p>
        </w:tc>
        <w:tc>
          <w:tcPr>
            <w:tcW w:w="0" w:type="dxa"/>
            <w:vAlign w:val="bottom"/>
          </w:tcPr>
          <w:p>
            <w:pPr>
              <w:spacing w:after="0"/>
              <w:rPr>
                <w:sz w:val="1"/>
                <w:szCs w:val="1"/>
                <w:color w:val="auto"/>
              </w:rPr>
            </w:pPr>
          </w:p>
        </w:tc>
      </w:tr>
      <w:tr>
        <w:trPr>
          <w:trHeight w:val="244"/>
        </w:trPr>
        <w:tc>
          <w:tcPr>
            <w:tcW w:w="36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Obligations of state and political</w:t>
            </w:r>
          </w:p>
        </w:tc>
        <w:tc>
          <w:tcPr>
            <w:tcW w:w="2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subdivisions</w:t>
            </w:r>
          </w:p>
        </w:tc>
        <w:tc>
          <w:tcPr>
            <w:tcW w:w="22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(1,466)</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415</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jc w:val="right"/>
              <w:ind w:right="114"/>
              <w:spacing w:after="0"/>
              <w:rPr>
                <w:sz w:val="20"/>
                <w:szCs w:val="20"/>
                <w:color w:val="auto"/>
              </w:rPr>
            </w:pPr>
            <w:r>
              <w:rPr>
                <w:rFonts w:ascii="Verdana" w:cs="Verdana" w:eastAsia="Verdana" w:hAnsi="Verdana"/>
                <w:sz w:val="18"/>
                <w:szCs w:val="18"/>
                <w:color w:val="auto"/>
              </w:rPr>
              <w:t>(1,051)</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(337)</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254</w:t>
            </w: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(83)</w:t>
            </w:r>
          </w:p>
        </w:tc>
        <w:tc>
          <w:tcPr>
            <w:tcW w:w="0" w:type="dxa"/>
            <w:vAlign w:val="bottom"/>
          </w:tcPr>
          <w:p>
            <w:pPr>
              <w:spacing w:after="0"/>
              <w:rPr>
                <w:sz w:val="1"/>
                <w:szCs w:val="1"/>
                <w:color w:val="auto"/>
              </w:rPr>
            </w:pPr>
          </w:p>
        </w:tc>
      </w:tr>
      <w:tr>
        <w:trPr>
          <w:trHeight w:val="263"/>
        </w:trPr>
        <w:tc>
          <w:tcPr>
            <w:tcW w:w="3600" w:type="dxa"/>
            <w:vAlign w:val="bottom"/>
          </w:tcPr>
          <w:p>
            <w:pPr>
              <w:ind w:left="360"/>
              <w:spacing w:after="0"/>
              <w:rPr>
                <w:sz w:val="20"/>
                <w:szCs w:val="20"/>
                <w:color w:val="auto"/>
              </w:rPr>
            </w:pPr>
            <w:r>
              <w:rPr>
                <w:rFonts w:ascii="Verdana" w:cs="Verdana" w:eastAsia="Verdana" w:hAnsi="Verdana"/>
                <w:sz w:val="18"/>
                <w:szCs w:val="18"/>
                <w:color w:val="auto"/>
              </w:rPr>
              <w:t>Other securities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(8,026)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23,003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94"/>
              <w:spacing w:after="0"/>
              <w:rPr>
                <w:sz w:val="20"/>
                <w:szCs w:val="20"/>
                <w:color w:val="auto"/>
              </w:rPr>
            </w:pPr>
            <w:r>
              <w:rPr>
                <w:rFonts w:ascii="Verdana" w:cs="Verdana" w:eastAsia="Verdana" w:hAnsi="Verdana"/>
                <w:sz w:val="18"/>
                <w:szCs w:val="18"/>
                <w:color w:val="auto"/>
              </w:rPr>
              <w:t>14,977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5,544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Verdana" w:cs="Verdana" w:eastAsia="Verdana" w:hAnsi="Verdana"/>
                <w:sz w:val="18"/>
                <w:szCs w:val="18"/>
                <w:color w:val="auto"/>
              </w:rPr>
              <w:t>18,881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93"/>
              <w:spacing w:after="0"/>
              <w:rPr>
                <w:sz w:val="20"/>
                <w:szCs w:val="20"/>
                <w:color w:val="auto"/>
              </w:rPr>
            </w:pPr>
            <w:r>
              <w:rPr>
                <w:rFonts w:ascii="Verdana" w:cs="Verdana" w:eastAsia="Verdana" w:hAnsi="Verdana"/>
                <w:sz w:val="18"/>
                <w:szCs w:val="18"/>
                <w:color w:val="auto"/>
              </w:rPr>
              <w:t>24,425</w:t>
            </w:r>
          </w:p>
        </w:tc>
        <w:tc>
          <w:tcPr>
            <w:tcW w:w="0" w:type="dxa"/>
            <w:vAlign w:val="bottom"/>
          </w:tcPr>
          <w:p>
            <w:pPr>
              <w:spacing w:after="0"/>
              <w:rPr>
                <w:sz w:val="1"/>
                <w:szCs w:val="1"/>
                <w:color w:val="auto"/>
              </w:rPr>
            </w:pPr>
          </w:p>
        </w:tc>
      </w:tr>
      <w:tr>
        <w:trPr>
          <w:trHeight w:val="277"/>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Loans held for sale</w:t>
            </w:r>
          </w:p>
        </w:tc>
        <w:tc>
          <w:tcPr>
            <w:tcW w:w="22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(161)</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120" w:type="dxa"/>
            <w:vAlign w:val="bottom"/>
            <w:shd w:val="clear" w:color="auto" w:fill="E0E7ED"/>
          </w:tcPr>
          <w:p>
            <w:pPr>
              <w:jc w:val="right"/>
              <w:ind w:right="114"/>
              <w:spacing w:after="0"/>
              <w:rPr>
                <w:sz w:val="20"/>
                <w:szCs w:val="20"/>
                <w:color w:val="auto"/>
              </w:rPr>
            </w:pPr>
            <w:r>
              <w:rPr>
                <w:rFonts w:ascii="Verdana" w:cs="Verdana" w:eastAsia="Verdana" w:hAnsi="Verdana"/>
                <w:sz w:val="18"/>
                <w:szCs w:val="18"/>
                <w:color w:val="auto"/>
              </w:rPr>
              <w:t>(76)</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(515)</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201</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06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(314)</w:t>
            </w:r>
          </w:p>
        </w:tc>
        <w:tc>
          <w:tcPr>
            <w:tcW w:w="0" w:type="dxa"/>
            <w:vAlign w:val="bottom"/>
          </w:tcPr>
          <w:p>
            <w:pPr>
              <w:spacing w:after="0"/>
              <w:rPr>
                <w:sz w:val="1"/>
                <w:szCs w:val="1"/>
                <w:color w:val="auto"/>
              </w:rPr>
            </w:pPr>
          </w:p>
        </w:tc>
      </w:tr>
      <w:tr>
        <w:trPr>
          <w:trHeight w:val="263"/>
        </w:trPr>
        <w:tc>
          <w:tcPr>
            <w:tcW w:w="36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Portfolio loans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12,598</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85,980</w:t>
            </w: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98,578</w:t>
            </w: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17,870</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17,799</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35,669</w:t>
            </w:r>
          </w:p>
        </w:tc>
        <w:tc>
          <w:tcPr>
            <w:tcW w:w="0" w:type="dxa"/>
            <w:vAlign w:val="bottom"/>
          </w:tcPr>
          <w:p>
            <w:pPr>
              <w:spacing w:after="0"/>
              <w:rPr>
                <w:sz w:val="1"/>
                <w:szCs w:val="1"/>
                <w:color w:val="auto"/>
              </w:rPr>
            </w:pPr>
          </w:p>
        </w:tc>
      </w:tr>
      <w:tr>
        <w:trPr>
          <w:trHeight w:val="264"/>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Change in interest income</w:t>
            </w:r>
          </w:p>
        </w:tc>
        <w:tc>
          <w:tcPr>
            <w:tcW w:w="220" w:type="dxa"/>
            <w:vAlign w:val="bottom"/>
            <w:tcBorders>
              <w:bottom w:val="single" w:sz="8" w:color="auto"/>
            </w:tcBorders>
            <w:shd w:val="clear" w:color="auto" w:fill="E0E7ED"/>
          </w:tcPr>
          <w:p>
            <w:pPr>
              <w:spacing w:after="0"/>
              <w:rPr>
                <w:sz w:val="22"/>
                <w:szCs w:val="22"/>
                <w:color w:val="auto"/>
              </w:rPr>
            </w:pPr>
          </w:p>
        </w:tc>
        <w:tc>
          <w:tcPr>
            <w:tcW w:w="94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1,241</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118,120</w:t>
            </w:r>
          </w:p>
        </w:tc>
        <w:tc>
          <w:tcPr>
            <w:tcW w:w="80" w:type="dxa"/>
            <w:vAlign w:val="bottom"/>
            <w:shd w:val="clear" w:color="auto" w:fill="E0E7ED"/>
          </w:tcPr>
          <w:p>
            <w:pPr>
              <w:spacing w:after="0"/>
              <w:rPr>
                <w:sz w:val="22"/>
                <w:szCs w:val="22"/>
                <w:color w:val="auto"/>
              </w:rPr>
            </w:pPr>
          </w:p>
        </w:tc>
        <w:tc>
          <w:tcPr>
            <w:tcW w:w="220" w:type="dxa"/>
            <w:vAlign w:val="bottom"/>
            <w:tcBorders>
              <w:bottom w:val="single" w:sz="8" w:color="auto"/>
            </w:tcBorders>
            <w:shd w:val="clear" w:color="auto" w:fill="E0E7ED"/>
          </w:tcPr>
          <w:p>
            <w:pPr>
              <w:spacing w:after="0"/>
              <w:rPr>
                <w:sz w:val="22"/>
                <w:szCs w:val="22"/>
                <w:color w:val="auto"/>
              </w:rPr>
            </w:pPr>
          </w:p>
        </w:tc>
        <w:tc>
          <w:tcPr>
            <w:tcW w:w="112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119,361</w:t>
            </w:r>
          </w:p>
        </w:tc>
        <w:tc>
          <w:tcPr>
            <w:tcW w:w="80" w:type="dxa"/>
            <w:vAlign w:val="bottom"/>
            <w:shd w:val="clear" w:color="auto" w:fill="E0E7ED"/>
          </w:tcPr>
          <w:p>
            <w:pPr>
              <w:spacing w:after="0"/>
              <w:rPr>
                <w:sz w:val="22"/>
                <w:szCs w:val="22"/>
                <w:color w:val="auto"/>
              </w:rPr>
            </w:pPr>
          </w:p>
        </w:tc>
        <w:tc>
          <w:tcPr>
            <w:tcW w:w="220" w:type="dxa"/>
            <w:vAlign w:val="bottom"/>
            <w:tcBorders>
              <w:bottom w:val="single" w:sz="8" w:color="auto"/>
            </w:tcBorders>
            <w:shd w:val="clear" w:color="auto" w:fill="E0E7ED"/>
          </w:tcPr>
          <w:p>
            <w:pPr>
              <w:spacing w:after="0"/>
              <w:rPr>
                <w:sz w:val="22"/>
                <w:szCs w:val="22"/>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21,636</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98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39,394</w:t>
            </w:r>
          </w:p>
        </w:tc>
        <w:tc>
          <w:tcPr>
            <w:tcW w:w="80" w:type="dxa"/>
            <w:vAlign w:val="bottom"/>
            <w:shd w:val="clear" w:color="auto" w:fill="E0E7ED"/>
          </w:tcPr>
          <w:p>
            <w:pPr>
              <w:spacing w:after="0"/>
              <w:rPr>
                <w:sz w:val="22"/>
                <w:szCs w:val="22"/>
                <w:color w:val="auto"/>
              </w:rPr>
            </w:pPr>
          </w:p>
        </w:tc>
        <w:tc>
          <w:tcPr>
            <w:tcW w:w="260" w:type="dxa"/>
            <w:vAlign w:val="bottom"/>
            <w:tcBorders>
              <w:bottom w:val="single" w:sz="8" w:color="auto"/>
            </w:tcBorders>
            <w:shd w:val="clear" w:color="auto" w:fill="E0E7ED"/>
          </w:tcPr>
          <w:p>
            <w:pPr>
              <w:spacing w:after="0"/>
              <w:rPr>
                <w:sz w:val="22"/>
                <w:szCs w:val="22"/>
                <w:color w:val="auto"/>
              </w:rPr>
            </w:pPr>
          </w:p>
        </w:tc>
        <w:tc>
          <w:tcPr>
            <w:tcW w:w="106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61,030</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Increase (decrease) in interest</w:t>
            </w:r>
          </w:p>
        </w:tc>
        <w:tc>
          <w:tcPr>
            <w:tcW w:w="22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1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expense</w:t>
            </w:r>
          </w:p>
        </w:tc>
        <w:tc>
          <w:tcPr>
            <w:tcW w:w="2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00" w:type="dxa"/>
            <w:vAlign w:val="bottom"/>
          </w:tcPr>
          <w:p>
            <w:pPr>
              <w:ind w:left="180"/>
              <w:spacing w:after="0"/>
              <w:rPr>
                <w:sz w:val="20"/>
                <w:szCs w:val="20"/>
                <w:color w:val="auto"/>
              </w:rPr>
            </w:pPr>
            <w:r>
              <w:rPr>
                <w:rFonts w:ascii="Verdana" w:cs="Verdana" w:eastAsia="Verdana" w:hAnsi="Verdana"/>
                <w:sz w:val="18"/>
                <w:szCs w:val="18"/>
                <w:color w:val="auto"/>
              </w:rPr>
              <w:t>Interest-bearing transaction deposits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(27)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36,145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94"/>
              <w:spacing w:after="0"/>
              <w:rPr>
                <w:sz w:val="20"/>
                <w:szCs w:val="20"/>
                <w:color w:val="auto"/>
              </w:rPr>
            </w:pPr>
            <w:r>
              <w:rPr>
                <w:rFonts w:ascii="Verdana" w:cs="Verdana" w:eastAsia="Verdana" w:hAnsi="Verdana"/>
                <w:sz w:val="18"/>
                <w:szCs w:val="18"/>
                <w:color w:val="auto"/>
              </w:rPr>
              <w:t>36,118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129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Verdana" w:cs="Verdana" w:eastAsia="Verdana" w:hAnsi="Verdana"/>
                <w:sz w:val="18"/>
                <w:szCs w:val="18"/>
                <w:color w:val="auto"/>
              </w:rPr>
              <w:t>5,099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93"/>
              <w:spacing w:after="0"/>
              <w:rPr>
                <w:sz w:val="20"/>
                <w:szCs w:val="20"/>
                <w:color w:val="auto"/>
              </w:rPr>
            </w:pPr>
            <w:r>
              <w:rPr>
                <w:rFonts w:ascii="Verdana" w:cs="Verdana" w:eastAsia="Verdana" w:hAnsi="Verdana"/>
                <w:sz w:val="18"/>
                <w:szCs w:val="18"/>
                <w:color w:val="auto"/>
              </w:rPr>
              <w:t>5,228</w:t>
            </w:r>
          </w:p>
        </w:tc>
        <w:tc>
          <w:tcPr>
            <w:tcW w:w="0" w:type="dxa"/>
            <w:vAlign w:val="bottom"/>
          </w:tcPr>
          <w:p>
            <w:pPr>
              <w:spacing w:after="0"/>
              <w:rPr>
                <w:sz w:val="1"/>
                <w:szCs w:val="1"/>
                <w:color w:val="auto"/>
              </w:rPr>
            </w:pPr>
          </w:p>
        </w:tc>
      </w:tr>
      <w:tr>
        <w:trPr>
          <w:trHeight w:val="277"/>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Savings and money market deposits</w:t>
            </w:r>
          </w:p>
        </w:tc>
        <w:tc>
          <w:tcPr>
            <w:tcW w:w="22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(752)</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33,553</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1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32,801</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1,269</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06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1,420</w:t>
            </w:r>
          </w:p>
        </w:tc>
        <w:tc>
          <w:tcPr>
            <w:tcW w:w="0" w:type="dxa"/>
            <w:vAlign w:val="bottom"/>
          </w:tcPr>
          <w:p>
            <w:pPr>
              <w:spacing w:after="0"/>
              <w:rPr>
                <w:sz w:val="1"/>
                <w:szCs w:val="1"/>
                <w:color w:val="auto"/>
              </w:rPr>
            </w:pPr>
          </w:p>
        </w:tc>
      </w:tr>
      <w:tr>
        <w:trPr>
          <w:trHeight w:val="263"/>
        </w:trPr>
        <w:tc>
          <w:tcPr>
            <w:tcW w:w="3600" w:type="dxa"/>
            <w:vAlign w:val="bottom"/>
          </w:tcPr>
          <w:p>
            <w:pPr>
              <w:ind w:left="180"/>
              <w:spacing w:after="0"/>
              <w:rPr>
                <w:sz w:val="20"/>
                <w:szCs w:val="20"/>
                <w:color w:val="auto"/>
              </w:rPr>
            </w:pPr>
            <w:r>
              <w:rPr>
                <w:rFonts w:ascii="Verdana" w:cs="Verdana" w:eastAsia="Verdana" w:hAnsi="Verdana"/>
                <w:sz w:val="18"/>
                <w:szCs w:val="18"/>
                <w:color w:val="auto"/>
              </w:rPr>
              <w:t>Time deposits</w:t>
            </w:r>
          </w:p>
        </w:tc>
        <w:tc>
          <w:tcPr>
            <w:tcW w:w="22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4,932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34,022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94"/>
              <w:spacing w:after="0"/>
              <w:rPr>
                <w:sz w:val="20"/>
                <w:szCs w:val="20"/>
                <w:color w:val="auto"/>
              </w:rPr>
            </w:pPr>
            <w:r>
              <w:rPr>
                <w:rFonts w:ascii="Verdana" w:cs="Verdana" w:eastAsia="Verdana" w:hAnsi="Verdana"/>
                <w:sz w:val="18"/>
                <w:szCs w:val="18"/>
                <w:color w:val="auto"/>
              </w:rPr>
              <w:t>38,954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(1,303)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(1,816)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33"/>
              <w:spacing w:after="0"/>
              <w:rPr>
                <w:sz w:val="20"/>
                <w:szCs w:val="20"/>
                <w:color w:val="auto"/>
              </w:rPr>
            </w:pPr>
            <w:r>
              <w:rPr>
                <w:rFonts w:ascii="Verdana" w:cs="Verdana" w:eastAsia="Verdana" w:hAnsi="Verdana"/>
                <w:sz w:val="18"/>
                <w:szCs w:val="18"/>
                <w:color w:val="auto"/>
              </w:rPr>
              <w:t>(3,119)</w:t>
            </w:r>
          </w:p>
        </w:tc>
        <w:tc>
          <w:tcPr>
            <w:tcW w:w="0" w:type="dxa"/>
            <w:vAlign w:val="bottom"/>
          </w:tcPr>
          <w:p>
            <w:pPr>
              <w:spacing w:after="0"/>
              <w:rPr>
                <w:sz w:val="1"/>
                <w:szCs w:val="1"/>
                <w:color w:val="auto"/>
              </w:rPr>
            </w:pPr>
          </w:p>
        </w:tc>
      </w:tr>
      <w:tr>
        <w:trPr>
          <w:trHeight w:val="244"/>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Federal funds purchased and</w:t>
            </w:r>
          </w:p>
        </w:tc>
        <w:tc>
          <w:tcPr>
            <w:tcW w:w="2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repurchase agreements</w:t>
            </w:r>
          </w:p>
        </w:tc>
        <w:tc>
          <w:tcPr>
            <w:tcW w:w="22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(304)</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4,032</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3,728</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1,218</w:t>
            </w: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1,248</w:t>
            </w:r>
          </w:p>
        </w:tc>
        <w:tc>
          <w:tcPr>
            <w:tcW w:w="0" w:type="dxa"/>
            <w:vAlign w:val="bottom"/>
          </w:tcPr>
          <w:p>
            <w:pPr>
              <w:spacing w:after="0"/>
              <w:rPr>
                <w:sz w:val="1"/>
                <w:szCs w:val="1"/>
                <w:color w:val="auto"/>
              </w:rPr>
            </w:pPr>
          </w:p>
        </w:tc>
      </w:tr>
      <w:tr>
        <w:trPr>
          <w:trHeight w:val="263"/>
        </w:trPr>
        <w:tc>
          <w:tcPr>
            <w:tcW w:w="3600" w:type="dxa"/>
            <w:vAlign w:val="bottom"/>
          </w:tcPr>
          <w:p>
            <w:pPr>
              <w:ind w:left="180"/>
              <w:spacing w:after="0"/>
              <w:rPr>
                <w:sz w:val="20"/>
                <w:szCs w:val="20"/>
                <w:color w:val="auto"/>
              </w:rPr>
            </w:pPr>
            <w:r>
              <w:rPr>
                <w:rFonts w:ascii="Verdana" w:cs="Verdana" w:eastAsia="Verdana" w:hAnsi="Verdana"/>
                <w:sz w:val="18"/>
                <w:szCs w:val="18"/>
                <w:color w:val="auto"/>
              </w:rPr>
              <w:t>Borrowings</w:t>
            </w:r>
          </w:p>
        </w:tc>
        <w:tc>
          <w:tcPr>
            <w:tcW w:w="22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9,485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1,464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94"/>
              <w:spacing w:after="0"/>
              <w:rPr>
                <w:sz w:val="20"/>
                <w:szCs w:val="20"/>
                <w:color w:val="auto"/>
              </w:rPr>
            </w:pPr>
            <w:r>
              <w:rPr>
                <w:rFonts w:ascii="Verdana" w:cs="Verdana" w:eastAsia="Verdana" w:hAnsi="Verdana"/>
                <w:sz w:val="18"/>
                <w:szCs w:val="18"/>
                <w:color w:val="auto"/>
              </w:rPr>
              <w:t>10,949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1,611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Verdana" w:cs="Verdana" w:eastAsia="Verdana" w:hAnsi="Verdana"/>
                <w:sz w:val="18"/>
                <w:szCs w:val="18"/>
                <w:color w:val="auto"/>
              </w:rPr>
              <w:t>1,869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193"/>
              <w:spacing w:after="0"/>
              <w:rPr>
                <w:sz w:val="20"/>
                <w:szCs w:val="20"/>
                <w:color w:val="auto"/>
              </w:rPr>
            </w:pPr>
            <w:r>
              <w:rPr>
                <w:rFonts w:ascii="Verdana" w:cs="Verdana" w:eastAsia="Verdana" w:hAnsi="Verdana"/>
                <w:sz w:val="18"/>
                <w:szCs w:val="18"/>
                <w:color w:val="auto"/>
              </w:rPr>
              <w:t>3,480</w:t>
            </w:r>
          </w:p>
        </w:tc>
        <w:tc>
          <w:tcPr>
            <w:tcW w:w="0" w:type="dxa"/>
            <w:vAlign w:val="bottom"/>
          </w:tcPr>
          <w:p>
            <w:pPr>
              <w:spacing w:after="0"/>
              <w:rPr>
                <w:sz w:val="1"/>
                <w:szCs w:val="1"/>
                <w:color w:val="auto"/>
              </w:rPr>
            </w:pPr>
          </w:p>
        </w:tc>
      </w:tr>
      <w:tr>
        <w:trPr>
          <w:trHeight w:val="244"/>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Junior subordinated debt owed to</w:t>
            </w:r>
          </w:p>
        </w:tc>
        <w:tc>
          <w:tcPr>
            <w:tcW w:w="2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unconsolidated trusts</w:t>
            </w:r>
          </w:p>
        </w:tc>
        <w:tc>
          <w:tcPr>
            <w:tcW w:w="220" w:type="dxa"/>
            <w:vAlign w:val="bottom"/>
            <w:tcBorders>
              <w:bottom w:val="single" w:sz="8" w:color="auto"/>
            </w:tcBorders>
            <w:shd w:val="clear" w:color="auto" w:fill="E0E7ED"/>
          </w:tcPr>
          <w:p>
            <w:pPr>
              <w:spacing w:after="0"/>
              <w:rPr>
                <w:sz w:val="21"/>
                <w:szCs w:val="21"/>
                <w:color w:val="auto"/>
              </w:rPr>
            </w:pPr>
          </w:p>
        </w:tc>
        <w:tc>
          <w:tcPr>
            <w:tcW w:w="94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8</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816</w:t>
            </w:r>
          </w:p>
        </w:tc>
        <w:tc>
          <w:tcPr>
            <w:tcW w:w="8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12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824</w:t>
            </w:r>
          </w:p>
        </w:tc>
        <w:tc>
          <w:tcPr>
            <w:tcW w:w="8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8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182</w:t>
            </w:r>
          </w:p>
        </w:tc>
        <w:tc>
          <w:tcPr>
            <w:tcW w:w="8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06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189</w:t>
            </w:r>
          </w:p>
        </w:tc>
        <w:tc>
          <w:tcPr>
            <w:tcW w:w="0" w:type="dxa"/>
            <w:vAlign w:val="bottom"/>
          </w:tcPr>
          <w:p>
            <w:pPr>
              <w:spacing w:after="0"/>
              <w:rPr>
                <w:sz w:val="1"/>
                <w:szCs w:val="1"/>
                <w:color w:val="auto"/>
              </w:rPr>
            </w:pPr>
          </w:p>
        </w:tc>
      </w:tr>
      <w:tr>
        <w:trPr>
          <w:trHeight w:val="263"/>
        </w:trPr>
        <w:tc>
          <w:tcPr>
            <w:tcW w:w="360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Change in interest expense</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13,342</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110,032</w:t>
            </w: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123,374</w:t>
            </w: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625</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7,821</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8,446</w:t>
            </w:r>
          </w:p>
        </w:tc>
        <w:tc>
          <w:tcPr>
            <w:tcW w:w="0" w:type="dxa"/>
            <w:vAlign w:val="bottom"/>
          </w:tcPr>
          <w:p>
            <w:pPr>
              <w:spacing w:after="0"/>
              <w:rPr>
                <w:sz w:val="1"/>
                <w:szCs w:val="1"/>
                <w:color w:val="auto"/>
              </w:rPr>
            </w:pPr>
          </w:p>
        </w:tc>
      </w:tr>
      <w:tr>
        <w:trPr>
          <w:trHeight w:val="224"/>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Increase (decrease) in net interest</w:t>
            </w: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(12,101)</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8,088</w:t>
            </w:r>
          </w:p>
        </w:tc>
        <w:tc>
          <w:tcPr>
            <w:tcW w:w="8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120" w:type="dxa"/>
            <w:vAlign w:val="bottom"/>
            <w:vMerge w:val="restart"/>
            <w:shd w:val="clear" w:color="auto" w:fill="E0E7ED"/>
          </w:tcPr>
          <w:p>
            <w:pPr>
              <w:jc w:val="right"/>
              <w:ind w:right="114"/>
              <w:spacing w:after="0"/>
              <w:rPr>
                <w:sz w:val="20"/>
                <w:szCs w:val="20"/>
                <w:color w:val="auto"/>
              </w:rPr>
            </w:pPr>
            <w:r>
              <w:rPr>
                <w:rFonts w:ascii="Verdana" w:cs="Verdana" w:eastAsia="Verdana" w:hAnsi="Verdana"/>
                <w:sz w:val="18"/>
                <w:szCs w:val="18"/>
                <w:color w:val="auto"/>
              </w:rPr>
              <w:t>(4,013)</w:t>
            </w:r>
          </w:p>
        </w:tc>
        <w:tc>
          <w:tcPr>
            <w:tcW w:w="300" w:type="dxa"/>
            <w:vAlign w:val="bottom"/>
            <w:gridSpan w:val="2"/>
            <w:vMerge w:val="restart"/>
            <w:shd w:val="clear" w:color="auto" w:fill="E0E7ED"/>
          </w:tcPr>
          <w:p>
            <w:pPr>
              <w:jc w:val="right"/>
              <w:ind w:right="80"/>
              <w:spacing w:after="0"/>
              <w:rPr>
                <w:sz w:val="20"/>
                <w:szCs w:val="20"/>
                <w:color w:val="auto"/>
              </w:rPr>
            </w:pPr>
            <w:r>
              <w:rPr>
                <w:rFonts w:ascii="Verdana" w:cs="Verdana" w:eastAsia="Verdana" w:hAnsi="Verdana"/>
                <w:sz w:val="18"/>
                <w:szCs w:val="18"/>
                <w:color w:val="auto"/>
              </w:rPr>
              <w:t>$</w:t>
            </w: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21,011</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vMerge w:val="restart"/>
            <w:shd w:val="clear" w:color="auto" w:fill="E0E7ED"/>
          </w:tcPr>
          <w:p>
            <w:pPr>
              <w:jc w:val="right"/>
              <w:ind w:right="13"/>
              <w:spacing w:after="0"/>
              <w:rPr>
                <w:sz w:val="20"/>
                <w:szCs w:val="20"/>
                <w:color w:val="auto"/>
              </w:rPr>
            </w:pPr>
            <w:r>
              <w:rPr>
                <w:rFonts w:ascii="Verdana" w:cs="Verdana" w:eastAsia="Verdana" w:hAnsi="Verdana"/>
                <w:sz w:val="18"/>
                <w:szCs w:val="18"/>
                <w:color w:val="auto"/>
              </w:rPr>
              <w:t>31,573</w:t>
            </w:r>
          </w:p>
        </w:tc>
        <w:tc>
          <w:tcPr>
            <w:tcW w:w="80" w:type="dxa"/>
            <w:vAlign w:val="bottom"/>
            <w:shd w:val="clear" w:color="auto" w:fill="E0E7ED"/>
          </w:tcPr>
          <w:p>
            <w:pPr>
              <w:spacing w:after="0"/>
              <w:rPr>
                <w:sz w:val="19"/>
                <w:szCs w:val="19"/>
                <w:color w:val="auto"/>
              </w:rPr>
            </w:pPr>
          </w:p>
        </w:tc>
        <w:tc>
          <w:tcPr>
            <w:tcW w:w="260" w:type="dxa"/>
            <w:vAlign w:val="bottom"/>
            <w:vMerge w:val="restart"/>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060" w:type="dxa"/>
            <w:vAlign w:val="bottom"/>
            <w:vMerge w:val="restart"/>
            <w:shd w:val="clear" w:color="auto" w:fill="E0E7ED"/>
          </w:tcPr>
          <w:p>
            <w:pPr>
              <w:jc w:val="right"/>
              <w:ind w:right="193"/>
              <w:spacing w:after="0"/>
              <w:rPr>
                <w:sz w:val="20"/>
                <w:szCs w:val="20"/>
                <w:color w:val="auto"/>
              </w:rPr>
            </w:pPr>
            <w:r>
              <w:rPr>
                <w:rFonts w:ascii="Verdana" w:cs="Verdana" w:eastAsia="Verdana" w:hAnsi="Verdana"/>
                <w:sz w:val="18"/>
                <w:szCs w:val="18"/>
                <w:color w:val="auto"/>
              </w:rPr>
              <w:t>52,584</w:t>
            </w:r>
          </w:p>
        </w:tc>
        <w:tc>
          <w:tcPr>
            <w:tcW w:w="0" w:type="dxa"/>
            <w:vAlign w:val="bottom"/>
          </w:tcPr>
          <w:p>
            <w:pPr>
              <w:spacing w:after="0"/>
              <w:rPr>
                <w:sz w:val="1"/>
                <w:szCs w:val="1"/>
                <w:color w:val="auto"/>
              </w:rPr>
            </w:pPr>
          </w:p>
        </w:tc>
      </w:tr>
      <w:tr>
        <w:trPr>
          <w:trHeight w:val="241"/>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income</w:t>
            </w:r>
          </w:p>
        </w:tc>
        <w:tc>
          <w:tcPr>
            <w:tcW w:w="220" w:type="dxa"/>
            <w:vAlign w:val="bottom"/>
            <w:vMerge w:val="continue"/>
            <w:shd w:val="clear" w:color="auto" w:fill="E0E7ED"/>
          </w:tcPr>
          <w:p>
            <w:pPr>
              <w:spacing w:after="0"/>
              <w:rPr>
                <w:sz w:val="20"/>
                <w:szCs w:val="20"/>
                <w:color w:val="auto"/>
              </w:rPr>
            </w:pPr>
          </w:p>
        </w:tc>
        <w:tc>
          <w:tcPr>
            <w:tcW w:w="940" w:type="dxa"/>
            <w:vAlign w:val="bottom"/>
            <w:vMerge w:val="continue"/>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vMerge w:val="continue"/>
            <w:shd w:val="clear" w:color="auto" w:fill="E0E7ED"/>
          </w:tcPr>
          <w:p>
            <w:pPr>
              <w:spacing w:after="0"/>
              <w:rPr>
                <w:sz w:val="20"/>
                <w:szCs w:val="20"/>
                <w:color w:val="auto"/>
              </w:rPr>
            </w:pPr>
          </w:p>
        </w:tc>
        <w:tc>
          <w:tcPr>
            <w:tcW w:w="980" w:type="dxa"/>
            <w:vAlign w:val="bottom"/>
            <w:vMerge w:val="continue"/>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20" w:type="dxa"/>
            <w:vAlign w:val="bottom"/>
            <w:vMerge w:val="continue"/>
            <w:shd w:val="clear" w:color="auto" w:fill="E0E7ED"/>
          </w:tcPr>
          <w:p>
            <w:pPr>
              <w:spacing w:after="0"/>
              <w:rPr>
                <w:sz w:val="20"/>
                <w:szCs w:val="20"/>
                <w:color w:val="auto"/>
              </w:rPr>
            </w:pPr>
          </w:p>
        </w:tc>
        <w:tc>
          <w:tcPr>
            <w:tcW w:w="1120" w:type="dxa"/>
            <w:vAlign w:val="bottom"/>
            <w:vMerge w:val="continue"/>
            <w:shd w:val="clear" w:color="auto" w:fill="E0E7ED"/>
          </w:tcPr>
          <w:p>
            <w:pPr>
              <w:spacing w:after="0"/>
              <w:rPr>
                <w:sz w:val="20"/>
                <w:szCs w:val="20"/>
                <w:color w:val="auto"/>
              </w:rPr>
            </w:pPr>
          </w:p>
        </w:tc>
        <w:tc>
          <w:tcPr>
            <w:tcW w:w="300" w:type="dxa"/>
            <w:vAlign w:val="bottom"/>
            <w:gridSpan w:val="2"/>
            <w:vMerge w:val="continue"/>
            <w:shd w:val="clear" w:color="auto" w:fill="E0E7ED"/>
          </w:tcPr>
          <w:p>
            <w:pPr>
              <w:spacing w:after="0"/>
              <w:rPr>
                <w:sz w:val="20"/>
                <w:szCs w:val="20"/>
                <w:color w:val="auto"/>
              </w:rPr>
            </w:pPr>
          </w:p>
        </w:tc>
        <w:tc>
          <w:tcPr>
            <w:tcW w:w="920" w:type="dxa"/>
            <w:vAlign w:val="bottom"/>
            <w:vMerge w:val="continue"/>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vMerge w:val="continue"/>
            <w:shd w:val="clear" w:color="auto" w:fill="E0E7ED"/>
          </w:tcPr>
          <w:p>
            <w:pPr>
              <w:spacing w:after="0"/>
              <w:rPr>
                <w:sz w:val="20"/>
                <w:szCs w:val="20"/>
                <w:color w:val="auto"/>
              </w:rPr>
            </w:pPr>
          </w:p>
        </w:tc>
        <w:tc>
          <w:tcPr>
            <w:tcW w:w="980" w:type="dxa"/>
            <w:vAlign w:val="bottom"/>
            <w:vMerge w:val="continue"/>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vMerge w:val="continue"/>
            <w:shd w:val="clear" w:color="auto" w:fill="E0E7ED"/>
          </w:tcPr>
          <w:p>
            <w:pPr>
              <w:spacing w:after="0"/>
              <w:rPr>
                <w:sz w:val="20"/>
                <w:szCs w:val="20"/>
                <w:color w:val="auto"/>
              </w:rPr>
            </w:pPr>
          </w:p>
        </w:tc>
        <w:tc>
          <w:tcPr>
            <w:tcW w:w="1060" w:type="dxa"/>
            <w:vAlign w:val="bottom"/>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Percentage increase (decrease) in net</w:t>
            </w:r>
          </w:p>
        </w:tc>
        <w:tc>
          <w:tcPr>
            <w:tcW w:w="22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1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(1.2)%</w:t>
            </w:r>
          </w:p>
        </w:tc>
        <w:tc>
          <w:tcPr>
            <w:tcW w:w="8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19.3 %</w:t>
            </w:r>
          </w:p>
        </w:tc>
        <w:tc>
          <w:tcPr>
            <w:tcW w:w="0" w:type="dxa"/>
            <w:vAlign w:val="bottom"/>
          </w:tcPr>
          <w:p>
            <w:pPr>
              <w:spacing w:after="0"/>
              <w:rPr>
                <w:sz w:val="1"/>
                <w:szCs w:val="1"/>
                <w:color w:val="auto"/>
              </w:rPr>
            </w:pPr>
          </w:p>
        </w:tc>
      </w:tr>
      <w:tr>
        <w:trPr>
          <w:trHeight w:val="241"/>
        </w:trPr>
        <w:tc>
          <w:tcPr>
            <w:tcW w:w="36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interest income over prior period</w:t>
            </w:r>
          </w:p>
        </w:tc>
        <w:tc>
          <w:tcPr>
            <w:tcW w:w="220" w:type="dxa"/>
            <w:vAlign w:val="bottom"/>
            <w:tcBorders>
              <w:bottom w:val="single" w:sz="8" w:color="E0E7ED"/>
            </w:tcBorders>
            <w:shd w:val="clear" w:color="auto" w:fill="E0E7ED"/>
          </w:tcPr>
          <w:p>
            <w:pPr>
              <w:spacing w:after="0"/>
              <w:rPr>
                <w:sz w:val="20"/>
                <w:szCs w:val="20"/>
                <w:color w:val="auto"/>
              </w:rPr>
            </w:pPr>
          </w:p>
        </w:tc>
        <w:tc>
          <w:tcPr>
            <w:tcW w:w="94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E0E7ED"/>
            </w:tcBorders>
            <w:shd w:val="clear" w:color="auto" w:fill="E0E7ED"/>
          </w:tcPr>
          <w:p>
            <w:pPr>
              <w:spacing w:after="0"/>
              <w:rPr>
                <w:sz w:val="20"/>
                <w:szCs w:val="20"/>
                <w:color w:val="auto"/>
              </w:rPr>
            </w:pPr>
          </w:p>
        </w:tc>
        <w:tc>
          <w:tcPr>
            <w:tcW w:w="98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shd w:val="clear" w:color="auto" w:fill="E0E7ED"/>
          </w:tcPr>
          <w:p>
            <w:pPr>
              <w:spacing w:after="0"/>
              <w:rPr>
                <w:sz w:val="20"/>
                <w:szCs w:val="20"/>
                <w:color w:val="auto"/>
              </w:rPr>
            </w:pPr>
          </w:p>
        </w:tc>
        <w:tc>
          <w:tcPr>
            <w:tcW w:w="112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E0E7ED"/>
            </w:tcBorders>
            <w:shd w:val="clear" w:color="auto" w:fill="E0E7ED"/>
          </w:tcPr>
          <w:p>
            <w:pPr>
              <w:spacing w:after="0"/>
              <w:rPr>
                <w:sz w:val="20"/>
                <w:szCs w:val="20"/>
                <w:color w:val="auto"/>
              </w:rPr>
            </w:pPr>
          </w:p>
        </w:tc>
        <w:tc>
          <w:tcPr>
            <w:tcW w:w="92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E0E7ED"/>
            </w:tcBorders>
            <w:shd w:val="clear" w:color="auto" w:fill="E0E7ED"/>
          </w:tcPr>
          <w:p>
            <w:pPr>
              <w:spacing w:after="0"/>
              <w:rPr>
                <w:sz w:val="20"/>
                <w:szCs w:val="20"/>
                <w:color w:val="auto"/>
              </w:rPr>
            </w:pPr>
          </w:p>
        </w:tc>
        <w:tc>
          <w:tcPr>
            <w:tcW w:w="98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60" w:type="dxa"/>
            <w:vAlign w:val="bottom"/>
            <w:tcBorders>
              <w:bottom w:val="single" w:sz="8" w:color="auto"/>
            </w:tcBorders>
            <w:shd w:val="clear" w:color="auto" w:fill="E0E7ED"/>
          </w:tcPr>
          <w:p>
            <w:pPr>
              <w:spacing w:after="0"/>
              <w:rPr>
                <w:sz w:val="20"/>
                <w:szCs w:val="20"/>
                <w:color w:val="auto"/>
              </w:rPr>
            </w:pPr>
          </w:p>
        </w:tc>
        <w:tc>
          <w:tcPr>
            <w:tcW w:w="106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9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tcBorders>
          </w:tcPr>
          <w:p>
            <w:pPr>
              <w:spacing w:after="0" w:line="20" w:lineRule="exact"/>
              <w:rPr>
                <w:sz w:val="1"/>
                <w:szCs w:val="1"/>
                <w:color w:val="auto"/>
              </w:rPr>
            </w:pPr>
          </w:p>
        </w:tc>
        <w:tc>
          <w:tcPr>
            <w:tcW w:w="9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9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0" w:name="page61"/>
    <w:bookmarkEnd w:id="6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Notable changes in average assets and average liabilities are summarized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3740" w:type="dxa"/>
            <w:vAlign w:val="bottom"/>
            <w:gridSpan w:val="4"/>
          </w:tcPr>
          <w:p>
            <w:pPr>
              <w:ind w:left="880"/>
              <w:spacing w:after="0"/>
              <w:rPr>
                <w:sz w:val="20"/>
                <w:szCs w:val="20"/>
                <w:color w:val="auto"/>
              </w:rPr>
            </w:pPr>
            <w:r>
              <w:rPr>
                <w:rFonts w:ascii="Verdana" w:cs="Verdana" w:eastAsia="Verdana" w:hAnsi="Verdana"/>
                <w:sz w:val="13"/>
                <w:szCs w:val="13"/>
                <w:b w:val="1"/>
                <w:bCs w:val="1"/>
                <w:color w:val="auto"/>
              </w:rPr>
              <w:t>Years Ended December 31,</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0"/>
        </w:trPr>
        <w:tc>
          <w:tcPr>
            <w:tcW w:w="4200" w:type="dxa"/>
            <w:vAlign w:val="bottom"/>
          </w:tcPr>
          <w:p>
            <w:pPr>
              <w:spacing w:after="0"/>
              <w:rPr>
                <w:sz w:val="14"/>
                <w:szCs w:val="14"/>
                <w:color w:val="auto"/>
              </w:rPr>
            </w:pPr>
          </w:p>
        </w:tc>
        <w:tc>
          <w:tcPr>
            <w:tcW w:w="1780" w:type="dxa"/>
            <w:vAlign w:val="bottom"/>
            <w:tcBorders>
              <w:top w:val="single" w:sz="8" w:color="auto"/>
            </w:tcBorders>
          </w:tcPr>
          <w:p>
            <w:pPr>
              <w:jc w:val="right"/>
              <w:ind w:right="638"/>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right"/>
              <w:ind w:right="615"/>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Change</w:t>
            </w:r>
          </w:p>
        </w:tc>
        <w:tc>
          <w:tcPr>
            <w:tcW w:w="1660" w:type="dxa"/>
            <w:vAlign w:val="bottom"/>
          </w:tcPr>
          <w:p>
            <w:pPr>
              <w:jc w:val="right"/>
              <w:ind w:right="375"/>
              <w:spacing w:after="0"/>
              <w:rPr>
                <w:sz w:val="20"/>
                <w:szCs w:val="20"/>
                <w:color w:val="auto"/>
              </w:rPr>
            </w:pPr>
            <w:r>
              <w:rPr>
                <w:rFonts w:ascii="Verdana" w:cs="Verdana" w:eastAsia="Verdana" w:hAnsi="Verdana"/>
                <w:sz w:val="13"/>
                <w:szCs w:val="13"/>
                <w:b w:val="1"/>
                <w:bCs w:val="1"/>
                <w:color w:val="auto"/>
              </w:rPr>
              <w:t>% Change</w:t>
            </w:r>
          </w:p>
        </w:tc>
      </w:tr>
      <w:tr>
        <w:trPr>
          <w:trHeight w:val="269"/>
        </w:trPr>
        <w:tc>
          <w:tcPr>
            <w:tcW w:w="42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Average interest-earning assets</w:t>
            </w:r>
          </w:p>
        </w:tc>
        <w:tc>
          <w:tcPr>
            <w:tcW w:w="1780" w:type="dxa"/>
            <w:vAlign w:val="bottom"/>
            <w:tcBorders>
              <w:top w:val="single" w:sz="8" w:color="auto"/>
            </w:tcBorders>
            <w:shd w:val="clear" w:color="auto" w:fill="E0E7ED"/>
          </w:tcPr>
          <w:p>
            <w:pPr>
              <w:jc w:val="right"/>
              <w:ind w:right="198"/>
              <w:spacing w:after="0"/>
              <w:rPr>
                <w:sz w:val="20"/>
                <w:szCs w:val="20"/>
                <w:color w:val="auto"/>
              </w:rPr>
            </w:pPr>
            <w:r>
              <w:rPr>
                <w:rFonts w:ascii="Verdana" w:cs="Verdana" w:eastAsia="Verdana" w:hAnsi="Verdana"/>
                <w:sz w:val="18"/>
                <w:szCs w:val="18"/>
                <w:color w:val="auto"/>
              </w:rPr>
              <w:t>$   11,164,594</w:t>
            </w:r>
          </w:p>
        </w:tc>
        <w:tc>
          <w:tcPr>
            <w:tcW w:w="80" w:type="dxa"/>
            <w:vAlign w:val="bottom"/>
            <w:tcBorders>
              <w:top w:val="single" w:sz="8" w:color="E0E7ED"/>
            </w:tcBorders>
            <w:shd w:val="clear" w:color="auto" w:fill="E0E7ED"/>
          </w:tcPr>
          <w:p>
            <w:pPr>
              <w:spacing w:after="0"/>
              <w:rPr>
                <w:sz w:val="23"/>
                <w:szCs w:val="23"/>
                <w:color w:val="auto"/>
              </w:rPr>
            </w:pPr>
          </w:p>
        </w:tc>
        <w:tc>
          <w:tcPr>
            <w:tcW w:w="1780" w:type="dxa"/>
            <w:vAlign w:val="bottom"/>
            <w:tcBorders>
              <w:top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   11,473,063</w:t>
            </w:r>
          </w:p>
        </w:tc>
        <w:tc>
          <w:tcPr>
            <w:tcW w:w="100" w:type="dxa"/>
            <w:vAlign w:val="bottom"/>
            <w:tcBorders>
              <w:top w:val="single" w:sz="8" w:color="E0E7ED"/>
            </w:tcBorders>
            <w:shd w:val="clear" w:color="auto" w:fill="E0E7ED"/>
          </w:tcPr>
          <w:p>
            <w:pPr>
              <w:spacing w:after="0"/>
              <w:rPr>
                <w:sz w:val="23"/>
                <w:szCs w:val="23"/>
                <w:color w:val="auto"/>
              </w:rPr>
            </w:pPr>
          </w:p>
        </w:tc>
        <w:tc>
          <w:tcPr>
            <w:tcW w:w="320" w:type="dxa"/>
            <w:vAlign w:val="bottom"/>
            <w:tcBorders>
              <w:top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20" w:type="dxa"/>
            <w:vAlign w:val="bottom"/>
            <w:tcBorders>
              <w:top w:val="single" w:sz="8" w:color="auto"/>
            </w:tcBorders>
            <w:shd w:val="clear" w:color="auto" w:fill="E0E7ED"/>
          </w:tcPr>
          <w:p>
            <w:pPr>
              <w:jc w:val="center"/>
              <w:ind w:left="175"/>
              <w:spacing w:after="0"/>
              <w:rPr>
                <w:sz w:val="20"/>
                <w:szCs w:val="20"/>
                <w:color w:val="auto"/>
              </w:rPr>
            </w:pPr>
            <w:r>
              <w:rPr>
                <w:rFonts w:ascii="Verdana" w:cs="Verdana" w:eastAsia="Verdana" w:hAnsi="Verdana"/>
                <w:sz w:val="18"/>
                <w:szCs w:val="18"/>
                <w:color w:val="auto"/>
              </w:rPr>
              <w:t>(308,469)</w:t>
            </w:r>
          </w:p>
        </w:tc>
        <w:tc>
          <w:tcPr>
            <w:tcW w:w="100" w:type="dxa"/>
            <w:vAlign w:val="bottom"/>
            <w:tcBorders>
              <w:top w:val="single" w:sz="8" w:color="E0E7ED"/>
            </w:tcBorders>
            <w:shd w:val="clear" w:color="auto" w:fill="E0E7ED"/>
          </w:tcPr>
          <w:p>
            <w:pPr>
              <w:spacing w:after="0"/>
              <w:rPr>
                <w:sz w:val="23"/>
                <w:szCs w:val="23"/>
                <w:color w:val="auto"/>
              </w:rPr>
            </w:pP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Average interest-bearing liabilities</w:t>
            </w:r>
          </w:p>
        </w:tc>
        <w:tc>
          <w:tcPr>
            <w:tcW w:w="1780" w:type="dxa"/>
            <w:vAlign w:val="bottom"/>
          </w:tcPr>
          <w:p>
            <w:pPr>
              <w:jc w:val="right"/>
              <w:ind w:right="198"/>
              <w:spacing w:after="0"/>
              <w:rPr>
                <w:sz w:val="20"/>
                <w:szCs w:val="20"/>
                <w:color w:val="auto"/>
              </w:rPr>
            </w:pPr>
            <w:r>
              <w:rPr>
                <w:rFonts w:ascii="Verdana" w:cs="Verdana" w:eastAsia="Verdana" w:hAnsi="Verdana"/>
                <w:sz w:val="18"/>
                <w:szCs w:val="18"/>
                <w:color w:val="auto"/>
              </w:rPr>
              <w:t>7,825,459</w:t>
            </w:r>
          </w:p>
        </w:tc>
        <w:tc>
          <w:tcPr>
            <w:tcW w:w="80" w:type="dxa"/>
            <w:vAlign w:val="bottom"/>
          </w:tcPr>
          <w:p>
            <w:pPr>
              <w:spacing w:after="0"/>
              <w:rPr>
                <w:sz w:val="22"/>
                <w:szCs w:val="22"/>
                <w:color w:val="auto"/>
              </w:rPr>
            </w:pPr>
          </w:p>
        </w:tc>
        <w:tc>
          <w:tcPr>
            <w:tcW w:w="1780" w:type="dxa"/>
            <w:vAlign w:val="bottom"/>
          </w:tcPr>
          <w:p>
            <w:pPr>
              <w:jc w:val="right"/>
              <w:ind w:right="195"/>
              <w:spacing w:after="0"/>
              <w:rPr>
                <w:sz w:val="20"/>
                <w:szCs w:val="20"/>
                <w:color w:val="auto"/>
              </w:rPr>
            </w:pPr>
            <w:r>
              <w:rPr>
                <w:rFonts w:ascii="Verdana" w:cs="Verdana" w:eastAsia="Verdana" w:hAnsi="Verdana"/>
                <w:sz w:val="18"/>
                <w:szCs w:val="18"/>
                <w:color w:val="auto"/>
              </w:rPr>
              <w:t>7,583,331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center"/>
              <w:ind w:left="215"/>
              <w:spacing w:after="0"/>
              <w:rPr>
                <w:sz w:val="20"/>
                <w:szCs w:val="20"/>
                <w:color w:val="auto"/>
              </w:rPr>
            </w:pPr>
            <w:r>
              <w:rPr>
                <w:rFonts w:ascii="Verdana" w:cs="Verdana" w:eastAsia="Verdana" w:hAnsi="Verdana"/>
                <w:sz w:val="18"/>
                <w:szCs w:val="18"/>
                <w:color w:val="auto"/>
              </w:rPr>
              <w:t>242,128</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3.2 %</w:t>
            </w:r>
          </w:p>
        </w:tc>
      </w:tr>
      <w:tr>
        <w:trPr>
          <w:trHeight w:val="277"/>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noninterest-bearing deposits</w:t>
            </w:r>
          </w:p>
        </w:tc>
        <w:tc>
          <w:tcPr>
            <w:tcW w:w="178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3,018,563</w:t>
            </w:r>
          </w:p>
        </w:tc>
        <w:tc>
          <w:tcPr>
            <w:tcW w:w="80" w:type="dxa"/>
            <w:vAlign w:val="bottom"/>
            <w:shd w:val="clear" w:color="auto" w:fill="E0E7ED"/>
          </w:tcPr>
          <w:p>
            <w:pPr>
              <w:spacing w:after="0"/>
              <w:rPr>
                <w:sz w:val="24"/>
                <w:szCs w:val="24"/>
                <w:color w:val="auto"/>
              </w:rPr>
            </w:pPr>
          </w:p>
        </w:tc>
        <w:tc>
          <w:tcPr>
            <w:tcW w:w="17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3,550,517</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jc w:val="center"/>
              <w:ind w:left="175"/>
              <w:spacing w:after="0"/>
              <w:rPr>
                <w:sz w:val="20"/>
                <w:szCs w:val="20"/>
                <w:color w:val="auto"/>
              </w:rPr>
            </w:pPr>
            <w:r>
              <w:rPr>
                <w:rFonts w:ascii="Verdana" w:cs="Verdana" w:eastAsia="Verdana" w:hAnsi="Verdana"/>
                <w:sz w:val="18"/>
                <w:szCs w:val="18"/>
                <w:color w:val="auto"/>
              </w:rPr>
              <w:t>(531,954)</w:t>
            </w: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(15.0)%</w:t>
            </w:r>
          </w:p>
        </w:tc>
      </w:tr>
      <w:tr>
        <w:trPr>
          <w:trHeight w:val="270"/>
        </w:trPr>
        <w:tc>
          <w:tcPr>
            <w:tcW w:w="4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w:t>
            </w:r>
          </w:p>
        </w:tc>
        <w:tc>
          <w:tcPr>
            <w:tcW w:w="178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10,070,933</w:t>
            </w:r>
          </w:p>
        </w:tc>
        <w:tc>
          <w:tcPr>
            <w:tcW w:w="80" w:type="dxa"/>
            <w:vAlign w:val="bottom"/>
            <w:shd w:val="clear" w:color="auto" w:fill="E0E7ED"/>
          </w:tcPr>
          <w:p>
            <w:pPr>
              <w:spacing w:after="0"/>
              <w:rPr>
                <w:sz w:val="23"/>
                <w:szCs w:val="23"/>
                <w:color w:val="auto"/>
              </w:rPr>
            </w:pPr>
          </w:p>
        </w:tc>
        <w:tc>
          <w:tcPr>
            <w:tcW w:w="17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10,508,953</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20" w:type="dxa"/>
            <w:vAlign w:val="bottom"/>
            <w:shd w:val="clear" w:color="auto" w:fill="E0E7ED"/>
          </w:tcPr>
          <w:p>
            <w:pPr>
              <w:jc w:val="center"/>
              <w:ind w:left="175"/>
              <w:spacing w:after="0"/>
              <w:rPr>
                <w:sz w:val="20"/>
                <w:szCs w:val="20"/>
                <w:color w:val="auto"/>
              </w:rPr>
            </w:pPr>
            <w:r>
              <w:rPr>
                <w:rFonts w:ascii="Verdana" w:cs="Verdana" w:eastAsia="Verdana" w:hAnsi="Verdana"/>
                <w:sz w:val="18"/>
                <w:szCs w:val="18"/>
                <w:color w:val="auto"/>
              </w:rPr>
              <w:t>(438,020)</w:t>
            </w:r>
          </w:p>
        </w:tc>
        <w:tc>
          <w:tcPr>
            <w:tcW w:w="100" w:type="dxa"/>
            <w:vAlign w:val="bottom"/>
            <w:shd w:val="clear" w:color="auto" w:fill="E0E7ED"/>
          </w:tcPr>
          <w:p>
            <w:pPr>
              <w:spacing w:after="0"/>
              <w:rPr>
                <w:sz w:val="23"/>
                <w:szCs w:val="23"/>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Total average liabilities</w:t>
            </w:r>
          </w:p>
        </w:tc>
        <w:tc>
          <w:tcPr>
            <w:tcW w:w="1780" w:type="dxa"/>
            <w:vAlign w:val="bottom"/>
          </w:tcPr>
          <w:p>
            <w:pPr>
              <w:jc w:val="right"/>
              <w:ind w:right="198"/>
              <w:spacing w:after="0"/>
              <w:rPr>
                <w:sz w:val="20"/>
                <w:szCs w:val="20"/>
                <w:color w:val="auto"/>
              </w:rPr>
            </w:pPr>
            <w:r>
              <w:rPr>
                <w:rFonts w:ascii="Verdana" w:cs="Verdana" w:eastAsia="Verdana" w:hAnsi="Verdana"/>
                <w:sz w:val="18"/>
                <w:szCs w:val="18"/>
                <w:color w:val="auto"/>
              </w:rPr>
              <w:t>11,048,707</w:t>
            </w:r>
          </w:p>
        </w:tc>
        <w:tc>
          <w:tcPr>
            <w:tcW w:w="80" w:type="dxa"/>
            <w:vAlign w:val="bottom"/>
          </w:tcPr>
          <w:p>
            <w:pPr>
              <w:spacing w:after="0"/>
              <w:rPr>
                <w:sz w:val="22"/>
                <w:szCs w:val="22"/>
                <w:color w:val="auto"/>
              </w:rPr>
            </w:pPr>
          </w:p>
        </w:tc>
        <w:tc>
          <w:tcPr>
            <w:tcW w:w="1780" w:type="dxa"/>
            <w:vAlign w:val="bottom"/>
          </w:tcPr>
          <w:p>
            <w:pPr>
              <w:jc w:val="right"/>
              <w:ind w:right="195"/>
              <w:spacing w:after="0"/>
              <w:rPr>
                <w:sz w:val="20"/>
                <w:szCs w:val="20"/>
                <w:color w:val="auto"/>
              </w:rPr>
            </w:pPr>
            <w:r>
              <w:rPr>
                <w:rFonts w:ascii="Verdana" w:cs="Verdana" w:eastAsia="Verdana" w:hAnsi="Verdana"/>
                <w:sz w:val="18"/>
                <w:szCs w:val="18"/>
                <w:color w:val="auto"/>
              </w:rPr>
              <w:t>11,297,777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center"/>
              <w:ind w:left="175"/>
              <w:spacing w:after="0"/>
              <w:rPr>
                <w:sz w:val="20"/>
                <w:szCs w:val="20"/>
                <w:color w:val="auto"/>
              </w:rPr>
            </w:pPr>
            <w:r>
              <w:rPr>
                <w:rFonts w:ascii="Verdana" w:cs="Verdana" w:eastAsia="Verdana" w:hAnsi="Verdana"/>
                <w:sz w:val="18"/>
                <w:szCs w:val="18"/>
                <w:color w:val="auto"/>
              </w:rPr>
              <w:t>(249,070)</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(2.2)%</w:t>
            </w:r>
          </w:p>
        </w:tc>
      </w:tr>
      <w:tr>
        <w:trPr>
          <w:trHeight w:val="277"/>
        </w:trPr>
        <w:tc>
          <w:tcPr>
            <w:tcW w:w="4200" w:type="dxa"/>
            <w:vAlign w:val="bottom"/>
            <w:shd w:val="clear" w:color="auto" w:fill="E0E7ED"/>
          </w:tcPr>
          <w:p>
            <w:pPr>
              <w:spacing w:after="0"/>
              <w:rPr>
                <w:sz w:val="24"/>
                <w:szCs w:val="24"/>
                <w:color w:val="auto"/>
              </w:rPr>
            </w:pPr>
          </w:p>
        </w:tc>
        <w:tc>
          <w:tcPr>
            <w:tcW w:w="17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7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spacing w:after="0"/>
              <w:rPr>
                <w:sz w:val="24"/>
                <w:szCs w:val="24"/>
                <w:color w:val="auto"/>
              </w:rPr>
            </w:pP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20" w:type="dxa"/>
            <w:vAlign w:val="bottom"/>
          </w:tcPr>
          <w:p>
            <w:pPr>
              <w:ind w:left="20"/>
              <w:spacing w:after="0"/>
              <w:rPr>
                <w:sz w:val="20"/>
                <w:szCs w:val="20"/>
                <w:color w:val="auto"/>
              </w:rPr>
            </w:pPr>
            <w:r>
              <w:rPr>
                <w:rFonts w:ascii="Verdana" w:cs="Verdana" w:eastAsia="Verdana" w:hAnsi="Verdana"/>
                <w:sz w:val="18"/>
                <w:szCs w:val="18"/>
                <w:color w:val="auto"/>
              </w:rPr>
              <w:t>Average noninterest-bearing deposits as a</w:t>
            </w:r>
          </w:p>
        </w:tc>
        <w:tc>
          <w:tcPr>
            <w:tcW w:w="1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242"/>
        </w:trPr>
        <w:tc>
          <w:tcPr>
            <w:tcW w:w="4620" w:type="dxa"/>
            <w:vAlign w:val="bottom"/>
          </w:tcPr>
          <w:p>
            <w:pPr>
              <w:ind w:left="20"/>
              <w:spacing w:after="0"/>
              <w:rPr>
                <w:sz w:val="20"/>
                <w:szCs w:val="20"/>
                <w:color w:val="auto"/>
              </w:rPr>
            </w:pPr>
            <w:r>
              <w:rPr>
                <w:rFonts w:ascii="Verdana" w:cs="Verdana" w:eastAsia="Verdana" w:hAnsi="Verdana"/>
                <w:sz w:val="18"/>
                <w:szCs w:val="18"/>
                <w:color w:val="auto"/>
              </w:rPr>
              <w:t>percent of total average deposits</w:t>
            </w:r>
          </w:p>
        </w:tc>
        <w:tc>
          <w:tcPr>
            <w:tcW w:w="1940" w:type="dxa"/>
            <w:vAlign w:val="bottom"/>
          </w:tcPr>
          <w:p>
            <w:pPr>
              <w:jc w:val="right"/>
              <w:ind w:right="510"/>
              <w:spacing w:after="0"/>
              <w:rPr>
                <w:sz w:val="20"/>
                <w:szCs w:val="20"/>
                <w:color w:val="auto"/>
              </w:rPr>
            </w:pPr>
            <w:r>
              <w:rPr>
                <w:rFonts w:ascii="Verdana" w:cs="Verdana" w:eastAsia="Verdana" w:hAnsi="Verdana"/>
                <w:sz w:val="18"/>
                <w:szCs w:val="18"/>
                <w:color w:val="auto"/>
              </w:rPr>
              <w:t>30.0 %</w:t>
            </w:r>
          </w:p>
        </w:tc>
        <w:tc>
          <w:tcPr>
            <w:tcW w:w="1640" w:type="dxa"/>
            <w:vAlign w:val="bottom"/>
          </w:tcPr>
          <w:p>
            <w:pPr>
              <w:jc w:val="right"/>
              <w:ind w:right="290"/>
              <w:spacing w:after="0"/>
              <w:rPr>
                <w:sz w:val="20"/>
                <w:szCs w:val="20"/>
                <w:color w:val="auto"/>
              </w:rPr>
            </w:pPr>
            <w:r>
              <w:rPr>
                <w:rFonts w:ascii="Verdana" w:cs="Verdana" w:eastAsia="Verdana" w:hAnsi="Verdana"/>
                <w:sz w:val="18"/>
                <w:szCs w:val="18"/>
                <w:color w:val="auto"/>
              </w:rPr>
              <w:t>33.8 %</w:t>
            </w:r>
          </w:p>
        </w:tc>
        <w:tc>
          <w:tcPr>
            <w:tcW w:w="3040" w:type="dxa"/>
            <w:vAlign w:val="bottom"/>
          </w:tcPr>
          <w:p>
            <w:pPr>
              <w:ind w:left="380"/>
              <w:spacing w:after="0"/>
              <w:rPr>
                <w:sz w:val="20"/>
                <w:szCs w:val="20"/>
                <w:color w:val="auto"/>
              </w:rPr>
            </w:pPr>
            <w:r>
              <w:rPr>
                <w:rFonts w:ascii="Verdana" w:cs="Verdana" w:eastAsia="Verdana" w:hAnsi="Verdana"/>
                <w:sz w:val="18"/>
                <w:szCs w:val="18"/>
                <w:color w:val="auto"/>
              </w:rPr>
              <w:t>(380) bps</w:t>
            </w:r>
          </w:p>
        </w:tc>
      </w:tr>
      <w:tr>
        <w:trPr>
          <w:trHeight w:val="244"/>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 as a percent of total</w:t>
            </w:r>
          </w:p>
        </w:tc>
        <w:tc>
          <w:tcPr>
            <w:tcW w:w="1940" w:type="dxa"/>
            <w:vAlign w:val="bottom"/>
            <w:shd w:val="clear" w:color="auto" w:fill="E0E7ED"/>
          </w:tcPr>
          <w:p>
            <w:pPr>
              <w:spacing w:after="0"/>
              <w:rPr>
                <w:sz w:val="21"/>
                <w:szCs w:val="21"/>
                <w:color w:val="auto"/>
              </w:rPr>
            </w:pPr>
          </w:p>
        </w:tc>
        <w:tc>
          <w:tcPr>
            <w:tcW w:w="1640" w:type="dxa"/>
            <w:vAlign w:val="bottom"/>
            <w:shd w:val="clear" w:color="auto" w:fill="E0E7ED"/>
          </w:tcPr>
          <w:p>
            <w:pPr>
              <w:spacing w:after="0"/>
              <w:rPr>
                <w:sz w:val="21"/>
                <w:szCs w:val="21"/>
                <w:color w:val="auto"/>
              </w:rPr>
            </w:pPr>
          </w:p>
        </w:tc>
        <w:tc>
          <w:tcPr>
            <w:tcW w:w="3040" w:type="dxa"/>
            <w:vAlign w:val="bottom"/>
            <w:shd w:val="clear" w:color="auto" w:fill="E0E7ED"/>
          </w:tcPr>
          <w:p>
            <w:pPr>
              <w:spacing w:after="0"/>
              <w:rPr>
                <w:sz w:val="21"/>
                <w:szCs w:val="21"/>
                <w:color w:val="auto"/>
              </w:rPr>
            </w:pPr>
          </w:p>
        </w:tc>
      </w:tr>
      <w:tr>
        <w:trPr>
          <w:trHeight w:val="248"/>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liabilities</w:t>
            </w:r>
          </w:p>
        </w:tc>
        <w:tc>
          <w:tcPr>
            <w:tcW w:w="1940" w:type="dxa"/>
            <w:vAlign w:val="bottom"/>
            <w:shd w:val="clear" w:color="auto" w:fill="E0E7ED"/>
          </w:tcPr>
          <w:p>
            <w:pPr>
              <w:jc w:val="right"/>
              <w:ind w:right="510"/>
              <w:spacing w:after="0"/>
              <w:rPr>
                <w:sz w:val="20"/>
                <w:szCs w:val="20"/>
                <w:color w:val="auto"/>
              </w:rPr>
            </w:pPr>
            <w:r>
              <w:rPr>
                <w:rFonts w:ascii="Verdana" w:cs="Verdana" w:eastAsia="Verdana" w:hAnsi="Verdana"/>
                <w:sz w:val="18"/>
                <w:szCs w:val="18"/>
                <w:color w:val="auto"/>
              </w:rPr>
              <w:t>91.2 %</w:t>
            </w:r>
          </w:p>
        </w:tc>
        <w:tc>
          <w:tcPr>
            <w:tcW w:w="1640" w:type="dxa"/>
            <w:vAlign w:val="bottom"/>
            <w:shd w:val="clear" w:color="auto" w:fill="E0E7ED"/>
          </w:tcPr>
          <w:p>
            <w:pPr>
              <w:jc w:val="right"/>
              <w:ind w:right="290"/>
              <w:spacing w:after="0"/>
              <w:rPr>
                <w:sz w:val="20"/>
                <w:szCs w:val="20"/>
                <w:color w:val="auto"/>
              </w:rPr>
            </w:pPr>
            <w:r>
              <w:rPr>
                <w:rFonts w:ascii="Verdana" w:cs="Verdana" w:eastAsia="Verdana" w:hAnsi="Verdana"/>
                <w:sz w:val="18"/>
                <w:szCs w:val="18"/>
                <w:color w:val="auto"/>
              </w:rPr>
              <w:t>93.0 %</w:t>
            </w:r>
          </w:p>
        </w:tc>
        <w:tc>
          <w:tcPr>
            <w:tcW w:w="3040" w:type="dxa"/>
            <w:vAlign w:val="bottom"/>
            <w:shd w:val="clear" w:color="auto" w:fill="E0E7ED"/>
          </w:tcPr>
          <w:p>
            <w:pPr>
              <w:ind w:left="380"/>
              <w:spacing w:after="0"/>
              <w:rPr>
                <w:sz w:val="20"/>
                <w:szCs w:val="20"/>
                <w:color w:val="auto"/>
              </w:rPr>
            </w:pPr>
            <w:r>
              <w:rPr>
                <w:rFonts w:ascii="Verdana" w:cs="Verdana" w:eastAsia="Verdana" w:hAnsi="Verdana"/>
                <w:sz w:val="18"/>
                <w:szCs w:val="18"/>
                <w:color w:val="auto"/>
              </w:rPr>
              <w:t>(180) bps</w:t>
            </w:r>
          </w:p>
        </w:tc>
      </w:tr>
    </w:tbl>
    <w:p>
      <w:pPr>
        <w:spacing w:after="0" w:line="265" w:lineRule="exact"/>
        <w:rPr>
          <w:sz w:val="20"/>
          <w:szCs w:val="20"/>
          <w:color w:val="auto"/>
        </w:rPr>
      </w:pPr>
    </w:p>
    <w:p>
      <w:pPr>
        <w:ind w:right="400"/>
        <w:spacing w:after="0" w:line="254" w:lineRule="auto"/>
        <w:rPr>
          <w:sz w:val="20"/>
          <w:szCs w:val="20"/>
          <w:color w:val="auto"/>
        </w:rPr>
      </w:pPr>
      <w:r>
        <w:rPr>
          <w:rFonts w:ascii="Verdana" w:cs="Verdana" w:eastAsia="Verdana" w:hAnsi="Verdana"/>
          <w:sz w:val="18"/>
          <w:szCs w:val="18"/>
          <w:color w:val="auto"/>
        </w:rPr>
        <w:t xml:space="preserve">Changes in net interest income and net interest margin are summarized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80" w:type="dxa"/>
            <w:vAlign w:val="bottom"/>
            <w:gridSpan w:val="5"/>
          </w:tcPr>
          <w:p>
            <w:pPr>
              <w:ind w:left="460"/>
              <w:spacing w:after="0"/>
              <w:rPr>
                <w:sz w:val="20"/>
                <w:szCs w:val="20"/>
                <w:color w:val="auto"/>
              </w:rPr>
            </w:pPr>
            <w:r>
              <w:rPr>
                <w:rFonts w:ascii="Verdana" w:cs="Verdana" w:eastAsia="Verdana" w:hAnsi="Verdana"/>
                <w:sz w:val="13"/>
                <w:szCs w:val="13"/>
                <w:b w:val="1"/>
                <w:bCs w:val="1"/>
                <w:color w:val="auto"/>
              </w:rPr>
              <w:t>Years Ended December 31,</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240" w:type="dxa"/>
            <w:vAlign w:val="bottom"/>
            <w:tcBorders>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top w:val="single" w:sz="8" w:color="auto"/>
              <w:bottom w:val="single" w:sz="8" w:color="E0E7ED"/>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15"/>
              <w:spacing w:after="0"/>
              <w:rPr>
                <w:sz w:val="20"/>
                <w:szCs w:val="20"/>
                <w:color w:val="auto"/>
              </w:rPr>
            </w:pPr>
            <w:r>
              <w:rPr>
                <w:rFonts w:ascii="Verdana" w:cs="Verdana" w:eastAsia="Verdana" w:hAnsi="Verdana"/>
                <w:sz w:val="13"/>
                <w:szCs w:val="13"/>
                <w:b w:val="1"/>
                <w:bCs w:val="1"/>
                <w:color w:val="auto"/>
              </w:rPr>
              <w:t>2022</w:t>
            </w: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35"/>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Borders>
              <w:bottom w:val="single" w:sz="8" w:color="E0E7ED"/>
            </w:tcBorders>
          </w:tcPr>
          <w:p>
            <w:pPr>
              <w:spacing w:after="0"/>
              <w:rPr>
                <w:sz w:val="14"/>
                <w:szCs w:val="14"/>
                <w:color w:val="auto"/>
              </w:rPr>
            </w:pPr>
          </w:p>
        </w:tc>
        <w:tc>
          <w:tcPr>
            <w:tcW w:w="1680" w:type="dxa"/>
            <w:vAlign w:val="bottom"/>
            <w:tcBorders>
              <w:bottom w:val="single" w:sz="8" w:color="auto"/>
            </w:tcBorders>
          </w:tcPr>
          <w:p>
            <w:pPr>
              <w:jc w:val="right"/>
              <w:ind w:right="417"/>
              <w:spacing w:after="0"/>
              <w:rPr>
                <w:sz w:val="20"/>
                <w:szCs w:val="20"/>
                <w:color w:val="auto"/>
              </w:rPr>
            </w:pPr>
            <w:r>
              <w:rPr>
                <w:rFonts w:ascii="Verdana" w:cs="Verdana" w:eastAsia="Verdana" w:hAnsi="Verdana"/>
                <w:sz w:val="13"/>
                <w:szCs w:val="13"/>
                <w:b w:val="1"/>
                <w:bCs w:val="1"/>
                <w:color w:val="auto"/>
              </w:rPr>
              <w:t>% Change</w:t>
            </w:r>
          </w:p>
        </w:tc>
        <w:tc>
          <w:tcPr>
            <w:tcW w:w="0" w:type="dxa"/>
            <w:vAlign w:val="bottom"/>
          </w:tcPr>
          <w:p>
            <w:pPr>
              <w:spacing w:after="0"/>
              <w:rPr>
                <w:sz w:val="1"/>
                <w:szCs w:val="1"/>
                <w:color w:val="auto"/>
              </w:rPr>
            </w:pPr>
          </w:p>
        </w:tc>
      </w:tr>
      <w:tr>
        <w:trPr>
          <w:trHeight w:val="255"/>
        </w:trPr>
        <w:tc>
          <w:tcPr>
            <w:tcW w:w="4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380" w:type="dxa"/>
            <w:vAlign w:val="bottom"/>
            <w:shd w:val="clear" w:color="auto" w:fill="E0E7ED"/>
          </w:tcPr>
          <w:p>
            <w:pPr>
              <w:spacing w:after="0"/>
              <w:rPr>
                <w:sz w:val="22"/>
                <w:szCs w:val="22"/>
                <w:color w:val="auto"/>
              </w:rPr>
            </w:pPr>
          </w:p>
        </w:tc>
        <w:tc>
          <w:tcPr>
            <w:tcW w:w="13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8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180"/>
              <w:spacing w:after="0"/>
              <w:rPr>
                <w:sz w:val="20"/>
                <w:szCs w:val="20"/>
                <w:color w:val="auto"/>
              </w:rPr>
            </w:pPr>
            <w:r>
              <w:rPr>
                <w:rFonts w:ascii="Verdana" w:cs="Verdana" w:eastAsia="Verdana" w:hAnsi="Verdana"/>
                <w:sz w:val="18"/>
                <w:szCs w:val="18"/>
                <w:color w:val="auto"/>
              </w:rPr>
              <w:t>Interest income, on a tax-equivalent basis</w:t>
            </w:r>
            <w:r>
              <w:rPr>
                <w:rFonts w:ascii="Verdana" w:cs="Verdana" w:eastAsia="Verdana" w:hAnsi="Verdana"/>
                <w:sz w:val="11"/>
                <w:szCs w:val="11"/>
                <w:color w:val="auto"/>
              </w:rPr>
              <w:t>1</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199"/>
              <w:spacing w:after="0"/>
              <w:rPr>
                <w:sz w:val="20"/>
                <w:szCs w:val="20"/>
                <w:color w:val="auto"/>
              </w:rPr>
            </w:pPr>
            <w:r>
              <w:rPr>
                <w:rFonts w:ascii="Verdana" w:cs="Verdana" w:eastAsia="Verdana" w:hAnsi="Verdana"/>
                <w:sz w:val="18"/>
                <w:szCs w:val="18"/>
                <w:color w:val="auto"/>
              </w:rPr>
              <w:t>481,546</w:t>
            </w:r>
          </w:p>
        </w:tc>
        <w:tc>
          <w:tcPr>
            <w:tcW w:w="8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362,185</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5"/>
              <w:spacing w:after="0"/>
              <w:rPr>
                <w:sz w:val="20"/>
                <w:szCs w:val="20"/>
                <w:color w:val="auto"/>
              </w:rPr>
            </w:pPr>
            <w:r>
              <w:rPr>
                <w:rFonts w:ascii="Verdana" w:cs="Verdana" w:eastAsia="Verdana" w:hAnsi="Verdana"/>
                <w:sz w:val="18"/>
                <w:szCs w:val="18"/>
                <w:color w:val="auto"/>
              </w:rPr>
              <w:t>119,361</w:t>
            </w:r>
          </w:p>
        </w:tc>
        <w:tc>
          <w:tcPr>
            <w:tcW w:w="1780" w:type="dxa"/>
            <w:vAlign w:val="bottom"/>
            <w:gridSpan w:val="2"/>
          </w:tcPr>
          <w:p>
            <w:pPr>
              <w:jc w:val="right"/>
              <w:spacing w:after="0"/>
              <w:rPr>
                <w:sz w:val="20"/>
                <w:szCs w:val="20"/>
                <w:color w:val="auto"/>
              </w:rPr>
            </w:pPr>
            <w:r>
              <w:rPr>
                <w:rFonts w:ascii="Verdana" w:cs="Verdana" w:eastAsia="Verdana" w:hAnsi="Verdana"/>
                <w:sz w:val="18"/>
                <w:szCs w:val="18"/>
                <w:color w:val="auto"/>
              </w:rPr>
              <w:t>33.0 %</w:t>
            </w:r>
          </w:p>
        </w:tc>
        <w:tc>
          <w:tcPr>
            <w:tcW w:w="0" w:type="dxa"/>
            <w:vAlign w:val="bottom"/>
          </w:tcPr>
          <w:p>
            <w:pPr>
              <w:spacing w:after="0"/>
              <w:rPr>
                <w:sz w:val="1"/>
                <w:szCs w:val="1"/>
                <w:color w:val="auto"/>
              </w:rPr>
            </w:pPr>
          </w:p>
        </w:tc>
      </w:tr>
      <w:tr>
        <w:trPr>
          <w:trHeight w:val="277"/>
        </w:trPr>
        <w:tc>
          <w:tcPr>
            <w:tcW w:w="4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expense</w:t>
            </w:r>
          </w:p>
        </w:tc>
        <w:tc>
          <w:tcPr>
            <w:tcW w:w="380" w:type="dxa"/>
            <w:vAlign w:val="bottom"/>
            <w:tcBorders>
              <w:bottom w:val="single" w:sz="8" w:color="auto"/>
            </w:tcBorders>
            <w:shd w:val="clear" w:color="auto" w:fill="E0E7ED"/>
          </w:tcPr>
          <w:p>
            <w:pPr>
              <w:spacing w:after="0"/>
              <w:rPr>
                <w:sz w:val="24"/>
                <w:szCs w:val="24"/>
                <w:color w:val="auto"/>
              </w:rPr>
            </w:pPr>
          </w:p>
        </w:tc>
        <w:tc>
          <w:tcPr>
            <w:tcW w:w="1360" w:type="dxa"/>
            <w:vAlign w:val="bottom"/>
            <w:tcBorders>
              <w:bottom w:val="single" w:sz="8" w:color="auto"/>
            </w:tcBorders>
            <w:shd w:val="clear" w:color="auto" w:fill="E0E7ED"/>
          </w:tcPr>
          <w:p>
            <w:pPr>
              <w:jc w:val="right"/>
              <w:ind w:right="139"/>
              <w:spacing w:after="0"/>
              <w:rPr>
                <w:sz w:val="20"/>
                <w:szCs w:val="20"/>
                <w:color w:val="auto"/>
              </w:rPr>
            </w:pPr>
            <w:r>
              <w:rPr>
                <w:rFonts w:ascii="Verdana" w:cs="Verdana" w:eastAsia="Verdana" w:hAnsi="Verdana"/>
                <w:sz w:val="18"/>
                <w:szCs w:val="18"/>
                <w:color w:val="auto"/>
              </w:rPr>
              <w:t>(159,922)</w:t>
            </w:r>
          </w:p>
        </w:tc>
        <w:tc>
          <w:tcPr>
            <w:tcW w:w="80" w:type="dxa"/>
            <w:vAlign w:val="bottom"/>
            <w:shd w:val="clear" w:color="auto" w:fill="E0E7ED"/>
          </w:tcPr>
          <w:p>
            <w:pPr>
              <w:spacing w:after="0"/>
              <w:rPr>
                <w:sz w:val="24"/>
                <w:szCs w:val="24"/>
                <w:color w:val="auto"/>
              </w:rPr>
            </w:pPr>
          </w:p>
        </w:tc>
        <w:tc>
          <w:tcPr>
            <w:tcW w:w="420" w:type="dxa"/>
            <w:vAlign w:val="bottom"/>
            <w:tcBorders>
              <w:bottom w:val="single" w:sz="8" w:color="auto"/>
            </w:tcBorders>
            <w:shd w:val="clear" w:color="auto" w:fill="E0E7ED"/>
          </w:tcPr>
          <w:p>
            <w:pPr>
              <w:spacing w:after="0"/>
              <w:rPr>
                <w:sz w:val="24"/>
                <w:szCs w:val="24"/>
                <w:color w:val="auto"/>
              </w:rPr>
            </w:pPr>
          </w:p>
        </w:tc>
        <w:tc>
          <w:tcPr>
            <w:tcW w:w="1340" w:type="dxa"/>
            <w:vAlign w:val="bottom"/>
            <w:tcBorders>
              <w:bottom w:val="single" w:sz="8" w:color="auto"/>
            </w:tcBorders>
            <w:shd w:val="clear" w:color="auto" w:fill="E0E7ED"/>
          </w:tcPr>
          <w:p>
            <w:pPr>
              <w:jc w:val="right"/>
              <w:ind w:right="135"/>
              <w:spacing w:after="0"/>
              <w:rPr>
                <w:sz w:val="20"/>
                <w:szCs w:val="20"/>
                <w:color w:val="auto"/>
              </w:rPr>
            </w:pPr>
            <w:r>
              <w:rPr>
                <w:rFonts w:ascii="Verdana" w:cs="Verdana" w:eastAsia="Verdana" w:hAnsi="Verdana"/>
                <w:sz w:val="18"/>
                <w:szCs w:val="18"/>
                <w:color w:val="auto"/>
              </w:rPr>
              <w:t>(36,548)</w:t>
            </w:r>
          </w:p>
        </w:tc>
        <w:tc>
          <w:tcPr>
            <w:tcW w:w="80" w:type="dxa"/>
            <w:vAlign w:val="bottom"/>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(123,374)</w:t>
            </w:r>
          </w:p>
        </w:tc>
        <w:tc>
          <w:tcPr>
            <w:tcW w:w="17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(337.6)%</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line="217" w:lineRule="exact"/>
              <w:rPr>
                <w:sz w:val="20"/>
                <w:szCs w:val="20"/>
                <w:color w:val="auto"/>
              </w:rPr>
            </w:pPr>
            <w:r>
              <w:rPr>
                <w:rFonts w:ascii="Verdana" w:cs="Verdana" w:eastAsia="Verdana" w:hAnsi="Verdana"/>
                <w:sz w:val="18"/>
                <w:szCs w:val="18"/>
                <w:color w:val="auto"/>
              </w:rPr>
              <w:t>Net interest income, on a tax-equivalent</w:t>
            </w:r>
          </w:p>
        </w:tc>
        <w:tc>
          <w:tcPr>
            <w:tcW w:w="380" w:type="dxa"/>
            <w:vAlign w:val="bottom"/>
            <w:vMerge w:val="restart"/>
          </w:tcPr>
          <w:p>
            <w:pPr>
              <w:jc w:val="right"/>
              <w:ind w:right="150"/>
              <w:spacing w:after="0"/>
              <w:rPr>
                <w:sz w:val="20"/>
                <w:szCs w:val="20"/>
                <w:color w:val="auto"/>
              </w:rPr>
            </w:pPr>
            <w:r>
              <w:rPr>
                <w:rFonts w:ascii="Verdana" w:cs="Verdana" w:eastAsia="Verdana" w:hAnsi="Verdana"/>
                <w:sz w:val="18"/>
                <w:szCs w:val="18"/>
                <w:color w:val="auto"/>
              </w:rPr>
              <w:t>$</w:t>
            </w:r>
          </w:p>
        </w:tc>
        <w:tc>
          <w:tcPr>
            <w:tcW w:w="1360" w:type="dxa"/>
            <w:vAlign w:val="bottom"/>
            <w:vMerge w:val="restart"/>
          </w:tcPr>
          <w:p>
            <w:pPr>
              <w:jc w:val="right"/>
              <w:ind w:right="199"/>
              <w:spacing w:after="0"/>
              <w:rPr>
                <w:sz w:val="20"/>
                <w:szCs w:val="20"/>
                <w:color w:val="auto"/>
              </w:rPr>
            </w:pPr>
            <w:r>
              <w:rPr>
                <w:rFonts w:ascii="Verdana" w:cs="Verdana" w:eastAsia="Verdana" w:hAnsi="Verdana"/>
                <w:sz w:val="18"/>
                <w:szCs w:val="18"/>
                <w:color w:val="auto"/>
              </w:rPr>
              <w:t>321,624</w:t>
            </w:r>
          </w:p>
        </w:tc>
        <w:tc>
          <w:tcPr>
            <w:tcW w:w="80" w:type="dxa"/>
            <w:vAlign w:val="bottom"/>
          </w:tcPr>
          <w:p>
            <w:pPr>
              <w:spacing w:after="0"/>
              <w:rPr>
                <w:sz w:val="18"/>
                <w:szCs w:val="18"/>
                <w:color w:val="auto"/>
              </w:rPr>
            </w:pPr>
          </w:p>
        </w:tc>
        <w:tc>
          <w:tcPr>
            <w:tcW w:w="420" w:type="dxa"/>
            <w:vAlign w:val="bottom"/>
            <w:vMerge w:val="restart"/>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vMerge w:val="restart"/>
          </w:tcPr>
          <w:p>
            <w:pPr>
              <w:jc w:val="right"/>
              <w:ind w:right="195"/>
              <w:spacing w:after="0"/>
              <w:rPr>
                <w:sz w:val="20"/>
                <w:szCs w:val="20"/>
                <w:color w:val="auto"/>
              </w:rPr>
            </w:pPr>
            <w:r>
              <w:rPr>
                <w:rFonts w:ascii="Verdana" w:cs="Verdana" w:eastAsia="Verdana" w:hAnsi="Verdana"/>
                <w:sz w:val="18"/>
                <w:szCs w:val="18"/>
                <w:color w:val="auto"/>
              </w:rPr>
              <w:t>325,637</w:t>
            </w:r>
          </w:p>
        </w:tc>
        <w:tc>
          <w:tcPr>
            <w:tcW w:w="80" w:type="dxa"/>
            <w:vAlign w:val="bottom"/>
          </w:tcPr>
          <w:p>
            <w:pPr>
              <w:spacing w:after="0"/>
              <w:rPr>
                <w:sz w:val="18"/>
                <w:szCs w:val="18"/>
                <w:color w:val="auto"/>
              </w:rPr>
            </w:pPr>
          </w:p>
        </w:tc>
        <w:tc>
          <w:tcPr>
            <w:tcW w:w="320" w:type="dxa"/>
            <w:vAlign w:val="bottom"/>
            <w:vMerge w:val="restart"/>
          </w:tcPr>
          <w:p>
            <w:pPr>
              <w:jc w:val="right"/>
              <w:ind w:right="90"/>
              <w:spacing w:after="0"/>
              <w:rPr>
                <w:sz w:val="20"/>
                <w:szCs w:val="20"/>
                <w:color w:val="auto"/>
              </w:rPr>
            </w:pPr>
            <w:r>
              <w:rPr>
                <w:rFonts w:ascii="Verdana" w:cs="Verdana" w:eastAsia="Verdana" w:hAnsi="Verdana"/>
                <w:sz w:val="18"/>
                <w:szCs w:val="18"/>
                <w:color w:val="auto"/>
              </w:rPr>
              <w:t>$</w:t>
            </w:r>
          </w:p>
        </w:tc>
        <w:tc>
          <w:tcPr>
            <w:tcW w:w="1240" w:type="dxa"/>
            <w:vAlign w:val="bottom"/>
            <w:vMerge w:val="restart"/>
          </w:tcPr>
          <w:p>
            <w:pPr>
              <w:jc w:val="right"/>
              <w:spacing w:after="0"/>
              <w:rPr>
                <w:sz w:val="20"/>
                <w:szCs w:val="20"/>
                <w:color w:val="auto"/>
              </w:rPr>
            </w:pPr>
            <w:r>
              <w:rPr>
                <w:rFonts w:ascii="Verdana" w:cs="Verdana" w:eastAsia="Verdana" w:hAnsi="Verdana"/>
                <w:sz w:val="18"/>
                <w:szCs w:val="18"/>
                <w:color w:val="auto"/>
              </w:rPr>
              <w:t>(4,013)</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40" w:type="dxa"/>
            <w:vAlign w:val="bottom"/>
          </w:tcPr>
          <w:p>
            <w:pPr>
              <w:ind w:left="20"/>
              <w:spacing w:after="0"/>
              <w:rPr>
                <w:sz w:val="20"/>
                <w:szCs w:val="20"/>
                <w:color w:val="auto"/>
              </w:rPr>
            </w:pPr>
            <w:r>
              <w:rPr>
                <w:rFonts w:ascii="Verdana" w:cs="Verdana" w:eastAsia="Verdana" w:hAnsi="Verdana"/>
                <w:sz w:val="18"/>
                <w:szCs w:val="18"/>
                <w:color w:val="auto"/>
              </w:rPr>
              <w:t>basis</w:t>
            </w:r>
            <w:r>
              <w:rPr>
                <w:rFonts w:ascii="Verdana" w:cs="Verdana" w:eastAsia="Verdana" w:hAnsi="Verdana"/>
                <w:sz w:val="11"/>
                <w:szCs w:val="11"/>
                <w:color w:val="auto"/>
              </w:rPr>
              <w:t>1</w:t>
            </w:r>
          </w:p>
        </w:tc>
        <w:tc>
          <w:tcPr>
            <w:tcW w:w="38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Verdana" w:cs="Verdana" w:eastAsia="Verdana" w:hAnsi="Verdana"/>
                <w:sz w:val="18"/>
                <w:szCs w:val="18"/>
                <w:color w:val="auto"/>
              </w:rPr>
              <w:t>(1.2)%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68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3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42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68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20"/>
              <w:spacing w:after="0"/>
              <w:rPr>
                <w:sz w:val="20"/>
                <w:szCs w:val="20"/>
                <w:color w:val="auto"/>
              </w:rPr>
            </w:pPr>
            <w:r>
              <w:rPr>
                <w:rFonts w:ascii="Verdana" w:cs="Verdana" w:eastAsia="Verdana" w:hAnsi="Verdana"/>
                <w:sz w:val="18"/>
                <w:szCs w:val="18"/>
                <w:color w:val="auto"/>
              </w:rPr>
              <w:t>Net interest margin</w:t>
            </w:r>
            <w:r>
              <w:rPr>
                <w:rFonts w:ascii="Verdana" w:cs="Verdana" w:eastAsia="Verdana" w:hAnsi="Verdana"/>
                <w:sz w:val="11"/>
                <w:szCs w:val="11"/>
                <w:color w:val="auto"/>
              </w:rPr>
              <w:t>1, 2</w:t>
            </w:r>
          </w:p>
        </w:tc>
        <w:tc>
          <w:tcPr>
            <w:tcW w:w="3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2.88 %</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2.84 %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4 bps</w:t>
            </w: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24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80" w:hanging="310"/>
        <w:spacing w:after="0" w:line="225" w:lineRule="auto"/>
        <w:tabs>
          <w:tab w:leader="none" w:pos="480" w:val="left"/>
        </w:tabs>
        <w:numPr>
          <w:ilvl w:val="0"/>
          <w:numId w:val="32"/>
        </w:numPr>
        <w:rPr>
          <w:rFonts w:ascii="Verdana" w:cs="Verdana" w:eastAsia="Verdana" w:hAnsi="Verdana"/>
          <w:sz w:val="13"/>
          <w:szCs w:val="13"/>
          <w:color w:val="auto"/>
        </w:rPr>
      </w:pPr>
      <w:r>
        <w:rPr>
          <w:rFonts w:ascii="Verdana" w:cs="Verdana" w:eastAsia="Verdana" w:hAnsi="Verdana"/>
          <w:sz w:val="13"/>
          <w:szCs w:val="13"/>
          <w:color w:val="auto"/>
        </w:rPr>
        <w:t>Assuming a federal income tax rate of 21.0%.</w:t>
      </w:r>
    </w:p>
    <w:p>
      <w:pPr>
        <w:ind w:left="480" w:hanging="310"/>
        <w:spacing w:after="0"/>
        <w:tabs>
          <w:tab w:leader="none" w:pos="480" w:val="left"/>
        </w:tabs>
        <w:numPr>
          <w:ilvl w:val="0"/>
          <w:numId w:val="32"/>
        </w:numPr>
        <w:rPr>
          <w:rFonts w:ascii="Verdana" w:cs="Verdana" w:eastAsia="Verdana" w:hAnsi="Verdana"/>
          <w:sz w:val="13"/>
          <w:szCs w:val="13"/>
          <w:color w:val="auto"/>
        </w:rPr>
      </w:pPr>
      <w:r>
        <w:rPr>
          <w:rFonts w:ascii="Verdana" w:cs="Verdana" w:eastAsia="Verdana" w:hAnsi="Verdana"/>
          <w:sz w:val="13"/>
          <w:szCs w:val="13"/>
          <w:color w:val="auto"/>
        </w:rPr>
        <w:t>Net interest income expressed as a percentage of average earning assets, stated on a tax-equivalent basis.</w:t>
      </w:r>
    </w:p>
    <w:p>
      <w:pPr>
        <w:spacing w:after="0" w:line="17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FOMC raised rates by a total of 100 basis points during 2023, and by a total of 525 basis points since the onset of the current FOMC tightening cycle that began in the first quarter of 2022. Rising rates initially have a positive impact on net interest margin, as assets, in particular commercial loans, reprice more quickly and to a greater extent than liabilities. As deposit and funding costs increase in response to the tightening rate cycle, and we experience deposit migration into higher cost offerings and funding alternatives, some of the net interest margin expansion is reversed.</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Net interest spread represents the difference between the average rate earned on earning assets and the average rate paid on interest-bearing liabilities, and is presented in the table below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Verdana" w:cs="Verdana" w:eastAsia="Verdana" w:hAnsi="Verdana"/>
                <w:sz w:val="13"/>
                <w:szCs w:val="13"/>
                <w:b w:val="1"/>
                <w:bCs w:val="1"/>
                <w:color w:val="auto"/>
                <w:w w:val="96"/>
              </w:rPr>
              <w:t>Years Ended December 31,</w:t>
            </w:r>
          </w:p>
        </w:tc>
        <w:tc>
          <w:tcPr>
            <w:tcW w:w="1720" w:type="dxa"/>
            <w:vAlign w:val="bottom"/>
            <w:tcBorders>
              <w:bottom w:val="single" w:sz="8" w:color="auto"/>
            </w:tcBorders>
          </w:tcPr>
          <w:p>
            <w:pPr>
              <w:spacing w:after="0"/>
              <w:rPr>
                <w:sz w:val="15"/>
                <w:szCs w:val="15"/>
                <w:color w:val="auto"/>
              </w:rPr>
            </w:pPr>
          </w:p>
        </w:tc>
      </w:tr>
      <w:tr>
        <w:trPr>
          <w:trHeight w:val="170"/>
        </w:trPr>
        <w:tc>
          <w:tcPr>
            <w:tcW w:w="5900" w:type="dxa"/>
            <w:vAlign w:val="bottom"/>
            <w:tcBorders>
              <w:bottom w:val="single" w:sz="8" w:color="E0E7ED"/>
            </w:tcBorders>
          </w:tcPr>
          <w:p>
            <w:pPr>
              <w:spacing w:after="0"/>
              <w:rPr>
                <w:sz w:val="14"/>
                <w:szCs w:val="14"/>
                <w:color w:val="auto"/>
              </w:rPr>
            </w:pPr>
          </w:p>
        </w:tc>
        <w:tc>
          <w:tcPr>
            <w:tcW w:w="1720" w:type="dxa"/>
            <w:vAlign w:val="bottom"/>
            <w:tcBorders>
              <w:bottom w:val="single" w:sz="8" w:color="auto"/>
            </w:tcBorders>
          </w:tcPr>
          <w:p>
            <w:pPr>
              <w:jc w:val="right"/>
              <w:ind w:right="60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1720" w:type="dxa"/>
            <w:vAlign w:val="bottom"/>
            <w:tcBorders>
              <w:bottom w:val="single" w:sz="8" w:color="auto"/>
            </w:tcBorders>
          </w:tcPr>
          <w:p>
            <w:pPr>
              <w:jc w:val="right"/>
              <w:ind w:right="617"/>
              <w:spacing w:after="0"/>
              <w:rPr>
                <w:sz w:val="20"/>
                <w:szCs w:val="20"/>
                <w:color w:val="auto"/>
              </w:rPr>
            </w:pPr>
            <w:r>
              <w:rPr>
                <w:rFonts w:ascii="Verdana" w:cs="Verdana" w:eastAsia="Verdana" w:hAnsi="Verdana"/>
                <w:sz w:val="13"/>
                <w:szCs w:val="13"/>
                <w:b w:val="1"/>
                <w:bCs w:val="1"/>
                <w:color w:val="auto"/>
              </w:rPr>
              <w:t>2022</w:t>
            </w:r>
          </w:p>
        </w:tc>
        <w:tc>
          <w:tcPr>
            <w:tcW w:w="80" w:type="dxa"/>
            <w:vAlign w:val="bottom"/>
            <w:tcBorders>
              <w:bottom w:val="single" w:sz="8" w:color="E0E7ED"/>
            </w:tcBorders>
          </w:tcPr>
          <w:p>
            <w:pPr>
              <w:spacing w:after="0"/>
              <w:rPr>
                <w:sz w:val="14"/>
                <w:szCs w:val="14"/>
                <w:color w:val="auto"/>
              </w:rPr>
            </w:pPr>
          </w:p>
        </w:tc>
        <w:tc>
          <w:tcPr>
            <w:tcW w:w="1720" w:type="dxa"/>
            <w:vAlign w:val="bottom"/>
            <w:tcBorders>
              <w:bottom w:val="single" w:sz="8" w:color="auto"/>
            </w:tcBorders>
          </w:tcPr>
          <w:p>
            <w:pPr>
              <w:jc w:val="right"/>
              <w:ind w:right="604"/>
              <w:spacing w:after="0"/>
              <w:rPr>
                <w:sz w:val="20"/>
                <w:szCs w:val="20"/>
                <w:color w:val="auto"/>
              </w:rPr>
            </w:pPr>
            <w:r>
              <w:rPr>
                <w:rFonts w:ascii="Verdana" w:cs="Verdana" w:eastAsia="Verdana" w:hAnsi="Verdana"/>
                <w:sz w:val="13"/>
                <w:szCs w:val="13"/>
                <w:b w:val="1"/>
                <w:bCs w:val="1"/>
                <w:color w:val="auto"/>
              </w:rPr>
              <w:t>2021</w:t>
            </w:r>
          </w:p>
        </w:tc>
      </w:tr>
      <w:tr>
        <w:trPr>
          <w:trHeight w:val="269"/>
        </w:trPr>
        <w:tc>
          <w:tcPr>
            <w:tcW w:w="5900" w:type="dxa"/>
            <w:vAlign w:val="bottom"/>
            <w:shd w:val="clear" w:color="auto" w:fill="E0E7ED"/>
          </w:tcPr>
          <w:p>
            <w:pPr>
              <w:ind w:left="20"/>
              <w:spacing w:after="0" w:line="268" w:lineRule="exact"/>
              <w:rPr>
                <w:sz w:val="20"/>
                <w:szCs w:val="20"/>
                <w:color w:val="auto"/>
              </w:rPr>
            </w:pPr>
            <w:r>
              <w:rPr>
                <w:rFonts w:ascii="Verdana" w:cs="Verdana" w:eastAsia="Verdana" w:hAnsi="Verdana"/>
                <w:sz w:val="18"/>
                <w:szCs w:val="18"/>
                <w:color w:val="auto"/>
              </w:rPr>
              <w:t>Net interest spread</w:t>
            </w:r>
            <w:r>
              <w:rPr>
                <w:rFonts w:ascii="Verdana" w:cs="Verdana" w:eastAsia="Verdana" w:hAnsi="Verdana"/>
                <w:sz w:val="23"/>
                <w:szCs w:val="23"/>
                <w:color w:val="auto"/>
                <w:vertAlign w:val="superscript"/>
              </w:rPr>
              <w:t>1</w:t>
            </w:r>
          </w:p>
        </w:tc>
        <w:tc>
          <w:tcPr>
            <w:tcW w:w="17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2.27 %</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2.68 %</w:t>
            </w:r>
          </w:p>
        </w:tc>
        <w:tc>
          <w:tcPr>
            <w:tcW w:w="80" w:type="dxa"/>
            <w:vAlign w:val="bottom"/>
            <w:shd w:val="clear" w:color="auto" w:fill="E0E7ED"/>
          </w:tcPr>
          <w:p>
            <w:pPr>
              <w:spacing w:after="0"/>
              <w:rPr>
                <w:sz w:val="23"/>
                <w:szCs w:val="23"/>
                <w:color w:val="auto"/>
              </w:rPr>
            </w:pPr>
          </w:p>
        </w:tc>
        <w:tc>
          <w:tcPr>
            <w:tcW w:w="17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2.36 %</w:t>
            </w:r>
          </w:p>
        </w:tc>
      </w:tr>
    </w:tbl>
    <w:p>
      <w:pPr>
        <w:spacing w:after="0" w:line="6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Calculated on a tax-equivalent basis.</w:t>
      </w:r>
    </w:p>
    <w:p>
      <w:pPr>
        <w:spacing w:after="0" w:line="5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1" w:name="page62"/>
    <w:bookmarkEnd w:id="6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Verdana" w:cs="Verdana" w:eastAsia="Verdana" w:hAnsi="Verdana"/>
          <w:sz w:val="18"/>
          <w:szCs w:val="18"/>
          <w:color w:val="auto"/>
        </w:rPr>
        <w:t>The  net  interest  margin  discussion  above  is  based  upon  the  results  and  average  balances  for  the  years  ended</w:t>
      </w:r>
    </w:p>
    <w:p>
      <w:pPr>
        <w:spacing w:after="0"/>
        <w:rPr>
          <w:sz w:val="20"/>
          <w:szCs w:val="20"/>
          <w:color w:val="auto"/>
        </w:rPr>
      </w:pPr>
      <w:r>
        <w:rPr>
          <w:rFonts w:ascii="Verdana" w:cs="Verdana" w:eastAsia="Verdana" w:hAnsi="Verdana"/>
          <w:sz w:val="18"/>
          <w:szCs w:val="18"/>
          <w:color w:val="auto"/>
        </w:rPr>
        <w:t>December 31, 2023, 2022, and 2021. Annualized net interest margins for the quarterly periods indicated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tcBorders>
              <w:bottom w:val="single" w:sz="8" w:color="E0E7ED"/>
            </w:tcBorders>
          </w:tcPr>
          <w:p>
            <w:pPr>
              <w:spacing w:after="0"/>
              <w:rPr>
                <w:sz w:val="15"/>
                <w:szCs w:val="15"/>
                <w:color w:val="auto"/>
              </w:rPr>
            </w:pPr>
          </w:p>
        </w:tc>
        <w:tc>
          <w:tcPr>
            <w:tcW w:w="172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5"/>
                <w:szCs w:val="15"/>
                <w:color w:val="auto"/>
              </w:rPr>
            </w:pPr>
          </w:p>
        </w:tc>
        <w:tc>
          <w:tcPr>
            <w:tcW w:w="172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3"/>
                <w:szCs w:val="13"/>
                <w:b w:val="1"/>
                <w:bCs w:val="1"/>
                <w:color w:val="auto"/>
              </w:rPr>
              <w:t>2022</w:t>
            </w:r>
          </w:p>
        </w:tc>
        <w:tc>
          <w:tcPr>
            <w:tcW w:w="80" w:type="dxa"/>
            <w:vAlign w:val="bottom"/>
            <w:tcBorders>
              <w:bottom w:val="single" w:sz="8" w:color="E0E7ED"/>
            </w:tcBorders>
          </w:tcPr>
          <w:p>
            <w:pPr>
              <w:spacing w:after="0"/>
              <w:rPr>
                <w:sz w:val="15"/>
                <w:szCs w:val="15"/>
                <w:color w:val="auto"/>
              </w:rPr>
            </w:pPr>
          </w:p>
        </w:tc>
        <w:tc>
          <w:tcPr>
            <w:tcW w:w="172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3"/>
                <w:szCs w:val="13"/>
                <w:b w:val="1"/>
                <w:bCs w:val="1"/>
                <w:color w:val="auto"/>
              </w:rPr>
              <w:t>2021</w:t>
            </w:r>
          </w:p>
        </w:tc>
      </w:tr>
      <w:tr>
        <w:trPr>
          <w:trHeight w:val="270"/>
        </w:trPr>
        <w:tc>
          <w:tcPr>
            <w:tcW w:w="5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Quarter</w:t>
            </w:r>
          </w:p>
        </w:tc>
        <w:tc>
          <w:tcPr>
            <w:tcW w:w="17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3.13 %</w:t>
            </w:r>
          </w:p>
        </w:tc>
        <w:tc>
          <w:tcPr>
            <w:tcW w:w="100" w:type="dxa"/>
            <w:vAlign w:val="bottom"/>
            <w:shd w:val="clear" w:color="auto" w:fill="E0E7ED"/>
          </w:tcPr>
          <w:p>
            <w:pPr>
              <w:spacing w:after="0"/>
              <w:rPr>
                <w:sz w:val="23"/>
                <w:szCs w:val="23"/>
                <w:color w:val="auto"/>
              </w:rPr>
            </w:pPr>
          </w:p>
        </w:tc>
        <w:tc>
          <w:tcPr>
            <w:tcW w:w="17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2.45 %</w:t>
            </w:r>
          </w:p>
        </w:tc>
        <w:tc>
          <w:tcPr>
            <w:tcW w:w="80" w:type="dxa"/>
            <w:vAlign w:val="bottom"/>
            <w:shd w:val="clear" w:color="auto" w:fill="E0E7ED"/>
          </w:tcPr>
          <w:p>
            <w:pPr>
              <w:spacing w:after="0"/>
              <w:rPr>
                <w:sz w:val="23"/>
                <w:szCs w:val="23"/>
                <w:color w:val="auto"/>
              </w:rPr>
            </w:pPr>
          </w:p>
        </w:tc>
        <w:tc>
          <w:tcPr>
            <w:tcW w:w="17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2.72 %</w:t>
            </w:r>
          </w:p>
        </w:tc>
      </w:tr>
      <w:tr>
        <w:trPr>
          <w:trHeight w:val="263"/>
        </w:trPr>
        <w:tc>
          <w:tcPr>
            <w:tcW w:w="5900" w:type="dxa"/>
            <w:vAlign w:val="bottom"/>
          </w:tcPr>
          <w:p>
            <w:pPr>
              <w:ind w:left="20"/>
              <w:spacing w:after="0"/>
              <w:rPr>
                <w:sz w:val="20"/>
                <w:szCs w:val="20"/>
                <w:color w:val="auto"/>
              </w:rPr>
            </w:pPr>
            <w:r>
              <w:rPr>
                <w:rFonts w:ascii="Verdana" w:cs="Verdana" w:eastAsia="Verdana" w:hAnsi="Verdana"/>
                <w:sz w:val="18"/>
                <w:szCs w:val="18"/>
                <w:color w:val="auto"/>
              </w:rPr>
              <w:t>Second Quarter</w:t>
            </w:r>
          </w:p>
        </w:tc>
        <w:tc>
          <w:tcPr>
            <w:tcW w:w="1720" w:type="dxa"/>
            <w:vAlign w:val="bottom"/>
          </w:tcPr>
          <w:p>
            <w:pPr>
              <w:jc w:val="right"/>
              <w:spacing w:after="0"/>
              <w:rPr>
                <w:sz w:val="20"/>
                <w:szCs w:val="20"/>
                <w:color w:val="auto"/>
              </w:rPr>
            </w:pPr>
            <w:r>
              <w:rPr>
                <w:rFonts w:ascii="Verdana" w:cs="Verdana" w:eastAsia="Verdana" w:hAnsi="Verdana"/>
                <w:sz w:val="18"/>
                <w:szCs w:val="18"/>
                <w:color w:val="auto"/>
              </w:rPr>
              <w:t>2.86 %</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2.68 %</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2.50 %</w:t>
            </w:r>
          </w:p>
        </w:tc>
      </w:tr>
      <w:tr>
        <w:trPr>
          <w:trHeight w:val="277"/>
        </w:trPr>
        <w:tc>
          <w:tcPr>
            <w:tcW w:w="5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Third Quarter</w:t>
            </w:r>
          </w:p>
        </w:tc>
        <w:tc>
          <w:tcPr>
            <w:tcW w:w="17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2.80 %</w:t>
            </w:r>
          </w:p>
        </w:tc>
        <w:tc>
          <w:tcPr>
            <w:tcW w:w="100" w:type="dxa"/>
            <w:vAlign w:val="bottom"/>
            <w:shd w:val="clear" w:color="auto" w:fill="E0E7ED"/>
          </w:tcPr>
          <w:p>
            <w:pPr>
              <w:spacing w:after="0"/>
              <w:rPr>
                <w:sz w:val="24"/>
                <w:szCs w:val="24"/>
                <w:color w:val="auto"/>
              </w:rPr>
            </w:pPr>
          </w:p>
        </w:tc>
        <w:tc>
          <w:tcPr>
            <w:tcW w:w="17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3.00 %</w:t>
            </w:r>
          </w:p>
        </w:tc>
        <w:tc>
          <w:tcPr>
            <w:tcW w:w="80" w:type="dxa"/>
            <w:vAlign w:val="bottom"/>
            <w:shd w:val="clear" w:color="auto" w:fill="E0E7ED"/>
          </w:tcPr>
          <w:p>
            <w:pPr>
              <w:spacing w:after="0"/>
              <w:rPr>
                <w:sz w:val="24"/>
                <w:szCs w:val="24"/>
                <w:color w:val="auto"/>
              </w:rPr>
            </w:pPr>
          </w:p>
        </w:tc>
        <w:tc>
          <w:tcPr>
            <w:tcW w:w="17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2.41 %</w:t>
            </w:r>
          </w:p>
        </w:tc>
      </w:tr>
      <w:tr>
        <w:trPr>
          <w:trHeight w:val="257"/>
        </w:trPr>
        <w:tc>
          <w:tcPr>
            <w:tcW w:w="5900" w:type="dxa"/>
            <w:vAlign w:val="bottom"/>
          </w:tcPr>
          <w:p>
            <w:pPr>
              <w:ind w:left="20"/>
              <w:spacing w:after="0"/>
              <w:rPr>
                <w:sz w:val="20"/>
                <w:szCs w:val="20"/>
                <w:color w:val="auto"/>
              </w:rPr>
            </w:pPr>
            <w:r>
              <w:rPr>
                <w:rFonts w:ascii="Verdana" w:cs="Verdana" w:eastAsia="Verdana" w:hAnsi="Verdana"/>
                <w:sz w:val="18"/>
                <w:szCs w:val="18"/>
                <w:color w:val="auto"/>
              </w:rPr>
              <w:t>Fourth Quarter</w:t>
            </w:r>
          </w:p>
        </w:tc>
        <w:tc>
          <w:tcPr>
            <w:tcW w:w="1720" w:type="dxa"/>
            <w:vAlign w:val="bottom"/>
          </w:tcPr>
          <w:p>
            <w:pPr>
              <w:jc w:val="right"/>
              <w:spacing w:after="0"/>
              <w:rPr>
                <w:sz w:val="20"/>
                <w:szCs w:val="20"/>
                <w:color w:val="auto"/>
              </w:rPr>
            </w:pPr>
            <w:r>
              <w:rPr>
                <w:rFonts w:ascii="Verdana" w:cs="Verdana" w:eastAsia="Verdana" w:hAnsi="Verdana"/>
                <w:sz w:val="18"/>
                <w:szCs w:val="18"/>
                <w:color w:val="auto"/>
              </w:rPr>
              <w:t>2.74 %</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3.24 %</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2.36 %</w:t>
            </w:r>
          </w:p>
        </w:tc>
      </w:tr>
    </w:tbl>
    <w:p>
      <w:pPr>
        <w:spacing w:after="0" w:line="27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Management attempts to mitigate the effects of an unpredictable interest-rate environment through effective portfolio management, prudent loan underwriting and pricing discipline, and operational efficiencies.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Noninterest Income</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Changes in noninterest income are summarized in the tables below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gridSpan w:val="5"/>
          </w:tcPr>
          <w:p>
            <w:pPr>
              <w:ind w:left="400"/>
              <w:spacing w:after="0"/>
              <w:rPr>
                <w:sz w:val="20"/>
                <w:szCs w:val="20"/>
                <w:color w:val="auto"/>
              </w:rPr>
            </w:pPr>
            <w:r>
              <w:rPr>
                <w:rFonts w:ascii="Verdana" w:cs="Verdana" w:eastAsia="Verdana" w:hAnsi="Verdana"/>
                <w:sz w:val="13"/>
                <w:szCs w:val="13"/>
                <w:b w:val="1"/>
                <w:bCs w:val="1"/>
                <w:color w:val="auto"/>
              </w:rPr>
              <w:t>Years Ended December 31,</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0"/>
        </w:trPr>
        <w:tc>
          <w:tcPr>
            <w:tcW w:w="4440" w:type="dxa"/>
            <w:vAlign w:val="bottom"/>
            <w:tcBorders>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top w:val="single" w:sz="8" w:color="auto"/>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12"/>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Borders>
              <w:bottom w:val="single" w:sz="8" w:color="E0E7ED"/>
            </w:tcBorders>
          </w:tcPr>
          <w:p>
            <w:pPr>
              <w:spacing w:after="0"/>
              <w:rPr>
                <w:sz w:val="14"/>
                <w:szCs w:val="14"/>
                <w:color w:val="auto"/>
              </w:rPr>
            </w:pPr>
          </w:p>
        </w:tc>
        <w:tc>
          <w:tcPr>
            <w:tcW w:w="1720" w:type="dxa"/>
            <w:vAlign w:val="bottom"/>
            <w:tcBorders>
              <w:bottom w:val="single" w:sz="8" w:color="auto"/>
            </w:tcBorders>
          </w:tcPr>
          <w:p>
            <w:pPr>
              <w:jc w:val="right"/>
              <w:ind w:right="43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3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720" w:type="dxa"/>
            <w:vAlign w:val="bottom"/>
            <w:shd w:val="clear" w:color="auto" w:fill="E0E7ED"/>
          </w:tcPr>
          <w:p>
            <w:pPr>
              <w:spacing w:after="0"/>
              <w:rPr>
                <w:sz w:val="22"/>
                <w:szCs w:val="22"/>
                <w:color w:val="auto"/>
              </w:rPr>
            </w:pPr>
          </w:p>
        </w:tc>
      </w:tr>
      <w:tr>
        <w:trPr>
          <w:trHeight w:val="238"/>
        </w:trPr>
        <w:tc>
          <w:tcPr>
            <w:tcW w:w="4440" w:type="dxa"/>
            <w:vAlign w:val="bottom"/>
          </w:tcPr>
          <w:p>
            <w:pPr>
              <w:ind w:left="180"/>
              <w:spacing w:after="0"/>
              <w:rPr>
                <w:sz w:val="20"/>
                <w:szCs w:val="20"/>
                <w:color w:val="auto"/>
              </w:rPr>
            </w:pPr>
            <w:r>
              <w:rPr>
                <w:rFonts w:ascii="Verdana" w:cs="Verdana" w:eastAsia="Verdana" w:hAnsi="Verdana"/>
                <w:sz w:val="18"/>
                <w:szCs w:val="18"/>
                <w:color w:val="auto"/>
              </w:rPr>
              <w:t>Wealth management and payment technology</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2"/>
        </w:trPr>
        <w:tc>
          <w:tcPr>
            <w:tcW w:w="4440" w:type="dxa"/>
            <w:vAlign w:val="bottom"/>
          </w:tcPr>
          <w:p>
            <w:pPr>
              <w:ind w:left="180"/>
              <w:spacing w:after="0"/>
              <w:rPr>
                <w:sz w:val="20"/>
                <w:szCs w:val="20"/>
                <w:color w:val="auto"/>
              </w:rPr>
            </w:pPr>
            <w:r>
              <w:rPr>
                <w:rFonts w:ascii="Verdana" w:cs="Verdana" w:eastAsia="Verdana" w:hAnsi="Verdana"/>
                <w:sz w:val="18"/>
                <w:szCs w:val="18"/>
                <w:color w:val="auto"/>
              </w:rPr>
              <w:t>solutions income:</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7"/>
        </w:trPr>
        <w:tc>
          <w:tcPr>
            <w:tcW w:w="4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Wealth management fees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57,309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55,378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1,931</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3.5 %</w:t>
            </w:r>
          </w:p>
        </w:tc>
      </w:tr>
      <w:tr>
        <w:trPr>
          <w:trHeight w:val="263"/>
        </w:trPr>
        <w:tc>
          <w:tcPr>
            <w:tcW w:w="444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Payment technology solutions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21,192</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20,067</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1,125</w:t>
            </w:r>
          </w:p>
        </w:tc>
        <w:tc>
          <w:tcPr>
            <w:tcW w:w="18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5.6 %</w:t>
            </w:r>
          </w:p>
        </w:tc>
      </w:tr>
      <w:tr>
        <w:trPr>
          <w:trHeight w:val="224"/>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Combined, wealth management fees and</w:t>
            </w:r>
          </w:p>
        </w:tc>
        <w:tc>
          <w:tcPr>
            <w:tcW w:w="300" w:type="dxa"/>
            <w:vAlign w:val="bottom"/>
            <w:shd w:val="clear" w:color="auto" w:fill="E0E7ED"/>
          </w:tcPr>
          <w:p>
            <w:pPr>
              <w:spacing w:after="0"/>
              <w:rPr>
                <w:sz w:val="19"/>
                <w:szCs w:val="19"/>
                <w:color w:val="auto"/>
              </w:rPr>
            </w:pPr>
          </w:p>
        </w:tc>
        <w:tc>
          <w:tcPr>
            <w:tcW w:w="13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2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720" w:type="dxa"/>
            <w:vAlign w:val="bottom"/>
            <w:shd w:val="clear" w:color="auto" w:fill="E0E7ED"/>
          </w:tcPr>
          <w:p>
            <w:pPr>
              <w:spacing w:after="0"/>
              <w:rPr>
                <w:sz w:val="19"/>
                <w:szCs w:val="19"/>
                <w:color w:val="auto"/>
              </w:rPr>
            </w:pPr>
          </w:p>
        </w:tc>
      </w:tr>
      <w:tr>
        <w:trPr>
          <w:trHeight w:val="248"/>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payment technology solutions</w:t>
            </w:r>
          </w:p>
        </w:tc>
        <w:tc>
          <w:tcPr>
            <w:tcW w:w="300" w:type="dxa"/>
            <w:vAlign w:val="bottom"/>
            <w:shd w:val="clear" w:color="auto" w:fill="E0E7ED"/>
          </w:tcPr>
          <w:p>
            <w:pPr>
              <w:spacing w:after="0"/>
              <w:rPr>
                <w:sz w:val="21"/>
                <w:szCs w:val="21"/>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78,501</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75,445</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3,056</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4.1 %</w:t>
            </w:r>
          </w:p>
        </w:tc>
      </w:tr>
      <w:tr>
        <w:trPr>
          <w:trHeight w:val="270"/>
        </w:trPr>
        <w:tc>
          <w:tcPr>
            <w:tcW w:w="4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Fees for customer services</w:t>
            </w: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29,044</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33,111</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(4,067)</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(12.3)%</w:t>
            </w:r>
          </w:p>
        </w:tc>
      </w:tr>
      <w:tr>
        <w:trPr>
          <w:trHeight w:val="263"/>
        </w:trPr>
        <w:tc>
          <w:tcPr>
            <w:tcW w:w="4440" w:type="dxa"/>
            <w:vAlign w:val="bottom"/>
          </w:tcPr>
          <w:p>
            <w:pPr>
              <w:ind w:left="180"/>
              <w:spacing w:after="0"/>
              <w:rPr>
                <w:sz w:val="20"/>
                <w:szCs w:val="20"/>
                <w:color w:val="auto"/>
              </w:rPr>
            </w:pPr>
            <w:r>
              <w:rPr>
                <w:rFonts w:ascii="Verdana" w:cs="Verdana" w:eastAsia="Verdana" w:hAnsi="Verdana"/>
                <w:sz w:val="18"/>
                <w:szCs w:val="18"/>
                <w:color w:val="auto"/>
              </w:rPr>
              <w:t>Mortgage revenue</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1,089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(806)</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(42.5)%</w:t>
            </w: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Income on bank owned life insurance</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4,701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3,663</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1,038</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28.3 %</w:t>
            </w:r>
          </w:p>
        </w:tc>
      </w:tr>
      <w:tr>
        <w:trPr>
          <w:trHeight w:val="270"/>
        </w:trPr>
        <w:tc>
          <w:tcPr>
            <w:tcW w:w="4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income:</w:t>
            </w: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720" w:type="dxa"/>
            <w:vAlign w:val="bottom"/>
            <w:shd w:val="clear" w:color="auto" w:fill="E0E7ED"/>
          </w:tcPr>
          <w:p>
            <w:pPr>
              <w:spacing w:after="0"/>
              <w:rPr>
                <w:sz w:val="23"/>
                <w:szCs w:val="23"/>
                <w:color w:val="auto"/>
              </w:rPr>
            </w:pPr>
          </w:p>
        </w:tc>
      </w:tr>
      <w:tr>
        <w:trPr>
          <w:trHeight w:val="263"/>
        </w:trPr>
        <w:tc>
          <w:tcPr>
            <w:tcW w:w="4440" w:type="dxa"/>
            <w:vAlign w:val="bottom"/>
          </w:tcPr>
          <w:p>
            <w:pPr>
              <w:ind w:left="360"/>
              <w:spacing w:after="0"/>
              <w:rPr>
                <w:sz w:val="20"/>
                <w:szCs w:val="20"/>
                <w:color w:val="auto"/>
              </w:rPr>
            </w:pPr>
            <w:r>
              <w:rPr>
                <w:rFonts w:ascii="Verdana" w:cs="Verdana" w:eastAsia="Verdana" w:hAnsi="Verdana"/>
                <w:sz w:val="18"/>
                <w:szCs w:val="18"/>
                <w:color w:val="auto"/>
              </w:rPr>
              <w:t>Realized net gains (losses) on securities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(78)</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(156.0)%</w:t>
            </w:r>
          </w:p>
        </w:tc>
      </w:tr>
      <w:tr>
        <w:trPr>
          <w:trHeight w:val="244"/>
        </w:trPr>
        <w:tc>
          <w:tcPr>
            <w:tcW w:w="4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Unrealized net gains (losses) recognized on</w:t>
            </w:r>
          </w:p>
        </w:tc>
        <w:tc>
          <w:tcPr>
            <w:tcW w:w="30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720" w:type="dxa"/>
            <w:vAlign w:val="bottom"/>
            <w:shd w:val="clear" w:color="auto" w:fill="E0E7ED"/>
          </w:tcPr>
          <w:p>
            <w:pPr>
              <w:spacing w:after="0"/>
              <w:rPr>
                <w:sz w:val="21"/>
                <w:szCs w:val="21"/>
                <w:color w:val="auto"/>
              </w:rPr>
            </w:pPr>
          </w:p>
        </w:tc>
      </w:tr>
      <w:tr>
        <w:trPr>
          <w:trHeight w:val="242"/>
        </w:trPr>
        <w:tc>
          <w:tcPr>
            <w:tcW w:w="4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equity securities</w:t>
            </w:r>
          </w:p>
        </w:tc>
        <w:tc>
          <w:tcPr>
            <w:tcW w:w="30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(2,171)</w:t>
            </w:r>
          </w:p>
        </w:tc>
        <w:tc>
          <w:tcPr>
            <w:tcW w:w="1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(2,183)</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12</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0.5 %</w:t>
            </w:r>
          </w:p>
        </w:tc>
      </w:tr>
      <w:tr>
        <w:trPr>
          <w:trHeight w:val="263"/>
        </w:trPr>
        <w:tc>
          <w:tcPr>
            <w:tcW w:w="4440" w:type="dxa"/>
            <w:vAlign w:val="bottom"/>
          </w:tcPr>
          <w:p>
            <w:pPr>
              <w:ind w:left="180"/>
              <w:spacing w:after="0"/>
              <w:rPr>
                <w:sz w:val="20"/>
                <w:szCs w:val="20"/>
                <w:color w:val="auto"/>
              </w:rPr>
            </w:pPr>
            <w:r>
              <w:rPr>
                <w:rFonts w:ascii="Verdana" w:cs="Verdana" w:eastAsia="Verdana" w:hAnsi="Verdana"/>
                <w:sz w:val="18"/>
                <w:szCs w:val="18"/>
                <w:color w:val="auto"/>
              </w:rPr>
              <w:t>Net securities gains (losses)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(2,199)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(2,133)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(66)</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(3.1)%</w:t>
            </w:r>
          </w:p>
        </w:tc>
      </w:tr>
      <w:tr>
        <w:trPr>
          <w:trHeight w:val="277"/>
        </w:trPr>
        <w:tc>
          <w:tcPr>
            <w:tcW w:w="444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720" w:type="dxa"/>
            <w:vAlign w:val="bottom"/>
            <w:shd w:val="clear" w:color="auto" w:fill="E0E7ED"/>
          </w:tcPr>
          <w:p>
            <w:pPr>
              <w:spacing w:after="0"/>
              <w:rPr>
                <w:sz w:val="24"/>
                <w:szCs w:val="24"/>
                <w:color w:val="auto"/>
              </w:rPr>
            </w:pP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income</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11,248</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14,822</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(3,574)</w:t>
            </w:r>
          </w:p>
        </w:tc>
        <w:tc>
          <w:tcPr>
            <w:tcW w:w="18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(24.1)%</w:t>
            </w:r>
          </w:p>
        </w:tc>
      </w:tr>
      <w:tr>
        <w:trPr>
          <w:trHeight w:val="295"/>
        </w:trPr>
        <w:tc>
          <w:tcPr>
            <w:tcW w:w="44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income</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122,384</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126,803</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(4,419)</w:t>
            </w:r>
          </w:p>
        </w:tc>
        <w:tc>
          <w:tcPr>
            <w:tcW w:w="182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(3.5)%</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E0E7ED"/>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Assets under care as of period end</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12,136,869</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11,061,831</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1,075,038</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9.7 %</w:t>
            </w:r>
          </w:p>
        </w:tc>
      </w:tr>
      <w:tr>
        <w:trPr>
          <w:trHeight w:val="554"/>
        </w:trPr>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4"/>
          </w:tcPr>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62</w:t>
            </w:r>
          </w:p>
        </w:tc>
      </w:tr>
      <w:tr>
        <w:trPr>
          <w:trHeight w:val="641"/>
        </w:trPr>
        <w:tc>
          <w:tcPr>
            <w:tcW w:w="4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2" w:name="page63"/>
    <w:bookmarkEnd w:id="6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gridSpan w:val="5"/>
          </w:tcPr>
          <w:p>
            <w:pPr>
              <w:ind w:left="400"/>
              <w:spacing w:after="0"/>
              <w:rPr>
                <w:sz w:val="20"/>
                <w:szCs w:val="20"/>
                <w:color w:val="auto"/>
              </w:rPr>
            </w:pPr>
            <w:r>
              <w:rPr>
                <w:rFonts w:ascii="Verdana" w:cs="Verdana" w:eastAsia="Verdana" w:hAnsi="Verdana"/>
                <w:sz w:val="13"/>
                <w:szCs w:val="13"/>
                <w:b w:val="1"/>
                <w:bCs w:val="1"/>
                <w:color w:val="auto"/>
              </w:rPr>
              <w:t>Years Ended December 31,</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0"/>
        </w:trPr>
        <w:tc>
          <w:tcPr>
            <w:tcW w:w="4440" w:type="dxa"/>
            <w:vAlign w:val="bottom"/>
            <w:tcBorders>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top w:val="single" w:sz="8" w:color="auto"/>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12"/>
              <w:spacing w:after="0"/>
              <w:rPr>
                <w:sz w:val="20"/>
                <w:szCs w:val="20"/>
                <w:color w:val="auto"/>
              </w:rPr>
            </w:pPr>
            <w:r>
              <w:rPr>
                <w:rFonts w:ascii="Verdana" w:cs="Verdana" w:eastAsia="Verdana" w:hAnsi="Verdana"/>
                <w:sz w:val="13"/>
                <w:szCs w:val="13"/>
                <w:b w:val="1"/>
                <w:bCs w:val="1"/>
                <w:color w:val="auto"/>
              </w:rPr>
              <w:t>2021</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5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Borders>
              <w:bottom w:val="single" w:sz="8" w:color="E0E7ED"/>
            </w:tcBorders>
          </w:tcPr>
          <w:p>
            <w:pPr>
              <w:spacing w:after="0"/>
              <w:rPr>
                <w:sz w:val="14"/>
                <w:szCs w:val="14"/>
                <w:color w:val="auto"/>
              </w:rPr>
            </w:pPr>
          </w:p>
        </w:tc>
        <w:tc>
          <w:tcPr>
            <w:tcW w:w="1720" w:type="dxa"/>
            <w:vAlign w:val="bottom"/>
            <w:tcBorders>
              <w:bottom w:val="single" w:sz="8" w:color="auto"/>
            </w:tcBorders>
          </w:tcPr>
          <w:p>
            <w:pPr>
              <w:jc w:val="right"/>
              <w:ind w:right="43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3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720" w:type="dxa"/>
            <w:vAlign w:val="bottom"/>
            <w:shd w:val="clear" w:color="auto" w:fill="E0E7ED"/>
          </w:tcPr>
          <w:p>
            <w:pPr>
              <w:spacing w:after="0"/>
              <w:rPr>
                <w:sz w:val="22"/>
                <w:szCs w:val="22"/>
                <w:color w:val="auto"/>
              </w:rPr>
            </w:pPr>
          </w:p>
        </w:tc>
      </w:tr>
      <w:tr>
        <w:trPr>
          <w:trHeight w:val="238"/>
        </w:trPr>
        <w:tc>
          <w:tcPr>
            <w:tcW w:w="4440" w:type="dxa"/>
            <w:vAlign w:val="bottom"/>
          </w:tcPr>
          <w:p>
            <w:pPr>
              <w:ind w:left="180"/>
              <w:spacing w:after="0"/>
              <w:rPr>
                <w:sz w:val="20"/>
                <w:szCs w:val="20"/>
                <w:color w:val="auto"/>
              </w:rPr>
            </w:pPr>
            <w:r>
              <w:rPr>
                <w:rFonts w:ascii="Verdana" w:cs="Verdana" w:eastAsia="Verdana" w:hAnsi="Verdana"/>
                <w:sz w:val="18"/>
                <w:szCs w:val="18"/>
                <w:color w:val="auto"/>
              </w:rPr>
              <w:t>Wealth management and payment technology</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2"/>
        </w:trPr>
        <w:tc>
          <w:tcPr>
            <w:tcW w:w="4440" w:type="dxa"/>
            <w:vAlign w:val="bottom"/>
          </w:tcPr>
          <w:p>
            <w:pPr>
              <w:ind w:left="180"/>
              <w:spacing w:after="0"/>
              <w:rPr>
                <w:sz w:val="20"/>
                <w:szCs w:val="20"/>
                <w:color w:val="auto"/>
              </w:rPr>
            </w:pPr>
            <w:r>
              <w:rPr>
                <w:rFonts w:ascii="Verdana" w:cs="Verdana" w:eastAsia="Verdana" w:hAnsi="Verdana"/>
                <w:sz w:val="18"/>
                <w:szCs w:val="18"/>
                <w:color w:val="auto"/>
              </w:rPr>
              <w:t>solutions income:</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7"/>
        </w:trPr>
        <w:tc>
          <w:tcPr>
            <w:tcW w:w="4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Wealth management fees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55,378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53,086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2,292</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4.3 %</w:t>
            </w:r>
          </w:p>
        </w:tc>
      </w:tr>
      <w:tr>
        <w:trPr>
          <w:trHeight w:val="263"/>
        </w:trPr>
        <w:tc>
          <w:tcPr>
            <w:tcW w:w="444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Payment technology solutions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20,067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18,347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1,720</w:t>
            </w:r>
          </w:p>
        </w:tc>
        <w:tc>
          <w:tcPr>
            <w:tcW w:w="18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9.4 %</w:t>
            </w:r>
          </w:p>
        </w:tc>
      </w:tr>
      <w:tr>
        <w:trPr>
          <w:trHeight w:val="224"/>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Combined, wealth management fees and</w:t>
            </w:r>
          </w:p>
        </w:tc>
        <w:tc>
          <w:tcPr>
            <w:tcW w:w="300" w:type="dxa"/>
            <w:vAlign w:val="bottom"/>
            <w:shd w:val="clear" w:color="auto" w:fill="E0E7ED"/>
          </w:tcPr>
          <w:p>
            <w:pPr>
              <w:spacing w:after="0"/>
              <w:rPr>
                <w:sz w:val="19"/>
                <w:szCs w:val="19"/>
                <w:color w:val="auto"/>
              </w:rPr>
            </w:pPr>
          </w:p>
        </w:tc>
        <w:tc>
          <w:tcPr>
            <w:tcW w:w="13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2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3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720" w:type="dxa"/>
            <w:vAlign w:val="bottom"/>
            <w:shd w:val="clear" w:color="auto" w:fill="E0E7ED"/>
          </w:tcPr>
          <w:p>
            <w:pPr>
              <w:spacing w:after="0"/>
              <w:rPr>
                <w:sz w:val="19"/>
                <w:szCs w:val="19"/>
                <w:color w:val="auto"/>
              </w:rPr>
            </w:pPr>
          </w:p>
        </w:tc>
      </w:tr>
      <w:tr>
        <w:trPr>
          <w:trHeight w:val="248"/>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payment technology solutions</w:t>
            </w:r>
          </w:p>
        </w:tc>
        <w:tc>
          <w:tcPr>
            <w:tcW w:w="300" w:type="dxa"/>
            <w:vAlign w:val="bottom"/>
            <w:shd w:val="clear" w:color="auto" w:fill="E0E7ED"/>
          </w:tcPr>
          <w:p>
            <w:pPr>
              <w:spacing w:after="0"/>
              <w:rPr>
                <w:sz w:val="21"/>
                <w:szCs w:val="21"/>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75,445</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71,433</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0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4,012</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5.6 %</w:t>
            </w:r>
          </w:p>
        </w:tc>
      </w:tr>
      <w:tr>
        <w:trPr>
          <w:trHeight w:val="270"/>
        </w:trPr>
        <w:tc>
          <w:tcPr>
            <w:tcW w:w="4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Fees for customer services</w:t>
            </w: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33,111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35,604</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(2,493)</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(7.0)%</w:t>
            </w:r>
          </w:p>
        </w:tc>
      </w:tr>
      <w:tr>
        <w:trPr>
          <w:trHeight w:val="263"/>
        </w:trPr>
        <w:tc>
          <w:tcPr>
            <w:tcW w:w="4440" w:type="dxa"/>
            <w:vAlign w:val="bottom"/>
          </w:tcPr>
          <w:p>
            <w:pPr>
              <w:ind w:left="180"/>
              <w:spacing w:after="0"/>
              <w:rPr>
                <w:sz w:val="20"/>
                <w:szCs w:val="20"/>
                <w:color w:val="auto"/>
              </w:rPr>
            </w:pPr>
            <w:r>
              <w:rPr>
                <w:rFonts w:ascii="Verdana" w:cs="Verdana" w:eastAsia="Verdana" w:hAnsi="Verdana"/>
                <w:sz w:val="18"/>
                <w:szCs w:val="18"/>
                <w:color w:val="auto"/>
              </w:rPr>
              <w:t>Mortgage revenue</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1,895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7,239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(5,344)</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(73.8)%</w:t>
            </w: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Income on bank owned life insurance</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3,663</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5,166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(1,503)</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(29.1)%</w:t>
            </w:r>
          </w:p>
        </w:tc>
      </w:tr>
      <w:tr>
        <w:trPr>
          <w:trHeight w:val="270"/>
        </w:trPr>
        <w:tc>
          <w:tcPr>
            <w:tcW w:w="4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income:</w:t>
            </w: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720" w:type="dxa"/>
            <w:vAlign w:val="bottom"/>
            <w:shd w:val="clear" w:color="auto" w:fill="E0E7ED"/>
          </w:tcPr>
          <w:p>
            <w:pPr>
              <w:spacing w:after="0"/>
              <w:rPr>
                <w:sz w:val="23"/>
                <w:szCs w:val="23"/>
                <w:color w:val="auto"/>
              </w:rPr>
            </w:pPr>
          </w:p>
        </w:tc>
      </w:tr>
      <w:tr>
        <w:trPr>
          <w:trHeight w:val="263"/>
        </w:trPr>
        <w:tc>
          <w:tcPr>
            <w:tcW w:w="4440" w:type="dxa"/>
            <w:vAlign w:val="bottom"/>
          </w:tcPr>
          <w:p>
            <w:pPr>
              <w:ind w:left="360"/>
              <w:spacing w:after="0"/>
              <w:rPr>
                <w:sz w:val="20"/>
                <w:szCs w:val="20"/>
                <w:color w:val="auto"/>
              </w:rPr>
            </w:pPr>
            <w:r>
              <w:rPr>
                <w:rFonts w:ascii="Verdana" w:cs="Verdana" w:eastAsia="Verdana" w:hAnsi="Verdana"/>
                <w:sz w:val="18"/>
                <w:szCs w:val="18"/>
                <w:color w:val="auto"/>
              </w:rPr>
              <w:t>Realized net gains (losses) on securities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Verdana" w:cs="Verdana" w:eastAsia="Verdana" w:hAnsi="Verdana"/>
                <w:sz w:val="18"/>
                <w:szCs w:val="18"/>
                <w:color w:val="auto"/>
              </w:rPr>
              <w:t>21</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72.4 %</w:t>
            </w:r>
          </w:p>
        </w:tc>
      </w:tr>
      <w:tr>
        <w:trPr>
          <w:trHeight w:val="244"/>
        </w:trPr>
        <w:tc>
          <w:tcPr>
            <w:tcW w:w="4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Unrealized net gains (losses) recognized on</w:t>
            </w:r>
          </w:p>
        </w:tc>
        <w:tc>
          <w:tcPr>
            <w:tcW w:w="30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720" w:type="dxa"/>
            <w:vAlign w:val="bottom"/>
            <w:shd w:val="clear" w:color="auto" w:fill="E0E7ED"/>
          </w:tcPr>
          <w:p>
            <w:pPr>
              <w:spacing w:after="0"/>
              <w:rPr>
                <w:sz w:val="21"/>
                <w:szCs w:val="21"/>
                <w:color w:val="auto"/>
              </w:rPr>
            </w:pPr>
          </w:p>
        </w:tc>
      </w:tr>
      <w:tr>
        <w:trPr>
          <w:trHeight w:val="242"/>
        </w:trPr>
        <w:tc>
          <w:tcPr>
            <w:tcW w:w="4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equity securities</w:t>
            </w:r>
          </w:p>
        </w:tc>
        <w:tc>
          <w:tcPr>
            <w:tcW w:w="30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(2,183)</w:t>
            </w:r>
          </w:p>
        </w:tc>
        <w:tc>
          <w:tcPr>
            <w:tcW w:w="1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3,041</w:t>
            </w:r>
          </w:p>
        </w:tc>
        <w:tc>
          <w:tcPr>
            <w:tcW w:w="1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(5,224)</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(171.8)%</w:t>
            </w:r>
          </w:p>
        </w:tc>
      </w:tr>
      <w:tr>
        <w:trPr>
          <w:trHeight w:val="263"/>
        </w:trPr>
        <w:tc>
          <w:tcPr>
            <w:tcW w:w="4440" w:type="dxa"/>
            <w:vAlign w:val="bottom"/>
          </w:tcPr>
          <w:p>
            <w:pPr>
              <w:ind w:left="180"/>
              <w:spacing w:after="0"/>
              <w:rPr>
                <w:sz w:val="20"/>
                <w:szCs w:val="20"/>
                <w:color w:val="auto"/>
              </w:rPr>
            </w:pPr>
            <w:r>
              <w:rPr>
                <w:rFonts w:ascii="Verdana" w:cs="Verdana" w:eastAsia="Verdana" w:hAnsi="Verdana"/>
                <w:sz w:val="18"/>
                <w:szCs w:val="18"/>
                <w:color w:val="auto"/>
              </w:rPr>
              <w:t>Net securities gains (losses)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(2,133)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3,070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(5,203)</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(169.5)%</w:t>
            </w:r>
          </w:p>
        </w:tc>
      </w:tr>
      <w:tr>
        <w:trPr>
          <w:trHeight w:val="277"/>
        </w:trPr>
        <w:tc>
          <w:tcPr>
            <w:tcW w:w="444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720" w:type="dxa"/>
            <w:vAlign w:val="bottom"/>
            <w:shd w:val="clear" w:color="auto" w:fill="E0E7ED"/>
          </w:tcPr>
          <w:p>
            <w:pPr>
              <w:spacing w:after="0"/>
              <w:rPr>
                <w:sz w:val="24"/>
                <w:szCs w:val="24"/>
                <w:color w:val="auto"/>
              </w:rPr>
            </w:pPr>
          </w:p>
        </w:tc>
      </w:tr>
      <w:tr>
        <w:trPr>
          <w:trHeight w:val="264"/>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income</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14,822</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10,292</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4,530</w:t>
            </w:r>
          </w:p>
        </w:tc>
        <w:tc>
          <w:tcPr>
            <w:tcW w:w="18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44.0 %</w:t>
            </w:r>
          </w:p>
        </w:tc>
      </w:tr>
      <w:tr>
        <w:trPr>
          <w:trHeight w:val="295"/>
        </w:trPr>
        <w:tc>
          <w:tcPr>
            <w:tcW w:w="44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income</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126,803</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132,804</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(6,001)</w:t>
            </w:r>
          </w:p>
        </w:tc>
        <w:tc>
          <w:tcPr>
            <w:tcW w:w="182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(4.5)%</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E0E7ED"/>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Assets under care</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11,061,831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12,731,319</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(1,669,488)</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(13.1)%</w:t>
            </w:r>
          </w:p>
        </w:tc>
      </w:tr>
    </w:tbl>
    <w:p>
      <w:pPr>
        <w:spacing w:after="0" w:line="265" w:lineRule="exact"/>
        <w:rPr>
          <w:sz w:val="20"/>
          <w:szCs w:val="20"/>
          <w:color w:val="auto"/>
        </w:rPr>
      </w:pPr>
    </w:p>
    <w:p>
      <w:pPr>
        <w:jc w:val="both"/>
        <w:spacing w:after="0" w:line="251" w:lineRule="auto"/>
        <w:rPr>
          <w:sz w:val="20"/>
          <w:szCs w:val="20"/>
          <w:color w:val="auto"/>
        </w:rPr>
      </w:pPr>
      <w:r>
        <w:rPr>
          <w:rFonts w:ascii="Verdana" w:cs="Verdana" w:eastAsia="Verdana" w:hAnsi="Verdana"/>
          <w:sz w:val="18"/>
          <w:szCs w:val="18"/>
          <w:color w:val="auto"/>
        </w:rPr>
        <w:t>Total noninterest income was $122.4 million for the year ended December 31, 2023, a decrease of 3.5% when compared with $126.8 million for the year ended December 31, 2022. The year-over-year decrease in non-interest income is substantially attributable to Durbin Amendment impacts as described in further detail below. Total noninterest income represented 27.7% of total revenue</w:t>
      </w:r>
      <w:r>
        <w:rPr>
          <w:rFonts w:ascii="Verdana" w:cs="Verdana" w:eastAsia="Verdana" w:hAnsi="Verdana"/>
          <w:sz w:val="23"/>
          <w:szCs w:val="23"/>
          <w:color w:val="auto"/>
          <w:vertAlign w:val="superscript"/>
        </w:rPr>
        <w:t>2</w:t>
      </w:r>
      <w:r>
        <w:rPr>
          <w:rFonts w:ascii="Verdana" w:cs="Verdana" w:eastAsia="Verdana" w:hAnsi="Verdana"/>
          <w:sz w:val="18"/>
          <w:szCs w:val="18"/>
          <w:color w:val="auto"/>
        </w:rPr>
        <w:t xml:space="preserve"> in 2023, compared to 28.2% in 2022.</w:t>
      </w:r>
    </w:p>
    <w:p>
      <w:pPr>
        <w:spacing w:after="0" w:line="61"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Combined, revenues from wealth management fees and payment technology solutions represented 64.1% and 59.5% of Busey’s noninterest income for the years ended December 31, 2023, and December 31, 2022, respectively, providing a complement to spread-based revenue from traditional banking activities. On a combined basis, revenue from these two critical operating areas was $78.5 million for the year ended December 31, 2023, a 4.1% increase from $75.4 million for the year ended December 31, 2022.</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Wealth management fees increased by 3.5% to $57.3 million in 2023, compared to $55.4 million in 2022. Busey’s Wealth Management division had $12.1 billion in assets under care as of December 31, 2023, compared to $11.1 billion as of December 31, 2022. Our portfolio management team continues to focus on long-term returns and managing risk in the face of volatile markets.</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Payment technology solutions revenue relates to our payment processing company, FirsTech. Payment technology solutions revenue increased by 5.6% to $21.2 million in 2023, compared to $20.1 million in 2022. Results for 2023 marked a new record high reported annual revenue for FirsTech.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1714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5" w:lineRule="exact"/>
        <w:rPr>
          <w:sz w:val="20"/>
          <w:szCs w:val="20"/>
          <w:color w:val="auto"/>
        </w:rPr>
      </w:pPr>
    </w:p>
    <w:p>
      <w:pPr>
        <w:ind w:left="140" w:hanging="132"/>
        <w:spacing w:after="0"/>
        <w:tabs>
          <w:tab w:leader="none" w:pos="140" w:val="left"/>
        </w:tabs>
        <w:numPr>
          <w:ilvl w:val="0"/>
          <w:numId w:val="34"/>
        </w:numPr>
        <w:rPr>
          <w:rFonts w:ascii="Verdana" w:cs="Verdana" w:eastAsia="Verdana" w:hAnsi="Verdana"/>
          <w:sz w:val="23"/>
          <w:szCs w:val="23"/>
          <w:color w:val="auto"/>
          <w:vertAlign w:val="superscript"/>
        </w:rPr>
      </w:pPr>
      <w:r>
        <w:rPr>
          <w:rFonts w:ascii="Verdana" w:cs="Verdana" w:eastAsia="Verdana" w:hAnsi="Verdana"/>
          <w:sz w:val="13"/>
          <w:szCs w:val="13"/>
          <w:color w:val="auto"/>
        </w:rPr>
        <w:t>Total revenue consists of net interest income plus noninterest income.</w:t>
      </w:r>
    </w:p>
    <w:p>
      <w:pPr>
        <w:spacing w:after="0" w:line="22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3" w:name="page64"/>
    <w:bookmarkEnd w:id="6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Fees for customer services decreased by 12.3% to $29.0 million in 2023, compared to $33.1 million in 2022. Beginning on July 1, 2022, we became subject to the Durbin Amendment, which requires the Federal Reserve to establish a maximum permissible interchange fee for many types of debit transactions. Reduced fee income is primarily attributable to the impact of the Durbin Amendment for all of 2023 versus only half of 2022, as well to modifications implemented to overdraft and non-sufficient funds fee structures.</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Mortgage revenue was $1.1 million in 2023, compared to $1.9 million in 2022. Decreases primarily resulted from declines in mortgage origination and sold-loan mortgage volume. General economic conditions and interest rate volatility may impact future fee income.</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Income on bank owned life insurance increased by 28.3% to $4.7 million in 2023, compared to $3.7 million in 2022, resulting from a $0.8 million increase in earnings on death proceeds and a $0.2 million increase in the cash surrender value of the insurance policies.</w:t>
      </w:r>
    </w:p>
    <w:p>
      <w:pPr>
        <w:spacing w:after="0" w:line="16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Other income decreased by 24.1% to $11.2 million in 2023, compared to $14.8 million in 2022. Primary contributors to other income include swap origination fees, gains on commercial loans sales, and changes in venture capital investment valuations.</w:t>
      </w:r>
    </w:p>
    <w:p>
      <w:pPr>
        <w:spacing w:after="0" w:line="2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4" w:name="page65"/>
    <w:bookmarkEnd w:id="6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Noninterest Expense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Changes in noninterest expense are summarized in the tables below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60" w:type="dxa"/>
            <w:vAlign w:val="bottom"/>
            <w:gridSpan w:val="5"/>
          </w:tcPr>
          <w:p>
            <w:pPr>
              <w:ind w:left="420"/>
              <w:spacing w:after="0"/>
              <w:rPr>
                <w:sz w:val="20"/>
                <w:szCs w:val="20"/>
                <w:color w:val="auto"/>
              </w:rPr>
            </w:pPr>
            <w:r>
              <w:rPr>
                <w:rFonts w:ascii="Verdana" w:cs="Verdana" w:eastAsia="Verdana" w:hAnsi="Verdana"/>
                <w:sz w:val="13"/>
                <w:szCs w:val="13"/>
                <w:b w:val="1"/>
                <w:bCs w:val="1"/>
                <w:color w:val="auto"/>
              </w:rPr>
              <w:t>Years Ended December 31,</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0"/>
        </w:trPr>
        <w:tc>
          <w:tcPr>
            <w:tcW w:w="4280" w:type="dxa"/>
            <w:vAlign w:val="bottom"/>
            <w:tcBorders>
              <w:bottom w:val="single" w:sz="8" w:color="E0E7ED"/>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93"/>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top w:val="single" w:sz="8" w:color="auto"/>
              <w:bottom w:val="single" w:sz="8" w:color="E0E7ED"/>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12"/>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80" w:type="dxa"/>
            <w:vAlign w:val="bottom"/>
            <w:tcBorders>
              <w:bottom w:val="single" w:sz="8" w:color="auto"/>
            </w:tcBorders>
          </w:tcPr>
          <w:p>
            <w:pPr>
              <w:jc w:val="right"/>
              <w:ind w:right="41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2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4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40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80" w:type="dxa"/>
            <w:vAlign w:val="bottom"/>
            <w:shd w:val="clear" w:color="auto" w:fill="E0E7ED"/>
          </w:tcPr>
          <w:p>
            <w:pPr>
              <w:spacing w:after="0"/>
              <w:rPr>
                <w:sz w:val="22"/>
                <w:szCs w:val="22"/>
                <w:color w:val="auto"/>
              </w:rPr>
            </w:pPr>
          </w:p>
        </w:tc>
      </w:tr>
      <w:tr>
        <w:trPr>
          <w:trHeight w:val="263"/>
        </w:trPr>
        <w:tc>
          <w:tcPr>
            <w:tcW w:w="4280" w:type="dxa"/>
            <w:vAlign w:val="bottom"/>
          </w:tcPr>
          <w:p>
            <w:pPr>
              <w:ind w:left="180"/>
              <w:spacing w:after="0"/>
              <w:rPr>
                <w:sz w:val="20"/>
                <w:szCs w:val="20"/>
                <w:color w:val="auto"/>
              </w:rPr>
            </w:pPr>
            <w:r>
              <w:rPr>
                <w:rFonts w:ascii="Verdana" w:cs="Verdana" w:eastAsia="Verdana" w:hAnsi="Verdana"/>
                <w:sz w:val="18"/>
                <w:szCs w:val="18"/>
                <w:color w:val="auto"/>
              </w:rPr>
              <w:t>Salaries, wages, and employee benefits</w:t>
            </w:r>
          </w:p>
        </w:tc>
        <w:tc>
          <w:tcPr>
            <w:tcW w:w="400" w:type="dxa"/>
            <w:vAlign w:val="bottom"/>
          </w:tcPr>
          <w:p>
            <w:pPr>
              <w:jc w:val="right"/>
              <w:ind w:right="19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162,597</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159,016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3,581</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2.3 %</w:t>
            </w:r>
          </w:p>
        </w:tc>
      </w:tr>
      <w:tr>
        <w:trPr>
          <w:trHeight w:val="277"/>
        </w:trPr>
        <w:tc>
          <w:tcPr>
            <w:tcW w:w="4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Data processing</w:t>
            </w: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23,708</w:t>
            </w: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21,648</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2,060</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9.5 %</w:t>
            </w:r>
          </w:p>
        </w:tc>
      </w:tr>
      <w:tr>
        <w:trPr>
          <w:trHeight w:val="270"/>
        </w:trPr>
        <w:tc>
          <w:tcPr>
            <w:tcW w:w="4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0"/>
        </w:trPr>
        <w:tc>
          <w:tcPr>
            <w:tcW w:w="4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Premises expenses:</w:t>
            </w:r>
          </w:p>
        </w:tc>
        <w:tc>
          <w:tcPr>
            <w:tcW w:w="400" w:type="dxa"/>
            <w:vAlign w:val="bottom"/>
            <w:shd w:val="clear" w:color="auto" w:fill="E0E7ED"/>
          </w:tcPr>
          <w:p>
            <w:pPr>
              <w:spacing w:after="0"/>
              <w:rPr>
                <w:sz w:val="23"/>
                <w:szCs w:val="23"/>
                <w:color w:val="auto"/>
              </w:rPr>
            </w:pPr>
          </w:p>
        </w:tc>
        <w:tc>
          <w:tcPr>
            <w:tcW w:w="13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0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80" w:type="dxa"/>
            <w:vAlign w:val="bottom"/>
            <w:shd w:val="clear" w:color="auto" w:fill="E0E7ED"/>
          </w:tcPr>
          <w:p>
            <w:pPr>
              <w:spacing w:after="0"/>
              <w:rPr>
                <w:sz w:val="23"/>
                <w:szCs w:val="23"/>
                <w:color w:val="auto"/>
              </w:rPr>
            </w:pPr>
          </w:p>
        </w:tc>
      </w:tr>
      <w:tr>
        <w:trPr>
          <w:trHeight w:val="263"/>
        </w:trPr>
        <w:tc>
          <w:tcPr>
            <w:tcW w:w="4280" w:type="dxa"/>
            <w:vAlign w:val="bottom"/>
          </w:tcPr>
          <w:p>
            <w:pPr>
              <w:ind w:left="360"/>
              <w:spacing w:after="0"/>
              <w:rPr>
                <w:sz w:val="20"/>
                <w:szCs w:val="20"/>
                <w:color w:val="auto"/>
              </w:rPr>
            </w:pPr>
            <w:r>
              <w:rPr>
                <w:rFonts w:ascii="Verdana" w:cs="Verdana" w:eastAsia="Verdana" w:hAnsi="Verdana"/>
                <w:sz w:val="18"/>
                <w:szCs w:val="18"/>
                <w:color w:val="auto"/>
              </w:rPr>
              <w:t>Net occupancy expense of premises</w:t>
            </w:r>
          </w:p>
        </w:tc>
        <w:tc>
          <w:tcPr>
            <w:tcW w:w="400" w:type="dxa"/>
            <w:vAlign w:val="bottom"/>
          </w:tcPr>
          <w:p>
            <w:pPr>
              <w:spacing w:after="0"/>
              <w:rPr>
                <w:sz w:val="22"/>
                <w:szCs w:val="22"/>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18,214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19,130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(916)</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(4.8)%</w:t>
            </w:r>
          </w:p>
        </w:tc>
      </w:tr>
      <w:tr>
        <w:trPr>
          <w:trHeight w:val="277"/>
        </w:trPr>
        <w:tc>
          <w:tcPr>
            <w:tcW w:w="42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Furniture and equipment expenses</w:t>
            </w:r>
          </w:p>
        </w:tc>
        <w:tc>
          <w:tcPr>
            <w:tcW w:w="40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6,759</w:t>
            </w:r>
          </w:p>
        </w:tc>
        <w:tc>
          <w:tcPr>
            <w:tcW w:w="100" w:type="dxa"/>
            <w:vAlign w:val="bottom"/>
            <w:shd w:val="clear" w:color="auto" w:fill="E0E7ED"/>
          </w:tcPr>
          <w:p>
            <w:pPr>
              <w:spacing w:after="0"/>
              <w:rPr>
                <w:sz w:val="24"/>
                <w:szCs w:val="24"/>
                <w:color w:val="auto"/>
              </w:rPr>
            </w:pPr>
          </w:p>
        </w:tc>
        <w:tc>
          <w:tcPr>
            <w:tcW w:w="400" w:type="dxa"/>
            <w:vAlign w:val="bottom"/>
            <w:tcBorders>
              <w:bottom w:val="single" w:sz="8" w:color="auto"/>
            </w:tcBorders>
            <w:shd w:val="clear" w:color="auto" w:fill="E0E7ED"/>
          </w:tcPr>
          <w:p>
            <w:pPr>
              <w:spacing w:after="0"/>
              <w:rPr>
                <w:sz w:val="24"/>
                <w:szCs w:val="24"/>
                <w:color w:val="auto"/>
              </w:rPr>
            </w:pPr>
          </w:p>
        </w:tc>
        <w:tc>
          <w:tcPr>
            <w:tcW w:w="13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7,645</w:t>
            </w:r>
          </w:p>
        </w:tc>
        <w:tc>
          <w:tcPr>
            <w:tcW w:w="100" w:type="dxa"/>
            <w:vAlign w:val="bottom"/>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(886)</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(11.6)%</w:t>
            </w:r>
          </w:p>
        </w:tc>
      </w:tr>
      <w:tr>
        <w:trPr>
          <w:trHeight w:val="218"/>
        </w:trPr>
        <w:tc>
          <w:tcPr>
            <w:tcW w:w="4280" w:type="dxa"/>
            <w:vAlign w:val="bottom"/>
          </w:tcPr>
          <w:p>
            <w:pPr>
              <w:ind w:left="180"/>
              <w:spacing w:after="0" w:line="217" w:lineRule="exact"/>
              <w:rPr>
                <w:sz w:val="20"/>
                <w:szCs w:val="20"/>
                <w:color w:val="auto"/>
              </w:rPr>
            </w:pPr>
            <w:r>
              <w:rPr>
                <w:rFonts w:ascii="Verdana" w:cs="Verdana" w:eastAsia="Verdana" w:hAnsi="Verdana"/>
                <w:sz w:val="18"/>
                <w:szCs w:val="18"/>
                <w:color w:val="auto"/>
              </w:rPr>
              <w:t>Combined, net occupancy expense of</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280" w:type="dxa"/>
            <w:vAlign w:val="bottom"/>
          </w:tcPr>
          <w:p>
            <w:pPr>
              <w:ind w:left="180"/>
              <w:spacing w:after="0" w:line="216" w:lineRule="exact"/>
              <w:rPr>
                <w:sz w:val="20"/>
                <w:szCs w:val="20"/>
                <w:color w:val="auto"/>
              </w:rPr>
            </w:pPr>
            <w:r>
              <w:rPr>
                <w:rFonts w:ascii="Verdana" w:cs="Verdana" w:eastAsia="Verdana" w:hAnsi="Verdana"/>
                <w:sz w:val="18"/>
                <w:szCs w:val="18"/>
                <w:color w:val="auto"/>
              </w:rPr>
              <w:t>premises and furniture and equipment</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2"/>
        </w:trPr>
        <w:tc>
          <w:tcPr>
            <w:tcW w:w="4280" w:type="dxa"/>
            <w:vAlign w:val="bottom"/>
          </w:tcPr>
          <w:p>
            <w:pPr>
              <w:ind w:left="180"/>
              <w:spacing w:after="0"/>
              <w:rPr>
                <w:sz w:val="20"/>
                <w:szCs w:val="20"/>
                <w:color w:val="auto"/>
              </w:rPr>
            </w:pPr>
            <w:r>
              <w:rPr>
                <w:rFonts w:ascii="Verdana" w:cs="Verdana" w:eastAsia="Verdana" w:hAnsi="Verdana"/>
                <w:sz w:val="18"/>
                <w:szCs w:val="18"/>
                <w:color w:val="auto"/>
              </w:rPr>
              <w:t>expenses</w:t>
            </w:r>
          </w:p>
        </w:tc>
        <w:tc>
          <w:tcPr>
            <w:tcW w:w="40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24,973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26,775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(1,802)</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(6.7)%</w:t>
            </w:r>
          </w:p>
        </w:tc>
      </w:tr>
      <w:tr>
        <w:trPr>
          <w:trHeight w:val="277"/>
        </w:trPr>
        <w:tc>
          <w:tcPr>
            <w:tcW w:w="428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80" w:type="dxa"/>
            <w:vAlign w:val="bottom"/>
            <w:shd w:val="clear" w:color="auto" w:fill="E0E7ED"/>
          </w:tcPr>
          <w:p>
            <w:pPr>
              <w:spacing w:after="0"/>
              <w:rPr>
                <w:sz w:val="24"/>
                <w:szCs w:val="24"/>
                <w:color w:val="auto"/>
              </w:rPr>
            </w:pPr>
          </w:p>
        </w:tc>
      </w:tr>
      <w:tr>
        <w:trPr>
          <w:trHeight w:val="263"/>
        </w:trPr>
        <w:tc>
          <w:tcPr>
            <w:tcW w:w="4280" w:type="dxa"/>
            <w:vAlign w:val="bottom"/>
          </w:tcPr>
          <w:p>
            <w:pPr>
              <w:ind w:left="180"/>
              <w:spacing w:after="0"/>
              <w:rPr>
                <w:sz w:val="20"/>
                <w:szCs w:val="20"/>
                <w:color w:val="auto"/>
              </w:rPr>
            </w:pPr>
            <w:r>
              <w:rPr>
                <w:rFonts w:ascii="Verdana" w:cs="Verdana" w:eastAsia="Verdana" w:hAnsi="Verdana"/>
                <w:sz w:val="18"/>
                <w:szCs w:val="18"/>
                <w:color w:val="auto"/>
              </w:rPr>
              <w:t>Professional fees</w:t>
            </w:r>
          </w:p>
        </w:tc>
        <w:tc>
          <w:tcPr>
            <w:tcW w:w="400" w:type="dxa"/>
            <w:vAlign w:val="bottom"/>
          </w:tcPr>
          <w:p>
            <w:pPr>
              <w:spacing w:after="0"/>
              <w:rPr>
                <w:sz w:val="22"/>
                <w:szCs w:val="22"/>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7,147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6,125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1,022</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16.7 %</w:t>
            </w:r>
          </w:p>
        </w:tc>
      </w:tr>
      <w:tr>
        <w:trPr>
          <w:trHeight w:val="277"/>
        </w:trPr>
        <w:tc>
          <w:tcPr>
            <w:tcW w:w="4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10,432</w:t>
            </w: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11,628</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(1,196)</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(10.3)%</w:t>
            </w:r>
          </w:p>
        </w:tc>
      </w:tr>
      <w:tr>
        <w:trPr>
          <w:trHeight w:val="263"/>
        </w:trPr>
        <w:tc>
          <w:tcPr>
            <w:tcW w:w="4280" w:type="dxa"/>
            <w:vAlign w:val="bottom"/>
          </w:tcPr>
          <w:p>
            <w:pPr>
              <w:ind w:left="180"/>
              <w:spacing w:after="0"/>
              <w:rPr>
                <w:sz w:val="20"/>
                <w:szCs w:val="20"/>
                <w:color w:val="auto"/>
              </w:rPr>
            </w:pPr>
            <w:r>
              <w:rPr>
                <w:rFonts w:ascii="Verdana" w:cs="Verdana" w:eastAsia="Verdana" w:hAnsi="Verdana"/>
                <w:sz w:val="18"/>
                <w:szCs w:val="18"/>
                <w:color w:val="auto"/>
              </w:rPr>
              <w:t>Interchange expense</w:t>
            </w:r>
          </w:p>
        </w:tc>
        <w:tc>
          <w:tcPr>
            <w:tcW w:w="400" w:type="dxa"/>
            <w:vAlign w:val="bottom"/>
          </w:tcPr>
          <w:p>
            <w:pPr>
              <w:spacing w:after="0"/>
              <w:rPr>
                <w:sz w:val="22"/>
                <w:szCs w:val="22"/>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6,864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6,298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566</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9.0 %</w:t>
            </w:r>
          </w:p>
        </w:tc>
      </w:tr>
      <w:tr>
        <w:trPr>
          <w:trHeight w:val="277"/>
        </w:trPr>
        <w:tc>
          <w:tcPr>
            <w:tcW w:w="4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FDIC insurance</w:t>
            </w: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5,650</w:t>
            </w: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4,058</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1,592</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39.2 %</w:t>
            </w:r>
          </w:p>
        </w:tc>
      </w:tr>
      <w:tr>
        <w:trPr>
          <w:trHeight w:val="263"/>
        </w:trPr>
        <w:tc>
          <w:tcPr>
            <w:tcW w:w="42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expense</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44,161</w:t>
            </w:r>
          </w:p>
        </w:tc>
        <w:tc>
          <w:tcPr>
            <w:tcW w:w="100" w:type="dxa"/>
            <w:vAlign w:val="bottom"/>
            <w:tcBorders>
              <w:bottom w:val="single" w:sz="8" w:color="E0E7ED"/>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48,333</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(4,172)</w:t>
            </w:r>
          </w:p>
        </w:tc>
        <w:tc>
          <w:tcPr>
            <w:tcW w:w="176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(8.6)%</w:t>
            </w:r>
          </w:p>
        </w:tc>
      </w:tr>
      <w:tr>
        <w:trPr>
          <w:trHeight w:val="295"/>
        </w:trPr>
        <w:tc>
          <w:tcPr>
            <w:tcW w:w="42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400" w:type="dxa"/>
            <w:vAlign w:val="bottom"/>
            <w:tcBorders>
              <w:bottom w:val="single" w:sz="8" w:color="auto"/>
            </w:tcBorders>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285,532</w:t>
            </w:r>
          </w:p>
        </w:tc>
        <w:tc>
          <w:tcPr>
            <w:tcW w:w="100" w:type="dxa"/>
            <w:vAlign w:val="bottom"/>
            <w:tcBorders>
              <w:bottom w:val="single" w:sz="8" w:color="E0E7ED"/>
            </w:tcBorders>
            <w:shd w:val="clear" w:color="auto" w:fill="E0E7ED"/>
          </w:tcPr>
          <w:p>
            <w:pPr>
              <w:spacing w:after="0"/>
              <w:rPr>
                <w:sz w:val="24"/>
                <w:szCs w:val="24"/>
                <w:color w:val="auto"/>
              </w:rPr>
            </w:pPr>
          </w:p>
        </w:tc>
        <w:tc>
          <w:tcPr>
            <w:tcW w:w="400" w:type="dxa"/>
            <w:vAlign w:val="bottom"/>
            <w:tcBorders>
              <w:bottom w:val="single" w:sz="8" w:color="auto"/>
            </w:tcBorders>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283,881</w:t>
            </w: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1,651</w:t>
            </w:r>
          </w:p>
        </w:tc>
        <w:tc>
          <w:tcPr>
            <w:tcW w:w="176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0.6 %</w:t>
            </w:r>
          </w:p>
        </w:tc>
      </w:tr>
      <w:tr>
        <w:trPr>
          <w:trHeight w:val="20"/>
        </w:trPr>
        <w:tc>
          <w:tcPr>
            <w:tcW w:w="428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80" w:type="dxa"/>
            <w:vAlign w:val="bottom"/>
            <w:tcBorders>
              <w:top w:val="single" w:sz="8" w:color="E0E7ED"/>
            </w:tcBorders>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70"/>
        </w:trPr>
        <w:tc>
          <w:tcPr>
            <w:tcW w:w="42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Income taxes</w:t>
            </w:r>
          </w:p>
        </w:tc>
        <w:tc>
          <w:tcPr>
            <w:tcW w:w="40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31,339</w:t>
            </w:r>
          </w:p>
        </w:tc>
        <w:tc>
          <w:tcPr>
            <w:tcW w:w="100" w:type="dxa"/>
            <w:vAlign w:val="bottom"/>
            <w:shd w:val="clear" w:color="auto" w:fill="E0E7ED"/>
          </w:tcPr>
          <w:p>
            <w:pPr>
              <w:spacing w:after="0"/>
              <w:rPr>
                <w:sz w:val="23"/>
                <w:szCs w:val="23"/>
                <w:color w:val="auto"/>
              </w:rPr>
            </w:pPr>
          </w:p>
        </w:tc>
        <w:tc>
          <w:tcPr>
            <w:tcW w:w="40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33,426</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(2,087)</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(6.2)%</w:t>
            </w:r>
          </w:p>
        </w:tc>
      </w:tr>
      <w:tr>
        <w:trPr>
          <w:trHeight w:val="263"/>
        </w:trPr>
        <w:tc>
          <w:tcPr>
            <w:tcW w:w="4280" w:type="dxa"/>
            <w:vAlign w:val="bottom"/>
          </w:tcPr>
          <w:p>
            <w:pPr>
              <w:ind w:left="20"/>
              <w:spacing w:after="0"/>
              <w:rPr>
                <w:sz w:val="20"/>
                <w:szCs w:val="20"/>
                <w:color w:val="auto"/>
              </w:rPr>
            </w:pPr>
            <w:r>
              <w:rPr>
                <w:rFonts w:ascii="Verdana" w:cs="Verdana" w:eastAsia="Verdana" w:hAnsi="Verdana"/>
                <w:sz w:val="18"/>
                <w:szCs w:val="18"/>
                <w:color w:val="auto"/>
              </w:rPr>
              <w:t>Effective income tax rate</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20.4 %</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20.7 %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(30) bps</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428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80" w:type="dxa"/>
            <w:vAlign w:val="bottom"/>
            <w:shd w:val="clear" w:color="auto" w:fill="E0E7ED"/>
          </w:tcPr>
          <w:p>
            <w:pPr>
              <w:spacing w:after="0"/>
              <w:rPr>
                <w:sz w:val="24"/>
                <w:szCs w:val="24"/>
                <w:color w:val="auto"/>
              </w:rPr>
            </w:pPr>
          </w:p>
        </w:tc>
      </w:tr>
      <w:tr>
        <w:trPr>
          <w:trHeight w:val="263"/>
        </w:trPr>
        <w:tc>
          <w:tcPr>
            <w:tcW w:w="4280" w:type="dxa"/>
            <w:vAlign w:val="bottom"/>
          </w:tcPr>
          <w:p>
            <w:pPr>
              <w:ind w:left="20"/>
              <w:spacing w:after="0"/>
              <w:rPr>
                <w:sz w:val="20"/>
                <w:szCs w:val="20"/>
                <w:color w:val="auto"/>
              </w:rPr>
            </w:pPr>
            <w:r>
              <w:rPr>
                <w:rFonts w:ascii="Verdana" w:cs="Verdana" w:eastAsia="Verdana" w:hAnsi="Verdana"/>
                <w:sz w:val="18"/>
                <w:szCs w:val="18"/>
                <w:color w:val="auto"/>
              </w:rPr>
              <w:t>Efficiency ratio</w:t>
            </w:r>
            <w:r>
              <w:rPr>
                <w:rFonts w:ascii="Verdana" w:cs="Verdana" w:eastAsia="Verdana" w:hAnsi="Verdana"/>
                <w:sz w:val="11"/>
                <w:szCs w:val="11"/>
                <w:color w:val="auto"/>
              </w:rPr>
              <w:t>1</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61.7 %</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59.9 %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180 bps</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42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efficiency ratio</w:t>
            </w:r>
            <w:r>
              <w:rPr>
                <w:rFonts w:ascii="Verdana" w:cs="Verdana" w:eastAsia="Verdana" w:hAnsi="Verdana"/>
                <w:sz w:val="11"/>
                <w:szCs w:val="11"/>
                <w:color w:val="auto"/>
              </w:rPr>
              <w:t>1</w:t>
            </w: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60.7 %</w:t>
            </w: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58.9 %</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180 bps</w:t>
            </w:r>
          </w:p>
        </w:tc>
        <w:tc>
          <w:tcPr>
            <w:tcW w:w="80" w:type="dxa"/>
            <w:vAlign w:val="bottom"/>
            <w:shd w:val="clear" w:color="auto" w:fill="E0E7ED"/>
          </w:tcPr>
          <w:p>
            <w:pPr>
              <w:spacing w:after="0"/>
              <w:rPr>
                <w:sz w:val="24"/>
                <w:szCs w:val="24"/>
                <w:color w:val="auto"/>
              </w:rPr>
            </w:pPr>
          </w:p>
        </w:tc>
        <w:tc>
          <w:tcPr>
            <w:tcW w:w="1680" w:type="dxa"/>
            <w:vAlign w:val="bottom"/>
            <w:shd w:val="clear" w:color="auto" w:fill="E0E7ED"/>
          </w:tcPr>
          <w:p>
            <w:pPr>
              <w:spacing w:after="0"/>
              <w:rPr>
                <w:sz w:val="24"/>
                <w:szCs w:val="24"/>
                <w:color w:val="auto"/>
              </w:rPr>
            </w:pPr>
          </w:p>
        </w:tc>
      </w:tr>
      <w:tr>
        <w:trPr>
          <w:trHeight w:val="270"/>
        </w:trPr>
        <w:tc>
          <w:tcPr>
            <w:tcW w:w="4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8"/>
        </w:trPr>
        <w:tc>
          <w:tcPr>
            <w:tcW w:w="42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Full-time equivalent associates as of period-</w:t>
            </w:r>
          </w:p>
        </w:tc>
        <w:tc>
          <w:tcPr>
            <w:tcW w:w="40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40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80" w:type="dxa"/>
            <w:vAlign w:val="bottom"/>
            <w:shd w:val="clear" w:color="auto" w:fill="E0E7ED"/>
          </w:tcPr>
          <w:p>
            <w:pPr>
              <w:spacing w:after="0"/>
              <w:rPr>
                <w:sz w:val="20"/>
                <w:szCs w:val="20"/>
                <w:color w:val="auto"/>
              </w:rPr>
            </w:pPr>
          </w:p>
        </w:tc>
      </w:tr>
      <w:tr>
        <w:trPr>
          <w:trHeight w:val="248"/>
        </w:trPr>
        <w:tc>
          <w:tcPr>
            <w:tcW w:w="42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end</w:t>
            </w:r>
          </w:p>
        </w:tc>
        <w:tc>
          <w:tcPr>
            <w:tcW w:w="400" w:type="dxa"/>
            <w:vAlign w:val="bottom"/>
            <w:shd w:val="clear" w:color="auto" w:fill="E0E7ED"/>
          </w:tcPr>
          <w:p>
            <w:pPr>
              <w:spacing w:after="0"/>
              <w:rPr>
                <w:sz w:val="21"/>
                <w:szCs w:val="21"/>
                <w:color w:val="auto"/>
              </w:rPr>
            </w:pP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1,479</w:t>
            </w:r>
          </w:p>
        </w:tc>
        <w:tc>
          <w:tcPr>
            <w:tcW w:w="100" w:type="dxa"/>
            <w:vAlign w:val="bottom"/>
            <w:shd w:val="clear" w:color="auto" w:fill="E0E7ED"/>
          </w:tcPr>
          <w:p>
            <w:pPr>
              <w:spacing w:after="0"/>
              <w:rPr>
                <w:sz w:val="21"/>
                <w:szCs w:val="21"/>
                <w:color w:val="auto"/>
              </w:rPr>
            </w:pPr>
          </w:p>
        </w:tc>
        <w:tc>
          <w:tcPr>
            <w:tcW w:w="400" w:type="dxa"/>
            <w:vAlign w:val="bottom"/>
            <w:shd w:val="clear" w:color="auto" w:fill="E0E7ED"/>
          </w:tcPr>
          <w:p>
            <w:pPr>
              <w:spacing w:after="0"/>
              <w:rPr>
                <w:sz w:val="21"/>
                <w:szCs w:val="21"/>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1,497</w:t>
            </w: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(1.2)%</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right="20" w:hanging="330"/>
        <w:spacing w:after="0" w:line="237" w:lineRule="auto"/>
        <w:tabs>
          <w:tab w:leader="none" w:pos="491" w:val="left"/>
        </w:tabs>
        <w:numPr>
          <w:ilvl w:val="0"/>
          <w:numId w:val="35"/>
        </w:numPr>
        <w:rPr>
          <w:rFonts w:ascii="Verdana" w:cs="Verdana" w:eastAsia="Verdana" w:hAnsi="Verdana"/>
          <w:sz w:val="13"/>
          <w:szCs w:val="13"/>
          <w:color w:val="auto"/>
        </w:rPr>
      </w:pPr>
      <w:r>
        <w:rPr>
          <w:rFonts w:ascii="Verdana" w:cs="Verdana" w:eastAsia="Verdana" w:hAnsi="Verdana"/>
          <w:sz w:val="13"/>
          <w:szCs w:val="13"/>
          <w:color w:val="auto"/>
        </w:rPr>
        <w:t xml:space="preserve">The efficiency ratio and adjusted efficiency ratio are both non-GAAP financial measures. For a reconciliation of non-GAAP financial measure to the most directly comparable GAAP financial measures,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Item 1. Business—Non-GAAP Financial Information</w:t>
      </w:r>
      <w:r>
        <w:rPr>
          <w:rFonts w:ascii="Verdana" w:cs="Verdana" w:eastAsia="Verdana" w:hAnsi="Verdana"/>
          <w:sz w:val="13"/>
          <w:szCs w:val="13"/>
          <w:i w:val="1"/>
          <w:iCs w:val="1"/>
          <w:color w:val="auto"/>
        </w:rPr>
        <w:t>.”</w:t>
      </w:r>
    </w:p>
    <w:p>
      <w:pPr>
        <w:spacing w:after="0" w:line="5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5" w:name="page66"/>
    <w:bookmarkEnd w:id="6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60" w:type="dxa"/>
            <w:vAlign w:val="bottom"/>
            <w:gridSpan w:val="5"/>
          </w:tcPr>
          <w:p>
            <w:pPr>
              <w:ind w:left="420"/>
              <w:spacing w:after="0"/>
              <w:rPr>
                <w:sz w:val="20"/>
                <w:szCs w:val="20"/>
                <w:color w:val="auto"/>
              </w:rPr>
            </w:pPr>
            <w:r>
              <w:rPr>
                <w:rFonts w:ascii="Verdana" w:cs="Verdana" w:eastAsia="Verdana" w:hAnsi="Verdana"/>
                <w:sz w:val="13"/>
                <w:szCs w:val="13"/>
                <w:b w:val="1"/>
                <w:bCs w:val="1"/>
                <w:color w:val="auto"/>
              </w:rPr>
              <w:t>Years Ended December 31,</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0"/>
        </w:trPr>
        <w:tc>
          <w:tcPr>
            <w:tcW w:w="4280" w:type="dxa"/>
            <w:vAlign w:val="bottom"/>
            <w:tcBorders>
              <w:bottom w:val="single" w:sz="8" w:color="E0E7ED"/>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93"/>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top w:val="single" w:sz="8" w:color="auto"/>
              <w:bottom w:val="single" w:sz="8" w:color="E0E7ED"/>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12"/>
              <w:spacing w:after="0"/>
              <w:rPr>
                <w:sz w:val="20"/>
                <w:szCs w:val="20"/>
                <w:color w:val="auto"/>
              </w:rPr>
            </w:pPr>
            <w:r>
              <w:rPr>
                <w:rFonts w:ascii="Verdana" w:cs="Verdana" w:eastAsia="Verdana" w:hAnsi="Verdana"/>
                <w:sz w:val="13"/>
                <w:szCs w:val="13"/>
                <w:b w:val="1"/>
                <w:bCs w:val="1"/>
                <w:color w:val="auto"/>
              </w:rPr>
              <w:t>2021</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80" w:type="dxa"/>
            <w:vAlign w:val="bottom"/>
            <w:tcBorders>
              <w:bottom w:val="single" w:sz="8" w:color="auto"/>
            </w:tcBorders>
          </w:tcPr>
          <w:p>
            <w:pPr>
              <w:jc w:val="right"/>
              <w:ind w:right="41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2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4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40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80" w:type="dxa"/>
            <w:vAlign w:val="bottom"/>
            <w:shd w:val="clear" w:color="auto" w:fill="E0E7ED"/>
          </w:tcPr>
          <w:p>
            <w:pPr>
              <w:spacing w:after="0"/>
              <w:rPr>
                <w:sz w:val="22"/>
                <w:szCs w:val="22"/>
                <w:color w:val="auto"/>
              </w:rPr>
            </w:pPr>
          </w:p>
        </w:tc>
      </w:tr>
      <w:tr>
        <w:trPr>
          <w:trHeight w:val="263"/>
        </w:trPr>
        <w:tc>
          <w:tcPr>
            <w:tcW w:w="4280" w:type="dxa"/>
            <w:vAlign w:val="bottom"/>
          </w:tcPr>
          <w:p>
            <w:pPr>
              <w:ind w:left="180"/>
              <w:spacing w:after="0"/>
              <w:rPr>
                <w:sz w:val="20"/>
                <w:szCs w:val="20"/>
                <w:color w:val="auto"/>
              </w:rPr>
            </w:pPr>
            <w:r>
              <w:rPr>
                <w:rFonts w:ascii="Verdana" w:cs="Verdana" w:eastAsia="Verdana" w:hAnsi="Verdana"/>
                <w:sz w:val="18"/>
                <w:szCs w:val="18"/>
                <w:color w:val="auto"/>
              </w:rPr>
              <w:t>Salaries, wages, and employee benefits</w:t>
            </w:r>
          </w:p>
        </w:tc>
        <w:tc>
          <w:tcPr>
            <w:tcW w:w="400" w:type="dxa"/>
            <w:vAlign w:val="bottom"/>
          </w:tcPr>
          <w:p>
            <w:pPr>
              <w:jc w:val="right"/>
              <w:ind w:right="19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159,016</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145,312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13,704</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9.4 %</w:t>
            </w:r>
          </w:p>
        </w:tc>
      </w:tr>
      <w:tr>
        <w:trPr>
          <w:trHeight w:val="277"/>
        </w:trPr>
        <w:tc>
          <w:tcPr>
            <w:tcW w:w="4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Data processing</w:t>
            </w: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21,648</w:t>
            </w: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21,862</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(214)</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(1.0)%</w:t>
            </w:r>
          </w:p>
        </w:tc>
      </w:tr>
      <w:tr>
        <w:trPr>
          <w:trHeight w:val="270"/>
        </w:trPr>
        <w:tc>
          <w:tcPr>
            <w:tcW w:w="4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0"/>
        </w:trPr>
        <w:tc>
          <w:tcPr>
            <w:tcW w:w="4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Premises expenses:</w:t>
            </w:r>
          </w:p>
        </w:tc>
        <w:tc>
          <w:tcPr>
            <w:tcW w:w="400" w:type="dxa"/>
            <w:vAlign w:val="bottom"/>
            <w:shd w:val="clear" w:color="auto" w:fill="E0E7ED"/>
          </w:tcPr>
          <w:p>
            <w:pPr>
              <w:spacing w:after="0"/>
              <w:rPr>
                <w:sz w:val="23"/>
                <w:szCs w:val="23"/>
                <w:color w:val="auto"/>
              </w:rPr>
            </w:pPr>
          </w:p>
        </w:tc>
        <w:tc>
          <w:tcPr>
            <w:tcW w:w="13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0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80" w:type="dxa"/>
            <w:vAlign w:val="bottom"/>
            <w:shd w:val="clear" w:color="auto" w:fill="E0E7ED"/>
          </w:tcPr>
          <w:p>
            <w:pPr>
              <w:spacing w:after="0"/>
              <w:rPr>
                <w:sz w:val="23"/>
                <w:szCs w:val="23"/>
                <w:color w:val="auto"/>
              </w:rPr>
            </w:pPr>
          </w:p>
        </w:tc>
      </w:tr>
      <w:tr>
        <w:trPr>
          <w:trHeight w:val="263"/>
        </w:trPr>
        <w:tc>
          <w:tcPr>
            <w:tcW w:w="4280" w:type="dxa"/>
            <w:vAlign w:val="bottom"/>
          </w:tcPr>
          <w:p>
            <w:pPr>
              <w:ind w:left="360"/>
              <w:spacing w:after="0"/>
              <w:rPr>
                <w:sz w:val="20"/>
                <w:szCs w:val="20"/>
                <w:color w:val="auto"/>
              </w:rPr>
            </w:pPr>
            <w:r>
              <w:rPr>
                <w:rFonts w:ascii="Verdana" w:cs="Verdana" w:eastAsia="Verdana" w:hAnsi="Verdana"/>
                <w:sz w:val="18"/>
                <w:szCs w:val="18"/>
                <w:color w:val="auto"/>
              </w:rPr>
              <w:t>Net occupancy expense of premises</w:t>
            </w:r>
          </w:p>
        </w:tc>
        <w:tc>
          <w:tcPr>
            <w:tcW w:w="400" w:type="dxa"/>
            <w:vAlign w:val="bottom"/>
          </w:tcPr>
          <w:p>
            <w:pPr>
              <w:spacing w:after="0"/>
              <w:rPr>
                <w:sz w:val="22"/>
                <w:szCs w:val="22"/>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19,130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18,346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784</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4.3 %</w:t>
            </w:r>
          </w:p>
        </w:tc>
      </w:tr>
      <w:tr>
        <w:trPr>
          <w:trHeight w:val="277"/>
        </w:trPr>
        <w:tc>
          <w:tcPr>
            <w:tcW w:w="42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Furniture and equipment expenses</w:t>
            </w:r>
          </w:p>
        </w:tc>
        <w:tc>
          <w:tcPr>
            <w:tcW w:w="40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7,645</w:t>
            </w:r>
          </w:p>
        </w:tc>
        <w:tc>
          <w:tcPr>
            <w:tcW w:w="100" w:type="dxa"/>
            <w:vAlign w:val="bottom"/>
            <w:shd w:val="clear" w:color="auto" w:fill="E0E7ED"/>
          </w:tcPr>
          <w:p>
            <w:pPr>
              <w:spacing w:after="0"/>
              <w:rPr>
                <w:sz w:val="24"/>
                <w:szCs w:val="24"/>
                <w:color w:val="auto"/>
              </w:rPr>
            </w:pPr>
          </w:p>
        </w:tc>
        <w:tc>
          <w:tcPr>
            <w:tcW w:w="400" w:type="dxa"/>
            <w:vAlign w:val="bottom"/>
            <w:tcBorders>
              <w:bottom w:val="single" w:sz="8" w:color="auto"/>
            </w:tcBorders>
            <w:shd w:val="clear" w:color="auto" w:fill="E0E7ED"/>
          </w:tcPr>
          <w:p>
            <w:pPr>
              <w:spacing w:after="0"/>
              <w:rPr>
                <w:sz w:val="24"/>
                <w:szCs w:val="24"/>
                <w:color w:val="auto"/>
              </w:rPr>
            </w:pPr>
          </w:p>
        </w:tc>
        <w:tc>
          <w:tcPr>
            <w:tcW w:w="13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8,301</w:t>
            </w:r>
          </w:p>
        </w:tc>
        <w:tc>
          <w:tcPr>
            <w:tcW w:w="100" w:type="dxa"/>
            <w:vAlign w:val="bottom"/>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(656)</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(7.9)%</w:t>
            </w:r>
          </w:p>
        </w:tc>
      </w:tr>
      <w:tr>
        <w:trPr>
          <w:trHeight w:val="218"/>
        </w:trPr>
        <w:tc>
          <w:tcPr>
            <w:tcW w:w="4280" w:type="dxa"/>
            <w:vAlign w:val="bottom"/>
          </w:tcPr>
          <w:p>
            <w:pPr>
              <w:ind w:left="180"/>
              <w:spacing w:after="0" w:line="217" w:lineRule="exact"/>
              <w:rPr>
                <w:sz w:val="20"/>
                <w:szCs w:val="20"/>
                <w:color w:val="auto"/>
              </w:rPr>
            </w:pPr>
            <w:r>
              <w:rPr>
                <w:rFonts w:ascii="Verdana" w:cs="Verdana" w:eastAsia="Verdana" w:hAnsi="Verdana"/>
                <w:sz w:val="18"/>
                <w:szCs w:val="18"/>
                <w:color w:val="auto"/>
              </w:rPr>
              <w:t>Combined, net occupancy expense of</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280" w:type="dxa"/>
            <w:vAlign w:val="bottom"/>
          </w:tcPr>
          <w:p>
            <w:pPr>
              <w:ind w:left="180"/>
              <w:spacing w:after="0" w:line="216" w:lineRule="exact"/>
              <w:rPr>
                <w:sz w:val="20"/>
                <w:szCs w:val="20"/>
                <w:color w:val="auto"/>
              </w:rPr>
            </w:pPr>
            <w:r>
              <w:rPr>
                <w:rFonts w:ascii="Verdana" w:cs="Verdana" w:eastAsia="Verdana" w:hAnsi="Verdana"/>
                <w:sz w:val="18"/>
                <w:szCs w:val="18"/>
                <w:color w:val="auto"/>
              </w:rPr>
              <w:t>premises and furniture and equipment</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2"/>
        </w:trPr>
        <w:tc>
          <w:tcPr>
            <w:tcW w:w="4280" w:type="dxa"/>
            <w:vAlign w:val="bottom"/>
          </w:tcPr>
          <w:p>
            <w:pPr>
              <w:ind w:left="180"/>
              <w:spacing w:after="0"/>
              <w:rPr>
                <w:sz w:val="20"/>
                <w:szCs w:val="20"/>
                <w:color w:val="auto"/>
              </w:rPr>
            </w:pPr>
            <w:r>
              <w:rPr>
                <w:rFonts w:ascii="Verdana" w:cs="Verdana" w:eastAsia="Verdana" w:hAnsi="Verdana"/>
                <w:sz w:val="18"/>
                <w:szCs w:val="18"/>
                <w:color w:val="auto"/>
              </w:rPr>
              <w:t>expenses</w:t>
            </w:r>
          </w:p>
        </w:tc>
        <w:tc>
          <w:tcPr>
            <w:tcW w:w="40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26,775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26,647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128</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0.5 %</w:t>
            </w:r>
          </w:p>
        </w:tc>
      </w:tr>
      <w:tr>
        <w:trPr>
          <w:trHeight w:val="277"/>
        </w:trPr>
        <w:tc>
          <w:tcPr>
            <w:tcW w:w="428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80" w:type="dxa"/>
            <w:vAlign w:val="bottom"/>
            <w:shd w:val="clear" w:color="auto" w:fill="E0E7ED"/>
          </w:tcPr>
          <w:p>
            <w:pPr>
              <w:spacing w:after="0"/>
              <w:rPr>
                <w:sz w:val="24"/>
                <w:szCs w:val="24"/>
                <w:color w:val="auto"/>
              </w:rPr>
            </w:pPr>
          </w:p>
        </w:tc>
      </w:tr>
      <w:tr>
        <w:trPr>
          <w:trHeight w:val="263"/>
        </w:trPr>
        <w:tc>
          <w:tcPr>
            <w:tcW w:w="4280" w:type="dxa"/>
            <w:vAlign w:val="bottom"/>
          </w:tcPr>
          <w:p>
            <w:pPr>
              <w:ind w:left="180"/>
              <w:spacing w:after="0"/>
              <w:rPr>
                <w:sz w:val="20"/>
                <w:szCs w:val="20"/>
                <w:color w:val="auto"/>
              </w:rPr>
            </w:pPr>
            <w:r>
              <w:rPr>
                <w:rFonts w:ascii="Verdana" w:cs="Verdana" w:eastAsia="Verdana" w:hAnsi="Verdana"/>
                <w:sz w:val="18"/>
                <w:szCs w:val="18"/>
                <w:color w:val="auto"/>
              </w:rPr>
              <w:t>Professional fees</w:t>
            </w:r>
          </w:p>
        </w:tc>
        <w:tc>
          <w:tcPr>
            <w:tcW w:w="400" w:type="dxa"/>
            <w:vAlign w:val="bottom"/>
          </w:tcPr>
          <w:p>
            <w:pPr>
              <w:spacing w:after="0"/>
              <w:rPr>
                <w:sz w:val="22"/>
                <w:szCs w:val="22"/>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6,125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7,549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(1,424)</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(18.9)%</w:t>
            </w:r>
          </w:p>
        </w:tc>
      </w:tr>
      <w:tr>
        <w:trPr>
          <w:trHeight w:val="277"/>
        </w:trPr>
        <w:tc>
          <w:tcPr>
            <w:tcW w:w="4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11,628</w:t>
            </w: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11,274</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354</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3.1 %</w:t>
            </w:r>
          </w:p>
        </w:tc>
      </w:tr>
      <w:tr>
        <w:trPr>
          <w:trHeight w:val="263"/>
        </w:trPr>
        <w:tc>
          <w:tcPr>
            <w:tcW w:w="4280" w:type="dxa"/>
            <w:vAlign w:val="bottom"/>
          </w:tcPr>
          <w:p>
            <w:pPr>
              <w:ind w:left="180"/>
              <w:spacing w:after="0"/>
              <w:rPr>
                <w:sz w:val="20"/>
                <w:szCs w:val="20"/>
                <w:color w:val="auto"/>
              </w:rPr>
            </w:pPr>
            <w:r>
              <w:rPr>
                <w:rFonts w:ascii="Verdana" w:cs="Verdana" w:eastAsia="Verdana" w:hAnsi="Verdana"/>
                <w:sz w:val="18"/>
                <w:szCs w:val="18"/>
                <w:color w:val="auto"/>
              </w:rPr>
              <w:t>Interchange expense</w:t>
            </w:r>
          </w:p>
        </w:tc>
        <w:tc>
          <w:tcPr>
            <w:tcW w:w="400" w:type="dxa"/>
            <w:vAlign w:val="bottom"/>
          </w:tcPr>
          <w:p>
            <w:pPr>
              <w:spacing w:after="0"/>
              <w:rPr>
                <w:sz w:val="22"/>
                <w:szCs w:val="22"/>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6,298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5,792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506</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8.7 %</w:t>
            </w:r>
          </w:p>
        </w:tc>
      </w:tr>
      <w:tr>
        <w:trPr>
          <w:trHeight w:val="277"/>
        </w:trPr>
        <w:tc>
          <w:tcPr>
            <w:tcW w:w="4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FDIC insurance</w:t>
            </w: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4,058</w:t>
            </w: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3,083</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975</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31.6 %</w:t>
            </w:r>
          </w:p>
        </w:tc>
      </w:tr>
      <w:tr>
        <w:trPr>
          <w:trHeight w:val="263"/>
        </w:trPr>
        <w:tc>
          <w:tcPr>
            <w:tcW w:w="42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expense</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48,333</w:t>
            </w:r>
          </w:p>
        </w:tc>
        <w:tc>
          <w:tcPr>
            <w:tcW w:w="100" w:type="dxa"/>
            <w:vAlign w:val="bottom"/>
            <w:tcBorders>
              <w:bottom w:val="single" w:sz="8" w:color="E0E7ED"/>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40,261</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8,072</w:t>
            </w:r>
          </w:p>
        </w:tc>
        <w:tc>
          <w:tcPr>
            <w:tcW w:w="176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20.0 %</w:t>
            </w:r>
          </w:p>
        </w:tc>
      </w:tr>
      <w:tr>
        <w:trPr>
          <w:trHeight w:val="295"/>
        </w:trPr>
        <w:tc>
          <w:tcPr>
            <w:tcW w:w="42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400" w:type="dxa"/>
            <w:vAlign w:val="bottom"/>
            <w:tcBorders>
              <w:bottom w:val="single" w:sz="8" w:color="auto"/>
            </w:tcBorders>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283,881</w:t>
            </w:r>
          </w:p>
        </w:tc>
        <w:tc>
          <w:tcPr>
            <w:tcW w:w="100" w:type="dxa"/>
            <w:vAlign w:val="bottom"/>
            <w:tcBorders>
              <w:bottom w:val="single" w:sz="8" w:color="E0E7ED"/>
            </w:tcBorders>
            <w:shd w:val="clear" w:color="auto" w:fill="E0E7ED"/>
          </w:tcPr>
          <w:p>
            <w:pPr>
              <w:spacing w:after="0"/>
              <w:rPr>
                <w:sz w:val="24"/>
                <w:szCs w:val="24"/>
                <w:color w:val="auto"/>
              </w:rPr>
            </w:pPr>
          </w:p>
        </w:tc>
        <w:tc>
          <w:tcPr>
            <w:tcW w:w="400" w:type="dxa"/>
            <w:vAlign w:val="bottom"/>
            <w:tcBorders>
              <w:bottom w:val="single" w:sz="8" w:color="auto"/>
            </w:tcBorders>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261,780</w:t>
            </w: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22,101</w:t>
            </w:r>
          </w:p>
        </w:tc>
        <w:tc>
          <w:tcPr>
            <w:tcW w:w="176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8.4 %</w:t>
            </w:r>
          </w:p>
        </w:tc>
      </w:tr>
      <w:tr>
        <w:trPr>
          <w:trHeight w:val="20"/>
        </w:trPr>
        <w:tc>
          <w:tcPr>
            <w:tcW w:w="428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80" w:type="dxa"/>
            <w:vAlign w:val="bottom"/>
            <w:tcBorders>
              <w:top w:val="single" w:sz="8" w:color="E0E7ED"/>
            </w:tcBorders>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70"/>
        </w:trPr>
        <w:tc>
          <w:tcPr>
            <w:tcW w:w="42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Income taxes</w:t>
            </w:r>
          </w:p>
        </w:tc>
        <w:tc>
          <w:tcPr>
            <w:tcW w:w="40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33,426</w:t>
            </w:r>
          </w:p>
        </w:tc>
        <w:tc>
          <w:tcPr>
            <w:tcW w:w="100" w:type="dxa"/>
            <w:vAlign w:val="bottom"/>
            <w:shd w:val="clear" w:color="auto" w:fill="E0E7ED"/>
          </w:tcPr>
          <w:p>
            <w:pPr>
              <w:spacing w:after="0"/>
              <w:rPr>
                <w:sz w:val="23"/>
                <w:szCs w:val="23"/>
                <w:color w:val="auto"/>
              </w:rPr>
            </w:pPr>
          </w:p>
        </w:tc>
        <w:tc>
          <w:tcPr>
            <w:tcW w:w="40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33,374</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52</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0.2 %</w:t>
            </w:r>
          </w:p>
        </w:tc>
      </w:tr>
      <w:tr>
        <w:trPr>
          <w:trHeight w:val="263"/>
        </w:trPr>
        <w:tc>
          <w:tcPr>
            <w:tcW w:w="4280" w:type="dxa"/>
            <w:vAlign w:val="bottom"/>
          </w:tcPr>
          <w:p>
            <w:pPr>
              <w:ind w:left="20"/>
              <w:spacing w:after="0"/>
              <w:rPr>
                <w:sz w:val="20"/>
                <w:szCs w:val="20"/>
                <w:color w:val="auto"/>
              </w:rPr>
            </w:pPr>
            <w:r>
              <w:rPr>
                <w:rFonts w:ascii="Verdana" w:cs="Verdana" w:eastAsia="Verdana" w:hAnsi="Verdana"/>
                <w:sz w:val="18"/>
                <w:szCs w:val="18"/>
                <w:color w:val="auto"/>
              </w:rPr>
              <w:t>Effective income tax rate</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20.7 %</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21.3 %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(60) bps</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428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80" w:type="dxa"/>
            <w:vAlign w:val="bottom"/>
            <w:shd w:val="clear" w:color="auto" w:fill="E0E7ED"/>
          </w:tcPr>
          <w:p>
            <w:pPr>
              <w:spacing w:after="0"/>
              <w:rPr>
                <w:sz w:val="24"/>
                <w:szCs w:val="24"/>
                <w:color w:val="auto"/>
              </w:rPr>
            </w:pPr>
          </w:p>
        </w:tc>
      </w:tr>
      <w:tr>
        <w:trPr>
          <w:trHeight w:val="270"/>
        </w:trPr>
        <w:tc>
          <w:tcPr>
            <w:tcW w:w="4280" w:type="dxa"/>
            <w:vAlign w:val="bottom"/>
          </w:tcPr>
          <w:p>
            <w:pPr>
              <w:ind w:left="20"/>
              <w:spacing w:after="0" w:line="270" w:lineRule="exact"/>
              <w:rPr>
                <w:sz w:val="20"/>
                <w:szCs w:val="20"/>
                <w:color w:val="auto"/>
              </w:rPr>
            </w:pPr>
            <w:r>
              <w:rPr>
                <w:rFonts w:ascii="Verdana" w:cs="Verdana" w:eastAsia="Verdana" w:hAnsi="Verdana"/>
                <w:sz w:val="18"/>
                <w:szCs w:val="18"/>
                <w:color w:val="auto"/>
              </w:rPr>
              <w:t>Efficiency ratio</w:t>
            </w:r>
            <w:r>
              <w:rPr>
                <w:rFonts w:ascii="Verdana" w:cs="Verdana" w:eastAsia="Verdana" w:hAnsi="Verdana"/>
                <w:sz w:val="23"/>
                <w:szCs w:val="23"/>
                <w:color w:val="auto"/>
                <w:vertAlign w:val="superscript"/>
              </w:rPr>
              <w:t>1</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59.9 %</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62.2 %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(230) bps</w:t>
            </w: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0"/>
        </w:trPr>
        <w:tc>
          <w:tcPr>
            <w:tcW w:w="4280" w:type="dxa"/>
            <w:vAlign w:val="bottom"/>
            <w:shd w:val="clear" w:color="auto" w:fill="E0E7ED"/>
          </w:tcPr>
          <w:p>
            <w:pPr>
              <w:ind w:left="20"/>
              <w:spacing w:after="0" w:line="270" w:lineRule="exact"/>
              <w:rPr>
                <w:sz w:val="20"/>
                <w:szCs w:val="20"/>
                <w:color w:val="auto"/>
              </w:rPr>
            </w:pPr>
            <w:r>
              <w:rPr>
                <w:rFonts w:ascii="Verdana" w:cs="Verdana" w:eastAsia="Verdana" w:hAnsi="Verdana"/>
                <w:sz w:val="18"/>
                <w:szCs w:val="18"/>
                <w:color w:val="auto"/>
              </w:rPr>
              <w:t>Adjusted efficiency ratio</w:t>
            </w:r>
            <w:r>
              <w:rPr>
                <w:rFonts w:ascii="Verdana" w:cs="Verdana" w:eastAsia="Verdana" w:hAnsi="Verdana"/>
                <w:sz w:val="23"/>
                <w:szCs w:val="23"/>
                <w:color w:val="auto"/>
                <w:vertAlign w:val="superscript"/>
              </w:rPr>
              <w:t>1</w:t>
            </w:r>
          </w:p>
        </w:tc>
        <w:tc>
          <w:tcPr>
            <w:tcW w:w="4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58.9 %</w:t>
            </w:r>
          </w:p>
        </w:tc>
        <w:tc>
          <w:tcPr>
            <w:tcW w:w="100" w:type="dxa"/>
            <w:vAlign w:val="bottom"/>
            <w:shd w:val="clear" w:color="auto" w:fill="E0E7ED"/>
          </w:tcPr>
          <w:p>
            <w:pPr>
              <w:spacing w:after="0"/>
              <w:rPr>
                <w:sz w:val="23"/>
                <w:szCs w:val="23"/>
                <w:color w:val="auto"/>
              </w:rPr>
            </w:pPr>
          </w:p>
        </w:tc>
        <w:tc>
          <w:tcPr>
            <w:tcW w:w="400" w:type="dxa"/>
            <w:vAlign w:val="bottom"/>
            <w:shd w:val="clear" w:color="auto" w:fill="E0E7ED"/>
          </w:tcPr>
          <w:p>
            <w:pPr>
              <w:spacing w:after="0"/>
              <w:rPr>
                <w:sz w:val="23"/>
                <w:szCs w:val="23"/>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57.9 %</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 bps</w:t>
            </w:r>
          </w:p>
        </w:tc>
        <w:tc>
          <w:tcPr>
            <w:tcW w:w="80" w:type="dxa"/>
            <w:vAlign w:val="bottom"/>
            <w:shd w:val="clear" w:color="auto" w:fill="E0E7ED"/>
          </w:tcPr>
          <w:p>
            <w:pPr>
              <w:spacing w:after="0"/>
              <w:rPr>
                <w:sz w:val="23"/>
                <w:szCs w:val="23"/>
                <w:color w:val="auto"/>
              </w:rPr>
            </w:pPr>
          </w:p>
        </w:tc>
        <w:tc>
          <w:tcPr>
            <w:tcW w:w="1680" w:type="dxa"/>
            <w:vAlign w:val="bottom"/>
            <w:shd w:val="clear" w:color="auto" w:fill="E0E7ED"/>
          </w:tcPr>
          <w:p>
            <w:pPr>
              <w:spacing w:after="0"/>
              <w:rPr>
                <w:sz w:val="23"/>
                <w:szCs w:val="23"/>
                <w:color w:val="auto"/>
              </w:rPr>
            </w:pPr>
          </w:p>
        </w:tc>
      </w:tr>
      <w:tr>
        <w:trPr>
          <w:trHeight w:val="270"/>
        </w:trPr>
        <w:tc>
          <w:tcPr>
            <w:tcW w:w="4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8"/>
        </w:trPr>
        <w:tc>
          <w:tcPr>
            <w:tcW w:w="42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Full-time equivalent associates as of period-</w:t>
            </w:r>
          </w:p>
        </w:tc>
        <w:tc>
          <w:tcPr>
            <w:tcW w:w="40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40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80" w:type="dxa"/>
            <w:vAlign w:val="bottom"/>
            <w:shd w:val="clear" w:color="auto" w:fill="E0E7ED"/>
          </w:tcPr>
          <w:p>
            <w:pPr>
              <w:spacing w:after="0"/>
              <w:rPr>
                <w:sz w:val="20"/>
                <w:szCs w:val="20"/>
                <w:color w:val="auto"/>
              </w:rPr>
            </w:pPr>
          </w:p>
        </w:tc>
      </w:tr>
      <w:tr>
        <w:trPr>
          <w:trHeight w:val="248"/>
        </w:trPr>
        <w:tc>
          <w:tcPr>
            <w:tcW w:w="42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end</w:t>
            </w:r>
          </w:p>
        </w:tc>
        <w:tc>
          <w:tcPr>
            <w:tcW w:w="400" w:type="dxa"/>
            <w:vAlign w:val="bottom"/>
            <w:shd w:val="clear" w:color="auto" w:fill="E0E7ED"/>
          </w:tcPr>
          <w:p>
            <w:pPr>
              <w:spacing w:after="0"/>
              <w:rPr>
                <w:sz w:val="21"/>
                <w:szCs w:val="21"/>
                <w:color w:val="auto"/>
              </w:rPr>
            </w:pP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1,497</w:t>
            </w:r>
          </w:p>
        </w:tc>
        <w:tc>
          <w:tcPr>
            <w:tcW w:w="100" w:type="dxa"/>
            <w:vAlign w:val="bottom"/>
            <w:shd w:val="clear" w:color="auto" w:fill="E0E7ED"/>
          </w:tcPr>
          <w:p>
            <w:pPr>
              <w:spacing w:after="0"/>
              <w:rPr>
                <w:sz w:val="21"/>
                <w:szCs w:val="21"/>
                <w:color w:val="auto"/>
              </w:rPr>
            </w:pPr>
          </w:p>
        </w:tc>
        <w:tc>
          <w:tcPr>
            <w:tcW w:w="400" w:type="dxa"/>
            <w:vAlign w:val="bottom"/>
            <w:shd w:val="clear" w:color="auto" w:fill="E0E7ED"/>
          </w:tcPr>
          <w:p>
            <w:pPr>
              <w:spacing w:after="0"/>
              <w:rPr>
                <w:sz w:val="21"/>
                <w:szCs w:val="21"/>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1,463</w:t>
            </w: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34</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2.3 %</w:t>
            </w: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ind w:left="500" w:right="20" w:hanging="330"/>
        <w:spacing w:after="0" w:line="237" w:lineRule="auto"/>
        <w:tabs>
          <w:tab w:leader="none" w:pos="491" w:val="left"/>
        </w:tabs>
        <w:numPr>
          <w:ilvl w:val="0"/>
          <w:numId w:val="36"/>
        </w:numPr>
        <w:rPr>
          <w:rFonts w:ascii="Verdana" w:cs="Verdana" w:eastAsia="Verdana" w:hAnsi="Verdana"/>
          <w:sz w:val="13"/>
          <w:szCs w:val="13"/>
          <w:color w:val="auto"/>
        </w:rPr>
      </w:pPr>
      <w:r>
        <w:rPr>
          <w:rFonts w:ascii="Verdana" w:cs="Verdana" w:eastAsia="Verdana" w:hAnsi="Verdana"/>
          <w:sz w:val="13"/>
          <w:szCs w:val="13"/>
          <w:color w:val="auto"/>
        </w:rPr>
        <w:t xml:space="preserve">The efficiency ratio and adjusted efficiency ratio are both non-GAAP financial measures. For a reconciliation of non-GAAP financial measure to the most directly comparable GAAP financial measures,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Item 1. Business—Non-GAAP Financial Information</w:t>
      </w:r>
      <w:r>
        <w:rPr>
          <w:rFonts w:ascii="Verdana" w:cs="Verdana" w:eastAsia="Verdana" w:hAnsi="Verdana"/>
          <w:sz w:val="13"/>
          <w:szCs w:val="13"/>
          <w:i w:val="1"/>
          <w:iCs w:val="1"/>
          <w:color w:val="auto"/>
        </w:rPr>
        <w:t>.”</w:t>
      </w:r>
    </w:p>
    <w:p>
      <w:pPr>
        <w:spacing w:after="0" w:line="16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Total noninterest expense increased to $285.5 million for the year ended December 31, 2023, compared to $283.9 million for the year ended December 31, 2022, representing a modest year-over-year increase of 0.6%. Non-operating acquisition and other restructuring expenses decreased to $4.3 million in 2023, compared to $4.5 million in 2022. We have effectively managed our noninterest expense during a time of decades-high inflation, and have been purposeful in our efforts to rationalize our expense base given our economic outlook and our view on the future of banking.</w:t>
      </w:r>
    </w:p>
    <w:p>
      <w:pPr>
        <w:spacing w:after="0" w:line="171"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Salaries, wages, and employee benefits increased to $162.6 million in 2023, compared to $159.0 million in 2022. Our total associate base consisted of 1,479 full-time equivalents as of December 31, 2023, compared to 1,497 at December 31, 2022. Non-operating costs contributed $0.8 million of the increase in salaries, wages, and employee benefits. Current trends continue to reflect a competitive labor market, maintaining pressure on costs related to attracting and maintaining our skilled workforce.</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Data processing expense increased to $23.7 million in 2023, compared to $21.6 million in 2022. Increases were primarily attributable to Company-wide investments in technology enhancements, as well as inflation-driven price increases.</w:t>
      </w:r>
    </w:p>
    <w:p>
      <w:pPr>
        <w:spacing w:after="0" w:line="19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6" w:name="page67"/>
    <w:bookmarkEnd w:id="6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Combined, net occupancy expense of premises and furniture and equipment expenses decreased to $25.0 million in 2023, compared to $26.8 million in 2022. Decreases were primarily attributable to declines in depreciation expense and real estate taxes.</w:t>
      </w:r>
    </w:p>
    <w:p>
      <w:pPr>
        <w:spacing w:after="0" w:line="15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Professional fees increased to $7.1 million in 2023, compared to $6.1 million in 2022. The increase was primarily attributable to higher expenses for audit and accounting fees and payroll services.</w:t>
      </w:r>
    </w:p>
    <w:p>
      <w:pPr>
        <w:spacing w:after="0" w:line="14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Amortization of intangible assets decreased to $10.4 million in 2023, compared to $11.6 million in 2022, due to the continued use of an accelerated amortization methodology.</w:t>
      </w:r>
    </w:p>
    <w:p>
      <w:pPr>
        <w:spacing w:after="0" w:line="15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Interchange expense increased to $6.9 million in 2023, compared to $6.3 million in 2022. Fluctuations in interchange expense were primarily the result of increased payment and volume activity at FirsTech.</w:t>
      </w:r>
    </w:p>
    <w:p>
      <w:pPr>
        <w:spacing w:after="0" w:line="14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FDIC insurance expense increased to $5.7 million in 2023, compared to $4.1 million in 2022. Increases were the result of an FDIC final rule to increase the initial base deposit insurance assessment rate applicable to all depository institutions by two basis points beginning in 2023.</w:t>
      </w:r>
    </w:p>
    <w:p>
      <w:pPr>
        <w:spacing w:after="0" w:line="15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Other expense decreased to $44.2 million in 2023, compared to $48.3 million in 2022. Primary contributors to other expense include business development, collection and preservation, OREO, fixed asset impairments, provision for unfunded commitments, and NMTC impairments. Decreases were across multiple expense categories as a result of expense discipline.</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Efficiency Ratio</w:t>
      </w:r>
      <w:r>
        <w:rPr>
          <w:rFonts w:ascii="Verdana" w:cs="Verdana" w:eastAsia="Verdana" w:hAnsi="Verdana"/>
          <w:sz w:val="23"/>
          <w:szCs w:val="23"/>
          <w:b w:val="1"/>
          <w:bCs w:val="1"/>
          <w:i w:val="1"/>
          <w:iCs w:val="1"/>
          <w:color w:val="auto"/>
          <w:vertAlign w:val="superscript"/>
        </w:rPr>
        <w:t>3</w:t>
      </w:r>
    </w:p>
    <w:p>
      <w:pPr>
        <w:spacing w:after="0" w:line="116" w:lineRule="exact"/>
        <w:rPr>
          <w:sz w:val="20"/>
          <w:szCs w:val="20"/>
          <w:color w:val="auto"/>
        </w:rPr>
      </w:pPr>
    </w:p>
    <w:p>
      <w:pPr>
        <w:jc w:val="both"/>
        <w:spacing w:after="0" w:line="230" w:lineRule="auto"/>
        <w:rPr>
          <w:sz w:val="20"/>
          <w:szCs w:val="20"/>
          <w:color w:val="auto"/>
        </w:rPr>
      </w:pPr>
      <w:r>
        <w:rPr>
          <w:rFonts w:ascii="Verdana" w:cs="Verdana" w:eastAsia="Verdana" w:hAnsi="Verdana"/>
          <w:sz w:val="18"/>
          <w:szCs w:val="18"/>
          <w:color w:val="auto"/>
        </w:rPr>
        <w:t>The efficiency ratio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Our efficiency ratio was 61.7% for the year ended December 31, 2023, compared to 59.9% for the year ended December 31, 2022. Operating costs have been influenced by acquisition expenses and other restructuring costs, and the adjusted efficiency ratio</w:t>
      </w:r>
      <w:r>
        <w:rPr>
          <w:rFonts w:ascii="Verdana" w:cs="Verdana" w:eastAsia="Verdana" w:hAnsi="Verdana"/>
          <w:sz w:val="23"/>
          <w:szCs w:val="23"/>
          <w:color w:val="auto"/>
          <w:vertAlign w:val="superscript"/>
        </w:rPr>
        <w:t>3</w:t>
      </w:r>
      <w:r>
        <w:rPr>
          <w:rFonts w:ascii="Verdana" w:cs="Verdana" w:eastAsia="Verdana" w:hAnsi="Verdana"/>
          <w:sz w:val="18"/>
          <w:szCs w:val="18"/>
          <w:color w:val="auto"/>
        </w:rPr>
        <w:t xml:space="preserve"> was 60.7% for the year ended December 31, 2023, compared to 58.9% for the year ended December 31, 2022.</w:t>
      </w:r>
    </w:p>
    <w:p>
      <w:pPr>
        <w:spacing w:after="0" w:line="162"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Income Taxes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Effective income tax rates, calculated by dividing income taxes by income before taxes, were 20.4%, 20.7%, and 21.3% for the years ended December 31, 2023, 2022, and 2021, respectively. Busey's effective tax rates were lower than the combined federal and state statutory rate of approximately 28.0% due to tax exempt interest income, such as municipal bond interest and bank owned life insurance income, and investments in various tax credits. We continue to monitor evolving federal and state tax legislation and its potential impact on operations on an ongoing basis. As of December 31, 2023, we were not under income tax examination by any income tax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96" w:lineRule="exact"/>
        <w:rPr>
          <w:sz w:val="20"/>
          <w:szCs w:val="20"/>
          <w:color w:val="auto"/>
        </w:rPr>
      </w:pPr>
    </w:p>
    <w:p>
      <w:pPr>
        <w:ind w:firstLine="8"/>
        <w:spacing w:after="0" w:line="189" w:lineRule="auto"/>
        <w:tabs>
          <w:tab w:leader="none" w:pos="137" w:val="left"/>
        </w:tabs>
        <w:numPr>
          <w:ilvl w:val="0"/>
          <w:numId w:val="37"/>
        </w:numPr>
        <w:rPr>
          <w:rFonts w:ascii="Verdana" w:cs="Verdana" w:eastAsia="Verdana" w:hAnsi="Verdana"/>
          <w:sz w:val="22"/>
          <w:szCs w:val="22"/>
          <w:color w:val="auto"/>
          <w:vertAlign w:val="superscript"/>
        </w:rPr>
      </w:pPr>
      <w:r>
        <w:rPr>
          <w:rFonts w:ascii="Verdana" w:cs="Verdana" w:eastAsia="Verdana" w:hAnsi="Verdana"/>
          <w:sz w:val="12"/>
          <w:szCs w:val="12"/>
          <w:color w:val="auto"/>
        </w:rPr>
        <w:t xml:space="preserve">The efficiency ratio and adjusted efficiency ratio are both non-GAAP financial measures. For a reconciliation of non-GAAP financial measures to the most directly comparable GAAP financial measures, see </w:t>
      </w:r>
      <w:r>
        <w:rPr>
          <w:rFonts w:ascii="Verdana" w:cs="Verdana" w:eastAsia="Verdana" w:hAnsi="Verdana"/>
          <w:sz w:val="12"/>
          <w:szCs w:val="12"/>
          <w:i w:val="1"/>
          <w:iCs w:val="1"/>
          <w:color w:val="auto"/>
        </w:rPr>
        <w:t>“</w:t>
      </w:r>
      <w:r>
        <w:rPr>
          <w:rFonts w:ascii="Verdana" w:cs="Verdana" w:eastAsia="Verdana" w:hAnsi="Verdana"/>
          <w:sz w:val="12"/>
          <w:szCs w:val="12"/>
          <w:i w:val="1"/>
          <w:iCs w:val="1"/>
          <w:u w:val="single" w:color="auto"/>
          <w:color w:val="0000FF"/>
        </w:rPr>
        <w:t>Item 1. Business—Non-GAAP Financial Information.</w:t>
      </w:r>
      <w:r>
        <w:rPr>
          <w:rFonts w:ascii="Verdana" w:cs="Verdana" w:eastAsia="Verdana" w:hAnsi="Verdana"/>
          <w:sz w:val="12"/>
          <w:szCs w:val="12"/>
          <w:i w:val="1"/>
          <w:iCs w:val="1"/>
          <w:color w:val="auto"/>
        </w:rPr>
        <w:t>”</w:t>
      </w:r>
    </w:p>
    <w:p>
      <w:pPr>
        <w:spacing w:after="0" w:line="21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7" w:name="page68"/>
    <w:bookmarkEnd w:id="6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FINANCIAL CONDITION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Balance Sheet</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Changes in significant items included in our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xml:space="preserve"> are summarized in the table below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gridSpan w:val="5"/>
          </w:tcPr>
          <w:p>
            <w:pPr>
              <w:ind w:left="660"/>
              <w:spacing w:after="0"/>
              <w:rPr>
                <w:sz w:val="20"/>
                <w:szCs w:val="20"/>
                <w:color w:val="auto"/>
              </w:rPr>
            </w:pPr>
            <w:r>
              <w:rPr>
                <w:rFonts w:ascii="Verdana" w:cs="Verdana" w:eastAsia="Verdana" w:hAnsi="Verdana"/>
                <w:sz w:val="13"/>
                <w:szCs w:val="13"/>
                <w:b w:val="1"/>
                <w:bCs w:val="1"/>
                <w:color w:val="auto"/>
              </w:rPr>
              <w:t>As of December 31,</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0"/>
        </w:trPr>
        <w:tc>
          <w:tcPr>
            <w:tcW w:w="4440" w:type="dxa"/>
            <w:vAlign w:val="bottom"/>
            <w:tcBorders>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top w:val="single" w:sz="8" w:color="auto"/>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12"/>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Borders>
              <w:bottom w:val="single" w:sz="8" w:color="E0E7ED"/>
            </w:tcBorders>
          </w:tcPr>
          <w:p>
            <w:pPr>
              <w:spacing w:after="0"/>
              <w:rPr>
                <w:sz w:val="14"/>
                <w:szCs w:val="14"/>
                <w:color w:val="auto"/>
              </w:rPr>
            </w:pPr>
          </w:p>
        </w:tc>
        <w:tc>
          <w:tcPr>
            <w:tcW w:w="1720" w:type="dxa"/>
            <w:vAlign w:val="bottom"/>
            <w:tcBorders>
              <w:bottom w:val="single" w:sz="8" w:color="auto"/>
            </w:tcBorders>
          </w:tcPr>
          <w:p>
            <w:pPr>
              <w:jc w:val="right"/>
              <w:ind w:right="43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3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720" w:type="dxa"/>
            <w:vAlign w:val="bottom"/>
            <w:shd w:val="clear" w:color="auto" w:fill="E0E7ED"/>
          </w:tcPr>
          <w:p>
            <w:pPr>
              <w:spacing w:after="0"/>
              <w:rPr>
                <w:sz w:val="22"/>
                <w:szCs w:val="22"/>
                <w:color w:val="auto"/>
              </w:rPr>
            </w:pPr>
          </w:p>
        </w:tc>
      </w:tr>
      <w:tr>
        <w:trPr>
          <w:trHeight w:val="263"/>
        </w:trPr>
        <w:tc>
          <w:tcPr>
            <w:tcW w:w="4440" w:type="dxa"/>
            <w:vAlign w:val="bottom"/>
          </w:tcPr>
          <w:p>
            <w:pPr>
              <w:ind w:left="180"/>
              <w:spacing w:after="0"/>
              <w:rPr>
                <w:sz w:val="20"/>
                <w:szCs w:val="20"/>
                <w:color w:val="auto"/>
              </w:rPr>
            </w:pPr>
            <w:r>
              <w:rPr>
                <w:rFonts w:ascii="Verdana" w:cs="Verdana" w:eastAsia="Verdana" w:hAnsi="Verdana"/>
                <w:sz w:val="18"/>
                <w:szCs w:val="18"/>
                <w:color w:val="auto"/>
              </w:rPr>
              <w:t>Debt securities available for sale</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2,087,571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2,461,393</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(373,822)</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(15.2)%</w:t>
            </w: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Debt securities held to maturity</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872,628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918,312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(45,684)</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(5.0)%</w:t>
            </w:r>
          </w:p>
        </w:tc>
      </w:tr>
      <w:tr>
        <w:trPr>
          <w:trHeight w:val="263"/>
        </w:trPr>
        <w:tc>
          <w:tcPr>
            <w:tcW w:w="4440" w:type="dxa"/>
            <w:vAlign w:val="bottom"/>
          </w:tcPr>
          <w:p>
            <w:pPr>
              <w:ind w:left="180"/>
              <w:spacing w:after="0"/>
              <w:rPr>
                <w:sz w:val="20"/>
                <w:szCs w:val="20"/>
                <w:color w:val="auto"/>
              </w:rPr>
            </w:pPr>
            <w:r>
              <w:rPr>
                <w:rFonts w:ascii="Verdana" w:cs="Verdana" w:eastAsia="Verdana" w:hAnsi="Verdana"/>
                <w:sz w:val="18"/>
                <w:szCs w:val="18"/>
                <w:color w:val="auto"/>
              </w:rPr>
              <w:t>Portfolio loans, net of ACL</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7,559,294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7,634,094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(74,800)</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(1.0)%</w:t>
            </w:r>
          </w:p>
        </w:tc>
      </w:tr>
      <w:tr>
        <w:trPr>
          <w:trHeight w:val="277"/>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assets</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12,283,415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12,336,677</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(53,262)</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(0.4)%</w:t>
            </w:r>
          </w:p>
        </w:tc>
      </w:tr>
      <w:tr>
        <w:trPr>
          <w:trHeight w:val="270"/>
        </w:trPr>
        <w:tc>
          <w:tcPr>
            <w:tcW w:w="4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Liabilities</w:t>
            </w: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720" w:type="dxa"/>
            <w:vAlign w:val="bottom"/>
            <w:shd w:val="clear" w:color="auto" w:fill="E0E7ED"/>
          </w:tcPr>
          <w:p>
            <w:pPr>
              <w:spacing w:after="0"/>
              <w:rPr>
                <w:sz w:val="23"/>
                <w:szCs w:val="23"/>
                <w:color w:val="auto"/>
              </w:rPr>
            </w:pPr>
          </w:p>
        </w:tc>
      </w:tr>
      <w:tr>
        <w:trPr>
          <w:trHeight w:val="263"/>
        </w:trPr>
        <w:tc>
          <w:tcPr>
            <w:tcW w:w="4440" w:type="dxa"/>
            <w:vAlign w:val="bottom"/>
          </w:tcPr>
          <w:p>
            <w:pPr>
              <w:ind w:left="180"/>
              <w:spacing w:after="0"/>
              <w:rPr>
                <w:sz w:val="20"/>
                <w:szCs w:val="20"/>
                <w:color w:val="auto"/>
              </w:rPr>
            </w:pPr>
            <w:r>
              <w:rPr>
                <w:rFonts w:ascii="Verdana" w:cs="Verdana" w:eastAsia="Verdana" w:hAnsi="Verdana"/>
                <w:sz w:val="18"/>
                <w:szCs w:val="18"/>
                <w:color w:val="auto"/>
              </w:rPr>
              <w:t>Deposits: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7"/>
        </w:trPr>
        <w:tc>
          <w:tcPr>
            <w:tcW w:w="4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Noninterest-bearing</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2,834,655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3,393,666</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(559,011)</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(16.5)%</w:t>
            </w:r>
          </w:p>
        </w:tc>
      </w:tr>
      <w:tr>
        <w:trPr>
          <w:trHeight w:val="263"/>
        </w:trPr>
        <w:tc>
          <w:tcPr>
            <w:tcW w:w="444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Interest-bearing</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7,456,501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6,677,614</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778,887</w:t>
            </w:r>
          </w:p>
        </w:tc>
        <w:tc>
          <w:tcPr>
            <w:tcW w:w="18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11.7 %</w:t>
            </w:r>
          </w:p>
        </w:tc>
      </w:tr>
      <w:tr>
        <w:trPr>
          <w:trHeight w:val="270"/>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deposits</w:t>
            </w: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10,291,156</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10,071,280</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219,876</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2.2 %</w:t>
            </w:r>
          </w:p>
        </w:tc>
      </w:tr>
      <w:tr>
        <w:trPr>
          <w:trHeight w:val="238"/>
        </w:trPr>
        <w:tc>
          <w:tcPr>
            <w:tcW w:w="4440" w:type="dxa"/>
            <w:vAlign w:val="bottom"/>
          </w:tcPr>
          <w:p>
            <w:pPr>
              <w:ind w:left="180"/>
              <w:spacing w:after="0"/>
              <w:rPr>
                <w:sz w:val="20"/>
                <w:szCs w:val="20"/>
                <w:color w:val="auto"/>
              </w:rPr>
            </w:pPr>
            <w:r>
              <w:rPr>
                <w:rFonts w:ascii="Verdana" w:cs="Verdana" w:eastAsia="Verdana" w:hAnsi="Verdana"/>
                <w:sz w:val="18"/>
                <w:szCs w:val="18"/>
                <w:color w:val="auto"/>
              </w:rPr>
              <w:t>Securities sold under agreements to</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2"/>
        </w:trPr>
        <w:tc>
          <w:tcPr>
            <w:tcW w:w="4440" w:type="dxa"/>
            <w:vAlign w:val="bottom"/>
          </w:tcPr>
          <w:p>
            <w:pPr>
              <w:ind w:left="180"/>
              <w:spacing w:after="0"/>
              <w:rPr>
                <w:sz w:val="20"/>
                <w:szCs w:val="20"/>
                <w:color w:val="auto"/>
              </w:rPr>
            </w:pPr>
            <w:r>
              <w:rPr>
                <w:rFonts w:ascii="Verdana" w:cs="Verdana" w:eastAsia="Verdana" w:hAnsi="Verdana"/>
                <w:sz w:val="18"/>
                <w:szCs w:val="18"/>
                <w:color w:val="auto"/>
              </w:rPr>
              <w:t>repurchase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187,396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229,806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(42,410)</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(18.5)%</w:t>
            </w: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Short-term borrowings</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12,000</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351,054</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(339,054)</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(96.6)%</w:t>
            </w:r>
          </w:p>
        </w:tc>
      </w:tr>
      <w:tr>
        <w:trPr>
          <w:trHeight w:val="238"/>
        </w:trPr>
        <w:tc>
          <w:tcPr>
            <w:tcW w:w="4440" w:type="dxa"/>
            <w:vAlign w:val="bottom"/>
          </w:tcPr>
          <w:p>
            <w:pPr>
              <w:ind w:left="180"/>
              <w:spacing w:after="0"/>
              <w:rPr>
                <w:sz w:val="20"/>
                <w:szCs w:val="20"/>
                <w:color w:val="auto"/>
              </w:rPr>
            </w:pPr>
            <w:r>
              <w:rPr>
                <w:rFonts w:ascii="Verdana" w:cs="Verdana" w:eastAsia="Verdana" w:hAnsi="Verdana"/>
                <w:sz w:val="18"/>
                <w:szCs w:val="18"/>
                <w:color w:val="auto"/>
              </w:rPr>
              <w:t>Subordinated notes, net of unamortized</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2"/>
        </w:trPr>
        <w:tc>
          <w:tcPr>
            <w:tcW w:w="4440" w:type="dxa"/>
            <w:vAlign w:val="bottom"/>
          </w:tcPr>
          <w:p>
            <w:pPr>
              <w:ind w:left="180"/>
              <w:spacing w:after="0"/>
              <w:rPr>
                <w:sz w:val="20"/>
                <w:szCs w:val="20"/>
                <w:color w:val="auto"/>
              </w:rPr>
            </w:pPr>
            <w:r>
              <w:rPr>
                <w:rFonts w:ascii="Verdana" w:cs="Verdana" w:eastAsia="Verdana" w:hAnsi="Verdana"/>
                <w:sz w:val="18"/>
                <w:szCs w:val="18"/>
                <w:color w:val="auto"/>
              </w:rPr>
              <w:t>issuance costs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222,882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222,038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844</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0.4 %</w:t>
            </w:r>
          </w:p>
        </w:tc>
      </w:tr>
      <w:tr>
        <w:trPr>
          <w:trHeight w:val="277"/>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liabilities</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11,011,434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11,190,700</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(179,266)</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(1.6)%</w:t>
            </w:r>
          </w:p>
        </w:tc>
      </w:tr>
      <w:tr>
        <w:trPr>
          <w:trHeight w:val="270"/>
        </w:trPr>
        <w:tc>
          <w:tcPr>
            <w:tcW w:w="4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Stockholders’ equity</w:t>
            </w: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1,271,981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1,145,977</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126,004</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11.0 %</w:t>
            </w: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Busey executed a two-part balance sheet repositioning strategy</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During the fourth quarter of 2023, Busey sold all 16,878 shares of Visa Class B common stock it previously held (the “Visa Sale”) resulting in a pre-tax gain of approximately $5.5 million, and also executed a balance sheet repositioning of its available-for-sale securities portfolio (the “Repositioning”). Busey sold securities with a carrying value of approximately $110 million yielding 1.56%, resulting in a pre-tax loss of $5.3 million. Proceeds were deposited into an interest-bearing account at the Federal Reserve yielding 5.40%, a higher-yielding lower risk-weighted asset.</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increased net interest spread as a result of the Visa Sale and Repositioning is expected to increase net interest income by approximately $4.3 million on an annualized basis and improve Busey’s net interest margin run rate by 4 basis points. In addition, execution of these transactions further bolsters Busey’s liquidity position and balance sheet flexibility, while also strengthening its capital position. Busey anticipates reinvesting the proceeds into higher yielding organic growth opportunities over time.</w:t>
      </w:r>
    </w:p>
    <w:p>
      <w:pPr>
        <w:spacing w:after="0" w:line="17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combined impact of the gain generated from the Visa Sale and the loss generated from the Repositioning will have an immediate positive impact on consolidated stockholders’ equity and book value per share. Risk-based regulatory capital ratios will increase modestly as a result of the Repositioning proceeds rotating into lower risk-weighted assets. Busey expects the above transactions to be accretive to capital and earnings per share in future periods.</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8" w:name="page69"/>
    <w:bookmarkEnd w:id="6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Investment Securities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primary purposes of our investment securities portfolio are to provide a source of earnings by deploying funds that are not needed to fulfill loan demand, deposit redemptions, or other liquidity purposes; to serve as a tool for interest rate risk positioning; and to provide collateral for pledging purposes against public deposits and repurchase agreements, all while providing a source of liquidity.</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We consider many factors in determining the composition of our investment portfolio including, but not limited to, credit quality, duration, interest rate risk, liquidity, tax-equivalent yield, regulatory considerations, and overall portfolio allocation. As of December 31, 2023, we did not hold general obligation bonds of any single issuer, the aggregate of which exceeded 10% of the Company’s stockholders’ equity.</w:t>
      </w:r>
    </w:p>
    <w:p>
      <w:pPr>
        <w:spacing w:after="0" w:line="17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Pledged securities totaled $837.4 million, or 28.3% of total debt securities, as of December 31, 2023, and $746.7 million, or 22.1% of total debt securities, as of December 31, 2022.</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Debt Securities Available for Sale</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Debt securities available for sale are carried at fair value. Net unrealized gains or losses, net of tax, are recorded in stockholders’ equity, through AOCI. As of December 31, 2023, the fair value of debt securities available for sale was $2.1 billion, and the amortized cost was $2.3 billion. There were $0.2 million of gross unrealized gains and $247.2 million of gross unrealized losses, resulting in a net unrealized loss of $247.1 million.</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composition of debt securities available for sale was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1052"/>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5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32"/>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360" w:type="dxa"/>
            <w:vAlign w:val="bottom"/>
            <w:shd w:val="clear" w:color="auto" w:fill="E0E7ED"/>
          </w:tcPr>
          <w:p>
            <w:pPr>
              <w:spacing w:after="0"/>
              <w:rPr>
                <w:sz w:val="22"/>
                <w:szCs w:val="22"/>
                <w:color w:val="auto"/>
              </w:rPr>
            </w:pPr>
          </w:p>
        </w:tc>
        <w:tc>
          <w:tcPr>
            <w:tcW w:w="14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440" w:type="dxa"/>
            <w:vAlign w:val="bottom"/>
            <w:shd w:val="clear" w:color="auto" w:fill="E0E7ED"/>
          </w:tcPr>
          <w:p>
            <w:pPr>
              <w:spacing w:after="0"/>
              <w:rPr>
                <w:sz w:val="22"/>
                <w:szCs w:val="22"/>
                <w:color w:val="auto"/>
              </w:rPr>
            </w:pPr>
          </w:p>
        </w:tc>
      </w:tr>
      <w:tr>
        <w:trPr>
          <w:trHeight w:val="263"/>
        </w:trPr>
        <w:tc>
          <w:tcPr>
            <w:tcW w:w="75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5"/>
              <w:spacing w:after="0"/>
              <w:rPr>
                <w:sz w:val="20"/>
                <w:szCs w:val="20"/>
                <w:color w:val="auto"/>
              </w:rPr>
            </w:pPr>
            <w:r>
              <w:rPr>
                <w:rFonts w:ascii="Verdana" w:cs="Verdana" w:eastAsia="Verdana" w:hAnsi="Verdana"/>
                <w:sz w:val="18"/>
                <w:szCs w:val="18"/>
                <w:color w:val="auto"/>
              </w:rPr>
              <w:t>15,946</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2"/>
              <w:spacing w:after="0"/>
              <w:rPr>
                <w:sz w:val="20"/>
                <w:szCs w:val="20"/>
                <w:color w:val="auto"/>
              </w:rPr>
            </w:pPr>
            <w:r>
              <w:rPr>
                <w:rFonts w:ascii="Verdana" w:cs="Verdana" w:eastAsia="Verdana" w:hAnsi="Verdana"/>
                <w:sz w:val="18"/>
                <w:szCs w:val="18"/>
                <w:color w:val="auto"/>
              </w:rPr>
              <w:t>114,061</w:t>
            </w:r>
          </w:p>
        </w:tc>
      </w:tr>
      <w:tr>
        <w:trPr>
          <w:trHeight w:val="277"/>
        </w:trPr>
        <w:tc>
          <w:tcPr>
            <w:tcW w:w="7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 agencies</w:t>
            </w:r>
          </w:p>
        </w:tc>
        <w:tc>
          <w:tcPr>
            <w:tcW w:w="36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5,832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19,779</w:t>
            </w:r>
          </w:p>
        </w:tc>
      </w:tr>
      <w:tr>
        <w:trPr>
          <w:trHeight w:val="263"/>
        </w:trPr>
        <w:tc>
          <w:tcPr>
            <w:tcW w:w="75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36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Verdana" w:cs="Verdana" w:eastAsia="Verdana" w:hAnsi="Verdana"/>
                <w:sz w:val="18"/>
                <w:szCs w:val="18"/>
                <w:color w:val="auto"/>
              </w:rPr>
              <w:t>172,845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192"/>
              <w:spacing w:after="0"/>
              <w:rPr>
                <w:sz w:val="20"/>
                <w:szCs w:val="20"/>
                <w:color w:val="auto"/>
              </w:rPr>
            </w:pPr>
            <w:r>
              <w:rPr>
                <w:rFonts w:ascii="Verdana" w:cs="Verdana" w:eastAsia="Verdana" w:hAnsi="Verdana"/>
                <w:sz w:val="18"/>
                <w:szCs w:val="18"/>
                <w:color w:val="auto"/>
              </w:rPr>
              <w:t>257,512</w:t>
            </w:r>
          </w:p>
        </w:tc>
      </w:tr>
      <w:tr>
        <w:trPr>
          <w:trHeight w:val="277"/>
        </w:trPr>
        <w:tc>
          <w:tcPr>
            <w:tcW w:w="7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36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468,223</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469,875</w:t>
            </w:r>
          </w:p>
        </w:tc>
      </w:tr>
      <w:tr>
        <w:trPr>
          <w:trHeight w:val="263"/>
        </w:trPr>
        <w:tc>
          <w:tcPr>
            <w:tcW w:w="75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36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Verdana" w:cs="Verdana" w:eastAsia="Verdana" w:hAnsi="Verdana"/>
                <w:sz w:val="18"/>
                <w:szCs w:val="18"/>
                <w:color w:val="auto"/>
              </w:rPr>
              <w:t>103,509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right"/>
              <w:ind w:right="192"/>
              <w:spacing w:after="0"/>
              <w:rPr>
                <w:sz w:val="20"/>
                <w:szCs w:val="20"/>
                <w:color w:val="auto"/>
              </w:rPr>
            </w:pPr>
            <w:r>
              <w:rPr>
                <w:rFonts w:ascii="Verdana" w:cs="Verdana" w:eastAsia="Verdana" w:hAnsi="Verdana"/>
                <w:sz w:val="18"/>
                <w:szCs w:val="18"/>
                <w:color w:val="auto"/>
              </w:rPr>
              <w:t>108,394</w:t>
            </w:r>
          </w:p>
        </w:tc>
      </w:tr>
      <w:tr>
        <w:trPr>
          <w:trHeight w:val="277"/>
        </w:trPr>
        <w:tc>
          <w:tcPr>
            <w:tcW w:w="7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36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1,111,312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1,243,256</w:t>
            </w:r>
          </w:p>
        </w:tc>
      </w:tr>
      <w:tr>
        <w:trPr>
          <w:trHeight w:val="263"/>
        </w:trPr>
        <w:tc>
          <w:tcPr>
            <w:tcW w:w="75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209,904</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248,516</w:t>
            </w:r>
          </w:p>
        </w:tc>
      </w:tr>
      <w:tr>
        <w:trPr>
          <w:trHeight w:val="295"/>
        </w:trPr>
        <w:tc>
          <w:tcPr>
            <w:tcW w:w="75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 fair value</w:t>
            </w: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42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2,087,571</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4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2,461,393</w:t>
            </w:r>
          </w:p>
        </w:tc>
      </w:tr>
      <w:tr>
        <w:trPr>
          <w:trHeight w:val="20"/>
        </w:trPr>
        <w:tc>
          <w:tcPr>
            <w:tcW w:w="75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4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7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95"/>
        </w:trPr>
        <w:tc>
          <w:tcPr>
            <w:tcW w:w="75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 amortized cost</w:t>
            </w: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42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2,334,630</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4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2,772,453</w:t>
            </w:r>
          </w:p>
        </w:tc>
      </w:tr>
      <w:tr>
        <w:trPr>
          <w:trHeight w:val="20"/>
        </w:trPr>
        <w:tc>
          <w:tcPr>
            <w:tcW w:w="75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4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r>
      <w:tr>
        <w:trPr>
          <w:trHeight w:val="231"/>
        </w:trPr>
        <w:tc>
          <w:tcPr>
            <w:tcW w:w="7580" w:type="dxa"/>
            <w:vAlign w:val="bottom"/>
          </w:tcPr>
          <w:p>
            <w:pPr>
              <w:ind w:left="20"/>
              <w:spacing w:after="0"/>
              <w:rPr>
                <w:sz w:val="20"/>
                <w:szCs w:val="20"/>
                <w:color w:val="auto"/>
              </w:rPr>
            </w:pPr>
            <w:r>
              <w:rPr>
                <w:rFonts w:ascii="Verdana" w:cs="Verdana" w:eastAsia="Verdana" w:hAnsi="Verdana"/>
                <w:sz w:val="18"/>
                <w:szCs w:val="18"/>
                <w:color w:val="auto"/>
              </w:rPr>
              <w:t>Fair value as a percentage of amortized cost</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89.42 %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88.78 %</w:t>
            </w:r>
          </w:p>
        </w:tc>
      </w:tr>
    </w:tbl>
    <w:p>
      <w:pPr>
        <w:spacing w:after="0" w:line="33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9" w:name="page70"/>
    <w:bookmarkEnd w:id="6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By maturity date, fair values and weighted average yields of debt securities available for sale as of December 31, 2023, are presented in the following table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5"/>
            <w:vMerge w:val="restart"/>
          </w:tcPr>
          <w:p>
            <w:pPr>
              <w:jc w:val="right"/>
              <w:ind w:right="580"/>
              <w:spacing w:after="0"/>
              <w:rPr>
                <w:sz w:val="20"/>
                <w:szCs w:val="20"/>
                <w:color w:val="auto"/>
              </w:rPr>
            </w:pPr>
            <w:r>
              <w:rPr>
                <w:rFonts w:ascii="Verdana" w:cs="Verdana" w:eastAsia="Verdana" w:hAnsi="Verdana"/>
                <w:sz w:val="13"/>
                <w:szCs w:val="13"/>
                <w:b w:val="1"/>
                <w:bCs w:val="1"/>
                <w:color w:val="auto"/>
              </w:rPr>
              <w:t>Due in 1 year or less</w:t>
            </w:r>
          </w:p>
        </w:tc>
        <w:tc>
          <w:tcPr>
            <w:tcW w:w="2200" w:type="dxa"/>
            <w:vAlign w:val="bottom"/>
            <w:gridSpan w:val="5"/>
          </w:tcPr>
          <w:p>
            <w:pPr>
              <w:jc w:val="right"/>
              <w:ind w:right="760"/>
              <w:spacing w:after="0"/>
              <w:rPr>
                <w:sz w:val="20"/>
                <w:szCs w:val="20"/>
                <w:color w:val="auto"/>
              </w:rPr>
            </w:pPr>
            <w:r>
              <w:rPr>
                <w:rFonts w:ascii="Verdana" w:cs="Verdana" w:eastAsia="Verdana" w:hAnsi="Verdana"/>
                <w:sz w:val="13"/>
                <w:szCs w:val="13"/>
                <w:b w:val="1"/>
                <w:bCs w:val="1"/>
                <w:color w:val="auto"/>
              </w:rPr>
              <w:t>Due after 1 year</w:t>
            </w:r>
          </w:p>
        </w:tc>
        <w:tc>
          <w:tcPr>
            <w:tcW w:w="2140" w:type="dxa"/>
            <w:vAlign w:val="bottom"/>
            <w:gridSpan w:val="5"/>
          </w:tcPr>
          <w:p>
            <w:pPr>
              <w:jc w:val="right"/>
              <w:ind w:right="660"/>
              <w:spacing w:after="0"/>
              <w:rPr>
                <w:sz w:val="20"/>
                <w:szCs w:val="20"/>
                <w:color w:val="auto"/>
              </w:rPr>
            </w:pPr>
            <w:r>
              <w:rPr>
                <w:rFonts w:ascii="Verdana" w:cs="Verdana" w:eastAsia="Verdana" w:hAnsi="Verdana"/>
                <w:sz w:val="13"/>
                <w:szCs w:val="13"/>
                <w:b w:val="1"/>
                <w:bCs w:val="1"/>
                <w:color w:val="auto"/>
              </w:rPr>
              <w:t>Due after 5 years</w:t>
            </w:r>
          </w:p>
        </w:tc>
        <w:tc>
          <w:tcPr>
            <w:tcW w:w="128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Due after</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2200" w:type="dxa"/>
            <w:vAlign w:val="bottom"/>
            <w:gridSpan w:val="5"/>
          </w:tcPr>
          <w:p>
            <w:pPr>
              <w:jc w:val="right"/>
              <w:ind w:right="780"/>
              <w:spacing w:after="0"/>
              <w:rPr>
                <w:sz w:val="20"/>
                <w:szCs w:val="20"/>
                <w:color w:val="auto"/>
              </w:rPr>
            </w:pPr>
            <w:r>
              <w:rPr>
                <w:rFonts w:ascii="Verdana" w:cs="Verdana" w:eastAsia="Verdana" w:hAnsi="Verdana"/>
                <w:sz w:val="13"/>
                <w:szCs w:val="13"/>
                <w:b w:val="1"/>
                <w:bCs w:val="1"/>
                <w:color w:val="auto"/>
              </w:rPr>
              <w:t>through 5 years</w:t>
            </w:r>
          </w:p>
        </w:tc>
        <w:tc>
          <w:tcPr>
            <w:tcW w:w="2140" w:type="dxa"/>
            <w:vAlign w:val="bottom"/>
            <w:gridSpan w:val="5"/>
          </w:tcPr>
          <w:p>
            <w:pPr>
              <w:jc w:val="right"/>
              <w:ind w:right="680"/>
              <w:spacing w:after="0"/>
              <w:rPr>
                <w:sz w:val="20"/>
                <w:szCs w:val="20"/>
                <w:color w:val="auto"/>
              </w:rPr>
            </w:pPr>
            <w:r>
              <w:rPr>
                <w:rFonts w:ascii="Verdana" w:cs="Verdana" w:eastAsia="Verdana" w:hAnsi="Verdana"/>
                <w:sz w:val="13"/>
                <w:szCs w:val="13"/>
                <w:b w:val="1"/>
                <w:bCs w:val="1"/>
                <w:color w:val="auto"/>
              </w:rPr>
              <w:t>through 10 years</w:t>
            </w:r>
          </w:p>
        </w:tc>
        <w:tc>
          <w:tcPr>
            <w:tcW w:w="128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10 years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97"/>
              <w:spacing w:after="0"/>
              <w:rPr>
                <w:sz w:val="20"/>
                <w:szCs w:val="20"/>
                <w:color w:val="auto"/>
              </w:rPr>
            </w:pPr>
            <w:r>
              <w:rPr>
                <w:rFonts w:ascii="Verdana" w:cs="Verdana" w:eastAsia="Verdana" w:hAnsi="Verdana"/>
                <w:sz w:val="13"/>
                <w:szCs w:val="13"/>
                <w:b w:val="1"/>
                <w:bCs w:val="1"/>
                <w:color w:val="auto"/>
              </w:rPr>
              <w:t>Fair</w:t>
            </w: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20" w:lineRule="exact"/>
              <w:rPr>
                <w:sz w:val="20"/>
                <w:szCs w:val="20"/>
                <w:color w:val="auto"/>
              </w:rPr>
            </w:pPr>
            <w:r>
              <w:rPr>
                <w:rFonts w:ascii="Verdana" w:cs="Verdana" w:eastAsia="Verdana" w:hAnsi="Verdana"/>
                <w:sz w:val="13"/>
                <w:szCs w:val="13"/>
                <w:b w:val="1"/>
                <w:bCs w:val="1"/>
                <w:color w:val="auto"/>
                <w:w w:val="94"/>
              </w:rPr>
              <w:t>Weighted</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39"/>
              <w:spacing w:after="0"/>
              <w:rPr>
                <w:sz w:val="20"/>
                <w:szCs w:val="20"/>
                <w:color w:val="auto"/>
              </w:rPr>
            </w:pPr>
            <w:r>
              <w:rPr>
                <w:rFonts w:ascii="Verdana" w:cs="Verdana" w:eastAsia="Verdana" w:hAnsi="Verdana"/>
                <w:sz w:val="13"/>
                <w:szCs w:val="13"/>
                <w:b w:val="1"/>
                <w:bCs w:val="1"/>
                <w:color w:val="auto"/>
              </w:rPr>
              <w:t>Fair</w:t>
            </w: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20" w:lineRule="exact"/>
              <w:rPr>
                <w:sz w:val="20"/>
                <w:szCs w:val="20"/>
                <w:color w:val="auto"/>
              </w:rPr>
            </w:pPr>
            <w:r>
              <w:rPr>
                <w:rFonts w:ascii="Verdana" w:cs="Verdana" w:eastAsia="Verdana" w:hAnsi="Verdana"/>
                <w:sz w:val="13"/>
                <w:szCs w:val="13"/>
                <w:b w:val="1"/>
                <w:bCs w:val="1"/>
                <w:color w:val="auto"/>
                <w:w w:val="97"/>
              </w:rPr>
              <w:t>Weighted</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39"/>
              <w:spacing w:after="0"/>
              <w:rPr>
                <w:sz w:val="20"/>
                <w:szCs w:val="20"/>
                <w:color w:val="auto"/>
              </w:rPr>
            </w:pPr>
            <w:r>
              <w:rPr>
                <w:rFonts w:ascii="Verdana" w:cs="Verdana" w:eastAsia="Verdana" w:hAnsi="Verdana"/>
                <w:sz w:val="13"/>
                <w:szCs w:val="13"/>
                <w:b w:val="1"/>
                <w:bCs w:val="1"/>
                <w:color w:val="auto"/>
              </w:rPr>
              <w:t>Fair</w:t>
            </w: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20" w:lineRule="exact"/>
              <w:rPr>
                <w:sz w:val="20"/>
                <w:szCs w:val="20"/>
                <w:color w:val="auto"/>
              </w:rPr>
            </w:pPr>
            <w:r>
              <w:rPr>
                <w:rFonts w:ascii="Verdana" w:cs="Verdana" w:eastAsia="Verdana" w:hAnsi="Verdana"/>
                <w:sz w:val="13"/>
                <w:szCs w:val="13"/>
                <w:b w:val="1"/>
                <w:bCs w:val="1"/>
                <w:color w:val="auto"/>
                <w:w w:val="97"/>
              </w:rPr>
              <w:t>Weighted</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20" w:lineRule="exact"/>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9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9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1280" w:type="dxa"/>
            <w:vAlign w:val="bottom"/>
            <w:gridSpan w:val="3"/>
          </w:tcPr>
          <w:p>
            <w:pPr>
              <w:jc w:val="right"/>
              <w:ind w:right="637"/>
              <w:spacing w:after="0" w:line="122" w:lineRule="exact"/>
              <w:rPr>
                <w:sz w:val="20"/>
                <w:szCs w:val="20"/>
                <w:color w:val="auto"/>
              </w:rPr>
            </w:pPr>
            <w:r>
              <w:rPr>
                <w:rFonts w:ascii="Verdana" w:cs="Verdana" w:eastAsia="Verdana" w:hAnsi="Verdana"/>
                <w:sz w:val="13"/>
                <w:szCs w:val="13"/>
                <w:b w:val="1"/>
                <w:bCs w:val="1"/>
                <w:color w:val="auto"/>
              </w:rPr>
              <w:t>Fair</w:t>
            </w:r>
          </w:p>
        </w:tc>
        <w:tc>
          <w:tcPr>
            <w:tcW w:w="780" w:type="dxa"/>
            <w:vAlign w:val="bottom"/>
          </w:tcPr>
          <w:p>
            <w:pPr>
              <w:jc w:val="center"/>
              <w:ind w:right="75"/>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37"/>
              <w:spacing w:after="0"/>
              <w:rPr>
                <w:sz w:val="20"/>
                <w:szCs w:val="20"/>
                <w:color w:val="auto"/>
              </w:rPr>
            </w:pPr>
            <w:r>
              <w:rPr>
                <w:rFonts w:ascii="Verdana" w:cs="Verdana" w:eastAsia="Verdana" w:hAnsi="Verdana"/>
                <w:sz w:val="13"/>
                <w:szCs w:val="13"/>
                <w:b w:val="1"/>
                <w:bCs w:val="1"/>
                <w:color w:val="auto"/>
              </w:rPr>
              <w:t>Value</w:t>
            </w:r>
          </w:p>
        </w:tc>
        <w:tc>
          <w:tcPr>
            <w:tcW w:w="8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Verdana" w:cs="Verdana" w:eastAsia="Verdana" w:hAnsi="Verdana"/>
                <w:sz w:val="13"/>
                <w:szCs w:val="13"/>
                <w:b w:val="1"/>
                <w:bCs w:val="1"/>
                <w:color w:val="auto"/>
                <w:w w:val="93"/>
              </w:rPr>
              <w:t>Yield</w:t>
            </w:r>
          </w:p>
        </w:tc>
        <w:tc>
          <w:tcPr>
            <w:tcW w:w="900" w:type="dxa"/>
            <w:vAlign w:val="bottom"/>
          </w:tcPr>
          <w:p>
            <w:pPr>
              <w:jc w:val="right"/>
              <w:ind w:right="259"/>
              <w:spacing w:after="0"/>
              <w:rPr>
                <w:sz w:val="20"/>
                <w:szCs w:val="20"/>
                <w:color w:val="auto"/>
              </w:rPr>
            </w:pPr>
            <w:r>
              <w:rPr>
                <w:rFonts w:ascii="Verdana" w:cs="Verdana" w:eastAsia="Verdana" w:hAnsi="Verdana"/>
                <w:sz w:val="13"/>
                <w:szCs w:val="13"/>
                <w:b w:val="1"/>
                <w:bCs w:val="1"/>
                <w:color w:val="auto"/>
              </w:rPr>
              <w:t>Value</w:t>
            </w:r>
          </w:p>
        </w:tc>
        <w:tc>
          <w:tcPr>
            <w:tcW w:w="8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Verdana" w:cs="Verdana" w:eastAsia="Verdana" w:hAnsi="Verdana"/>
                <w:sz w:val="13"/>
                <w:szCs w:val="13"/>
                <w:b w:val="1"/>
                <w:bCs w:val="1"/>
                <w:color w:val="auto"/>
                <w:w w:val="93"/>
              </w:rPr>
              <w:t>Yield</w:t>
            </w:r>
          </w:p>
        </w:tc>
        <w:tc>
          <w:tcPr>
            <w:tcW w:w="900" w:type="dxa"/>
            <w:vAlign w:val="bottom"/>
          </w:tcPr>
          <w:p>
            <w:pPr>
              <w:jc w:val="right"/>
              <w:ind w:right="259"/>
              <w:spacing w:after="0"/>
              <w:rPr>
                <w:sz w:val="20"/>
                <w:szCs w:val="20"/>
                <w:color w:val="auto"/>
              </w:rPr>
            </w:pPr>
            <w:r>
              <w:rPr>
                <w:rFonts w:ascii="Verdana" w:cs="Verdana" w:eastAsia="Verdana" w:hAnsi="Verdana"/>
                <w:sz w:val="13"/>
                <w:szCs w:val="13"/>
                <w:b w:val="1"/>
                <w:bCs w:val="1"/>
                <w:color w:val="auto"/>
              </w:rPr>
              <w:t>Value</w:t>
            </w: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Verdana" w:cs="Verdana" w:eastAsia="Verdana" w:hAnsi="Verdana"/>
                <w:sz w:val="13"/>
                <w:szCs w:val="13"/>
                <w:b w:val="1"/>
                <w:bCs w:val="1"/>
                <w:color w:val="auto"/>
                <w:w w:val="93"/>
              </w:rPr>
              <w:t>Yield</w:t>
            </w:r>
          </w:p>
        </w:tc>
        <w:tc>
          <w:tcPr>
            <w:tcW w:w="1280" w:type="dxa"/>
            <w:vAlign w:val="bottom"/>
            <w:gridSpan w:val="3"/>
          </w:tcPr>
          <w:p>
            <w:pPr>
              <w:jc w:val="right"/>
              <w:ind w:right="557"/>
              <w:spacing w:after="0"/>
              <w:rPr>
                <w:sz w:val="20"/>
                <w:szCs w:val="20"/>
                <w:color w:val="auto"/>
              </w:rPr>
            </w:pPr>
            <w:r>
              <w:rPr>
                <w:rFonts w:ascii="Verdana" w:cs="Verdana" w:eastAsia="Verdana" w:hAnsi="Verdana"/>
                <w:sz w:val="13"/>
                <w:szCs w:val="13"/>
                <w:b w:val="1"/>
                <w:bCs w:val="1"/>
                <w:color w:val="auto"/>
              </w:rPr>
              <w:t>Value</w:t>
            </w:r>
          </w:p>
        </w:tc>
        <w:tc>
          <w:tcPr>
            <w:tcW w:w="780" w:type="dxa"/>
            <w:vAlign w:val="bottom"/>
          </w:tcPr>
          <w:p>
            <w:pPr>
              <w:jc w:val="center"/>
              <w:ind w:right="75"/>
              <w:spacing w:after="0"/>
              <w:rPr>
                <w:sz w:val="20"/>
                <w:szCs w:val="20"/>
                <w:color w:val="auto"/>
              </w:rPr>
            </w:pPr>
            <w:r>
              <w:rPr>
                <w:rFonts w:ascii="Verdana" w:cs="Verdana" w:eastAsia="Verdana" w:hAnsi="Verdana"/>
                <w:sz w:val="13"/>
                <w:szCs w:val="13"/>
                <w:b w:val="1"/>
                <w:bCs w:val="1"/>
                <w:color w:val="auto"/>
                <w:w w:val="93"/>
              </w:rPr>
              <w:t>Yield</w:t>
            </w:r>
          </w:p>
        </w:tc>
        <w:tc>
          <w:tcPr>
            <w:tcW w:w="0" w:type="dxa"/>
            <w:vAlign w:val="bottom"/>
          </w:tcPr>
          <w:p>
            <w:pPr>
              <w:spacing w:after="0"/>
              <w:rPr>
                <w:sz w:val="1"/>
                <w:szCs w:val="1"/>
                <w:color w:val="auto"/>
              </w:rPr>
            </w:pPr>
          </w:p>
        </w:tc>
      </w:tr>
      <w:tr>
        <w:trPr>
          <w:trHeight w:val="219"/>
        </w:trPr>
        <w:tc>
          <w:tcPr>
            <w:tcW w:w="25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w:t>
            </w:r>
          </w:p>
        </w:tc>
        <w:tc>
          <w:tcPr>
            <w:tcW w:w="220" w:type="dxa"/>
            <w:vAlign w:val="bottom"/>
            <w:tcBorders>
              <w:top w:val="single" w:sz="8" w:color="auto"/>
            </w:tcBorders>
            <w:shd w:val="clear" w:color="auto" w:fill="E0E7ED"/>
          </w:tcPr>
          <w:p>
            <w:pPr>
              <w:spacing w:after="0"/>
              <w:rPr>
                <w:sz w:val="19"/>
                <w:szCs w:val="19"/>
                <w:color w:val="auto"/>
              </w:rPr>
            </w:pPr>
          </w:p>
        </w:tc>
        <w:tc>
          <w:tcPr>
            <w:tcW w:w="8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9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9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10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78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500" w:type="dxa"/>
            <w:vAlign w:val="bottom"/>
            <w:shd w:val="clear" w:color="auto" w:fill="E0E7ED"/>
          </w:tcPr>
          <w:p>
            <w:pPr>
              <w:ind w:left="20"/>
              <w:spacing w:after="0" w:line="252" w:lineRule="exact"/>
              <w:rPr>
                <w:sz w:val="20"/>
                <w:szCs w:val="20"/>
                <w:color w:val="auto"/>
              </w:rPr>
            </w:pPr>
            <w:r>
              <w:rPr>
                <w:rFonts w:ascii="Verdana" w:cs="Verdana" w:eastAsia="Verdana" w:hAnsi="Verdana"/>
                <w:sz w:val="18"/>
                <w:szCs w:val="18"/>
                <w:b w:val="1"/>
                <w:bCs w:val="1"/>
                <w:color w:val="auto"/>
              </w:rPr>
              <w:t>available for sale</w:t>
            </w:r>
            <w:r>
              <w:rPr>
                <w:rFonts w:ascii="Verdana" w:cs="Verdana" w:eastAsia="Verdana" w:hAnsi="Verdana"/>
                <w:sz w:val="23"/>
                <w:szCs w:val="23"/>
                <w:b w:val="1"/>
                <w:bCs w:val="1"/>
                <w:color w:val="auto"/>
                <w:vertAlign w:val="superscript"/>
              </w:rPr>
              <w:t>1</w:t>
            </w:r>
          </w:p>
        </w:tc>
        <w:tc>
          <w:tcPr>
            <w:tcW w:w="220" w:type="dxa"/>
            <w:vAlign w:val="bottom"/>
            <w:shd w:val="clear" w:color="auto" w:fill="E0E7ED"/>
          </w:tcPr>
          <w:p>
            <w:pPr>
              <w:spacing w:after="0"/>
              <w:rPr>
                <w:sz w:val="21"/>
                <w:szCs w:val="21"/>
                <w:color w:val="auto"/>
              </w:rPr>
            </w:pPr>
          </w:p>
        </w:tc>
        <w:tc>
          <w:tcPr>
            <w:tcW w:w="8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7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50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820" w:type="dxa"/>
            <w:vAlign w:val="bottom"/>
          </w:tcPr>
          <w:p>
            <w:pPr>
              <w:jc w:val="right"/>
              <w:spacing w:after="0"/>
              <w:rPr>
                <w:sz w:val="20"/>
                <w:szCs w:val="20"/>
                <w:color w:val="auto"/>
              </w:rPr>
            </w:pPr>
            <w:r>
              <w:rPr>
                <w:rFonts w:ascii="Verdana" w:cs="Verdana" w:eastAsia="Verdana" w:hAnsi="Verdana"/>
                <w:sz w:val="18"/>
                <w:szCs w:val="18"/>
                <w:color w:val="auto"/>
              </w:rPr>
              <w:t>15,946</w:t>
            </w:r>
          </w:p>
        </w:tc>
        <w:tc>
          <w:tcPr>
            <w:tcW w:w="1300" w:type="dxa"/>
            <w:vAlign w:val="bottom"/>
            <w:gridSpan w:val="4"/>
          </w:tcPr>
          <w:p>
            <w:pPr>
              <w:jc w:val="right"/>
              <w:ind w:right="60"/>
              <w:spacing w:after="0"/>
              <w:rPr>
                <w:sz w:val="20"/>
                <w:szCs w:val="20"/>
                <w:color w:val="auto"/>
              </w:rPr>
            </w:pPr>
            <w:r>
              <w:rPr>
                <w:rFonts w:ascii="Verdana" w:cs="Verdana" w:eastAsia="Verdana" w:hAnsi="Verdana"/>
                <w:sz w:val="18"/>
                <w:szCs w:val="18"/>
                <w:color w:val="auto"/>
              </w:rPr>
              <w:t>0.25 % $</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220" w:type="dxa"/>
            <w:vAlign w:val="bottom"/>
            <w:gridSpan w:val="3"/>
          </w:tcPr>
          <w:p>
            <w:pPr>
              <w:jc w:val="right"/>
              <w:ind w:right="60"/>
              <w:spacing w:after="0"/>
              <w:rPr>
                <w:sz w:val="20"/>
                <w:szCs w:val="20"/>
                <w:color w:val="auto"/>
              </w:rPr>
            </w:pPr>
            <w:r>
              <w:rPr>
                <w:rFonts w:ascii="Verdana" w:cs="Verdana" w:eastAsia="Verdana" w:hAnsi="Verdana"/>
                <w:sz w:val="18"/>
                <w:szCs w:val="18"/>
                <w:color w:val="auto"/>
              </w:rPr>
              <w:t>— % $</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8"/>
                <w:szCs w:val="18"/>
                <w:color w:val="auto"/>
              </w:rPr>
              <w:t>— % $</w:t>
            </w:r>
          </w:p>
        </w:tc>
        <w:tc>
          <w:tcPr>
            <w:tcW w:w="1280" w:type="dxa"/>
            <w:vAlign w:val="bottom"/>
            <w:gridSpan w:val="3"/>
          </w:tcPr>
          <w:p>
            <w:pPr>
              <w:jc w:val="right"/>
              <w:ind w:right="257"/>
              <w:spacing w:after="0"/>
              <w:rPr>
                <w:sz w:val="20"/>
                <w:szCs w:val="20"/>
                <w:color w:val="auto"/>
              </w:rPr>
            </w:pPr>
            <w:r>
              <w:rPr>
                <w:rFonts w:ascii="Verdana" w:cs="Verdana" w:eastAsia="Verdana" w:hAnsi="Verdana"/>
                <w:sz w:val="18"/>
                <w:szCs w:val="18"/>
                <w:color w:val="auto"/>
              </w:rPr>
              <w:t>—</w:t>
            </w:r>
          </w:p>
        </w:tc>
        <w:tc>
          <w:tcPr>
            <w:tcW w:w="780" w:type="dxa"/>
            <w:vAlign w:val="bottom"/>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44"/>
        </w:trPr>
        <w:tc>
          <w:tcPr>
            <w:tcW w:w="25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w:t>
            </w:r>
          </w:p>
        </w:tc>
        <w:tc>
          <w:tcPr>
            <w:tcW w:w="220" w:type="dxa"/>
            <w:vAlign w:val="bottom"/>
            <w:shd w:val="clear" w:color="auto" w:fill="E0E7ED"/>
          </w:tcPr>
          <w:p>
            <w:pPr>
              <w:spacing w:after="0"/>
              <w:rPr>
                <w:sz w:val="21"/>
                <w:szCs w:val="21"/>
                <w:color w:val="auto"/>
              </w:rPr>
            </w:pPr>
          </w:p>
        </w:tc>
        <w:tc>
          <w:tcPr>
            <w:tcW w:w="8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7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E0E7ED"/>
          </w:tcPr>
          <w:p>
            <w:pPr>
              <w:ind w:left="180"/>
              <w:spacing w:after="0" w:line="216" w:lineRule="exact"/>
              <w:rPr>
                <w:sz w:val="20"/>
                <w:szCs w:val="20"/>
                <w:color w:val="auto"/>
              </w:rPr>
            </w:pPr>
            <w:r>
              <w:rPr>
                <w:rFonts w:ascii="Verdana" w:cs="Verdana" w:eastAsia="Verdana" w:hAnsi="Verdana"/>
                <w:sz w:val="18"/>
                <w:szCs w:val="18"/>
                <w:color w:val="auto"/>
              </w:rPr>
              <w:t>government corporations</w:t>
            </w:r>
          </w:p>
        </w:tc>
        <w:tc>
          <w:tcPr>
            <w:tcW w:w="22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9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9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9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78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5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and agencies</w:t>
            </w:r>
          </w:p>
        </w:tc>
        <w:tc>
          <w:tcPr>
            <w:tcW w:w="220" w:type="dxa"/>
            <w:vAlign w:val="bottom"/>
            <w:shd w:val="clear" w:color="auto" w:fill="E0E7ED"/>
          </w:tcPr>
          <w:p>
            <w:pPr>
              <w:spacing w:after="0"/>
              <w:rPr>
                <w:sz w:val="21"/>
                <w:szCs w:val="21"/>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3,757</w:t>
            </w:r>
          </w:p>
        </w:tc>
        <w:tc>
          <w:tcPr>
            <w:tcW w:w="10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2.69 %</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1,951</w:t>
            </w:r>
          </w:p>
        </w:tc>
        <w:tc>
          <w:tcPr>
            <w:tcW w:w="10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5.16 %</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w:t>
            </w:r>
          </w:p>
        </w:tc>
        <w:tc>
          <w:tcPr>
            <w:tcW w:w="10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7.00 %</w:t>
            </w: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280" w:type="dxa"/>
            <w:vAlign w:val="bottom"/>
            <w:gridSpan w:val="3"/>
            <w:shd w:val="clear" w:color="auto" w:fill="E0E7ED"/>
          </w:tcPr>
          <w:p>
            <w:pPr>
              <w:jc w:val="right"/>
              <w:ind w:right="257"/>
              <w:spacing w:after="0"/>
              <w:rPr>
                <w:sz w:val="20"/>
                <w:szCs w:val="20"/>
                <w:color w:val="auto"/>
              </w:rPr>
            </w:pPr>
            <w:r>
              <w:rPr>
                <w:rFonts w:ascii="Verdana" w:cs="Verdana" w:eastAsia="Verdana" w:hAnsi="Verdana"/>
                <w:sz w:val="18"/>
                <w:szCs w:val="18"/>
                <w:color w:val="auto"/>
              </w:rPr>
              <w:t>—</w:t>
            </w:r>
          </w:p>
        </w:tc>
        <w:tc>
          <w:tcPr>
            <w:tcW w:w="7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34"/>
        </w:trPr>
        <w:tc>
          <w:tcPr>
            <w:tcW w:w="2500" w:type="dxa"/>
            <w:vAlign w:val="bottom"/>
          </w:tcPr>
          <w:p>
            <w:pPr>
              <w:ind w:left="180"/>
              <w:spacing w:after="0"/>
              <w:rPr>
                <w:sz w:val="20"/>
                <w:szCs w:val="20"/>
                <w:color w:val="auto"/>
              </w:rPr>
            </w:pPr>
            <w:r>
              <w:rPr>
                <w:rFonts w:ascii="Verdana" w:cs="Verdana" w:eastAsia="Verdana" w:hAnsi="Verdana"/>
                <w:sz w:val="18"/>
                <w:szCs w:val="18"/>
                <w:color w:val="auto"/>
              </w:rPr>
              <w:t>Obligations of states and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500" w:type="dxa"/>
            <w:vAlign w:val="bottom"/>
          </w:tcPr>
          <w:p>
            <w:pPr>
              <w:ind w:left="180"/>
              <w:spacing w:after="0" w:line="252" w:lineRule="exact"/>
              <w:rPr>
                <w:sz w:val="20"/>
                <w:szCs w:val="20"/>
                <w:color w:val="auto"/>
              </w:rPr>
            </w:pPr>
            <w:r>
              <w:rPr>
                <w:rFonts w:ascii="Verdana" w:cs="Verdana" w:eastAsia="Verdana" w:hAnsi="Verdana"/>
                <w:sz w:val="18"/>
                <w:szCs w:val="18"/>
                <w:color w:val="auto"/>
              </w:rPr>
              <w:t>political subdivisions</w:t>
            </w:r>
            <w:r>
              <w:rPr>
                <w:rFonts w:ascii="Verdana" w:cs="Verdana" w:eastAsia="Verdana" w:hAnsi="Verdana"/>
                <w:sz w:val="23"/>
                <w:szCs w:val="23"/>
                <w:color w:val="auto"/>
                <w:vertAlign w:val="superscript"/>
              </w:rPr>
              <w:t>2</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Verdana" w:cs="Verdana" w:eastAsia="Verdana" w:hAnsi="Verdana"/>
                <w:sz w:val="18"/>
                <w:szCs w:val="18"/>
                <w:color w:val="auto"/>
              </w:rPr>
              <w:t>20,680</w:t>
            </w:r>
          </w:p>
        </w:tc>
        <w:tc>
          <w:tcPr>
            <w:tcW w:w="1020" w:type="dxa"/>
            <w:vAlign w:val="bottom"/>
            <w:gridSpan w:val="2"/>
          </w:tcPr>
          <w:p>
            <w:pPr>
              <w:jc w:val="right"/>
              <w:spacing w:after="0"/>
              <w:rPr>
                <w:sz w:val="20"/>
                <w:szCs w:val="20"/>
                <w:color w:val="auto"/>
              </w:rPr>
            </w:pPr>
            <w:r>
              <w:rPr>
                <w:rFonts w:ascii="Verdana" w:cs="Verdana" w:eastAsia="Verdana" w:hAnsi="Verdana"/>
                <w:sz w:val="18"/>
                <w:szCs w:val="18"/>
                <w:color w:val="auto"/>
              </w:rPr>
              <w:t>2.82 %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Verdana" w:cs="Verdana" w:eastAsia="Verdana" w:hAnsi="Verdana"/>
                <w:sz w:val="18"/>
                <w:szCs w:val="18"/>
                <w:color w:val="auto"/>
              </w:rPr>
              <w:t>48,028</w:t>
            </w:r>
          </w:p>
        </w:tc>
        <w:tc>
          <w:tcPr>
            <w:tcW w:w="1020" w:type="dxa"/>
            <w:vAlign w:val="bottom"/>
            <w:gridSpan w:val="2"/>
          </w:tcPr>
          <w:p>
            <w:pPr>
              <w:jc w:val="right"/>
              <w:spacing w:after="0"/>
              <w:rPr>
                <w:sz w:val="20"/>
                <w:szCs w:val="20"/>
                <w:color w:val="auto"/>
              </w:rPr>
            </w:pPr>
            <w:r>
              <w:rPr>
                <w:rFonts w:ascii="Verdana" w:cs="Verdana" w:eastAsia="Verdana" w:hAnsi="Verdana"/>
                <w:sz w:val="18"/>
                <w:szCs w:val="18"/>
                <w:color w:val="auto"/>
              </w:rPr>
              <w:t>2.46 %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Verdana" w:cs="Verdana" w:eastAsia="Verdana" w:hAnsi="Verdana"/>
                <w:sz w:val="18"/>
                <w:szCs w:val="18"/>
                <w:color w:val="auto"/>
              </w:rPr>
              <w:t>76,167</w:t>
            </w:r>
          </w:p>
        </w:tc>
        <w:tc>
          <w:tcPr>
            <w:tcW w:w="1020" w:type="dxa"/>
            <w:vAlign w:val="bottom"/>
            <w:gridSpan w:val="2"/>
          </w:tcPr>
          <w:p>
            <w:pPr>
              <w:jc w:val="right"/>
              <w:spacing w:after="0"/>
              <w:rPr>
                <w:sz w:val="20"/>
                <w:szCs w:val="20"/>
                <w:color w:val="auto"/>
              </w:rPr>
            </w:pPr>
            <w:r>
              <w:rPr>
                <w:rFonts w:ascii="Verdana" w:cs="Verdana" w:eastAsia="Verdana" w:hAnsi="Verdana"/>
                <w:sz w:val="18"/>
                <w:szCs w:val="18"/>
                <w:color w:val="auto"/>
              </w:rPr>
              <w:t>2.28 %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Verdana" w:cs="Verdana" w:eastAsia="Verdana" w:hAnsi="Verdana"/>
                <w:sz w:val="18"/>
                <w:szCs w:val="18"/>
                <w:color w:val="auto"/>
              </w:rPr>
              <w:t>27,970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Verdana" w:cs="Verdana" w:eastAsia="Verdana" w:hAnsi="Verdana"/>
                <w:sz w:val="18"/>
                <w:szCs w:val="18"/>
                <w:color w:val="auto"/>
              </w:rPr>
              <w:t>2.65 %</w:t>
            </w:r>
          </w:p>
        </w:tc>
        <w:tc>
          <w:tcPr>
            <w:tcW w:w="0" w:type="dxa"/>
            <w:vAlign w:val="bottom"/>
          </w:tcPr>
          <w:p>
            <w:pPr>
              <w:spacing w:after="0"/>
              <w:rPr>
                <w:sz w:val="1"/>
                <w:szCs w:val="1"/>
                <w:color w:val="auto"/>
              </w:rPr>
            </w:pPr>
          </w:p>
        </w:tc>
      </w:tr>
      <w:tr>
        <w:trPr>
          <w:trHeight w:val="270"/>
        </w:trPr>
        <w:tc>
          <w:tcPr>
            <w:tcW w:w="25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20" w:type="dxa"/>
            <w:vAlign w:val="bottom"/>
            <w:shd w:val="clear" w:color="auto" w:fill="E0E7ED"/>
          </w:tcPr>
          <w:p>
            <w:pPr>
              <w:spacing w:after="0"/>
              <w:rPr>
                <w:sz w:val="23"/>
                <w:szCs w:val="23"/>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1220" w:type="dxa"/>
            <w:vAlign w:val="bottom"/>
            <w:gridSpan w:val="3"/>
            <w:shd w:val="clear" w:color="auto" w:fill="E0E7ED"/>
          </w:tcPr>
          <w:p>
            <w:pPr>
              <w:jc w:val="right"/>
              <w:ind w:right="300"/>
              <w:spacing w:after="0"/>
              <w:rPr>
                <w:sz w:val="20"/>
                <w:szCs w:val="20"/>
                <w:color w:val="auto"/>
              </w:rPr>
            </w:pPr>
            <w:r>
              <w:rPr>
                <w:rFonts w:ascii="Verdana" w:cs="Verdana" w:eastAsia="Verdana" w:hAnsi="Verdana"/>
                <w:sz w:val="18"/>
                <w:szCs w:val="18"/>
                <w:color w:val="auto"/>
              </w:rPr>
              <w:t>— %</w:t>
            </w: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1220" w:type="dxa"/>
            <w:vAlign w:val="bottom"/>
            <w:gridSpan w:val="3"/>
            <w:shd w:val="clear" w:color="auto" w:fill="E0E7ED"/>
          </w:tcPr>
          <w:p>
            <w:pPr>
              <w:jc w:val="right"/>
              <w:ind w:right="300"/>
              <w:spacing w:after="0"/>
              <w:rPr>
                <w:sz w:val="20"/>
                <w:szCs w:val="20"/>
                <w:color w:val="auto"/>
              </w:rPr>
            </w:pPr>
            <w:r>
              <w:rPr>
                <w:rFonts w:ascii="Verdana" w:cs="Verdana" w:eastAsia="Verdana" w:hAnsi="Verdana"/>
                <w:sz w:val="18"/>
                <w:szCs w:val="18"/>
                <w:color w:val="auto"/>
              </w:rPr>
              <w:t>— %</w:t>
            </w: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158,964</w:t>
            </w:r>
          </w:p>
        </w:tc>
        <w:tc>
          <w:tcPr>
            <w:tcW w:w="10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7.06 %</w:t>
            </w:r>
          </w:p>
        </w:tc>
        <w:tc>
          <w:tcPr>
            <w:tcW w:w="80" w:type="dxa"/>
            <w:vAlign w:val="bottom"/>
            <w:shd w:val="clear" w:color="auto" w:fill="E0E7ED"/>
          </w:tcPr>
          <w:p>
            <w:pPr>
              <w:spacing w:after="0"/>
              <w:rPr>
                <w:sz w:val="23"/>
                <w:szCs w:val="23"/>
                <w:color w:val="auto"/>
              </w:rPr>
            </w:pPr>
          </w:p>
        </w:tc>
        <w:tc>
          <w:tcPr>
            <w:tcW w:w="14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309,259</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6.88 %</w:t>
            </w:r>
          </w:p>
        </w:tc>
        <w:tc>
          <w:tcPr>
            <w:tcW w:w="0" w:type="dxa"/>
            <w:vAlign w:val="bottom"/>
          </w:tcPr>
          <w:p>
            <w:pPr>
              <w:spacing w:after="0"/>
              <w:rPr>
                <w:sz w:val="1"/>
                <w:szCs w:val="1"/>
                <w:color w:val="auto"/>
              </w:rPr>
            </w:pPr>
          </w:p>
        </w:tc>
      </w:tr>
      <w:tr>
        <w:trPr>
          <w:trHeight w:val="238"/>
        </w:trPr>
        <w:tc>
          <w:tcPr>
            <w:tcW w:w="2500" w:type="dxa"/>
            <w:vAlign w:val="bottom"/>
          </w:tcPr>
          <w:p>
            <w:pPr>
              <w:ind w:left="180"/>
              <w:spacing w:after="0"/>
              <w:rPr>
                <w:sz w:val="20"/>
                <w:szCs w:val="20"/>
                <w:color w:val="auto"/>
              </w:rPr>
            </w:pPr>
            <w:r>
              <w:rPr>
                <w:rFonts w:ascii="Verdana" w:cs="Verdana" w:eastAsia="Verdana" w:hAnsi="Verdana"/>
                <w:sz w:val="18"/>
                <w:szCs w:val="18"/>
                <w:color w:val="auto"/>
              </w:rPr>
              <w:t>Commercial mortgage-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500" w:type="dxa"/>
            <w:vAlign w:val="bottom"/>
          </w:tcPr>
          <w:p>
            <w:pPr>
              <w:ind w:left="180"/>
              <w:spacing w:after="0"/>
              <w:rPr>
                <w:sz w:val="20"/>
                <w:szCs w:val="20"/>
                <w:color w:val="auto"/>
              </w:rPr>
            </w:pPr>
            <w:r>
              <w:rPr>
                <w:rFonts w:ascii="Verdana" w:cs="Verdana" w:eastAsia="Verdana" w:hAnsi="Verdana"/>
                <w:sz w:val="18"/>
                <w:szCs w:val="18"/>
                <w:color w:val="auto"/>
              </w:rPr>
              <w:t>backed securities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Verdana" w:cs="Verdana" w:eastAsia="Verdana" w:hAnsi="Verdana"/>
                <w:sz w:val="18"/>
                <w:szCs w:val="18"/>
                <w:color w:val="auto"/>
              </w:rPr>
              <w:t>4,507</w:t>
            </w:r>
          </w:p>
        </w:tc>
        <w:tc>
          <w:tcPr>
            <w:tcW w:w="1020" w:type="dxa"/>
            <w:vAlign w:val="bottom"/>
            <w:gridSpan w:val="2"/>
          </w:tcPr>
          <w:p>
            <w:pPr>
              <w:jc w:val="right"/>
              <w:spacing w:after="0"/>
              <w:rPr>
                <w:sz w:val="20"/>
                <w:szCs w:val="20"/>
                <w:color w:val="auto"/>
              </w:rPr>
            </w:pPr>
            <w:r>
              <w:rPr>
                <w:rFonts w:ascii="Verdana" w:cs="Verdana" w:eastAsia="Verdana" w:hAnsi="Verdana"/>
                <w:sz w:val="18"/>
                <w:szCs w:val="18"/>
                <w:color w:val="auto"/>
              </w:rPr>
              <w:t>2.62 %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Verdana" w:cs="Verdana" w:eastAsia="Verdana" w:hAnsi="Verdana"/>
                <w:sz w:val="18"/>
                <w:szCs w:val="18"/>
                <w:color w:val="auto"/>
              </w:rPr>
              <w:t>16,982</w:t>
            </w:r>
          </w:p>
        </w:tc>
        <w:tc>
          <w:tcPr>
            <w:tcW w:w="1020" w:type="dxa"/>
            <w:vAlign w:val="bottom"/>
            <w:gridSpan w:val="2"/>
          </w:tcPr>
          <w:p>
            <w:pPr>
              <w:jc w:val="right"/>
              <w:spacing w:after="0"/>
              <w:rPr>
                <w:sz w:val="20"/>
                <w:szCs w:val="20"/>
                <w:color w:val="auto"/>
              </w:rPr>
            </w:pPr>
            <w:r>
              <w:rPr>
                <w:rFonts w:ascii="Verdana" w:cs="Verdana" w:eastAsia="Verdana" w:hAnsi="Verdana"/>
                <w:sz w:val="18"/>
                <w:szCs w:val="18"/>
                <w:color w:val="auto"/>
              </w:rPr>
              <w:t>2.56 %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Verdana" w:cs="Verdana" w:eastAsia="Verdana" w:hAnsi="Verdana"/>
                <w:sz w:val="18"/>
                <w:szCs w:val="18"/>
                <w:color w:val="auto"/>
              </w:rPr>
              <w:t>32,316</w:t>
            </w:r>
          </w:p>
        </w:tc>
        <w:tc>
          <w:tcPr>
            <w:tcW w:w="1020" w:type="dxa"/>
            <w:vAlign w:val="bottom"/>
            <w:gridSpan w:val="2"/>
          </w:tcPr>
          <w:p>
            <w:pPr>
              <w:jc w:val="right"/>
              <w:spacing w:after="0"/>
              <w:rPr>
                <w:sz w:val="20"/>
                <w:szCs w:val="20"/>
                <w:color w:val="auto"/>
              </w:rPr>
            </w:pPr>
            <w:r>
              <w:rPr>
                <w:rFonts w:ascii="Verdana" w:cs="Verdana" w:eastAsia="Verdana" w:hAnsi="Verdana"/>
                <w:sz w:val="18"/>
                <w:szCs w:val="18"/>
                <w:color w:val="auto"/>
              </w:rPr>
              <w:t>2.07 %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Verdana" w:cs="Verdana" w:eastAsia="Verdana" w:hAnsi="Verdana"/>
                <w:sz w:val="18"/>
                <w:szCs w:val="18"/>
                <w:color w:val="auto"/>
              </w:rPr>
              <w:t>49,704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Verdana" w:cs="Verdana" w:eastAsia="Verdana" w:hAnsi="Verdana"/>
                <w:sz w:val="18"/>
                <w:szCs w:val="18"/>
                <w:color w:val="auto"/>
              </w:rPr>
              <w:t>2.32 %</w:t>
            </w:r>
          </w:p>
        </w:tc>
        <w:tc>
          <w:tcPr>
            <w:tcW w:w="0" w:type="dxa"/>
            <w:vAlign w:val="bottom"/>
          </w:tcPr>
          <w:p>
            <w:pPr>
              <w:spacing w:after="0"/>
              <w:rPr>
                <w:sz w:val="1"/>
                <w:szCs w:val="1"/>
                <w:color w:val="auto"/>
              </w:rPr>
            </w:pPr>
          </w:p>
        </w:tc>
      </w:tr>
      <w:tr>
        <w:trPr>
          <w:trHeight w:val="244"/>
        </w:trPr>
        <w:tc>
          <w:tcPr>
            <w:tcW w:w="25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w:t>
            </w:r>
          </w:p>
        </w:tc>
        <w:tc>
          <w:tcPr>
            <w:tcW w:w="220" w:type="dxa"/>
            <w:vAlign w:val="bottom"/>
            <w:shd w:val="clear" w:color="auto" w:fill="E0E7ED"/>
          </w:tcPr>
          <w:p>
            <w:pPr>
              <w:spacing w:after="0"/>
              <w:rPr>
                <w:sz w:val="21"/>
                <w:szCs w:val="21"/>
                <w:color w:val="auto"/>
              </w:rPr>
            </w:pPr>
          </w:p>
        </w:tc>
        <w:tc>
          <w:tcPr>
            <w:tcW w:w="8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7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5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backed securities</w:t>
            </w:r>
          </w:p>
        </w:tc>
        <w:tc>
          <w:tcPr>
            <w:tcW w:w="220" w:type="dxa"/>
            <w:vAlign w:val="bottom"/>
            <w:shd w:val="clear" w:color="auto" w:fill="E0E7ED"/>
          </w:tcPr>
          <w:p>
            <w:pPr>
              <w:spacing w:after="0"/>
              <w:rPr>
                <w:sz w:val="21"/>
                <w:szCs w:val="21"/>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486</w:t>
            </w:r>
          </w:p>
        </w:tc>
        <w:tc>
          <w:tcPr>
            <w:tcW w:w="10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2.63 %</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13,619</w:t>
            </w:r>
          </w:p>
        </w:tc>
        <w:tc>
          <w:tcPr>
            <w:tcW w:w="10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2.66 %</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87,161</w:t>
            </w:r>
          </w:p>
        </w:tc>
        <w:tc>
          <w:tcPr>
            <w:tcW w:w="10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1.75 %</w:t>
            </w: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0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1,010,046</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1.70 %</w:t>
            </w:r>
          </w:p>
        </w:tc>
        <w:tc>
          <w:tcPr>
            <w:tcW w:w="0" w:type="dxa"/>
            <w:vAlign w:val="bottom"/>
          </w:tcPr>
          <w:p>
            <w:pPr>
              <w:spacing w:after="0"/>
              <w:rPr>
                <w:sz w:val="1"/>
                <w:szCs w:val="1"/>
                <w:color w:val="auto"/>
              </w:rPr>
            </w:pPr>
          </w:p>
        </w:tc>
      </w:tr>
      <w:tr>
        <w:trPr>
          <w:trHeight w:val="264"/>
        </w:trPr>
        <w:tc>
          <w:tcPr>
            <w:tcW w:w="25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26,053</w:t>
            </w:r>
          </w:p>
        </w:tc>
        <w:tc>
          <w:tcPr>
            <w:tcW w:w="10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1.87 %</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149,719</w:t>
            </w:r>
          </w:p>
        </w:tc>
        <w:tc>
          <w:tcPr>
            <w:tcW w:w="10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1.37 %</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34,132</w:t>
            </w:r>
          </w:p>
        </w:tc>
        <w:tc>
          <w:tcPr>
            <w:tcW w:w="10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3.87 %</w:t>
            </w:r>
          </w:p>
        </w:tc>
        <w:tc>
          <w:tcPr>
            <w:tcW w:w="80" w:type="dxa"/>
            <w:vAlign w:val="bottom"/>
            <w:tcBorders>
              <w:bottom w:val="single" w:sz="8" w:color="E0E7ED"/>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240" w:type="dxa"/>
            <w:vAlign w:val="bottom"/>
            <w:tcBorders>
              <w:bottom w:val="single" w:sz="8" w:color="E0E7ED"/>
            </w:tcBorders>
            <w:gridSpan w:val="2"/>
          </w:tcPr>
          <w:p>
            <w:pPr>
              <w:spacing w:after="0"/>
              <w:rPr>
                <w:sz w:val="22"/>
                <w:szCs w:val="22"/>
                <w:color w:val="auto"/>
              </w:rPr>
            </w:pPr>
          </w:p>
        </w:tc>
        <w:tc>
          <w:tcPr>
            <w:tcW w:w="78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24"/>
        </w:trPr>
        <w:tc>
          <w:tcPr>
            <w:tcW w:w="25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w:t>
            </w:r>
          </w:p>
        </w:tc>
        <w:tc>
          <w:tcPr>
            <w:tcW w:w="22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8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71,429</w:t>
            </w:r>
          </w:p>
        </w:tc>
        <w:tc>
          <w:tcPr>
            <w:tcW w:w="1300" w:type="dxa"/>
            <w:vAlign w:val="bottom"/>
            <w:gridSpan w:val="4"/>
            <w:vMerge w:val="restart"/>
            <w:shd w:val="clear" w:color="auto" w:fill="E0E7ED"/>
          </w:tcPr>
          <w:p>
            <w:pPr>
              <w:jc w:val="right"/>
              <w:ind w:right="60"/>
              <w:spacing w:after="0"/>
              <w:rPr>
                <w:sz w:val="20"/>
                <w:szCs w:val="20"/>
                <w:color w:val="auto"/>
              </w:rPr>
            </w:pPr>
            <w:r>
              <w:rPr>
                <w:rFonts w:ascii="Verdana" w:cs="Verdana" w:eastAsia="Verdana" w:hAnsi="Verdana"/>
                <w:sz w:val="18"/>
                <w:szCs w:val="18"/>
                <w:color w:val="auto"/>
              </w:rPr>
              <w:t>1.88 % $</w:t>
            </w:r>
          </w:p>
        </w:tc>
        <w:tc>
          <w:tcPr>
            <w:tcW w:w="9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230,299</w:t>
            </w:r>
          </w:p>
        </w:tc>
        <w:tc>
          <w:tcPr>
            <w:tcW w:w="1300" w:type="dxa"/>
            <w:vAlign w:val="bottom"/>
            <w:gridSpan w:val="4"/>
            <w:vMerge w:val="restart"/>
            <w:shd w:val="clear" w:color="auto" w:fill="E0E7ED"/>
          </w:tcPr>
          <w:p>
            <w:pPr>
              <w:jc w:val="right"/>
              <w:ind w:right="60"/>
              <w:spacing w:after="0"/>
              <w:rPr>
                <w:sz w:val="20"/>
                <w:szCs w:val="20"/>
                <w:color w:val="auto"/>
              </w:rPr>
            </w:pPr>
            <w:r>
              <w:rPr>
                <w:rFonts w:ascii="Verdana" w:cs="Verdana" w:eastAsia="Verdana" w:hAnsi="Verdana"/>
                <w:sz w:val="18"/>
                <w:szCs w:val="18"/>
                <w:color w:val="auto"/>
              </w:rPr>
              <w:t>1.79 % $</w:t>
            </w:r>
          </w:p>
        </w:tc>
        <w:tc>
          <w:tcPr>
            <w:tcW w:w="9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388,864</w:t>
            </w:r>
          </w:p>
        </w:tc>
        <w:tc>
          <w:tcPr>
            <w:tcW w:w="1240" w:type="dxa"/>
            <w:vAlign w:val="bottom"/>
            <w:gridSpan w:val="4"/>
            <w:vMerge w:val="restart"/>
            <w:shd w:val="clear" w:color="auto" w:fill="E0E7ED"/>
          </w:tcPr>
          <w:p>
            <w:pPr>
              <w:jc w:val="right"/>
              <w:spacing w:after="0"/>
              <w:rPr>
                <w:sz w:val="20"/>
                <w:szCs w:val="20"/>
                <w:color w:val="auto"/>
              </w:rPr>
            </w:pPr>
            <w:r>
              <w:rPr>
                <w:rFonts w:ascii="Verdana" w:cs="Verdana" w:eastAsia="Verdana" w:hAnsi="Verdana"/>
                <w:sz w:val="18"/>
                <w:szCs w:val="18"/>
                <w:color w:val="auto"/>
              </w:rPr>
              <w:t>4.24 % $</w:t>
            </w:r>
          </w:p>
        </w:tc>
        <w:tc>
          <w:tcPr>
            <w:tcW w:w="10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1,396,979</w:t>
            </w:r>
          </w:p>
        </w:tc>
        <w:tc>
          <w:tcPr>
            <w:tcW w:w="80" w:type="dxa"/>
            <w:vAlign w:val="bottom"/>
            <w:shd w:val="clear" w:color="auto" w:fill="E0E7ED"/>
          </w:tcPr>
          <w:p>
            <w:pPr>
              <w:spacing w:after="0"/>
              <w:rPr>
                <w:sz w:val="19"/>
                <w:szCs w:val="19"/>
                <w:color w:val="auto"/>
              </w:rPr>
            </w:pPr>
          </w:p>
        </w:tc>
        <w:tc>
          <w:tcPr>
            <w:tcW w:w="160" w:type="dxa"/>
            <w:vAlign w:val="bottom"/>
            <w:shd w:val="clear" w:color="auto" w:fill="E0E7ED"/>
          </w:tcPr>
          <w:p>
            <w:pPr>
              <w:spacing w:after="0"/>
              <w:rPr>
                <w:sz w:val="19"/>
                <w:szCs w:val="19"/>
                <w:color w:val="auto"/>
              </w:rPr>
            </w:pPr>
          </w:p>
        </w:tc>
        <w:tc>
          <w:tcPr>
            <w:tcW w:w="78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for sale</w:t>
            </w:r>
          </w:p>
        </w:tc>
        <w:tc>
          <w:tcPr>
            <w:tcW w:w="220" w:type="dxa"/>
            <w:vAlign w:val="bottom"/>
            <w:vMerge w:val="continue"/>
            <w:shd w:val="clear" w:color="auto" w:fill="E0E7ED"/>
          </w:tcPr>
          <w:p>
            <w:pPr>
              <w:spacing w:after="0"/>
              <w:rPr>
                <w:sz w:val="20"/>
                <w:szCs w:val="20"/>
                <w:color w:val="auto"/>
              </w:rPr>
            </w:pPr>
          </w:p>
        </w:tc>
        <w:tc>
          <w:tcPr>
            <w:tcW w:w="820" w:type="dxa"/>
            <w:vAlign w:val="bottom"/>
            <w:vMerge w:val="continue"/>
            <w:shd w:val="clear" w:color="auto" w:fill="E0E7ED"/>
          </w:tcPr>
          <w:p>
            <w:pPr>
              <w:spacing w:after="0"/>
              <w:rPr>
                <w:sz w:val="20"/>
                <w:szCs w:val="20"/>
                <w:color w:val="auto"/>
              </w:rPr>
            </w:pPr>
          </w:p>
        </w:tc>
        <w:tc>
          <w:tcPr>
            <w:tcW w:w="1300" w:type="dxa"/>
            <w:vAlign w:val="bottom"/>
            <w:gridSpan w:val="4"/>
            <w:vMerge w:val="continue"/>
            <w:shd w:val="clear" w:color="auto" w:fill="E0E7ED"/>
          </w:tcPr>
          <w:p>
            <w:pPr>
              <w:spacing w:after="0"/>
              <w:rPr>
                <w:sz w:val="20"/>
                <w:szCs w:val="20"/>
                <w:color w:val="auto"/>
              </w:rPr>
            </w:pPr>
          </w:p>
        </w:tc>
        <w:tc>
          <w:tcPr>
            <w:tcW w:w="900" w:type="dxa"/>
            <w:vAlign w:val="bottom"/>
            <w:vMerge w:val="continue"/>
            <w:shd w:val="clear" w:color="auto" w:fill="E0E7ED"/>
          </w:tcPr>
          <w:p>
            <w:pPr>
              <w:spacing w:after="0"/>
              <w:rPr>
                <w:sz w:val="20"/>
                <w:szCs w:val="20"/>
                <w:color w:val="auto"/>
              </w:rPr>
            </w:pPr>
          </w:p>
        </w:tc>
        <w:tc>
          <w:tcPr>
            <w:tcW w:w="1300" w:type="dxa"/>
            <w:vAlign w:val="bottom"/>
            <w:gridSpan w:val="4"/>
            <w:vMerge w:val="continue"/>
            <w:shd w:val="clear" w:color="auto" w:fill="E0E7ED"/>
          </w:tcPr>
          <w:p>
            <w:pPr>
              <w:spacing w:after="0"/>
              <w:rPr>
                <w:sz w:val="20"/>
                <w:szCs w:val="20"/>
                <w:color w:val="auto"/>
              </w:rPr>
            </w:pPr>
          </w:p>
        </w:tc>
        <w:tc>
          <w:tcPr>
            <w:tcW w:w="900" w:type="dxa"/>
            <w:vAlign w:val="bottom"/>
            <w:vMerge w:val="continue"/>
            <w:shd w:val="clear" w:color="auto" w:fill="E0E7ED"/>
          </w:tcPr>
          <w:p>
            <w:pPr>
              <w:spacing w:after="0"/>
              <w:rPr>
                <w:sz w:val="20"/>
                <w:szCs w:val="20"/>
                <w:color w:val="auto"/>
              </w:rPr>
            </w:pPr>
          </w:p>
        </w:tc>
        <w:tc>
          <w:tcPr>
            <w:tcW w:w="1240" w:type="dxa"/>
            <w:vAlign w:val="bottom"/>
            <w:gridSpan w:val="4"/>
            <w:vMerge w:val="continue"/>
            <w:shd w:val="clear" w:color="auto" w:fill="E0E7ED"/>
          </w:tcPr>
          <w:p>
            <w:pPr>
              <w:spacing w:after="0"/>
              <w:rPr>
                <w:sz w:val="20"/>
                <w:szCs w:val="20"/>
                <w:color w:val="auto"/>
              </w:rPr>
            </w:pPr>
          </w:p>
        </w:tc>
        <w:tc>
          <w:tcPr>
            <w:tcW w:w="1040" w:type="dxa"/>
            <w:vAlign w:val="bottom"/>
            <w:vMerge w:val="continue"/>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2.89 %</w:t>
            </w:r>
          </w:p>
        </w:tc>
        <w:tc>
          <w:tcPr>
            <w:tcW w:w="0" w:type="dxa"/>
            <w:vAlign w:val="bottom"/>
          </w:tcPr>
          <w:p>
            <w:pPr>
              <w:spacing w:after="0"/>
              <w:rPr>
                <w:sz w:val="1"/>
                <w:szCs w:val="1"/>
                <w:color w:val="auto"/>
              </w:rPr>
            </w:pPr>
          </w:p>
        </w:tc>
      </w:tr>
      <w:tr>
        <w:trPr>
          <w:trHeight w:val="20"/>
        </w:trPr>
        <w:tc>
          <w:tcPr>
            <w:tcW w:w="25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78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38"/>
        </w:numPr>
        <w:rPr>
          <w:rFonts w:ascii="Verdana" w:cs="Verdana" w:eastAsia="Verdana" w:hAnsi="Verdana"/>
          <w:sz w:val="13"/>
          <w:szCs w:val="13"/>
          <w:color w:val="auto"/>
        </w:rPr>
      </w:pPr>
      <w:r>
        <w:rPr>
          <w:rFonts w:ascii="Verdana" w:cs="Verdana" w:eastAsia="Verdana" w:hAnsi="Verdana"/>
          <w:sz w:val="13"/>
          <w:szCs w:val="13"/>
          <w:color w:val="auto"/>
        </w:rPr>
        <w:t>Securities are presented based upon final contractual maturity or pre-refunded date.</w:t>
      </w:r>
    </w:p>
    <w:p>
      <w:pPr>
        <w:ind w:left="480" w:hanging="310"/>
        <w:spacing w:after="0"/>
        <w:tabs>
          <w:tab w:leader="none" w:pos="480" w:val="left"/>
        </w:tabs>
        <w:numPr>
          <w:ilvl w:val="0"/>
          <w:numId w:val="38"/>
        </w:numPr>
        <w:rPr>
          <w:rFonts w:ascii="Verdana" w:cs="Verdana" w:eastAsia="Verdana" w:hAnsi="Verdana"/>
          <w:sz w:val="13"/>
          <w:szCs w:val="13"/>
          <w:color w:val="auto"/>
        </w:rPr>
      </w:pPr>
      <w:r>
        <w:rPr>
          <w:rFonts w:ascii="Verdana" w:cs="Verdana" w:eastAsia="Verdana" w:hAnsi="Verdana"/>
          <w:sz w:val="13"/>
          <w:szCs w:val="13"/>
          <w:color w:val="auto"/>
        </w:rPr>
        <w:t>Weighted average yield calculated on a tax-equivalent basis, assuming a federal income tax rate of 21.0%.</w:t>
      </w:r>
    </w:p>
    <w:p>
      <w:pPr>
        <w:spacing w:after="0" w:line="4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0" w:name="page71"/>
    <w:bookmarkEnd w:id="7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Debt Securities Held to Maturity</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Debt securities held to maturity are carried at amortized cost. Unrecognized losses are included in OCI, and amortized into income over the contractual lives of the securities. An ACL balance will be established for debt securities held to maturity when applicable. No ACL was recorded for our portfolio of debt securities held to maturity as of December 31, 2023 or 2022.</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of December 31, 2023, the amortized cost of debt securities held to maturity was $872.6 million, and the fair value was $730.4 million. There were no gross unrecognized gains and $142.2 million of gross unrecognized losses.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composition of debt securities held to maturity was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 December 31,</w:t>
            </w:r>
          </w:p>
        </w:tc>
        <w:tc>
          <w:tcPr>
            <w:tcW w:w="1100" w:type="dxa"/>
            <w:vAlign w:val="bottom"/>
            <w:tcBorders>
              <w:bottom w:val="single" w:sz="8" w:color="auto"/>
            </w:tcBorders>
          </w:tcPr>
          <w:p>
            <w:pPr>
              <w:spacing w:after="0"/>
              <w:rPr>
                <w:sz w:val="15"/>
                <w:szCs w:val="15"/>
                <w:color w:val="auto"/>
              </w:rPr>
            </w:pPr>
          </w:p>
        </w:tc>
      </w:tr>
      <w:tr>
        <w:trPr>
          <w:trHeight w:val="170"/>
        </w:trPr>
        <w:tc>
          <w:tcPr>
            <w:tcW w:w="758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8"/>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5"/>
              <w:spacing w:after="0"/>
              <w:rPr>
                <w:sz w:val="20"/>
                <w:szCs w:val="20"/>
                <w:color w:val="auto"/>
              </w:rPr>
            </w:pPr>
            <w:r>
              <w:rPr>
                <w:rFonts w:ascii="Verdana" w:cs="Verdana" w:eastAsia="Verdana" w:hAnsi="Verdana"/>
                <w:sz w:val="13"/>
                <w:szCs w:val="13"/>
                <w:b w:val="1"/>
                <w:bCs w:val="1"/>
                <w:color w:val="auto"/>
                <w:w w:val="97"/>
              </w:rPr>
              <w:t>2022</w:t>
            </w:r>
          </w:p>
        </w:tc>
      </w:tr>
      <w:tr>
        <w:trPr>
          <w:trHeight w:val="255"/>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420" w:type="dxa"/>
            <w:vAlign w:val="bottom"/>
            <w:shd w:val="clear" w:color="auto" w:fill="E0E7ED"/>
          </w:tcPr>
          <w:p>
            <w:pPr>
              <w:spacing w:after="0"/>
              <w:rPr>
                <w:sz w:val="22"/>
                <w:szCs w:val="22"/>
                <w:color w:val="auto"/>
              </w:rPr>
            </w:pPr>
          </w:p>
        </w:tc>
        <w:tc>
          <w:tcPr>
            <w:tcW w:w="13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680" w:type="dxa"/>
            <w:vAlign w:val="bottom"/>
            <w:shd w:val="clear" w:color="auto" w:fill="E0E7ED"/>
          </w:tcPr>
          <w:p>
            <w:pPr>
              <w:spacing w:after="0"/>
              <w:rPr>
                <w:sz w:val="22"/>
                <w:szCs w:val="22"/>
                <w:color w:val="auto"/>
              </w:rPr>
            </w:pPr>
          </w:p>
        </w:tc>
        <w:tc>
          <w:tcPr>
            <w:tcW w:w="1100" w:type="dxa"/>
            <w:vAlign w:val="bottom"/>
            <w:shd w:val="clear" w:color="auto" w:fill="E0E7ED"/>
          </w:tcPr>
          <w:p>
            <w:pPr>
              <w:spacing w:after="0"/>
              <w:rPr>
                <w:sz w:val="22"/>
                <w:szCs w:val="22"/>
                <w:color w:val="auto"/>
              </w:rPr>
            </w:pPr>
          </w:p>
        </w:tc>
      </w:tr>
      <w:tr>
        <w:trPr>
          <w:trHeight w:val="263"/>
        </w:trPr>
        <w:tc>
          <w:tcPr>
            <w:tcW w:w="75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198"/>
              <w:spacing w:after="0"/>
              <w:rPr>
                <w:sz w:val="20"/>
                <w:szCs w:val="20"/>
                <w:color w:val="auto"/>
              </w:rPr>
            </w:pPr>
            <w:r>
              <w:rPr>
                <w:rFonts w:ascii="Verdana" w:cs="Verdana" w:eastAsia="Verdana" w:hAnsi="Verdana"/>
                <w:sz w:val="18"/>
                <w:szCs w:val="18"/>
                <w:color w:val="auto"/>
              </w:rPr>
              <w:t>428,526</w:t>
            </w:r>
          </w:p>
        </w:tc>
        <w:tc>
          <w:tcPr>
            <w:tcW w:w="100" w:type="dxa"/>
            <w:vAlign w:val="bottom"/>
          </w:tcPr>
          <w:p>
            <w:pPr>
              <w:spacing w:after="0"/>
              <w:rPr>
                <w:sz w:val="22"/>
                <w:szCs w:val="22"/>
                <w:color w:val="auto"/>
              </w:rPr>
            </w:pPr>
          </w:p>
        </w:tc>
        <w:tc>
          <w:tcPr>
            <w:tcW w:w="680" w:type="dxa"/>
            <w:vAlign w:val="bottom"/>
          </w:tcPr>
          <w:p>
            <w:pPr>
              <w:jc w:val="right"/>
              <w:ind w:right="450"/>
              <w:spacing w:after="0"/>
              <w:rPr>
                <w:sz w:val="20"/>
                <w:szCs w:val="20"/>
                <w:color w:val="auto"/>
              </w:rPr>
            </w:pPr>
            <w:r>
              <w:rPr>
                <w:rFonts w:ascii="Verdana" w:cs="Verdana" w:eastAsia="Verdana" w:hAnsi="Verdana"/>
                <w:sz w:val="18"/>
                <w:szCs w:val="18"/>
                <w:color w:val="auto"/>
              </w:rPr>
              <w:t>$</w:t>
            </w:r>
          </w:p>
        </w:tc>
        <w:tc>
          <w:tcPr>
            <w:tcW w:w="1100" w:type="dxa"/>
            <w:vAlign w:val="bottom"/>
          </w:tcPr>
          <w:p>
            <w:pPr>
              <w:jc w:val="right"/>
              <w:ind w:right="195"/>
              <w:spacing w:after="0"/>
              <w:rPr>
                <w:sz w:val="20"/>
                <w:szCs w:val="20"/>
                <w:color w:val="auto"/>
              </w:rPr>
            </w:pPr>
            <w:r>
              <w:rPr>
                <w:rFonts w:ascii="Verdana" w:cs="Verdana" w:eastAsia="Verdana" w:hAnsi="Verdana"/>
                <w:sz w:val="18"/>
                <w:szCs w:val="18"/>
                <w:color w:val="auto"/>
              </w:rPr>
              <w:t>474,820</w:t>
            </w:r>
          </w:p>
        </w:tc>
      </w:tr>
      <w:tr>
        <w:trPr>
          <w:trHeight w:val="270"/>
        </w:trPr>
        <w:tc>
          <w:tcPr>
            <w:tcW w:w="7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420" w:type="dxa"/>
            <w:vAlign w:val="bottom"/>
            <w:tcBorders>
              <w:bottom w:val="single" w:sz="8" w:color="auto"/>
            </w:tcBorders>
            <w:shd w:val="clear" w:color="auto" w:fill="E0E7ED"/>
          </w:tcPr>
          <w:p>
            <w:pPr>
              <w:spacing w:after="0"/>
              <w:rPr>
                <w:sz w:val="23"/>
                <w:szCs w:val="23"/>
                <w:color w:val="auto"/>
              </w:rPr>
            </w:pPr>
          </w:p>
        </w:tc>
        <w:tc>
          <w:tcPr>
            <w:tcW w:w="1360" w:type="dxa"/>
            <w:vAlign w:val="bottom"/>
            <w:tcBorders>
              <w:bottom w:val="single" w:sz="8" w:color="auto"/>
            </w:tcBorders>
            <w:shd w:val="clear" w:color="auto" w:fill="E0E7ED"/>
          </w:tcPr>
          <w:p>
            <w:pPr>
              <w:jc w:val="right"/>
              <w:ind w:right="198"/>
              <w:spacing w:after="0"/>
              <w:rPr>
                <w:sz w:val="20"/>
                <w:szCs w:val="20"/>
                <w:color w:val="auto"/>
              </w:rPr>
            </w:pPr>
            <w:r>
              <w:rPr>
                <w:rFonts w:ascii="Verdana" w:cs="Verdana" w:eastAsia="Verdana" w:hAnsi="Verdana"/>
                <w:sz w:val="18"/>
                <w:szCs w:val="18"/>
                <w:color w:val="auto"/>
              </w:rPr>
              <w:t>444,102</w:t>
            </w:r>
          </w:p>
        </w:tc>
        <w:tc>
          <w:tcPr>
            <w:tcW w:w="100" w:type="dxa"/>
            <w:vAlign w:val="bottom"/>
            <w:shd w:val="clear" w:color="auto" w:fill="E0E7ED"/>
          </w:tcPr>
          <w:p>
            <w:pPr>
              <w:spacing w:after="0"/>
              <w:rPr>
                <w:sz w:val="23"/>
                <w:szCs w:val="23"/>
                <w:color w:val="auto"/>
              </w:rPr>
            </w:pPr>
          </w:p>
        </w:tc>
        <w:tc>
          <w:tcPr>
            <w:tcW w:w="680" w:type="dxa"/>
            <w:vAlign w:val="bottom"/>
            <w:tcBorders>
              <w:bottom w:val="single" w:sz="8" w:color="auto"/>
            </w:tcBorders>
            <w:shd w:val="clear" w:color="auto" w:fill="E0E7ED"/>
          </w:tcPr>
          <w:p>
            <w:pPr>
              <w:spacing w:after="0"/>
              <w:rPr>
                <w:sz w:val="23"/>
                <w:szCs w:val="23"/>
                <w:color w:val="auto"/>
              </w:rPr>
            </w:pPr>
          </w:p>
        </w:tc>
        <w:tc>
          <w:tcPr>
            <w:tcW w:w="110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443,492</w:t>
            </w:r>
          </w:p>
        </w:tc>
      </w:tr>
      <w:tr>
        <w:trPr>
          <w:trHeight w:val="270"/>
        </w:trPr>
        <w:tc>
          <w:tcPr>
            <w:tcW w:w="7580" w:type="dxa"/>
            <w:vAlign w:val="bottom"/>
          </w:tcPr>
          <w:p>
            <w:pPr>
              <w:ind w:left="20"/>
              <w:spacing w:after="0"/>
              <w:rPr>
                <w:sz w:val="20"/>
                <w:szCs w:val="20"/>
                <w:color w:val="auto"/>
              </w:rPr>
            </w:pPr>
            <w:r>
              <w:rPr>
                <w:rFonts w:ascii="Verdana" w:cs="Verdana" w:eastAsia="Verdana" w:hAnsi="Verdana"/>
                <w:sz w:val="18"/>
                <w:szCs w:val="18"/>
                <w:color w:val="auto"/>
              </w:rPr>
              <w:t>Debt securities held to maturity, amortized cost</w:t>
            </w:r>
          </w:p>
        </w:tc>
        <w:tc>
          <w:tcPr>
            <w:tcW w:w="420" w:type="dxa"/>
            <w:vAlign w:val="bottom"/>
            <w:tcBorders>
              <w:bottom w:val="single" w:sz="8" w:color="auto"/>
            </w:tcBorders>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tcBorders>
              <w:bottom w:val="single" w:sz="8" w:color="auto"/>
            </w:tcBorders>
          </w:tcPr>
          <w:p>
            <w:pPr>
              <w:jc w:val="right"/>
              <w:ind w:right="198"/>
              <w:spacing w:after="0"/>
              <w:rPr>
                <w:sz w:val="20"/>
                <w:szCs w:val="20"/>
                <w:color w:val="auto"/>
              </w:rPr>
            </w:pPr>
            <w:r>
              <w:rPr>
                <w:rFonts w:ascii="Verdana" w:cs="Verdana" w:eastAsia="Verdana" w:hAnsi="Verdana"/>
                <w:sz w:val="18"/>
                <w:szCs w:val="18"/>
                <w:color w:val="auto"/>
              </w:rPr>
              <w:t>872,628</w:t>
            </w:r>
          </w:p>
        </w:tc>
        <w:tc>
          <w:tcPr>
            <w:tcW w:w="100" w:type="dxa"/>
            <w:vAlign w:val="bottom"/>
          </w:tcPr>
          <w:p>
            <w:pPr>
              <w:spacing w:after="0"/>
              <w:rPr>
                <w:sz w:val="23"/>
                <w:szCs w:val="23"/>
                <w:color w:val="auto"/>
              </w:rPr>
            </w:pPr>
          </w:p>
        </w:tc>
        <w:tc>
          <w:tcPr>
            <w:tcW w:w="680" w:type="dxa"/>
            <w:vAlign w:val="bottom"/>
            <w:tcBorders>
              <w:bottom w:val="single" w:sz="8" w:color="auto"/>
            </w:tcBorders>
          </w:tcPr>
          <w:p>
            <w:pPr>
              <w:jc w:val="right"/>
              <w:ind w:right="450"/>
              <w:spacing w:after="0"/>
              <w:rPr>
                <w:sz w:val="20"/>
                <w:szCs w:val="20"/>
                <w:color w:val="auto"/>
              </w:rPr>
            </w:pPr>
            <w:r>
              <w:rPr>
                <w:rFonts w:ascii="Verdana" w:cs="Verdana" w:eastAsia="Verdana" w:hAnsi="Verdana"/>
                <w:sz w:val="18"/>
                <w:szCs w:val="18"/>
                <w:color w:val="auto"/>
              </w:rPr>
              <w:t>$</w:t>
            </w:r>
          </w:p>
        </w:tc>
        <w:tc>
          <w:tcPr>
            <w:tcW w:w="110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918,312</w:t>
            </w:r>
          </w:p>
        </w:tc>
      </w:tr>
      <w:tr>
        <w:trPr>
          <w:trHeight w:val="20"/>
        </w:trPr>
        <w:tc>
          <w:tcPr>
            <w:tcW w:w="7580" w:type="dxa"/>
            <w:vAlign w:val="bottom"/>
            <w:tcBorders>
              <w:bottom w:val="single" w:sz="8" w:color="E0E7ED"/>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7580" w:type="dxa"/>
            <w:vAlign w:val="bottom"/>
            <w:shd w:val="clear" w:color="auto" w:fill="E0E7ED"/>
          </w:tcPr>
          <w:p>
            <w:pPr>
              <w:spacing w:after="0"/>
              <w:rPr>
                <w:sz w:val="20"/>
                <w:szCs w:val="20"/>
                <w:color w:val="auto"/>
              </w:rPr>
            </w:pPr>
          </w:p>
        </w:tc>
        <w:tc>
          <w:tcPr>
            <w:tcW w:w="420" w:type="dxa"/>
            <w:vAlign w:val="bottom"/>
            <w:shd w:val="clear" w:color="auto" w:fill="E0E7ED"/>
          </w:tcPr>
          <w:p>
            <w:pPr>
              <w:spacing w:after="0"/>
              <w:rPr>
                <w:sz w:val="20"/>
                <w:szCs w:val="20"/>
                <w:color w:val="auto"/>
              </w:rPr>
            </w:pPr>
          </w:p>
        </w:tc>
        <w:tc>
          <w:tcPr>
            <w:tcW w:w="13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68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r>
      <w:tr>
        <w:trPr>
          <w:trHeight w:val="270"/>
        </w:trPr>
        <w:tc>
          <w:tcPr>
            <w:tcW w:w="7580" w:type="dxa"/>
            <w:vAlign w:val="bottom"/>
          </w:tcPr>
          <w:p>
            <w:pPr>
              <w:ind w:left="20"/>
              <w:spacing w:after="0"/>
              <w:rPr>
                <w:sz w:val="20"/>
                <w:szCs w:val="20"/>
                <w:color w:val="auto"/>
              </w:rPr>
            </w:pPr>
            <w:r>
              <w:rPr>
                <w:rFonts w:ascii="Verdana" w:cs="Verdana" w:eastAsia="Verdana" w:hAnsi="Verdana"/>
                <w:sz w:val="18"/>
                <w:szCs w:val="18"/>
                <w:color w:val="auto"/>
              </w:rPr>
              <w:t>Debt securities held to maturity, fair value</w:t>
            </w:r>
          </w:p>
        </w:tc>
        <w:tc>
          <w:tcPr>
            <w:tcW w:w="420" w:type="dxa"/>
            <w:vAlign w:val="bottom"/>
            <w:tcBorders>
              <w:bottom w:val="single" w:sz="8" w:color="auto"/>
            </w:tcBorders>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tcBorders>
              <w:bottom w:val="single" w:sz="8" w:color="auto"/>
            </w:tcBorders>
          </w:tcPr>
          <w:p>
            <w:pPr>
              <w:jc w:val="right"/>
              <w:ind w:right="198"/>
              <w:spacing w:after="0"/>
              <w:rPr>
                <w:sz w:val="20"/>
                <w:szCs w:val="20"/>
                <w:color w:val="auto"/>
              </w:rPr>
            </w:pPr>
            <w:r>
              <w:rPr>
                <w:rFonts w:ascii="Verdana" w:cs="Verdana" w:eastAsia="Verdana" w:hAnsi="Verdana"/>
                <w:sz w:val="18"/>
                <w:szCs w:val="18"/>
                <w:color w:val="auto"/>
              </w:rPr>
              <w:t>730,397</w:t>
            </w:r>
          </w:p>
        </w:tc>
        <w:tc>
          <w:tcPr>
            <w:tcW w:w="100" w:type="dxa"/>
            <w:vAlign w:val="bottom"/>
          </w:tcPr>
          <w:p>
            <w:pPr>
              <w:spacing w:after="0"/>
              <w:rPr>
                <w:sz w:val="23"/>
                <w:szCs w:val="23"/>
                <w:color w:val="auto"/>
              </w:rPr>
            </w:pPr>
          </w:p>
        </w:tc>
        <w:tc>
          <w:tcPr>
            <w:tcW w:w="680" w:type="dxa"/>
            <w:vAlign w:val="bottom"/>
            <w:tcBorders>
              <w:bottom w:val="single" w:sz="8" w:color="auto"/>
            </w:tcBorders>
          </w:tcPr>
          <w:p>
            <w:pPr>
              <w:jc w:val="right"/>
              <w:ind w:right="450"/>
              <w:spacing w:after="0"/>
              <w:rPr>
                <w:sz w:val="20"/>
                <w:szCs w:val="20"/>
                <w:color w:val="auto"/>
              </w:rPr>
            </w:pPr>
            <w:r>
              <w:rPr>
                <w:rFonts w:ascii="Verdana" w:cs="Verdana" w:eastAsia="Verdana" w:hAnsi="Verdana"/>
                <w:sz w:val="18"/>
                <w:szCs w:val="18"/>
                <w:color w:val="auto"/>
              </w:rPr>
              <w:t>$</w:t>
            </w:r>
          </w:p>
        </w:tc>
        <w:tc>
          <w:tcPr>
            <w:tcW w:w="110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785,295</w:t>
            </w:r>
          </w:p>
        </w:tc>
      </w:tr>
      <w:tr>
        <w:trPr>
          <w:trHeight w:val="20"/>
        </w:trPr>
        <w:tc>
          <w:tcPr>
            <w:tcW w:w="7580" w:type="dxa"/>
            <w:vAlign w:val="bottom"/>
            <w:tcBorders>
              <w:bottom w:val="single" w:sz="8" w:color="E0E7ED"/>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4"/>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Fair value as a percentage of amortized cost</w:t>
            </w:r>
          </w:p>
        </w:tc>
        <w:tc>
          <w:tcPr>
            <w:tcW w:w="420" w:type="dxa"/>
            <w:vAlign w:val="bottom"/>
            <w:shd w:val="clear" w:color="auto" w:fill="E0E7ED"/>
          </w:tcPr>
          <w:p>
            <w:pPr>
              <w:spacing w:after="0"/>
              <w:rPr>
                <w:sz w:val="22"/>
                <w:szCs w:val="22"/>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83.70 %</w:t>
            </w:r>
          </w:p>
        </w:tc>
        <w:tc>
          <w:tcPr>
            <w:tcW w:w="100" w:type="dxa"/>
            <w:vAlign w:val="bottom"/>
            <w:shd w:val="clear" w:color="auto" w:fill="E0E7ED"/>
          </w:tcPr>
          <w:p>
            <w:pPr>
              <w:spacing w:after="0"/>
              <w:rPr>
                <w:sz w:val="22"/>
                <w:szCs w:val="22"/>
                <w:color w:val="auto"/>
              </w:rPr>
            </w:pPr>
          </w:p>
        </w:tc>
        <w:tc>
          <w:tcPr>
            <w:tcW w:w="680" w:type="dxa"/>
            <w:vAlign w:val="bottom"/>
            <w:shd w:val="clear" w:color="auto" w:fill="E0E7ED"/>
          </w:tcPr>
          <w:p>
            <w:pPr>
              <w:spacing w:after="0"/>
              <w:rPr>
                <w:sz w:val="22"/>
                <w:szCs w:val="22"/>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85.52 %</w:t>
            </w: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By maturity date, fair values and weighted average yields of debt securities held to maturity as of December 31, 2023, are presented in the following table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4"/>
          </w:tcPr>
          <w:p>
            <w:pPr>
              <w:ind w:left="380"/>
              <w:spacing w:after="0"/>
              <w:rPr>
                <w:sz w:val="20"/>
                <w:szCs w:val="20"/>
                <w:color w:val="auto"/>
              </w:rPr>
            </w:pPr>
            <w:r>
              <w:rPr>
                <w:rFonts w:ascii="Verdana" w:cs="Verdana" w:eastAsia="Verdana" w:hAnsi="Verdana"/>
                <w:sz w:val="13"/>
                <w:szCs w:val="13"/>
                <w:b w:val="1"/>
                <w:bCs w:val="1"/>
                <w:color w:val="auto"/>
              </w:rPr>
              <w:t>Due after 1 year</w:t>
            </w:r>
          </w:p>
        </w:tc>
        <w:tc>
          <w:tcPr>
            <w:tcW w:w="280" w:type="dxa"/>
            <w:vAlign w:val="bottom"/>
          </w:tcPr>
          <w:p>
            <w:pPr>
              <w:spacing w:after="0"/>
              <w:rPr>
                <w:sz w:val="13"/>
                <w:szCs w:val="13"/>
                <w:color w:val="auto"/>
              </w:rPr>
            </w:pPr>
          </w:p>
        </w:tc>
        <w:tc>
          <w:tcPr>
            <w:tcW w:w="2280" w:type="dxa"/>
            <w:vAlign w:val="bottom"/>
            <w:gridSpan w:val="4"/>
          </w:tcPr>
          <w:p>
            <w:pPr>
              <w:ind w:left="340"/>
              <w:spacing w:after="0"/>
              <w:rPr>
                <w:sz w:val="20"/>
                <w:szCs w:val="20"/>
                <w:color w:val="auto"/>
              </w:rPr>
            </w:pPr>
            <w:r>
              <w:rPr>
                <w:rFonts w:ascii="Verdana" w:cs="Verdana" w:eastAsia="Verdana" w:hAnsi="Verdana"/>
                <w:sz w:val="13"/>
                <w:szCs w:val="13"/>
                <w:b w:val="1"/>
                <w:bCs w:val="1"/>
                <w:color w:val="auto"/>
              </w:rPr>
              <w:t>Due after 5 years</w:t>
            </w:r>
          </w:p>
        </w:tc>
        <w:tc>
          <w:tcPr>
            <w:tcW w:w="260" w:type="dxa"/>
            <w:vAlign w:val="bottom"/>
          </w:tcPr>
          <w:p>
            <w:pPr>
              <w:spacing w:after="0"/>
              <w:rPr>
                <w:sz w:val="13"/>
                <w:szCs w:val="13"/>
                <w:color w:val="auto"/>
              </w:rPr>
            </w:pPr>
          </w:p>
        </w:tc>
        <w:tc>
          <w:tcPr>
            <w:tcW w:w="1300" w:type="dxa"/>
            <w:vAlign w:val="bottom"/>
            <w:gridSpan w:val="3"/>
          </w:tcPr>
          <w:p>
            <w:pPr>
              <w:jc w:val="right"/>
              <w:ind w:right="20"/>
              <w:spacing w:after="0"/>
              <w:rPr>
                <w:sz w:val="20"/>
                <w:szCs w:val="20"/>
                <w:color w:val="auto"/>
              </w:rPr>
            </w:pPr>
            <w:r>
              <w:rPr>
                <w:rFonts w:ascii="Verdana" w:cs="Verdana" w:eastAsia="Verdana" w:hAnsi="Verdana"/>
                <w:sz w:val="13"/>
                <w:szCs w:val="13"/>
                <w:b w:val="1"/>
                <w:bCs w:val="1"/>
                <w:color w:val="auto"/>
              </w:rPr>
              <w:t>Due after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ind w:left="400"/>
              <w:spacing w:after="0"/>
              <w:rPr>
                <w:sz w:val="20"/>
                <w:szCs w:val="20"/>
                <w:color w:val="auto"/>
              </w:rPr>
            </w:pPr>
            <w:r>
              <w:rPr>
                <w:rFonts w:ascii="Verdana" w:cs="Verdana" w:eastAsia="Verdana" w:hAnsi="Verdana"/>
                <w:sz w:val="13"/>
                <w:szCs w:val="13"/>
                <w:b w:val="1"/>
                <w:bCs w:val="1"/>
                <w:color w:val="auto"/>
              </w:rPr>
              <w:t>through 5 years</w:t>
            </w:r>
          </w:p>
        </w:tc>
        <w:tc>
          <w:tcPr>
            <w:tcW w:w="280" w:type="dxa"/>
            <w:vAlign w:val="bottom"/>
          </w:tcPr>
          <w:p>
            <w:pPr>
              <w:spacing w:after="0"/>
              <w:rPr>
                <w:sz w:val="14"/>
                <w:szCs w:val="14"/>
                <w:color w:val="auto"/>
              </w:rPr>
            </w:pPr>
          </w:p>
        </w:tc>
        <w:tc>
          <w:tcPr>
            <w:tcW w:w="2280" w:type="dxa"/>
            <w:vAlign w:val="bottom"/>
            <w:gridSpan w:val="4"/>
          </w:tcPr>
          <w:p>
            <w:pPr>
              <w:ind w:left="340"/>
              <w:spacing w:after="0"/>
              <w:rPr>
                <w:sz w:val="20"/>
                <w:szCs w:val="20"/>
                <w:color w:val="auto"/>
              </w:rPr>
            </w:pPr>
            <w:r>
              <w:rPr>
                <w:rFonts w:ascii="Verdana" w:cs="Verdana" w:eastAsia="Verdana" w:hAnsi="Verdana"/>
                <w:sz w:val="13"/>
                <w:szCs w:val="13"/>
                <w:b w:val="1"/>
                <w:bCs w:val="1"/>
                <w:color w:val="auto"/>
              </w:rPr>
              <w:t>through 10 years</w:t>
            </w:r>
          </w:p>
        </w:tc>
        <w:tc>
          <w:tcPr>
            <w:tcW w:w="260" w:type="dxa"/>
            <w:vAlign w:val="bottom"/>
          </w:tcPr>
          <w:p>
            <w:pPr>
              <w:spacing w:after="0"/>
              <w:rPr>
                <w:sz w:val="14"/>
                <w:szCs w:val="14"/>
                <w:color w:val="auto"/>
              </w:rPr>
            </w:pPr>
          </w:p>
        </w:tc>
        <w:tc>
          <w:tcPr>
            <w:tcW w:w="1300" w:type="dxa"/>
            <w:vAlign w:val="bottom"/>
            <w:gridSpan w:val="3"/>
          </w:tcPr>
          <w:p>
            <w:pPr>
              <w:jc w:val="right"/>
              <w:ind w:right="20"/>
              <w:spacing w:after="0"/>
              <w:rPr>
                <w:sz w:val="20"/>
                <w:szCs w:val="20"/>
                <w:color w:val="auto"/>
              </w:rPr>
            </w:pPr>
            <w:r>
              <w:rPr>
                <w:rFonts w:ascii="Verdana" w:cs="Verdana" w:eastAsia="Verdana" w:hAnsi="Verdana"/>
                <w:sz w:val="13"/>
                <w:szCs w:val="13"/>
                <w:b w:val="1"/>
                <w:bCs w:val="1"/>
                <w:color w:val="auto"/>
              </w:rPr>
              <w:t>10 years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6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405"/>
              <w:spacing w:after="0"/>
              <w:rPr>
                <w:sz w:val="20"/>
                <w:szCs w:val="20"/>
                <w:color w:val="auto"/>
              </w:rPr>
            </w:pPr>
            <w:r>
              <w:rPr>
                <w:rFonts w:ascii="Verdana" w:cs="Verdana" w:eastAsia="Verdana" w:hAnsi="Verdana"/>
                <w:sz w:val="13"/>
                <w:szCs w:val="13"/>
                <w:b w:val="1"/>
                <w:bCs w:val="1"/>
                <w:color w:val="auto"/>
              </w:rPr>
              <w:t>Fair</w:t>
            </w: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0" w:lineRule="exact"/>
              <w:rPr>
                <w:sz w:val="20"/>
                <w:szCs w:val="20"/>
                <w:color w:val="auto"/>
              </w:rPr>
            </w:pPr>
            <w:r>
              <w:rPr>
                <w:rFonts w:ascii="Verdana" w:cs="Verdana" w:eastAsia="Verdana" w:hAnsi="Verdana"/>
                <w:sz w:val="13"/>
                <w:szCs w:val="13"/>
                <w:b w:val="1"/>
                <w:bCs w:val="1"/>
                <w:color w:val="auto"/>
                <w:w w:val="94"/>
              </w:rPr>
              <w:t>Weighted</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385"/>
              <w:spacing w:after="0"/>
              <w:rPr>
                <w:sz w:val="20"/>
                <w:szCs w:val="20"/>
                <w:color w:val="auto"/>
              </w:rPr>
            </w:pPr>
            <w:r>
              <w:rPr>
                <w:rFonts w:ascii="Verdana" w:cs="Verdana" w:eastAsia="Verdana" w:hAnsi="Verdana"/>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0" w:lineRule="exact"/>
              <w:rPr>
                <w:sz w:val="20"/>
                <w:szCs w:val="20"/>
                <w:color w:val="auto"/>
              </w:rPr>
            </w:pPr>
            <w:r>
              <w:rPr>
                <w:rFonts w:ascii="Verdana" w:cs="Verdana" w:eastAsia="Verdana" w:hAnsi="Verdana"/>
                <w:sz w:val="13"/>
                <w:szCs w:val="13"/>
                <w:b w:val="1"/>
                <w:bCs w:val="1"/>
                <w:color w:val="auto"/>
                <w:w w:val="97"/>
              </w:rPr>
              <w:t>Weighted</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vMerge w:val="restart"/>
          </w:tcPr>
          <w:p>
            <w:pPr>
              <w:jc w:val="right"/>
              <w:ind w:right="820"/>
              <w:spacing w:after="0"/>
              <w:rPr>
                <w:sz w:val="20"/>
                <w:szCs w:val="20"/>
                <w:color w:val="auto"/>
              </w:rPr>
            </w:pPr>
            <w:r>
              <w:rPr>
                <w:rFonts w:ascii="Verdana" w:cs="Verdana" w:eastAsia="Verdana" w:hAnsi="Verdana"/>
                <w:sz w:val="13"/>
                <w:szCs w:val="13"/>
                <w:b w:val="1"/>
                <w:bCs w:val="1"/>
                <w:color w:val="auto"/>
              </w:rPr>
              <w:t>Fair</w:t>
            </w:r>
          </w:p>
        </w:tc>
        <w:tc>
          <w:tcPr>
            <w:tcW w:w="920" w:type="dxa"/>
            <w:vAlign w:val="bottom"/>
            <w:tcBorders>
              <w:top w:val="single" w:sz="8" w:color="auto"/>
            </w:tcBorders>
          </w:tcPr>
          <w:p>
            <w:pPr>
              <w:jc w:val="center"/>
              <w:ind w:right="164"/>
              <w:spacing w:after="0" w:line="120" w:lineRule="exact"/>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2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26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920" w:type="dxa"/>
            <w:vAlign w:val="bottom"/>
          </w:tcPr>
          <w:p>
            <w:pPr>
              <w:jc w:val="center"/>
              <w:ind w:right="164"/>
              <w:spacing w:after="0" w:line="122" w:lineRule="exact"/>
              <w:rPr>
                <w:sz w:val="20"/>
                <w:szCs w:val="20"/>
                <w:color w:val="auto"/>
              </w:rPr>
            </w:pPr>
            <w:r>
              <w:rPr>
                <w:rFonts w:ascii="Verdana" w:cs="Verdana" w:eastAsia="Verdana" w:hAnsi="Verdana"/>
                <w:sz w:val="13"/>
                <w:szCs w:val="13"/>
                <w:b w:val="1"/>
                <w:bCs w:val="1"/>
                <w:color w:val="auto"/>
                <w:w w:val="99"/>
              </w:rPr>
              <w:t>Average</w:t>
            </w: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Verdana" w:cs="Verdana" w:eastAsia="Verdana" w:hAnsi="Verdana"/>
                <w:sz w:val="13"/>
                <w:szCs w:val="13"/>
                <w:b w:val="1"/>
                <w:bCs w:val="1"/>
                <w:color w:val="auto"/>
              </w:rPr>
              <w:t>Value</w:t>
            </w:r>
          </w:p>
        </w:tc>
        <w:tc>
          <w:tcPr>
            <w:tcW w:w="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3"/>
              </w:rPr>
              <w:t>Yield</w:t>
            </w:r>
          </w:p>
        </w:tc>
        <w:tc>
          <w:tcPr>
            <w:tcW w:w="28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Verdana" w:cs="Verdana" w:eastAsia="Verdana" w:hAnsi="Verdana"/>
                <w:sz w:val="13"/>
                <w:szCs w:val="13"/>
                <w:b w:val="1"/>
                <w:bCs w:val="1"/>
                <w:color w:val="auto"/>
              </w:rPr>
              <w:t>Value</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Verdana" w:cs="Verdana" w:eastAsia="Verdana" w:hAnsi="Verdana"/>
                <w:sz w:val="13"/>
                <w:szCs w:val="13"/>
                <w:b w:val="1"/>
                <w:bCs w:val="1"/>
                <w:color w:val="auto"/>
                <w:w w:val="99"/>
              </w:rPr>
              <w:t>Yield</w:t>
            </w:r>
          </w:p>
        </w:tc>
        <w:tc>
          <w:tcPr>
            <w:tcW w:w="260" w:type="dxa"/>
            <w:vAlign w:val="bottom"/>
          </w:tcPr>
          <w:p>
            <w:pPr>
              <w:spacing w:after="0"/>
              <w:rPr>
                <w:sz w:val="14"/>
                <w:szCs w:val="14"/>
                <w:color w:val="auto"/>
              </w:rPr>
            </w:pPr>
          </w:p>
        </w:tc>
        <w:tc>
          <w:tcPr>
            <w:tcW w:w="1300" w:type="dxa"/>
            <w:vAlign w:val="bottom"/>
            <w:gridSpan w:val="3"/>
          </w:tcPr>
          <w:p>
            <w:pPr>
              <w:jc w:val="right"/>
              <w:ind w:right="760"/>
              <w:spacing w:after="0"/>
              <w:rPr>
                <w:sz w:val="20"/>
                <w:szCs w:val="20"/>
                <w:color w:val="auto"/>
              </w:rPr>
            </w:pPr>
            <w:r>
              <w:rPr>
                <w:rFonts w:ascii="Verdana" w:cs="Verdana" w:eastAsia="Verdana" w:hAnsi="Verdana"/>
                <w:sz w:val="13"/>
                <w:szCs w:val="13"/>
                <w:b w:val="1"/>
                <w:bCs w:val="1"/>
                <w:color w:val="auto"/>
              </w:rPr>
              <w:t>Value</w:t>
            </w:r>
          </w:p>
        </w:tc>
        <w:tc>
          <w:tcPr>
            <w:tcW w:w="920" w:type="dxa"/>
            <w:vAlign w:val="bottom"/>
          </w:tcPr>
          <w:p>
            <w:pPr>
              <w:jc w:val="center"/>
              <w:ind w:right="164"/>
              <w:spacing w:after="0"/>
              <w:rPr>
                <w:sz w:val="20"/>
                <w:szCs w:val="20"/>
                <w:color w:val="auto"/>
              </w:rPr>
            </w:pPr>
            <w:r>
              <w:rPr>
                <w:rFonts w:ascii="Verdana" w:cs="Verdana" w:eastAsia="Verdana" w:hAnsi="Verdana"/>
                <w:sz w:val="13"/>
                <w:szCs w:val="13"/>
                <w:b w:val="1"/>
                <w:bCs w:val="1"/>
                <w:color w:val="auto"/>
                <w:w w:val="99"/>
              </w:rPr>
              <w:t>Yield</w:t>
            </w:r>
          </w:p>
        </w:tc>
        <w:tc>
          <w:tcPr>
            <w:tcW w:w="0" w:type="dxa"/>
            <w:vAlign w:val="bottom"/>
          </w:tcPr>
          <w:p>
            <w:pPr>
              <w:spacing w:after="0"/>
              <w:rPr>
                <w:sz w:val="1"/>
                <w:szCs w:val="1"/>
                <w:color w:val="auto"/>
              </w:rPr>
            </w:pPr>
          </w:p>
        </w:tc>
      </w:tr>
      <w:tr>
        <w:trPr>
          <w:trHeight w:val="255"/>
        </w:trPr>
        <w:tc>
          <w:tcPr>
            <w:tcW w:w="36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r>
              <w:rPr>
                <w:rFonts w:ascii="Verdana" w:cs="Verdana" w:eastAsia="Verdana" w:hAnsi="Verdana"/>
                <w:sz w:val="11"/>
                <w:szCs w:val="11"/>
                <w:b w:val="1"/>
                <w:bCs w:val="1"/>
                <w:color w:val="auto"/>
              </w:rPr>
              <w:t>1</w:t>
            </w:r>
          </w:p>
        </w:tc>
        <w:tc>
          <w:tcPr>
            <w:tcW w:w="26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180"/>
              <w:spacing w:after="0"/>
              <w:rPr>
                <w:sz w:val="20"/>
                <w:szCs w:val="20"/>
                <w:color w:val="auto"/>
              </w:rPr>
            </w:pPr>
            <w:r>
              <w:rPr>
                <w:rFonts w:ascii="Verdana" w:cs="Verdana" w:eastAsia="Verdana" w:hAnsi="Verdana"/>
                <w:sz w:val="18"/>
                <w:szCs w:val="18"/>
                <w:color w:val="auto"/>
              </w:rPr>
              <w:t>Commercial mortgage-backed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660" w:type="dxa"/>
            <w:vAlign w:val="bottom"/>
          </w:tcPr>
          <w:p>
            <w:pPr>
              <w:ind w:left="180"/>
              <w:spacing w:after="0"/>
              <w:rPr>
                <w:sz w:val="20"/>
                <w:szCs w:val="20"/>
                <w:color w:val="auto"/>
              </w:rPr>
            </w:pPr>
            <w:r>
              <w:rPr>
                <w:rFonts w:ascii="Verdana" w:cs="Verdana" w:eastAsia="Verdana" w:hAnsi="Verdana"/>
                <w:sz w:val="18"/>
                <w:szCs w:val="18"/>
                <w:color w:val="auto"/>
              </w:rPr>
              <w:t>securities</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25"/>
              <w:spacing w:after="0"/>
              <w:rPr>
                <w:sz w:val="20"/>
                <w:szCs w:val="20"/>
                <w:color w:val="auto"/>
              </w:rPr>
            </w:pPr>
            <w:r>
              <w:rPr>
                <w:rFonts w:ascii="Verdana" w:cs="Verdana" w:eastAsia="Verdana" w:hAnsi="Verdana"/>
                <w:sz w:val="18"/>
                <w:szCs w:val="18"/>
                <w:color w:val="auto"/>
              </w:rPr>
              <w:t>69,373</w:t>
            </w:r>
          </w:p>
        </w:tc>
        <w:tc>
          <w:tcPr>
            <w:tcW w:w="1240" w:type="dxa"/>
            <w:vAlign w:val="bottom"/>
            <w:gridSpan w:val="2"/>
          </w:tcPr>
          <w:p>
            <w:pPr>
              <w:jc w:val="right"/>
              <w:spacing w:after="0"/>
              <w:rPr>
                <w:sz w:val="20"/>
                <w:szCs w:val="20"/>
                <w:color w:val="auto"/>
              </w:rPr>
            </w:pPr>
            <w:r>
              <w:rPr>
                <w:rFonts w:ascii="Verdana" w:cs="Verdana" w:eastAsia="Verdana" w:hAnsi="Verdana"/>
                <w:sz w:val="18"/>
                <w:szCs w:val="18"/>
                <w:color w:val="auto"/>
              </w:rPr>
              <w:t>2.23 %</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5"/>
              <w:spacing w:after="0"/>
              <w:rPr>
                <w:sz w:val="20"/>
                <w:szCs w:val="20"/>
                <w:color w:val="auto"/>
              </w:rPr>
            </w:pPr>
            <w:r>
              <w:rPr>
                <w:rFonts w:ascii="Verdana" w:cs="Verdana" w:eastAsia="Verdana" w:hAnsi="Verdana"/>
                <w:sz w:val="18"/>
                <w:szCs w:val="18"/>
                <w:color w:val="auto"/>
              </w:rPr>
              <w:t>25,824</w:t>
            </w:r>
          </w:p>
        </w:tc>
        <w:tc>
          <w:tcPr>
            <w:tcW w:w="1260" w:type="dxa"/>
            <w:vAlign w:val="bottom"/>
            <w:gridSpan w:val="2"/>
          </w:tcPr>
          <w:p>
            <w:pPr>
              <w:jc w:val="right"/>
              <w:spacing w:after="0"/>
              <w:rPr>
                <w:sz w:val="20"/>
                <w:szCs w:val="20"/>
                <w:color w:val="auto"/>
              </w:rPr>
            </w:pPr>
            <w:r>
              <w:rPr>
                <w:rFonts w:ascii="Verdana" w:cs="Verdana" w:eastAsia="Verdana" w:hAnsi="Verdana"/>
                <w:sz w:val="18"/>
                <w:szCs w:val="18"/>
                <w:color w:val="auto"/>
              </w:rPr>
              <w:t>2.20 %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960" w:type="dxa"/>
            <w:vAlign w:val="bottom"/>
          </w:tcPr>
          <w:p>
            <w:pPr>
              <w:jc w:val="right"/>
              <w:ind w:right="5"/>
              <w:spacing w:after="0"/>
              <w:rPr>
                <w:sz w:val="20"/>
                <w:szCs w:val="20"/>
                <w:color w:val="auto"/>
              </w:rPr>
            </w:pPr>
            <w:r>
              <w:rPr>
                <w:rFonts w:ascii="Verdana" w:cs="Verdana" w:eastAsia="Verdana" w:hAnsi="Verdana"/>
                <w:sz w:val="18"/>
                <w:szCs w:val="18"/>
                <w:color w:val="auto"/>
              </w:rPr>
              <w:t>262,329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2.43 %</w:t>
            </w:r>
          </w:p>
        </w:tc>
        <w:tc>
          <w:tcPr>
            <w:tcW w:w="0" w:type="dxa"/>
            <w:vAlign w:val="bottom"/>
          </w:tcPr>
          <w:p>
            <w:pPr>
              <w:spacing w:after="0"/>
              <w:rPr>
                <w:sz w:val="1"/>
                <w:szCs w:val="1"/>
                <w:color w:val="auto"/>
              </w:rPr>
            </w:pPr>
          </w:p>
        </w:tc>
      </w:tr>
      <w:tr>
        <w:trPr>
          <w:trHeight w:val="244"/>
        </w:trPr>
        <w:tc>
          <w:tcPr>
            <w:tcW w:w="3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w:t>
            </w:r>
          </w:p>
        </w:tc>
        <w:tc>
          <w:tcPr>
            <w:tcW w:w="2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w:t>
            </w:r>
          </w:p>
        </w:tc>
        <w:tc>
          <w:tcPr>
            <w:tcW w:w="260" w:type="dxa"/>
            <w:vAlign w:val="bottom"/>
            <w:tcBorders>
              <w:bottom w:val="single" w:sz="8" w:color="auto"/>
            </w:tcBorders>
            <w:shd w:val="clear" w:color="auto" w:fill="E0E7ED"/>
          </w:tcPr>
          <w:p>
            <w:pPr>
              <w:spacing w:after="0"/>
              <w:rPr>
                <w:sz w:val="21"/>
                <w:szCs w:val="21"/>
                <w:color w:val="auto"/>
              </w:rPr>
            </w:pPr>
          </w:p>
        </w:tc>
        <w:tc>
          <w:tcPr>
            <w:tcW w:w="940" w:type="dxa"/>
            <w:vAlign w:val="bottom"/>
            <w:tcBorders>
              <w:bottom w:val="single" w:sz="8" w:color="auto"/>
            </w:tcBorders>
            <w:shd w:val="clear" w:color="auto" w:fill="E0E7ED"/>
          </w:tcPr>
          <w:p>
            <w:pPr>
              <w:jc w:val="right"/>
              <w:ind w:right="25"/>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1"/>
                <w:szCs w:val="21"/>
                <w:color w:val="auto"/>
              </w:rPr>
            </w:pPr>
          </w:p>
        </w:tc>
        <w:tc>
          <w:tcPr>
            <w:tcW w:w="126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 %</w:t>
            </w:r>
          </w:p>
        </w:tc>
        <w:tc>
          <w:tcPr>
            <w:tcW w:w="280" w:type="dxa"/>
            <w:vAlign w:val="bottom"/>
            <w:tcBorders>
              <w:bottom w:val="single" w:sz="8" w:color="auto"/>
            </w:tcBorders>
            <w:shd w:val="clear" w:color="auto" w:fill="E0E7ED"/>
          </w:tcPr>
          <w:p>
            <w:pPr>
              <w:spacing w:after="0"/>
              <w:rPr>
                <w:sz w:val="21"/>
                <w:szCs w:val="21"/>
                <w:color w:val="auto"/>
              </w:rPr>
            </w:pPr>
          </w:p>
        </w:tc>
        <w:tc>
          <w:tcPr>
            <w:tcW w:w="920" w:type="dxa"/>
            <w:vAlign w:val="bottom"/>
            <w:tcBorders>
              <w:bottom w:val="single" w:sz="8" w:color="auto"/>
            </w:tcBorders>
            <w:shd w:val="clear" w:color="auto" w:fill="E0E7ED"/>
          </w:tcPr>
          <w:p>
            <w:pPr>
              <w:jc w:val="right"/>
              <w:ind w:right="5"/>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1"/>
                <w:szCs w:val="21"/>
                <w:color w:val="auto"/>
              </w:rPr>
            </w:pPr>
          </w:p>
        </w:tc>
        <w:tc>
          <w:tcPr>
            <w:tcW w:w="12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 %</w:t>
            </w:r>
          </w:p>
        </w:tc>
        <w:tc>
          <w:tcPr>
            <w:tcW w:w="260" w:type="dxa"/>
            <w:vAlign w:val="bottom"/>
            <w:tcBorders>
              <w:bottom w:val="single" w:sz="8" w:color="auto"/>
            </w:tcBorders>
            <w:shd w:val="clear" w:color="auto" w:fill="E0E7ED"/>
          </w:tcPr>
          <w:p>
            <w:pPr>
              <w:spacing w:after="0"/>
              <w:rPr>
                <w:sz w:val="21"/>
                <w:szCs w:val="21"/>
                <w:color w:val="auto"/>
              </w:rPr>
            </w:pPr>
          </w:p>
        </w:tc>
        <w:tc>
          <w:tcPr>
            <w:tcW w:w="960" w:type="dxa"/>
            <w:vAlign w:val="bottom"/>
            <w:tcBorders>
              <w:bottom w:val="single" w:sz="8" w:color="auto"/>
            </w:tcBorders>
            <w:shd w:val="clear" w:color="auto" w:fill="E0E7ED"/>
          </w:tcPr>
          <w:p>
            <w:pPr>
              <w:jc w:val="right"/>
              <w:ind w:right="5"/>
              <w:spacing w:after="0"/>
              <w:rPr>
                <w:sz w:val="20"/>
                <w:szCs w:val="20"/>
                <w:color w:val="auto"/>
              </w:rPr>
            </w:pPr>
            <w:r>
              <w:rPr>
                <w:rFonts w:ascii="Verdana" w:cs="Verdana" w:eastAsia="Verdana" w:hAnsi="Verdana"/>
                <w:sz w:val="18"/>
                <w:szCs w:val="18"/>
                <w:color w:val="auto"/>
              </w:rPr>
              <w:t>372,871</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2.21 %</w:t>
            </w:r>
          </w:p>
        </w:tc>
        <w:tc>
          <w:tcPr>
            <w:tcW w:w="0" w:type="dxa"/>
            <w:vAlign w:val="bottom"/>
          </w:tcPr>
          <w:p>
            <w:pPr>
              <w:spacing w:after="0"/>
              <w:rPr>
                <w:sz w:val="1"/>
                <w:szCs w:val="1"/>
                <w:color w:val="auto"/>
              </w:rPr>
            </w:pPr>
          </w:p>
        </w:tc>
      </w:tr>
      <w:tr>
        <w:trPr>
          <w:trHeight w:val="270"/>
        </w:trPr>
        <w:tc>
          <w:tcPr>
            <w:tcW w:w="3660" w:type="dxa"/>
            <w:vAlign w:val="bottom"/>
          </w:tcPr>
          <w:p>
            <w:pPr>
              <w:ind w:left="20"/>
              <w:spacing w:after="0"/>
              <w:rPr>
                <w:sz w:val="20"/>
                <w:szCs w:val="20"/>
                <w:color w:val="auto"/>
              </w:rPr>
            </w:pPr>
            <w:r>
              <w:rPr>
                <w:rFonts w:ascii="Verdana" w:cs="Verdana" w:eastAsia="Verdana" w:hAnsi="Verdana"/>
                <w:sz w:val="18"/>
                <w:szCs w:val="18"/>
                <w:color w:val="auto"/>
              </w:rPr>
              <w:t>Debt securities held to maturity</w:t>
            </w:r>
          </w:p>
        </w:tc>
        <w:tc>
          <w:tcPr>
            <w:tcW w:w="26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w w:val="86"/>
              </w:rPr>
              <w:t>$</w:t>
            </w:r>
          </w:p>
        </w:tc>
        <w:tc>
          <w:tcPr>
            <w:tcW w:w="940" w:type="dxa"/>
            <w:vAlign w:val="bottom"/>
            <w:tcBorders>
              <w:bottom w:val="single" w:sz="8" w:color="auto"/>
            </w:tcBorders>
          </w:tcPr>
          <w:p>
            <w:pPr>
              <w:jc w:val="right"/>
              <w:ind w:right="25"/>
              <w:spacing w:after="0"/>
              <w:rPr>
                <w:sz w:val="20"/>
                <w:szCs w:val="20"/>
                <w:color w:val="auto"/>
              </w:rPr>
            </w:pPr>
            <w:r>
              <w:rPr>
                <w:rFonts w:ascii="Verdana" w:cs="Verdana" w:eastAsia="Verdana" w:hAnsi="Verdana"/>
                <w:sz w:val="18"/>
                <w:szCs w:val="18"/>
                <w:color w:val="auto"/>
              </w:rPr>
              <w:t>69,373</w:t>
            </w:r>
          </w:p>
        </w:tc>
        <w:tc>
          <w:tcPr>
            <w:tcW w:w="1240" w:type="dxa"/>
            <w:vAlign w:val="bottom"/>
            <w:gridSpan w:val="2"/>
          </w:tcPr>
          <w:p>
            <w:pPr>
              <w:jc w:val="right"/>
              <w:spacing w:after="0"/>
              <w:rPr>
                <w:sz w:val="20"/>
                <w:szCs w:val="20"/>
                <w:color w:val="auto"/>
              </w:rPr>
            </w:pPr>
            <w:r>
              <w:rPr>
                <w:rFonts w:ascii="Verdana" w:cs="Verdana" w:eastAsia="Verdana" w:hAnsi="Verdana"/>
                <w:sz w:val="18"/>
                <w:szCs w:val="18"/>
                <w:color w:val="auto"/>
              </w:rPr>
              <w:t>2.23 %</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920" w:type="dxa"/>
            <w:vAlign w:val="bottom"/>
            <w:tcBorders>
              <w:bottom w:val="single" w:sz="8" w:color="auto"/>
            </w:tcBorders>
          </w:tcPr>
          <w:p>
            <w:pPr>
              <w:jc w:val="right"/>
              <w:ind w:right="5"/>
              <w:spacing w:after="0"/>
              <w:rPr>
                <w:sz w:val="20"/>
                <w:szCs w:val="20"/>
                <w:color w:val="auto"/>
              </w:rPr>
            </w:pPr>
            <w:r>
              <w:rPr>
                <w:rFonts w:ascii="Verdana" w:cs="Verdana" w:eastAsia="Verdana" w:hAnsi="Verdana"/>
                <w:sz w:val="18"/>
                <w:szCs w:val="18"/>
                <w:color w:val="auto"/>
              </w:rPr>
              <w:t>25,824</w:t>
            </w:r>
          </w:p>
        </w:tc>
        <w:tc>
          <w:tcPr>
            <w:tcW w:w="1260" w:type="dxa"/>
            <w:vAlign w:val="bottom"/>
            <w:gridSpan w:val="2"/>
          </w:tcPr>
          <w:p>
            <w:pPr>
              <w:jc w:val="right"/>
              <w:spacing w:after="0"/>
              <w:rPr>
                <w:sz w:val="20"/>
                <w:szCs w:val="20"/>
                <w:color w:val="auto"/>
              </w:rPr>
            </w:pPr>
            <w:r>
              <w:rPr>
                <w:rFonts w:ascii="Verdana" w:cs="Verdana" w:eastAsia="Verdana" w:hAnsi="Verdana"/>
                <w:sz w:val="18"/>
                <w:szCs w:val="18"/>
                <w:color w:val="auto"/>
              </w:rPr>
              <w:t>2.20 %</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w w:val="86"/>
              </w:rPr>
              <w:t>$</w:t>
            </w:r>
          </w:p>
        </w:tc>
        <w:tc>
          <w:tcPr>
            <w:tcW w:w="960" w:type="dxa"/>
            <w:vAlign w:val="bottom"/>
            <w:tcBorders>
              <w:bottom w:val="single" w:sz="8" w:color="auto"/>
            </w:tcBorders>
          </w:tcPr>
          <w:p>
            <w:pPr>
              <w:jc w:val="right"/>
              <w:ind w:right="5"/>
              <w:spacing w:after="0"/>
              <w:rPr>
                <w:sz w:val="20"/>
                <w:szCs w:val="20"/>
                <w:color w:val="auto"/>
              </w:rPr>
            </w:pPr>
            <w:r>
              <w:rPr>
                <w:rFonts w:ascii="Verdana" w:cs="Verdana" w:eastAsia="Verdana" w:hAnsi="Verdana"/>
                <w:sz w:val="18"/>
                <w:szCs w:val="18"/>
                <w:color w:val="auto"/>
              </w:rPr>
              <w:t>635,200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2.30 %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39"/>
        </w:numPr>
        <w:rPr>
          <w:rFonts w:ascii="Verdana" w:cs="Verdana" w:eastAsia="Verdana" w:hAnsi="Verdana"/>
          <w:sz w:val="13"/>
          <w:szCs w:val="13"/>
          <w:color w:val="auto"/>
        </w:rPr>
      </w:pPr>
      <w:r>
        <w:rPr>
          <w:rFonts w:ascii="Verdana" w:cs="Verdana" w:eastAsia="Verdana" w:hAnsi="Verdana"/>
          <w:sz w:val="13"/>
          <w:szCs w:val="13"/>
          <w:color w:val="auto"/>
        </w:rPr>
        <w:t>Securities are presented based upon final contractual maturity or pre-refunded date.</w:t>
      </w:r>
    </w:p>
    <w:p>
      <w:pPr>
        <w:spacing w:after="0" w:line="17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Equity Securities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Equity securities are carried at fair value. The fair value of equity securities was $9.8 million as of December 31, 2023, compared to $11.5 million as of December 31, 2022.</w:t>
      </w:r>
    </w:p>
    <w:p>
      <w:pPr>
        <w:spacing w:after="0" w:line="19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1" w:name="page72"/>
    <w:bookmarkEnd w:id="7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Portfolio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We believe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While not specifically limited, we attempt to focus our lending on short to intermediate-term (0-10 years) loans in geographic areas within 125 miles of our lending offices. Loans originated outside of these areas are generally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5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Management reviews and approves Busey Bank’s lending policies and procedures on a regular basis. Management routinely (at least quarterly) 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7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a matter of policy and practice, we limit the level of concentration exposure in any particular loan segment with the goal of maintaining a well-diversified loan portfolio.</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Corporation and its subsidiaries, are reviewed for compliance with regulatory guidelines.</w:t>
      </w:r>
    </w:p>
    <w:p>
      <w:pPr>
        <w:spacing w:after="0" w:line="157"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Busey maintains an independent loan review department that reviews loans for compliance with our loan policy on a periodic basis. In addition, the loan review department reviews risk assessments made by our credit department, lenders, and loan committees. Results of these reviews are presented to management and the audit committee at least quarterly.</w:t>
      </w:r>
    </w:p>
    <w:p>
      <w:pPr>
        <w:spacing w:after="0" w:line="16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Bank’s lending activities can be summarized into two primary categories: commercial and retail. Within these primary categories, loans are further classified into five primary lending areas. The commercial category includes commercial loans, commercial real estate loans, and real estate construction loans. The retail category includes retail real estate loans and retail other loans.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Commercial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Commercial loans typically comprise working capital loans or business expansion loans, including loans for asset purchases and other business loans. Commercial loans will generally be guaranteed, in full or a material percentage, by the primary owners of the business. Commercial loans are made based primarily on the borrower’s historical and projected cash flows and secondarily on the underlying assets pledged as collateral by the borrower. Cash flows of the borrower, however, may not perform consistently with historical or projected information. Further, collateral securing loans may fluctuate in value due to individual economic or other factors. Busey Bank has established minimum standards and underwriting guidelines for all commercial loan types.</w:t>
      </w:r>
    </w:p>
    <w:p>
      <w:pPr>
        <w:spacing w:after="0" w:line="23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2" w:name="page73"/>
    <w:bookmarkEnd w:id="7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Commercial Real Estate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commercial environment, along with the academic presence in some of our markets, provides for the majority of our commercial lending opportunities to be commercial real estate related, including multi -unit housing. As the majority of our loan portfolio is within the commercial real estate class, our goal is to maintain a high quality, geographically diverse portfolio of commercial real estate loans. Commercial real estate loans are subject to underwriting standards and guidelines similar to commercial loans. Commercial real estate loans are generally guaranteed, in full or a material percentage, by the primary owners of the business. Repayment of these loans is primarily dependent on the cash flows of the underlying property. However, commercial real estate loans generally must be supported by an adequate underlying collateral value. The performance and the value of the underlying property may be adversely affected by economic factors or geographical and/or industry specific factors. These loans are subject to other industry guidelines which we closely monitor.</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Real Estate Construction Loans</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Real estate construction loans are primarily commercial in nature. Loan proceeds are monitored by the Company and advanced for the improvement of real estate in which we hold a mortgage. Real estate construction loans will generally be guaranteed, in full or a material percentage, by the developer or primary owners of the business. These loans are subject to underwriting standards and guidelines similar to commercial loans. The loan generally must be supported by an adequate “as completed” value of the underlying project. In addition to the underlying project, the financial history of the developer and business owners weighs significantly in determining approval. Repayment of these loans is typically through permanent financing following completion of the construction. Real estate construction loans are inherently more risky than loans on completed properties as the unimproved nature and the financial risks of construction significantly enhance the risks of commercial real estate loans. These loans are closely monitored and subject to other industry guidelines.</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Retail Real Estate Loans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Retail real estate loans are comprised of direct consumer loans that include residential real estate, home equity lines of credit, and home equity loans. In 2023, Busey retained a larger percentage of originated retail real estate loans in our portfolio, electing to sell a smaller percentage to secondary market purchasers. As retail real estate loan underwriting is subject to specific regulations, we typically underwrite our retail real estate loans to conform to widely accepted standards. Several factors are considered in underwriting including the debt-to-income ratio and credit history of the borrower, as well as the value of the underlying real estate.</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Retail Other Loans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Retail other loans consist of installment loans to individuals, including automotive loans and indirect lending. These loans are centrally underwritten utilizing the borrower’s financial history, including credit scores, as well as information about the underlying collateral. Retail other loans also include whole-life loans which are secured by the cash value of underlying life insurance policies. Repayment of retail other loans is expected from the borrower’s cash flows.</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3" w:name="page74"/>
    <w:bookmarkEnd w:id="7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Portfolio Composition</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composition of our loan portfolio as of the dates indicated, as well as changes in portfolio loan balances,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20" w:type="dxa"/>
            <w:vAlign w:val="bottom"/>
            <w:gridSpan w:val="5"/>
          </w:tcPr>
          <w:p>
            <w:pPr>
              <w:ind w:left="600"/>
              <w:spacing w:after="0"/>
              <w:rPr>
                <w:sz w:val="20"/>
                <w:szCs w:val="20"/>
                <w:color w:val="auto"/>
              </w:rPr>
            </w:pPr>
            <w:r>
              <w:rPr>
                <w:rFonts w:ascii="Verdana" w:cs="Verdana" w:eastAsia="Verdana" w:hAnsi="Verdana"/>
                <w:sz w:val="13"/>
                <w:szCs w:val="13"/>
                <w:b w:val="1"/>
                <w:bCs w:val="1"/>
                <w:color w:val="auto"/>
              </w:rPr>
              <w:t>As of December 31,</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0"/>
        </w:trPr>
        <w:tc>
          <w:tcPr>
            <w:tcW w:w="444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Borders>
              <w:bottom w:val="single" w:sz="8" w:color="E0E7ED"/>
            </w:tcBorders>
          </w:tcPr>
          <w:p>
            <w:pPr>
              <w:spacing w:after="0"/>
              <w:rPr>
                <w:sz w:val="14"/>
                <w:szCs w:val="14"/>
                <w:color w:val="auto"/>
              </w:rPr>
            </w:pPr>
          </w:p>
        </w:tc>
        <w:tc>
          <w:tcPr>
            <w:tcW w:w="1720" w:type="dxa"/>
            <w:vAlign w:val="bottom"/>
            <w:tcBorders>
              <w:bottom w:val="single" w:sz="8" w:color="auto"/>
            </w:tcBorders>
          </w:tcPr>
          <w:p>
            <w:pPr>
              <w:jc w:val="right"/>
              <w:ind w:right="43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720" w:type="dxa"/>
            <w:vAlign w:val="bottom"/>
            <w:shd w:val="clear" w:color="auto" w:fill="E0E7ED"/>
          </w:tcPr>
          <w:p>
            <w:pPr>
              <w:spacing w:after="0"/>
              <w:rPr>
                <w:sz w:val="22"/>
                <w:szCs w:val="22"/>
                <w:color w:val="auto"/>
              </w:rPr>
            </w:pPr>
          </w:p>
        </w:tc>
      </w:tr>
      <w:tr>
        <w:trPr>
          <w:trHeight w:val="263"/>
        </w:trPr>
        <w:tc>
          <w:tcPr>
            <w:tcW w:w="44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1,835,994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1,974,154</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(138,160)</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(7.0)%</w:t>
            </w: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3,261,873</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75,464</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2.3 %</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530,469</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(68,752)</w:t>
            </w:r>
          </w:p>
        </w:tc>
        <w:tc>
          <w:tcPr>
            <w:tcW w:w="18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(13.0)%</w:t>
            </w: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5,766,496</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(131,448)</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(2.3)%</w:t>
            </w:r>
          </w:p>
        </w:tc>
      </w:tr>
      <w:tr>
        <w:trPr>
          <w:trHeight w:val="243"/>
        </w:trPr>
        <w:tc>
          <w:tcPr>
            <w:tcW w:w="44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1,657,082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63,373</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3.8 %</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302,124</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(6,593)</w:t>
            </w:r>
          </w:p>
        </w:tc>
        <w:tc>
          <w:tcPr>
            <w:tcW w:w="18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(2.2)%</w:t>
            </w:r>
          </w:p>
        </w:tc>
      </w:tr>
      <w:tr>
        <w:trPr>
          <w:trHeight w:val="263"/>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6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c>
          <w:tcPr>
            <w:tcW w:w="10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1,959,206</w:t>
            </w:r>
          </w:p>
        </w:tc>
        <w:tc>
          <w:tcPr>
            <w:tcW w:w="10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56,780</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2.9 %</w:t>
            </w:r>
          </w:p>
        </w:tc>
      </w:tr>
      <w:tr>
        <w:trPr>
          <w:trHeight w:val="263"/>
        </w:trPr>
        <w:tc>
          <w:tcPr>
            <w:tcW w:w="444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7,651,034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7,725,702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(74,668)</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(1.0)%</w:t>
            </w: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(91,608)</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(132)</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(0.1)%</w:t>
            </w:r>
          </w:p>
        </w:tc>
      </w:tr>
      <w:tr>
        <w:trPr>
          <w:trHeight w:val="270"/>
        </w:trPr>
        <w:tc>
          <w:tcPr>
            <w:tcW w:w="444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7,559,294</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7,634,094</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(74,800)</w:t>
            </w:r>
          </w:p>
        </w:tc>
        <w:tc>
          <w:tcPr>
            <w:tcW w:w="1820" w:type="dxa"/>
            <w:vAlign w:val="bottom"/>
            <w:gridSpan w:val="2"/>
          </w:tcPr>
          <w:p>
            <w:pPr>
              <w:jc w:val="right"/>
              <w:spacing w:after="0"/>
              <w:rPr>
                <w:sz w:val="20"/>
                <w:szCs w:val="20"/>
                <w:color w:val="auto"/>
              </w:rPr>
            </w:pPr>
            <w:r>
              <w:rPr>
                <w:rFonts w:ascii="Verdana" w:cs="Verdana" w:eastAsia="Verdana" w:hAnsi="Verdana"/>
                <w:sz w:val="18"/>
                <w:szCs w:val="18"/>
                <w:color w:val="auto"/>
              </w:rPr>
              <w:t>(1.0)%</w:t>
            </w:r>
          </w:p>
        </w:tc>
      </w:tr>
      <w:tr>
        <w:trPr>
          <w:trHeight w:val="21"/>
        </w:trPr>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Commercial balances decreased by $131.4 million, or 2.3%, during the year ended December 31, 2023. Retail balances increased by $56.8 million, or 2.9%, during the year ended December 31, 2023. As has been our practice, we remain steadfast in our conservative approach to underwriting and disciplined approach to pricing, particularly given our outlook for the economy in the coming quarters, and this approach has impacted loan growth for 2023 as predicted.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Geographic distributions of portfolio loans, based on origination, by category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Verdana" w:cs="Verdana" w:eastAsia="Verdana" w:hAnsi="Verdana"/>
                <w:sz w:val="13"/>
                <w:szCs w:val="13"/>
                <w:b w:val="1"/>
                <w:bCs w:val="1"/>
                <w:color w:val="auto"/>
                <w:w w:val="96"/>
              </w:rPr>
              <w:t>December 31, 2023</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0"/>
        </w:trPr>
        <w:tc>
          <w:tcPr>
            <w:tcW w:w="2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Verdana" w:cs="Verdana" w:eastAsia="Verdana" w:hAnsi="Verdana"/>
                <w:sz w:val="13"/>
                <w:szCs w:val="13"/>
                <w:b w:val="1"/>
                <w:bCs w:val="1"/>
                <w:color w:val="auto"/>
              </w:rPr>
              <w:t>Illinois</w:t>
            </w: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Missouri</w:t>
            </w:r>
          </w:p>
        </w:tc>
        <w:tc>
          <w:tcPr>
            <w:tcW w:w="34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Verdana" w:cs="Verdana" w:eastAsia="Verdana" w:hAnsi="Verdana"/>
                <w:sz w:val="13"/>
                <w:szCs w:val="13"/>
                <w:b w:val="1"/>
                <w:bCs w:val="1"/>
                <w:color w:val="auto"/>
                <w:w w:val="98"/>
              </w:rPr>
              <w:t>Florida</w:t>
            </w:r>
          </w:p>
        </w:tc>
        <w:tc>
          <w:tcPr>
            <w:tcW w:w="32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Indiana</w:t>
            </w:r>
          </w:p>
        </w:tc>
        <w:tc>
          <w:tcPr>
            <w:tcW w:w="360" w:type="dxa"/>
            <w:vAlign w:val="bottom"/>
          </w:tcPr>
          <w:p>
            <w:pPr>
              <w:spacing w:after="0"/>
              <w:rPr>
                <w:sz w:val="14"/>
                <w:szCs w:val="14"/>
                <w:color w:val="auto"/>
              </w:rPr>
            </w:pPr>
          </w:p>
        </w:tc>
        <w:tc>
          <w:tcPr>
            <w:tcW w:w="1240" w:type="dxa"/>
            <w:vAlign w:val="bottom"/>
          </w:tcPr>
          <w:p>
            <w:pPr>
              <w:jc w:val="right"/>
              <w:ind w:right="532"/>
              <w:spacing w:after="0"/>
              <w:rPr>
                <w:sz w:val="20"/>
                <w:szCs w:val="20"/>
                <w:color w:val="auto"/>
              </w:rPr>
            </w:pPr>
            <w:r>
              <w:rPr>
                <w:rFonts w:ascii="Verdana" w:cs="Verdana" w:eastAsia="Verdana" w:hAnsi="Verdana"/>
                <w:sz w:val="13"/>
                <w:szCs w:val="13"/>
                <w:b w:val="1"/>
                <w:bCs w:val="1"/>
                <w:color w:val="auto"/>
              </w:rPr>
              <w:t>Total</w:t>
            </w:r>
          </w:p>
        </w:tc>
      </w:tr>
      <w:tr>
        <w:trPr>
          <w:trHeight w:val="255"/>
        </w:trPr>
        <w:tc>
          <w:tcPr>
            <w:tcW w:w="29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r>
      <w:tr>
        <w:trPr>
          <w:trHeight w:val="263"/>
        </w:trPr>
        <w:tc>
          <w:tcPr>
            <w:tcW w:w="292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1,395,020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369,767</w:t>
            </w:r>
          </w:p>
        </w:tc>
        <w:tc>
          <w:tcPr>
            <w:tcW w:w="100" w:type="dxa"/>
            <w:vAlign w:val="bottom"/>
          </w:tcPr>
          <w:p>
            <w:pPr>
              <w:spacing w:after="0"/>
              <w:rPr>
                <w:sz w:val="22"/>
                <w:szCs w:val="22"/>
                <w:color w:val="auto"/>
              </w:rPr>
            </w:pPr>
          </w:p>
        </w:tc>
        <w:tc>
          <w:tcPr>
            <w:tcW w:w="340" w:type="dxa"/>
            <w:vAlign w:val="bottom"/>
          </w:tcPr>
          <w:p>
            <w:pPr>
              <w:jc w:val="right"/>
              <w:ind w:right="119"/>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25,267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45,940</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1,835,994</w:t>
            </w:r>
          </w:p>
        </w:tc>
      </w:tr>
      <w:tr>
        <w:trPr>
          <w:trHeight w:val="277"/>
        </w:trPr>
        <w:tc>
          <w:tcPr>
            <w:tcW w:w="29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2,278,348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671,762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219,511</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167,716</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r>
      <w:tr>
        <w:trPr>
          <w:trHeight w:val="263"/>
        </w:trPr>
        <w:tc>
          <w:tcPr>
            <w:tcW w:w="29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255,879</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74,805</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72,121</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58,912</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r>
      <w:tr>
        <w:trPr>
          <w:trHeight w:val="270"/>
        </w:trPr>
        <w:tc>
          <w:tcPr>
            <w:tcW w:w="29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3,929,247</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1,116,334</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316,899</w:t>
            </w:r>
          </w:p>
        </w:tc>
        <w:tc>
          <w:tcPr>
            <w:tcW w:w="10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272,568</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r>
      <w:tr>
        <w:trPr>
          <w:trHeight w:val="243"/>
        </w:trPr>
        <w:tc>
          <w:tcPr>
            <w:tcW w:w="292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7"/>
        </w:trPr>
        <w:tc>
          <w:tcPr>
            <w:tcW w:w="29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1,284,362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225,610</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129,454</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81,029</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r>
      <w:tr>
        <w:trPr>
          <w:trHeight w:val="263"/>
        </w:trPr>
        <w:tc>
          <w:tcPr>
            <w:tcW w:w="29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290,937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2,344</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1,111</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1,139</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r>
      <w:tr>
        <w:trPr>
          <w:trHeight w:val="264"/>
        </w:trPr>
        <w:tc>
          <w:tcPr>
            <w:tcW w:w="29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4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1,575,299</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227,954</w:t>
            </w:r>
          </w:p>
        </w:tc>
        <w:tc>
          <w:tcPr>
            <w:tcW w:w="10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130,565</w:t>
            </w:r>
          </w:p>
        </w:tc>
        <w:tc>
          <w:tcPr>
            <w:tcW w:w="10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82,168</w:t>
            </w:r>
          </w:p>
        </w:tc>
        <w:tc>
          <w:tcPr>
            <w:tcW w:w="80" w:type="dxa"/>
            <w:vAlign w:val="bottom"/>
            <w:shd w:val="clear" w:color="auto" w:fill="E0E7ED"/>
          </w:tcPr>
          <w:p>
            <w:pPr>
              <w:spacing w:after="0"/>
              <w:rPr>
                <w:sz w:val="22"/>
                <w:szCs w:val="22"/>
                <w:color w:val="auto"/>
              </w:rPr>
            </w:pPr>
          </w:p>
        </w:tc>
        <w:tc>
          <w:tcPr>
            <w:tcW w:w="36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r>
      <w:tr>
        <w:trPr>
          <w:trHeight w:val="270"/>
        </w:trPr>
        <w:tc>
          <w:tcPr>
            <w:tcW w:w="292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4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5,504,546</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1,344,288</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9"/>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447,464</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354,736</w:t>
            </w:r>
          </w:p>
        </w:tc>
        <w:tc>
          <w:tcPr>
            <w:tcW w:w="8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7,651,034</w:t>
            </w:r>
          </w:p>
        </w:tc>
      </w:tr>
      <w:tr>
        <w:trPr>
          <w:trHeight w:val="20"/>
        </w:trPr>
        <w:tc>
          <w:tcPr>
            <w:tcW w:w="292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r>
      <w:tr>
        <w:trPr>
          <w:trHeight w:val="230"/>
        </w:trPr>
        <w:tc>
          <w:tcPr>
            <w:tcW w:w="29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tcBorders>
              <w:bottom w:val="single" w:sz="8" w:color="auto"/>
            </w:tcBorders>
            <w:shd w:val="clear" w:color="auto" w:fill="E0E7ED"/>
          </w:tcPr>
          <w:p>
            <w:pPr>
              <w:spacing w:after="0"/>
              <w:rPr>
                <w:sz w:val="20"/>
                <w:szCs w:val="20"/>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(91,740)</w:t>
            </w:r>
          </w:p>
        </w:tc>
      </w:tr>
      <w:tr>
        <w:trPr>
          <w:trHeight w:val="270"/>
        </w:trPr>
        <w:tc>
          <w:tcPr>
            <w:tcW w:w="292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7,559,294</w:t>
            </w:r>
          </w:p>
        </w:tc>
      </w:tr>
      <w:tr>
        <w:trPr>
          <w:trHeight w:val="20"/>
        </w:trPr>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4" w:name="page75"/>
    <w:bookmarkEnd w:id="7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Verdana" w:cs="Verdana" w:eastAsia="Verdana" w:hAnsi="Verdana"/>
                <w:sz w:val="13"/>
                <w:szCs w:val="13"/>
                <w:b w:val="1"/>
                <w:bCs w:val="1"/>
                <w:color w:val="auto"/>
                <w:w w:val="96"/>
              </w:rPr>
              <w:t>December 31, 2022</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0"/>
        </w:trPr>
        <w:tc>
          <w:tcPr>
            <w:tcW w:w="2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Verdana" w:cs="Verdana" w:eastAsia="Verdana" w:hAnsi="Verdana"/>
                <w:sz w:val="13"/>
                <w:szCs w:val="13"/>
                <w:b w:val="1"/>
                <w:bCs w:val="1"/>
                <w:color w:val="auto"/>
              </w:rPr>
              <w:t>Illinois</w:t>
            </w: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Missouri</w:t>
            </w:r>
          </w:p>
        </w:tc>
        <w:tc>
          <w:tcPr>
            <w:tcW w:w="34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Verdana" w:cs="Verdana" w:eastAsia="Verdana" w:hAnsi="Verdana"/>
                <w:sz w:val="13"/>
                <w:szCs w:val="13"/>
                <w:b w:val="1"/>
                <w:bCs w:val="1"/>
                <w:color w:val="auto"/>
                <w:w w:val="98"/>
              </w:rPr>
              <w:t>Florida</w:t>
            </w:r>
          </w:p>
        </w:tc>
        <w:tc>
          <w:tcPr>
            <w:tcW w:w="32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Indiana</w:t>
            </w:r>
          </w:p>
        </w:tc>
        <w:tc>
          <w:tcPr>
            <w:tcW w:w="360" w:type="dxa"/>
            <w:vAlign w:val="bottom"/>
          </w:tcPr>
          <w:p>
            <w:pPr>
              <w:spacing w:after="0"/>
              <w:rPr>
                <w:sz w:val="14"/>
                <w:szCs w:val="14"/>
                <w:color w:val="auto"/>
              </w:rPr>
            </w:pPr>
          </w:p>
        </w:tc>
        <w:tc>
          <w:tcPr>
            <w:tcW w:w="1240" w:type="dxa"/>
            <w:vAlign w:val="bottom"/>
          </w:tcPr>
          <w:p>
            <w:pPr>
              <w:jc w:val="right"/>
              <w:ind w:right="532"/>
              <w:spacing w:after="0"/>
              <w:rPr>
                <w:sz w:val="20"/>
                <w:szCs w:val="20"/>
                <w:color w:val="auto"/>
              </w:rPr>
            </w:pPr>
            <w:r>
              <w:rPr>
                <w:rFonts w:ascii="Verdana" w:cs="Verdana" w:eastAsia="Verdana" w:hAnsi="Verdana"/>
                <w:sz w:val="13"/>
                <w:szCs w:val="13"/>
                <w:b w:val="1"/>
                <w:bCs w:val="1"/>
                <w:color w:val="auto"/>
              </w:rPr>
              <w:t>Total</w:t>
            </w:r>
          </w:p>
        </w:tc>
      </w:tr>
      <w:tr>
        <w:trPr>
          <w:trHeight w:val="255"/>
        </w:trPr>
        <w:tc>
          <w:tcPr>
            <w:tcW w:w="29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r>
      <w:tr>
        <w:trPr>
          <w:trHeight w:val="263"/>
        </w:trPr>
        <w:tc>
          <w:tcPr>
            <w:tcW w:w="292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1,401,165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466,904</w:t>
            </w:r>
          </w:p>
        </w:tc>
        <w:tc>
          <w:tcPr>
            <w:tcW w:w="100" w:type="dxa"/>
            <w:vAlign w:val="bottom"/>
          </w:tcPr>
          <w:p>
            <w:pPr>
              <w:spacing w:after="0"/>
              <w:rPr>
                <w:sz w:val="22"/>
                <w:szCs w:val="22"/>
                <w:color w:val="auto"/>
              </w:rPr>
            </w:pPr>
          </w:p>
        </w:tc>
        <w:tc>
          <w:tcPr>
            <w:tcW w:w="340" w:type="dxa"/>
            <w:vAlign w:val="bottom"/>
          </w:tcPr>
          <w:p>
            <w:pPr>
              <w:jc w:val="right"/>
              <w:ind w:right="119"/>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52,925</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53,160</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1,974,154</w:t>
            </w:r>
          </w:p>
        </w:tc>
      </w:tr>
      <w:tr>
        <w:trPr>
          <w:trHeight w:val="277"/>
        </w:trPr>
        <w:tc>
          <w:tcPr>
            <w:tcW w:w="29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2,180,767</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680,532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220,939</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179,635</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3,261,873</w:t>
            </w:r>
          </w:p>
        </w:tc>
      </w:tr>
      <w:tr>
        <w:trPr>
          <w:trHeight w:val="263"/>
        </w:trPr>
        <w:tc>
          <w:tcPr>
            <w:tcW w:w="29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326,154</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131,782</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31,212</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41,321</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530,469</w:t>
            </w:r>
          </w:p>
        </w:tc>
      </w:tr>
      <w:tr>
        <w:trPr>
          <w:trHeight w:val="270"/>
        </w:trPr>
        <w:tc>
          <w:tcPr>
            <w:tcW w:w="29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3,908,086</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1,279,218</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305,076</w:t>
            </w:r>
          </w:p>
        </w:tc>
        <w:tc>
          <w:tcPr>
            <w:tcW w:w="10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274,116</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5,766,496</w:t>
            </w:r>
          </w:p>
        </w:tc>
      </w:tr>
      <w:tr>
        <w:trPr>
          <w:trHeight w:val="243"/>
        </w:trPr>
        <w:tc>
          <w:tcPr>
            <w:tcW w:w="292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7"/>
        </w:trPr>
        <w:tc>
          <w:tcPr>
            <w:tcW w:w="29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1,253,069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210,048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122,397</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71,568</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1,657,082</w:t>
            </w:r>
          </w:p>
        </w:tc>
      </w:tr>
      <w:tr>
        <w:trPr>
          <w:trHeight w:val="264"/>
        </w:trPr>
        <w:tc>
          <w:tcPr>
            <w:tcW w:w="29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296,719</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2,565</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1,788</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1,052</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302,124</w:t>
            </w:r>
          </w:p>
        </w:tc>
      </w:tr>
      <w:tr>
        <w:trPr>
          <w:trHeight w:val="263"/>
        </w:trPr>
        <w:tc>
          <w:tcPr>
            <w:tcW w:w="29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4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1,549,788</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212,613</w:t>
            </w:r>
          </w:p>
        </w:tc>
        <w:tc>
          <w:tcPr>
            <w:tcW w:w="10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124,185</w:t>
            </w:r>
          </w:p>
        </w:tc>
        <w:tc>
          <w:tcPr>
            <w:tcW w:w="10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72,620</w:t>
            </w:r>
          </w:p>
        </w:tc>
        <w:tc>
          <w:tcPr>
            <w:tcW w:w="80" w:type="dxa"/>
            <w:vAlign w:val="bottom"/>
            <w:shd w:val="clear" w:color="auto" w:fill="E0E7ED"/>
          </w:tcPr>
          <w:p>
            <w:pPr>
              <w:spacing w:after="0"/>
              <w:rPr>
                <w:sz w:val="22"/>
                <w:szCs w:val="22"/>
                <w:color w:val="auto"/>
              </w:rPr>
            </w:pPr>
          </w:p>
        </w:tc>
        <w:tc>
          <w:tcPr>
            <w:tcW w:w="36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1,959,206</w:t>
            </w:r>
          </w:p>
        </w:tc>
      </w:tr>
      <w:tr>
        <w:trPr>
          <w:trHeight w:val="270"/>
        </w:trPr>
        <w:tc>
          <w:tcPr>
            <w:tcW w:w="292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4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5,457,874</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1,491,831</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9"/>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429,261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346,736</w:t>
            </w:r>
          </w:p>
        </w:tc>
        <w:tc>
          <w:tcPr>
            <w:tcW w:w="8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7,725,702</w:t>
            </w:r>
          </w:p>
        </w:tc>
      </w:tr>
      <w:tr>
        <w:trPr>
          <w:trHeight w:val="20"/>
        </w:trPr>
        <w:tc>
          <w:tcPr>
            <w:tcW w:w="292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r>
      <w:tr>
        <w:trPr>
          <w:trHeight w:val="230"/>
        </w:trPr>
        <w:tc>
          <w:tcPr>
            <w:tcW w:w="29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tcBorders>
              <w:bottom w:val="single" w:sz="8" w:color="auto"/>
            </w:tcBorders>
            <w:shd w:val="clear" w:color="auto" w:fill="E0E7ED"/>
          </w:tcPr>
          <w:p>
            <w:pPr>
              <w:spacing w:after="0"/>
              <w:rPr>
                <w:sz w:val="20"/>
                <w:szCs w:val="20"/>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(91,608)</w:t>
            </w:r>
          </w:p>
        </w:tc>
      </w:tr>
      <w:tr>
        <w:trPr>
          <w:trHeight w:val="270"/>
        </w:trPr>
        <w:tc>
          <w:tcPr>
            <w:tcW w:w="292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7,634,094</w:t>
            </w:r>
          </w:p>
        </w:tc>
      </w:tr>
      <w:tr>
        <w:trPr>
          <w:trHeight w:val="21"/>
        </w:trPr>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Commercial real estate loans are made across a variety of industries, as depicted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Balances reflected in the table below do not include loan origination fees or costs, purchase accounting adjustments, SBA discounts, or negative escrow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612"/>
              <w:spacing w:after="0"/>
              <w:rPr>
                <w:sz w:val="20"/>
                <w:szCs w:val="20"/>
                <w:color w:val="auto"/>
              </w:rPr>
            </w:pPr>
            <w:r>
              <w:rPr>
                <w:rFonts w:ascii="Verdana" w:cs="Verdana" w:eastAsia="Verdana" w:hAnsi="Verdana"/>
                <w:sz w:val="13"/>
                <w:szCs w:val="13"/>
                <w:b w:val="1"/>
                <w:bCs w:val="1"/>
                <w:color w:val="auto"/>
              </w:rPr>
              <w:t>As of December 31, 2023</w:t>
            </w: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Investor Owned</w:t>
            </w:r>
          </w:p>
        </w:tc>
        <w:tc>
          <w:tcPr>
            <w:tcW w:w="18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Owner Occupied</w:t>
            </w:r>
          </w:p>
        </w:tc>
        <w:tc>
          <w:tcPr>
            <w:tcW w:w="340" w:type="dxa"/>
            <w:vAlign w:val="bottom"/>
          </w:tcPr>
          <w:p>
            <w:pPr>
              <w:spacing w:after="0"/>
              <w:rPr>
                <w:sz w:val="14"/>
                <w:szCs w:val="14"/>
                <w:color w:val="auto"/>
              </w:rPr>
            </w:pPr>
          </w:p>
        </w:tc>
        <w:tc>
          <w:tcPr>
            <w:tcW w:w="1260" w:type="dxa"/>
            <w:vAlign w:val="bottom"/>
          </w:tcPr>
          <w:p>
            <w:pPr>
              <w:jc w:val="right"/>
              <w:ind w:right="532"/>
              <w:spacing w:after="0"/>
              <w:rPr>
                <w:sz w:val="20"/>
                <w:szCs w:val="20"/>
                <w:color w:val="auto"/>
              </w:rPr>
            </w:pPr>
            <w:r>
              <w:rPr>
                <w:rFonts w:ascii="Verdana" w:cs="Verdana" w:eastAsia="Verdana" w:hAnsi="Verdana"/>
                <w:sz w:val="13"/>
                <w:szCs w:val="13"/>
                <w:b w:val="1"/>
                <w:bCs w:val="1"/>
                <w:color w:val="auto"/>
              </w:rPr>
              <w:t>Total</w:t>
            </w:r>
          </w:p>
        </w:tc>
        <w:tc>
          <w:tcPr>
            <w:tcW w:w="80" w:type="dxa"/>
            <w:vAlign w:val="bottom"/>
          </w:tcPr>
          <w:p>
            <w:pPr>
              <w:spacing w:after="0"/>
              <w:rPr>
                <w:sz w:val="14"/>
                <w:szCs w:val="14"/>
                <w:color w:val="auto"/>
              </w:rPr>
            </w:pPr>
          </w:p>
        </w:tc>
        <w:tc>
          <w:tcPr>
            <w:tcW w:w="1720" w:type="dxa"/>
            <w:vAlign w:val="bottom"/>
          </w:tcPr>
          <w:p>
            <w:pPr>
              <w:jc w:val="right"/>
              <w:ind w:right="97"/>
              <w:spacing w:after="0"/>
              <w:rPr>
                <w:sz w:val="20"/>
                <w:szCs w:val="20"/>
                <w:color w:val="auto"/>
              </w:rPr>
            </w:pPr>
            <w:r>
              <w:rPr>
                <w:rFonts w:ascii="Verdana" w:cs="Verdana" w:eastAsia="Verdana" w:hAnsi="Verdana"/>
                <w:sz w:val="13"/>
                <w:szCs w:val="13"/>
                <w:b w:val="1"/>
                <w:bCs w:val="1"/>
                <w:color w:val="auto"/>
              </w:rPr>
              <w:t>% Owner Occupied</w:t>
            </w:r>
          </w:p>
        </w:tc>
      </w:tr>
      <w:tr>
        <w:trPr>
          <w:trHeight w:val="255"/>
        </w:trPr>
        <w:tc>
          <w:tcPr>
            <w:tcW w:w="44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Real Estate by Industry</w:t>
            </w:r>
          </w:p>
        </w:tc>
        <w:tc>
          <w:tcPr>
            <w:tcW w:w="180" w:type="dxa"/>
            <w:vAlign w:val="bottom"/>
            <w:tcBorders>
              <w:top w:val="single" w:sz="8" w:color="auto"/>
            </w:tcBorders>
            <w:shd w:val="clear" w:color="auto" w:fill="E0E7ED"/>
          </w:tcPr>
          <w:p>
            <w:pPr>
              <w:spacing w:after="0"/>
              <w:rPr>
                <w:sz w:val="22"/>
                <w:szCs w:val="22"/>
                <w:color w:val="auto"/>
              </w:rPr>
            </w:pPr>
          </w:p>
        </w:tc>
        <w:tc>
          <w:tcPr>
            <w:tcW w:w="14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4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720" w:type="dxa"/>
            <w:vAlign w:val="bottom"/>
            <w:tcBorders>
              <w:top w:val="single" w:sz="8" w:color="auto"/>
            </w:tcBorders>
            <w:shd w:val="clear" w:color="auto" w:fill="E0E7ED"/>
          </w:tcPr>
          <w:p>
            <w:pPr>
              <w:spacing w:after="0"/>
              <w:rPr>
                <w:sz w:val="22"/>
                <w:szCs w:val="22"/>
                <w:color w:val="auto"/>
              </w:rPr>
            </w:pP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Industrial/Warehouse</w:t>
            </w:r>
          </w:p>
        </w:tc>
        <w:tc>
          <w:tcPr>
            <w:tcW w:w="18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301,464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365,527</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666,991</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54.8 %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479,521</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61,879</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541,400</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11.4 %</w:t>
            </w: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Apartments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534,627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534,627</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Traditional Office</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257,149</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111,612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368,761</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30.3 %</w:t>
            </w: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Specialty</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80,047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233,022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313,069</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74.4 %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Medical Office</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153,205</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93,930</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247,135</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38.0 %</w:t>
            </w: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Student Housing</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208,763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208,763</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Hotel</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189,184</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601</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189,785</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0.3 %</w:t>
            </w: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Senior Housing</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151,964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151,964</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Restaurant</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23,093</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46,178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69,271</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66.7 %</w:t>
            </w: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Nursing Homes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24,101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1,498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25,599</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5.9 %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Health Care</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20,000</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737</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20,737</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3.6 %</w:t>
            </w:r>
          </w:p>
        </w:tc>
      </w:tr>
      <w:tr>
        <w:trPr>
          <w:trHeight w:val="264"/>
        </w:trPr>
        <w:tc>
          <w:tcPr>
            <w:tcW w:w="44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544</w:t>
            </w:r>
          </w:p>
        </w:tc>
        <w:tc>
          <w:tcPr>
            <w:tcW w:w="10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200</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744</w:t>
            </w:r>
          </w:p>
        </w:tc>
        <w:tc>
          <w:tcPr>
            <w:tcW w:w="180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26.8 %</w:t>
            </w:r>
          </w:p>
        </w:tc>
      </w:tr>
      <w:tr>
        <w:trPr>
          <w:trHeight w:val="295"/>
        </w:trPr>
        <w:tc>
          <w:tcPr>
            <w:tcW w:w="44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w:t>
            </w:r>
          </w:p>
        </w:tc>
        <w:tc>
          <w:tcPr>
            <w:tcW w:w="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2,423,662</w:t>
            </w:r>
          </w:p>
        </w:tc>
        <w:tc>
          <w:tcPr>
            <w:tcW w:w="10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915,184</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3,338,846</w:t>
            </w:r>
          </w:p>
        </w:tc>
        <w:tc>
          <w:tcPr>
            <w:tcW w:w="180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27.4 %</w:t>
            </w:r>
          </w:p>
        </w:tc>
      </w:tr>
      <w:tr>
        <w:trPr>
          <w:trHeight w:val="20"/>
        </w:trPr>
        <w:tc>
          <w:tcPr>
            <w:tcW w:w="44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E0E7ED"/>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Paycheck Protection Program Loans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Throughout the COVID-19 pandemic, Busey operated as an essential community resource, providing approximately $1.1 billion in payroll assistance for small businesses and select nonprofits through low-interest, 100% government-guaranteed loans as part of the PPP. We had $0.3 million in PPP loans outstanding as of December 31, 2023, compared to $0.9 million in PPP loans outstanding as of December 31, 2022.</w:t>
      </w:r>
    </w:p>
    <w:p>
      <w:pPr>
        <w:spacing w:after="0" w:line="225" w:lineRule="exact"/>
        <w:rPr>
          <w:sz w:val="20"/>
          <w:szCs w:val="20"/>
          <w:color w:val="auto"/>
        </w:rPr>
      </w:pPr>
    </w:p>
    <w:p>
      <w:pPr>
        <w:ind w:left="790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5" w:name="page76"/>
    <w:bookmarkEnd w:id="7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Loan Commitments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Commitments to extend credit and standby letters of credit increased by $151.7 million, or 7.5%, to a total of $2.2 billion as of December 31, 2023, compared to $2.0 billion as of December 31, 2022.</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Loan Maturities</w:t>
      </w:r>
    </w:p>
    <w:p>
      <w:pPr>
        <w:spacing w:after="0" w:line="186"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The determination of loan maturities is based on contractual loan terms. Demand loans, loans having no stated schedule of repayments and no stated maturity, and overdrafts are considered to mature within one year.</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 sets forth remaining maturities of portfolio loans at December 31, 2023,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Within 1 Year</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5"/>
              </w:rPr>
              <w:t>After 1 Year</w:t>
            </w:r>
          </w:p>
        </w:tc>
        <w:tc>
          <w:tcPr>
            <w:tcW w:w="14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After 5 Years</w:t>
            </w:r>
          </w:p>
        </w:tc>
        <w:tc>
          <w:tcPr>
            <w:tcW w:w="200" w:type="dxa"/>
            <w:vAlign w:val="bottom"/>
          </w:tcPr>
          <w:p>
            <w:pPr>
              <w:spacing w:after="0"/>
              <w:rPr>
                <w:sz w:val="13"/>
                <w:szCs w:val="13"/>
                <w:color w:val="auto"/>
              </w:rPr>
            </w:pPr>
          </w:p>
        </w:tc>
        <w:tc>
          <w:tcPr>
            <w:tcW w:w="148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After 15 Years</w:t>
            </w:r>
          </w:p>
        </w:tc>
        <w:tc>
          <w:tcPr>
            <w:tcW w:w="360" w:type="dxa"/>
            <w:vAlign w:val="bottom"/>
          </w:tcPr>
          <w:p>
            <w:pPr>
              <w:spacing w:after="0"/>
              <w:rPr>
                <w:sz w:val="13"/>
                <w:szCs w:val="13"/>
                <w:color w:val="auto"/>
              </w:rPr>
            </w:pPr>
          </w:p>
        </w:tc>
        <w:tc>
          <w:tcPr>
            <w:tcW w:w="1240" w:type="dxa"/>
            <w:vAlign w:val="bottom"/>
            <w:vMerge w:val="restart"/>
          </w:tcPr>
          <w:p>
            <w:pPr>
              <w:jc w:val="right"/>
              <w:ind w:right="534"/>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Through 5 Years</w:t>
            </w: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7"/>
              </w:rPr>
              <w:t>Through 15 Years</w:t>
            </w: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9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Portfolio loans</w:t>
            </w:r>
          </w:p>
        </w:tc>
        <w:tc>
          <w:tcPr>
            <w:tcW w:w="220" w:type="dxa"/>
            <w:vAlign w:val="bottom"/>
            <w:tcBorders>
              <w:top w:val="single" w:sz="8" w:color="auto"/>
            </w:tcBorders>
            <w:shd w:val="clear" w:color="auto" w:fill="E0E7ED"/>
          </w:tcPr>
          <w:p>
            <w:pPr>
              <w:spacing w:after="0"/>
              <w:rPr>
                <w:sz w:val="22"/>
                <w:szCs w:val="22"/>
                <w:color w:val="auto"/>
              </w:rPr>
            </w:pPr>
          </w:p>
        </w:tc>
        <w:tc>
          <w:tcPr>
            <w:tcW w:w="13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4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14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4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0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360" w:type="dxa"/>
            <w:vAlign w:val="bottom"/>
          </w:tcPr>
          <w:p>
            <w:pPr>
              <w:jc w:val="right"/>
              <w:spacing w:after="0"/>
              <w:rPr>
                <w:sz w:val="20"/>
                <w:szCs w:val="20"/>
                <w:color w:val="auto"/>
              </w:rPr>
            </w:pPr>
            <w:r>
              <w:rPr>
                <w:rFonts w:ascii="Verdana" w:cs="Verdana" w:eastAsia="Verdana" w:hAnsi="Verdana"/>
                <w:sz w:val="18"/>
                <w:szCs w:val="18"/>
                <w:color w:val="auto"/>
              </w:rPr>
              <w:t>522,304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7"/>
              <w:spacing w:after="0"/>
              <w:rPr>
                <w:sz w:val="20"/>
                <w:szCs w:val="20"/>
                <w:color w:val="auto"/>
              </w:rPr>
            </w:pPr>
            <w:r>
              <w:rPr>
                <w:rFonts w:ascii="Verdana" w:cs="Verdana" w:eastAsia="Verdana" w:hAnsi="Verdana"/>
                <w:sz w:val="18"/>
                <w:szCs w:val="18"/>
                <w:color w:val="auto"/>
              </w:rPr>
              <w:t>942,390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40" w:type="dxa"/>
            <w:vAlign w:val="bottom"/>
          </w:tcPr>
          <w:p>
            <w:pPr>
              <w:jc w:val="right"/>
              <w:spacing w:after="0"/>
              <w:rPr>
                <w:sz w:val="20"/>
                <w:szCs w:val="20"/>
                <w:color w:val="auto"/>
              </w:rPr>
            </w:pPr>
            <w:r>
              <w:rPr>
                <w:rFonts w:ascii="Verdana" w:cs="Verdana" w:eastAsia="Verdana" w:hAnsi="Verdana"/>
                <w:sz w:val="18"/>
                <w:szCs w:val="18"/>
                <w:color w:val="auto"/>
              </w:rPr>
              <w:t>337,483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ind w:right="14"/>
              <w:spacing w:after="0"/>
              <w:rPr>
                <w:sz w:val="20"/>
                <w:szCs w:val="20"/>
                <w:color w:val="auto"/>
              </w:rPr>
            </w:pPr>
            <w:r>
              <w:rPr>
                <w:rFonts w:ascii="Verdana" w:cs="Verdana" w:eastAsia="Verdana" w:hAnsi="Verdana"/>
                <w:sz w:val="18"/>
                <w:szCs w:val="18"/>
                <w:color w:val="auto"/>
              </w:rPr>
              <w:t>33,817</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1,835,994</w:t>
            </w:r>
          </w:p>
        </w:tc>
        <w:tc>
          <w:tcPr>
            <w:tcW w:w="0" w:type="dxa"/>
            <w:vAlign w:val="bottom"/>
          </w:tcPr>
          <w:p>
            <w:pPr>
              <w:spacing w:after="0"/>
              <w:rPr>
                <w:sz w:val="1"/>
                <w:szCs w:val="1"/>
                <w:color w:val="auto"/>
              </w:rPr>
            </w:pPr>
          </w:p>
        </w:tc>
      </w:tr>
      <w:tr>
        <w:trPr>
          <w:trHeight w:val="277"/>
        </w:trPr>
        <w:tc>
          <w:tcPr>
            <w:tcW w:w="2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220" w:type="dxa"/>
            <w:vAlign w:val="bottom"/>
            <w:shd w:val="clear" w:color="auto" w:fill="E0E7ED"/>
          </w:tcPr>
          <w:p>
            <w:pPr>
              <w:spacing w:after="0"/>
              <w:rPr>
                <w:sz w:val="24"/>
                <w:szCs w:val="24"/>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488,151</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1,968,765</w:t>
            </w:r>
          </w:p>
        </w:tc>
        <w:tc>
          <w:tcPr>
            <w:tcW w:w="10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867,973</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12,448</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0" w:type="dxa"/>
            <w:vAlign w:val="bottom"/>
          </w:tcPr>
          <w:p>
            <w:pPr>
              <w:spacing w:after="0"/>
              <w:rPr>
                <w:sz w:val="1"/>
                <w:szCs w:val="1"/>
                <w:color w:val="auto"/>
              </w:rPr>
            </w:pPr>
          </w:p>
        </w:tc>
      </w:tr>
      <w:tr>
        <w:trPr>
          <w:trHeight w:val="263"/>
        </w:trPr>
        <w:tc>
          <w:tcPr>
            <w:tcW w:w="2900" w:type="dxa"/>
            <w:vAlign w:val="bottom"/>
          </w:tcPr>
          <w:p>
            <w:pPr>
              <w:ind w:left="180"/>
              <w:spacing w:after="0"/>
              <w:rPr>
                <w:sz w:val="20"/>
                <w:szCs w:val="20"/>
                <w:color w:val="auto"/>
              </w:rPr>
            </w:pPr>
            <w:r>
              <w:rPr>
                <w:rFonts w:ascii="Verdana" w:cs="Verdana" w:eastAsia="Verdana" w:hAnsi="Verdana"/>
                <w:sz w:val="18"/>
                <w:szCs w:val="18"/>
                <w:color w:val="auto"/>
              </w:rPr>
              <w:t>Real estate construction</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173,939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7"/>
              <w:spacing w:after="0"/>
              <w:rPr>
                <w:sz w:val="20"/>
                <w:szCs w:val="20"/>
                <w:color w:val="auto"/>
              </w:rPr>
            </w:pPr>
            <w:r>
              <w:rPr>
                <w:rFonts w:ascii="Verdana" w:cs="Verdana" w:eastAsia="Verdana" w:hAnsi="Verdana"/>
                <w:sz w:val="18"/>
                <w:szCs w:val="18"/>
                <w:color w:val="auto"/>
              </w:rPr>
              <w:t>212,219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51,941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4"/>
              <w:spacing w:after="0"/>
              <w:rPr>
                <w:sz w:val="20"/>
                <w:szCs w:val="20"/>
                <w:color w:val="auto"/>
              </w:rPr>
            </w:pPr>
            <w:r>
              <w:rPr>
                <w:rFonts w:ascii="Verdana" w:cs="Verdana" w:eastAsia="Verdana" w:hAnsi="Verdana"/>
                <w:sz w:val="18"/>
                <w:szCs w:val="18"/>
                <w:color w:val="auto"/>
              </w:rPr>
              <w:t>23,618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461,717</w:t>
            </w:r>
          </w:p>
        </w:tc>
        <w:tc>
          <w:tcPr>
            <w:tcW w:w="0" w:type="dxa"/>
            <w:vAlign w:val="bottom"/>
          </w:tcPr>
          <w:p>
            <w:pPr>
              <w:spacing w:after="0"/>
              <w:rPr>
                <w:sz w:val="1"/>
                <w:szCs w:val="1"/>
                <w:color w:val="auto"/>
              </w:rPr>
            </w:pPr>
          </w:p>
        </w:tc>
      </w:tr>
      <w:tr>
        <w:trPr>
          <w:trHeight w:val="277"/>
        </w:trPr>
        <w:tc>
          <w:tcPr>
            <w:tcW w:w="2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20" w:type="dxa"/>
            <w:vAlign w:val="bottom"/>
            <w:shd w:val="clear" w:color="auto" w:fill="E0E7ED"/>
          </w:tcPr>
          <w:p>
            <w:pPr>
              <w:spacing w:after="0"/>
              <w:rPr>
                <w:sz w:val="24"/>
                <w:szCs w:val="24"/>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41,180</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139,749</w:t>
            </w:r>
          </w:p>
        </w:tc>
        <w:tc>
          <w:tcPr>
            <w:tcW w:w="10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549,397</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990,129</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0" w:type="dxa"/>
            <w:vAlign w:val="bottom"/>
          </w:tcPr>
          <w:p>
            <w:pPr>
              <w:spacing w:after="0"/>
              <w:rPr>
                <w:sz w:val="1"/>
                <w:szCs w:val="1"/>
                <w:color w:val="auto"/>
              </w:rPr>
            </w:pPr>
          </w:p>
        </w:tc>
      </w:tr>
      <w:tr>
        <w:trPr>
          <w:trHeight w:val="263"/>
        </w:trPr>
        <w:tc>
          <w:tcPr>
            <w:tcW w:w="2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40,721</w:t>
            </w:r>
          </w:p>
        </w:tc>
        <w:tc>
          <w:tcPr>
            <w:tcW w:w="10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191,588</w:t>
            </w:r>
          </w:p>
        </w:tc>
        <w:tc>
          <w:tcPr>
            <w:tcW w:w="100" w:type="dxa"/>
            <w:vAlign w:val="bottom"/>
            <w:tcBorders>
              <w:bottom w:val="single" w:sz="8" w:color="E0E7ED"/>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44,581</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18,641</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c>
          <w:tcPr>
            <w:tcW w:w="0" w:type="dxa"/>
            <w:vAlign w:val="bottom"/>
          </w:tcPr>
          <w:p>
            <w:pPr>
              <w:spacing w:after="0"/>
              <w:rPr>
                <w:sz w:val="1"/>
                <w:szCs w:val="1"/>
                <w:color w:val="auto"/>
              </w:rPr>
            </w:pPr>
          </w:p>
        </w:tc>
      </w:tr>
      <w:tr>
        <w:trPr>
          <w:trHeight w:val="295"/>
        </w:trPr>
        <w:tc>
          <w:tcPr>
            <w:tcW w:w="29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portfolio loans</w:t>
            </w: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3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1,266,295</w:t>
            </w:r>
          </w:p>
        </w:tc>
        <w:tc>
          <w:tcPr>
            <w:tcW w:w="10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3,454,711</w:t>
            </w:r>
          </w:p>
        </w:tc>
        <w:tc>
          <w:tcPr>
            <w:tcW w:w="100" w:type="dxa"/>
            <w:vAlign w:val="bottom"/>
            <w:tcBorders>
              <w:bottom w:val="single" w:sz="8" w:color="E0E7ED"/>
            </w:tcBorders>
            <w:shd w:val="clear" w:color="auto" w:fill="E0E7ED"/>
          </w:tcPr>
          <w:p>
            <w:pPr>
              <w:spacing w:after="0"/>
              <w:rPr>
                <w:sz w:val="24"/>
                <w:szCs w:val="24"/>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1,851,375</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1,078,653</w:t>
            </w:r>
          </w:p>
        </w:tc>
        <w:tc>
          <w:tcPr>
            <w:tcW w:w="8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7,651,034</w:t>
            </w:r>
          </w:p>
        </w:tc>
        <w:tc>
          <w:tcPr>
            <w:tcW w:w="0" w:type="dxa"/>
            <w:vAlign w:val="bottom"/>
          </w:tcPr>
          <w:p>
            <w:pPr>
              <w:spacing w:after="0"/>
              <w:rPr>
                <w:sz w:val="1"/>
                <w:szCs w:val="1"/>
                <w:color w:val="auto"/>
              </w:rPr>
            </w:pPr>
          </w:p>
        </w:tc>
      </w:tr>
      <w:tr>
        <w:trPr>
          <w:trHeight w:val="20"/>
        </w:trPr>
        <w:tc>
          <w:tcPr>
            <w:tcW w:w="29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3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4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Structure</w:t>
      </w:r>
    </w:p>
    <w:p>
      <w:pPr>
        <w:spacing w:after="0" w:line="183" w:lineRule="exact"/>
        <w:rPr>
          <w:sz w:val="20"/>
          <w:szCs w:val="20"/>
          <w:color w:val="auto"/>
        </w:rPr>
      </w:pPr>
    </w:p>
    <w:p>
      <w:pPr>
        <w:spacing w:after="0"/>
        <w:rPr>
          <w:sz w:val="20"/>
          <w:szCs w:val="20"/>
          <w:color w:val="auto"/>
        </w:rPr>
      </w:pPr>
      <w:r>
        <w:rPr>
          <w:rFonts w:ascii="Verdana" w:cs="Verdana" w:eastAsia="Verdana" w:hAnsi="Verdana"/>
          <w:sz w:val="18"/>
          <w:szCs w:val="18"/>
          <w:color w:val="auto"/>
        </w:rPr>
        <w:t>Portfolio loans maturing after one year are summarized below by interest rate structure and loan category, as of</w:t>
      </w:r>
    </w:p>
    <w:p>
      <w:pPr>
        <w:spacing w:after="0"/>
        <w:rPr>
          <w:sz w:val="20"/>
          <w:szCs w:val="20"/>
          <w:color w:val="auto"/>
        </w:rPr>
      </w:pPr>
      <w:r>
        <w:rPr>
          <w:rFonts w:ascii="Verdana" w:cs="Verdana" w:eastAsia="Verdana" w:hAnsi="Verdana"/>
          <w:sz w:val="18"/>
          <w:szCs w:val="18"/>
          <w:color w:val="auto"/>
        </w:rPr>
        <w:t xml:space="preserve">December 31, 2023,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2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440"/>
              <w:spacing w:after="0" w:line="135" w:lineRule="exact"/>
              <w:rPr>
                <w:sz w:val="20"/>
                <w:szCs w:val="20"/>
                <w:color w:val="auto"/>
              </w:rPr>
            </w:pPr>
            <w:r>
              <w:rPr>
                <w:rFonts w:ascii="Verdana" w:cs="Verdana" w:eastAsia="Verdana" w:hAnsi="Verdana"/>
                <w:sz w:val="13"/>
                <w:szCs w:val="13"/>
                <w:b w:val="1"/>
                <w:bCs w:val="1"/>
                <w:color w:val="auto"/>
                <w:w w:val="96"/>
              </w:rPr>
              <w:t>Fixed</w:t>
            </w:r>
          </w:p>
        </w:tc>
        <w:tc>
          <w:tcPr>
            <w:tcW w:w="2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80"/>
              <w:spacing w:after="0" w:line="135" w:lineRule="exact"/>
              <w:rPr>
                <w:sz w:val="20"/>
                <w:szCs w:val="20"/>
                <w:color w:val="auto"/>
              </w:rPr>
            </w:pPr>
            <w:r>
              <w:rPr>
                <w:rFonts w:ascii="Verdana" w:cs="Verdana" w:eastAsia="Verdana" w:hAnsi="Verdana"/>
                <w:sz w:val="13"/>
                <w:szCs w:val="13"/>
                <w:b w:val="1"/>
                <w:bCs w:val="1"/>
                <w:color w:val="auto"/>
                <w:w w:val="97"/>
              </w:rPr>
              <w:t>Adjustable</w:t>
            </w:r>
          </w:p>
        </w:tc>
        <w:tc>
          <w:tcPr>
            <w:tcW w:w="3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vMerge w:val="restart"/>
          </w:tcPr>
          <w:p>
            <w:pPr>
              <w:jc w:val="right"/>
              <w:ind w:right="554"/>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6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Verdana" w:cs="Verdana" w:eastAsia="Verdana" w:hAnsi="Verdana"/>
                <w:sz w:val="13"/>
                <w:szCs w:val="13"/>
                <w:b w:val="1"/>
                <w:bCs w:val="1"/>
                <w:color w:val="auto"/>
                <w:w w:val="95"/>
              </w:rPr>
              <w:t>Rate</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5"/>
              </w:rPr>
              <w:t>Rate</w:t>
            </w:r>
          </w:p>
        </w:tc>
        <w:tc>
          <w:tcPr>
            <w:tcW w:w="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Portfolio loans maturing after 1 year</w:t>
            </w: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2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745,328</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568,362</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1,313,690</w:t>
            </w:r>
          </w:p>
        </w:tc>
        <w:tc>
          <w:tcPr>
            <w:tcW w:w="0" w:type="dxa"/>
            <w:vAlign w:val="bottom"/>
          </w:tcPr>
          <w:p>
            <w:pPr>
              <w:spacing w:after="0"/>
              <w:rPr>
                <w:sz w:val="1"/>
                <w:szCs w:val="1"/>
                <w:color w:val="auto"/>
              </w:rPr>
            </w:pPr>
          </w:p>
        </w:tc>
      </w:tr>
      <w:tr>
        <w:trPr>
          <w:trHeight w:val="277"/>
        </w:trPr>
        <w:tc>
          <w:tcPr>
            <w:tcW w:w="62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2,130,224</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718,962</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2,849,186</w:t>
            </w:r>
          </w:p>
        </w:tc>
        <w:tc>
          <w:tcPr>
            <w:tcW w:w="0" w:type="dxa"/>
            <w:vAlign w:val="bottom"/>
          </w:tcPr>
          <w:p>
            <w:pPr>
              <w:spacing w:after="0"/>
              <w:rPr>
                <w:sz w:val="1"/>
                <w:szCs w:val="1"/>
                <w:color w:val="auto"/>
              </w:rPr>
            </w:pPr>
          </w:p>
        </w:tc>
      </w:tr>
      <w:tr>
        <w:trPr>
          <w:trHeight w:val="263"/>
        </w:trPr>
        <w:tc>
          <w:tcPr>
            <w:tcW w:w="6220" w:type="dxa"/>
            <w:vAlign w:val="bottom"/>
          </w:tcPr>
          <w:p>
            <w:pPr>
              <w:ind w:left="180"/>
              <w:spacing w:after="0"/>
              <w:rPr>
                <w:sz w:val="20"/>
                <w:szCs w:val="20"/>
                <w:color w:val="auto"/>
              </w:rPr>
            </w:pPr>
            <w:r>
              <w:rPr>
                <w:rFonts w:ascii="Verdana" w:cs="Verdana" w:eastAsia="Verdana" w:hAnsi="Verdana"/>
                <w:sz w:val="18"/>
                <w:szCs w:val="18"/>
                <w:color w:val="auto"/>
              </w:rPr>
              <w:t>Real estate construction</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116,875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170,903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287,778</w:t>
            </w:r>
          </w:p>
        </w:tc>
        <w:tc>
          <w:tcPr>
            <w:tcW w:w="0" w:type="dxa"/>
            <w:vAlign w:val="bottom"/>
          </w:tcPr>
          <w:p>
            <w:pPr>
              <w:spacing w:after="0"/>
              <w:rPr>
                <w:sz w:val="1"/>
                <w:szCs w:val="1"/>
                <w:color w:val="auto"/>
              </w:rPr>
            </w:pPr>
          </w:p>
        </w:tc>
      </w:tr>
      <w:tr>
        <w:trPr>
          <w:trHeight w:val="277"/>
        </w:trPr>
        <w:tc>
          <w:tcPr>
            <w:tcW w:w="62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788,759</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890,516</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1,679,275</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208,765</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46,045</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254,810</w:t>
            </w:r>
          </w:p>
        </w:tc>
        <w:tc>
          <w:tcPr>
            <w:tcW w:w="0" w:type="dxa"/>
            <w:vAlign w:val="bottom"/>
          </w:tcPr>
          <w:p>
            <w:pPr>
              <w:spacing w:after="0"/>
              <w:rPr>
                <w:sz w:val="1"/>
                <w:szCs w:val="1"/>
                <w:color w:val="auto"/>
              </w:rPr>
            </w:pPr>
          </w:p>
        </w:tc>
      </w:tr>
      <w:tr>
        <w:trPr>
          <w:trHeight w:val="295"/>
        </w:trPr>
        <w:tc>
          <w:tcPr>
            <w:tcW w:w="62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portfolio loans maturing after 1 year</w:t>
            </w: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3,989,951</w:t>
            </w:r>
          </w:p>
        </w:tc>
        <w:tc>
          <w:tcPr>
            <w:tcW w:w="10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2,394,788</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6,384,739</w:t>
            </w:r>
          </w:p>
        </w:tc>
        <w:tc>
          <w:tcPr>
            <w:tcW w:w="0" w:type="dxa"/>
            <w:vAlign w:val="bottom"/>
          </w:tcPr>
          <w:p>
            <w:pPr>
              <w:spacing w:after="0"/>
              <w:rPr>
                <w:sz w:val="1"/>
                <w:szCs w:val="1"/>
                <w:color w:val="auto"/>
              </w:rPr>
            </w:pPr>
          </w:p>
        </w:tc>
      </w:tr>
      <w:tr>
        <w:trPr>
          <w:trHeight w:val="20"/>
        </w:trPr>
        <w:tc>
          <w:tcPr>
            <w:tcW w:w="622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6" w:name="page77"/>
    <w:bookmarkEnd w:id="7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Allowance and Provision for Credit Losses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The ACL is a significant estimate in our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xml:space="preserve">,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All estimates of credit losses are based on a careful consideration of all significant factors affecting the collectability as of the evaluation date. The ACL is established through the provision for credit loss expense charged to income. Provision expenses (releases) were recorded as follows for each of the years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right="23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2021</w:t>
            </w:r>
          </w:p>
        </w:tc>
      </w:tr>
      <w:tr>
        <w:trPr>
          <w:trHeight w:val="269"/>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Provision for credit losses</w:t>
            </w:r>
          </w:p>
        </w:tc>
        <w:tc>
          <w:tcPr>
            <w:tcW w:w="980" w:type="dxa"/>
            <w:vAlign w:val="bottom"/>
            <w:shd w:val="clear" w:color="auto" w:fill="E0E7ED"/>
          </w:tcPr>
          <w:p>
            <w:pPr>
              <w:jc w:val="right"/>
              <w:ind w:right="784"/>
              <w:spacing w:after="0"/>
              <w:rPr>
                <w:sz w:val="20"/>
                <w:szCs w:val="20"/>
                <w:color w:val="auto"/>
              </w:rPr>
            </w:pPr>
            <w:r>
              <w:rPr>
                <w:rFonts w:ascii="Verdana" w:cs="Verdana" w:eastAsia="Verdana" w:hAnsi="Verdana"/>
                <w:sz w:val="18"/>
                <w:szCs w:val="18"/>
                <w:color w:val="auto"/>
                <w:w w:val="86"/>
              </w:rPr>
              <w:t>$</w:t>
            </w:r>
          </w:p>
        </w:tc>
        <w:tc>
          <w:tcPr>
            <w:tcW w:w="5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5"/>
              </w:rPr>
              <w:t>2,399</w:t>
            </w:r>
          </w:p>
        </w:tc>
        <w:tc>
          <w:tcPr>
            <w:tcW w:w="560" w:type="dxa"/>
            <w:vAlign w:val="bottom"/>
            <w:gridSpan w:val="3"/>
            <w:shd w:val="clear" w:color="auto" w:fill="E0E7ED"/>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4,623</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(15,101)</w:t>
            </w: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provision release in 2021 reflected improvements in macroeconomic conditions and asset quality, following a build-up of the ACL in the prior year attributable to the adoption of CECL in combination with the economic impacts of the COVID-19 pandemic.</w:t>
      </w:r>
    </w:p>
    <w:p>
      <w:pPr>
        <w:spacing w:after="0" w:line="22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7" w:name="page78"/>
    <w:bookmarkEnd w:id="7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The following table summarizes, by loan category, activity affecting the ACL and average portfolio loans outstanding for the years indicated, as well as the related ratios of net charge-offs (recoveries) to average portfolio loans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Verdana" w:cs="Verdana" w:eastAsia="Verdana" w:hAnsi="Verdana"/>
                <w:sz w:val="13"/>
                <w:szCs w:val="13"/>
                <w:b w:val="1"/>
                <w:bCs w:val="1"/>
                <w:color w:val="auto"/>
                <w:w w:val="98"/>
              </w:rPr>
              <w:t>Ratio of</w:t>
            </w:r>
          </w:p>
        </w:tc>
        <w:tc>
          <w:tcPr>
            <w:tcW w:w="0" w:type="dxa"/>
            <w:vAlign w:val="bottom"/>
          </w:tcPr>
          <w:p>
            <w:pPr>
              <w:spacing w:after="0"/>
              <w:rPr>
                <w:sz w:val="1"/>
                <w:szCs w:val="1"/>
                <w:color w:val="auto"/>
              </w:rPr>
            </w:pPr>
          </w:p>
        </w:tc>
      </w:tr>
      <w:tr>
        <w:trPr>
          <w:trHeight w:val="122"/>
        </w:trPr>
        <w:tc>
          <w:tcPr>
            <w:tcW w:w="6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vMerge w:val="restart"/>
          </w:tcPr>
          <w:p>
            <w:pPr>
              <w:jc w:val="center"/>
              <w:ind w:right="114"/>
              <w:spacing w:after="0"/>
              <w:rPr>
                <w:sz w:val="20"/>
                <w:szCs w:val="20"/>
                <w:color w:val="auto"/>
              </w:rPr>
            </w:pPr>
            <w:r>
              <w:rPr>
                <w:rFonts w:ascii="Verdana" w:cs="Verdana" w:eastAsia="Verdana" w:hAnsi="Verdana"/>
                <w:sz w:val="13"/>
                <w:szCs w:val="13"/>
                <w:b w:val="1"/>
                <w:bCs w:val="1"/>
                <w:color w:val="auto"/>
                <w:w w:val="96"/>
              </w:rPr>
              <w:t>Average</w:t>
            </w:r>
          </w:p>
        </w:tc>
        <w:tc>
          <w:tcPr>
            <w:tcW w:w="80" w:type="dxa"/>
            <w:vAlign w:val="bottom"/>
          </w:tcPr>
          <w:p>
            <w:pPr>
              <w:spacing w:after="0"/>
              <w:rPr>
                <w:sz w:val="10"/>
                <w:szCs w:val="10"/>
                <w:color w:val="auto"/>
              </w:rPr>
            </w:pPr>
          </w:p>
        </w:tc>
        <w:tc>
          <w:tcPr>
            <w:tcW w:w="176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6"/>
              </w:rPr>
              <w:t>Net Charge-offs</w:t>
            </w:r>
          </w:p>
        </w:tc>
        <w:tc>
          <w:tcPr>
            <w:tcW w:w="0" w:type="dxa"/>
            <w:vAlign w:val="bottom"/>
          </w:tcPr>
          <w:p>
            <w:pPr>
              <w:spacing w:after="0"/>
              <w:rPr>
                <w:sz w:val="1"/>
                <w:szCs w:val="1"/>
                <w:color w:val="auto"/>
              </w:rPr>
            </w:pPr>
          </w:p>
        </w:tc>
      </w:tr>
      <w:tr>
        <w:trPr>
          <w:trHeight w:val="122"/>
        </w:trPr>
        <w:tc>
          <w:tcPr>
            <w:tcW w:w="6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7"/>
              </w:rPr>
              <w:t>(Recoveries)</w:t>
            </w:r>
          </w:p>
        </w:tc>
        <w:tc>
          <w:tcPr>
            <w:tcW w:w="0" w:type="dxa"/>
            <w:vAlign w:val="bottom"/>
          </w:tcPr>
          <w:p>
            <w:pPr>
              <w:spacing w:after="0"/>
              <w:rPr>
                <w:sz w:val="1"/>
                <w:szCs w:val="1"/>
                <w:color w:val="auto"/>
              </w:rPr>
            </w:pPr>
          </w:p>
        </w:tc>
      </w:tr>
      <w:tr>
        <w:trPr>
          <w:trHeight w:val="121"/>
        </w:trPr>
        <w:tc>
          <w:tcPr>
            <w:tcW w:w="6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vMerge w:val="restart"/>
          </w:tcPr>
          <w:p>
            <w:pPr>
              <w:jc w:val="right"/>
              <w:ind w:right="571"/>
              <w:spacing w:after="0"/>
              <w:rPr>
                <w:sz w:val="20"/>
                <w:szCs w:val="20"/>
                <w:color w:val="auto"/>
              </w:rPr>
            </w:pPr>
            <w:r>
              <w:rPr>
                <w:rFonts w:ascii="Verdana" w:cs="Verdana" w:eastAsia="Verdana" w:hAnsi="Verdana"/>
                <w:sz w:val="13"/>
                <w:szCs w:val="13"/>
                <w:b w:val="1"/>
                <w:bCs w:val="1"/>
                <w:color w:val="auto"/>
              </w:rPr>
              <w:t>ACL</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tcPr>
          <w:p>
            <w:pPr>
              <w:jc w:val="center"/>
              <w:ind w:right="114"/>
              <w:spacing w:after="0" w:line="122" w:lineRule="exact"/>
              <w:rPr>
                <w:sz w:val="20"/>
                <w:szCs w:val="20"/>
                <w:color w:val="auto"/>
              </w:rPr>
            </w:pPr>
            <w:r>
              <w:rPr>
                <w:rFonts w:ascii="Verdana" w:cs="Verdana" w:eastAsia="Verdana" w:hAnsi="Verdana"/>
                <w:sz w:val="13"/>
                <w:szCs w:val="13"/>
                <w:b w:val="1"/>
                <w:bCs w:val="1"/>
                <w:color w:val="auto"/>
                <w:w w:val="95"/>
              </w:rPr>
              <w:t>Portfolio Loans</w:t>
            </w:r>
          </w:p>
        </w:tc>
        <w:tc>
          <w:tcPr>
            <w:tcW w:w="80" w:type="dxa"/>
            <w:vAlign w:val="bottom"/>
          </w:tcPr>
          <w:p>
            <w:pPr>
              <w:spacing w:after="0"/>
              <w:rPr>
                <w:sz w:val="10"/>
                <w:szCs w:val="10"/>
                <w:color w:val="auto"/>
              </w:rPr>
            </w:pPr>
          </w:p>
        </w:tc>
        <w:tc>
          <w:tcPr>
            <w:tcW w:w="176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7"/>
              </w:rPr>
              <w:t>To Average</w:t>
            </w:r>
          </w:p>
        </w:tc>
        <w:tc>
          <w:tcPr>
            <w:tcW w:w="0" w:type="dxa"/>
            <w:vAlign w:val="bottom"/>
          </w:tcPr>
          <w:p>
            <w:pPr>
              <w:spacing w:after="0"/>
              <w:rPr>
                <w:sz w:val="1"/>
                <w:szCs w:val="1"/>
                <w:color w:val="auto"/>
              </w:rPr>
            </w:pPr>
          </w:p>
        </w:tc>
      </w:tr>
      <w:tr>
        <w:trPr>
          <w:trHeight w:val="162"/>
        </w:trPr>
        <w:tc>
          <w:tcPr>
            <w:tcW w:w="6100" w:type="dxa"/>
            <w:vAlign w:val="bottom"/>
            <w:tcBorders>
              <w:bottom w:val="single" w:sz="8" w:color="E0E7ED"/>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14"/>
              <w:spacing w:after="0"/>
              <w:rPr>
                <w:sz w:val="20"/>
                <w:szCs w:val="20"/>
                <w:color w:val="auto"/>
              </w:rPr>
            </w:pPr>
            <w:r>
              <w:rPr>
                <w:rFonts w:ascii="Verdana" w:cs="Verdana" w:eastAsia="Verdana" w:hAnsi="Verdana"/>
                <w:sz w:val="13"/>
                <w:szCs w:val="13"/>
                <w:b w:val="1"/>
                <w:bCs w:val="1"/>
                <w:color w:val="auto"/>
                <w:w w:val="95"/>
              </w:rPr>
              <w:t>Outstanding</w:t>
            </w:r>
          </w:p>
        </w:tc>
        <w:tc>
          <w:tcPr>
            <w:tcW w:w="80" w:type="dxa"/>
            <w:vAlign w:val="bottom"/>
            <w:tcBorders>
              <w:bottom w:val="single" w:sz="8" w:color="E0E7ED"/>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Portfolio Loans</w:t>
            </w:r>
          </w:p>
        </w:tc>
        <w:tc>
          <w:tcPr>
            <w:tcW w:w="0" w:type="dxa"/>
            <w:vAlign w:val="bottom"/>
          </w:tcPr>
          <w:p>
            <w:pPr>
              <w:spacing w:after="0"/>
              <w:rPr>
                <w:sz w:val="1"/>
                <w:szCs w:val="1"/>
                <w:color w:val="auto"/>
              </w:rPr>
            </w:pPr>
          </w:p>
        </w:tc>
      </w:tr>
      <w:tr>
        <w:trPr>
          <w:trHeight w:val="263"/>
        </w:trPr>
        <w:tc>
          <w:tcPr>
            <w:tcW w:w="61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ACL balance, December 31, 2020</w:t>
            </w:r>
          </w:p>
        </w:tc>
        <w:tc>
          <w:tcPr>
            <w:tcW w:w="40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101,048</w:t>
            </w:r>
          </w:p>
        </w:tc>
        <w:tc>
          <w:tcPr>
            <w:tcW w:w="10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4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76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80"/>
              <w:spacing w:after="0" w:line="270" w:lineRule="exact"/>
              <w:rPr>
                <w:sz w:val="20"/>
                <w:szCs w:val="20"/>
                <w:color w:val="auto"/>
              </w:rPr>
            </w:pPr>
            <w:r>
              <w:rPr>
                <w:rFonts w:ascii="Verdana" w:cs="Verdana" w:eastAsia="Verdana" w:hAnsi="Verdana"/>
                <w:sz w:val="18"/>
                <w:szCs w:val="18"/>
                <w:color w:val="auto"/>
              </w:rPr>
              <w:t>Day 1 PCD</w:t>
            </w:r>
            <w:r>
              <w:rPr>
                <w:rFonts w:ascii="Verdana" w:cs="Verdana" w:eastAsia="Verdana" w:hAnsi="Verdana"/>
                <w:sz w:val="23"/>
                <w:szCs w:val="23"/>
                <w:color w:val="auto"/>
                <w:vertAlign w:val="superscript"/>
              </w:rPr>
              <w:t>1</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4,178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(charge-offs) recoveries and average portfolio loans by loan</w:t>
            </w:r>
          </w:p>
        </w:tc>
        <w:tc>
          <w:tcPr>
            <w:tcW w:w="40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7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category:</w:t>
            </w:r>
          </w:p>
        </w:tc>
        <w:tc>
          <w:tcPr>
            <w:tcW w:w="4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7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100" w:type="dxa"/>
            <w:vAlign w:val="bottom"/>
          </w:tcPr>
          <w:p>
            <w:pPr>
              <w:ind w:left="360"/>
              <w:spacing w:after="0"/>
              <w:rPr>
                <w:sz w:val="20"/>
                <w:szCs w:val="20"/>
                <w:color w:val="auto"/>
              </w:rPr>
            </w:pPr>
            <w:r>
              <w:rPr>
                <w:rFonts w:ascii="Verdana" w:cs="Verdana" w:eastAsia="Verdana" w:hAnsi="Verdana"/>
                <w:sz w:val="18"/>
                <w:szCs w:val="18"/>
                <w:color w:val="auto"/>
              </w:rPr>
              <w:t>Commercial</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(1,397)</w:t>
            </w:r>
          </w:p>
        </w:tc>
        <w:tc>
          <w:tcPr>
            <w:tcW w:w="30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4"/>
              <w:spacing w:after="0"/>
              <w:rPr>
                <w:sz w:val="20"/>
                <w:szCs w:val="20"/>
                <w:color w:val="auto"/>
              </w:rPr>
            </w:pPr>
            <w:r>
              <w:rPr>
                <w:rFonts w:ascii="Verdana" w:cs="Verdana" w:eastAsia="Verdana" w:hAnsi="Verdana"/>
                <w:sz w:val="18"/>
                <w:szCs w:val="18"/>
                <w:color w:val="auto"/>
              </w:rPr>
              <w:t>1,985,511</w:t>
            </w:r>
          </w:p>
        </w:tc>
        <w:tc>
          <w:tcPr>
            <w:tcW w:w="1840" w:type="dxa"/>
            <w:vAlign w:val="bottom"/>
            <w:gridSpan w:val="2"/>
          </w:tcPr>
          <w:p>
            <w:pPr>
              <w:jc w:val="right"/>
              <w:spacing w:after="0"/>
              <w:rPr>
                <w:sz w:val="20"/>
                <w:szCs w:val="20"/>
                <w:color w:val="auto"/>
              </w:rPr>
            </w:pPr>
            <w:r>
              <w:rPr>
                <w:rFonts w:ascii="Verdana" w:cs="Verdana" w:eastAsia="Verdana" w:hAnsi="Verdana"/>
                <w:sz w:val="18"/>
                <w:szCs w:val="18"/>
                <w:color w:val="auto"/>
              </w:rPr>
              <w:t>0.07 %</w:t>
            </w:r>
          </w:p>
        </w:tc>
        <w:tc>
          <w:tcPr>
            <w:tcW w:w="0" w:type="dxa"/>
            <w:vAlign w:val="bottom"/>
          </w:tcPr>
          <w:p>
            <w:pPr>
              <w:spacing w:after="0"/>
              <w:rPr>
                <w:sz w:val="1"/>
                <w:szCs w:val="1"/>
                <w:color w:val="auto"/>
              </w:rPr>
            </w:pPr>
          </w:p>
        </w:tc>
      </w:tr>
      <w:tr>
        <w:trPr>
          <w:trHeight w:val="277"/>
        </w:trPr>
        <w:tc>
          <w:tcPr>
            <w:tcW w:w="61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 real estate</w:t>
            </w:r>
          </w:p>
        </w:tc>
        <w:tc>
          <w:tcPr>
            <w:tcW w:w="4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(666)</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2,953,944</w:t>
            </w:r>
          </w:p>
        </w:tc>
        <w:tc>
          <w:tcPr>
            <w:tcW w:w="18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0.02 %</w:t>
            </w:r>
          </w:p>
        </w:tc>
        <w:tc>
          <w:tcPr>
            <w:tcW w:w="0" w:type="dxa"/>
            <w:vAlign w:val="bottom"/>
          </w:tcPr>
          <w:p>
            <w:pPr>
              <w:spacing w:after="0"/>
              <w:rPr>
                <w:sz w:val="1"/>
                <w:szCs w:val="1"/>
                <w:color w:val="auto"/>
              </w:rPr>
            </w:pPr>
          </w:p>
        </w:tc>
      </w:tr>
      <w:tr>
        <w:trPr>
          <w:trHeight w:val="263"/>
        </w:trPr>
        <w:tc>
          <w:tcPr>
            <w:tcW w:w="6100" w:type="dxa"/>
            <w:vAlign w:val="bottom"/>
          </w:tcPr>
          <w:p>
            <w:pPr>
              <w:ind w:left="360"/>
              <w:spacing w:after="0"/>
              <w:rPr>
                <w:sz w:val="20"/>
                <w:szCs w:val="20"/>
                <w:color w:val="auto"/>
              </w:rPr>
            </w:pPr>
            <w:r>
              <w:rPr>
                <w:rFonts w:ascii="Verdana" w:cs="Verdana" w:eastAsia="Verdana" w:hAnsi="Verdana"/>
                <w:sz w:val="18"/>
                <w:szCs w:val="18"/>
                <w:color w:val="auto"/>
              </w:rPr>
              <w:t>Real estate construction</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4"/>
              <w:spacing w:after="0"/>
              <w:rPr>
                <w:sz w:val="20"/>
                <w:szCs w:val="20"/>
                <w:color w:val="auto"/>
              </w:rPr>
            </w:pPr>
            <w:r>
              <w:rPr>
                <w:rFonts w:ascii="Verdana" w:cs="Verdana" w:eastAsia="Verdana" w:hAnsi="Verdana"/>
                <w:sz w:val="18"/>
                <w:szCs w:val="18"/>
                <w:color w:val="auto"/>
              </w:rPr>
              <w:t>450,713</w:t>
            </w:r>
          </w:p>
        </w:tc>
        <w:tc>
          <w:tcPr>
            <w:tcW w:w="1840" w:type="dxa"/>
            <w:vAlign w:val="bottom"/>
            <w:gridSpan w:val="2"/>
          </w:tcPr>
          <w:p>
            <w:pPr>
              <w:jc w:val="right"/>
              <w:spacing w:after="0"/>
              <w:rPr>
                <w:sz w:val="20"/>
                <w:szCs w:val="20"/>
                <w:color w:val="auto"/>
              </w:rPr>
            </w:pPr>
            <w:r>
              <w:rPr>
                <w:rFonts w:ascii="Verdana" w:cs="Verdana" w:eastAsia="Verdana" w:hAnsi="Verdana"/>
                <w:sz w:val="18"/>
                <w:szCs w:val="18"/>
                <w:color w:val="auto"/>
              </w:rPr>
              <w:t>(0.02)%</w:t>
            </w:r>
          </w:p>
        </w:tc>
        <w:tc>
          <w:tcPr>
            <w:tcW w:w="0" w:type="dxa"/>
            <w:vAlign w:val="bottom"/>
          </w:tcPr>
          <w:p>
            <w:pPr>
              <w:spacing w:after="0"/>
              <w:rPr>
                <w:sz w:val="1"/>
                <w:szCs w:val="1"/>
                <w:color w:val="auto"/>
              </w:rPr>
            </w:pPr>
          </w:p>
        </w:tc>
      </w:tr>
      <w:tr>
        <w:trPr>
          <w:trHeight w:val="277"/>
        </w:trPr>
        <w:tc>
          <w:tcPr>
            <w:tcW w:w="61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real estate</w:t>
            </w:r>
          </w:p>
        </w:tc>
        <w:tc>
          <w:tcPr>
            <w:tcW w:w="4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(76)</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1,446,673</w:t>
            </w:r>
          </w:p>
        </w:tc>
        <w:tc>
          <w:tcPr>
            <w:tcW w:w="18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0.01 %</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Retail other</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(188)</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132,966</w:t>
            </w:r>
          </w:p>
        </w:tc>
        <w:tc>
          <w:tcPr>
            <w:tcW w:w="184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0.14 %</w:t>
            </w:r>
          </w:p>
        </w:tc>
        <w:tc>
          <w:tcPr>
            <w:tcW w:w="0" w:type="dxa"/>
            <w:vAlign w:val="bottom"/>
          </w:tcPr>
          <w:p>
            <w:pPr>
              <w:spacing w:after="0"/>
              <w:rPr>
                <w:sz w:val="1"/>
                <w:szCs w:val="1"/>
                <w:color w:val="auto"/>
              </w:rPr>
            </w:pPr>
          </w:p>
        </w:tc>
      </w:tr>
      <w:tr>
        <w:trPr>
          <w:trHeight w:val="290"/>
        </w:trPr>
        <w:tc>
          <w:tcPr>
            <w:tcW w:w="6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(charge-offs) recoveries and average portfolio loans</w:t>
            </w:r>
          </w:p>
        </w:tc>
        <w:tc>
          <w:tcPr>
            <w:tcW w:w="4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(2,238)</w:t>
            </w:r>
          </w:p>
        </w:tc>
        <w:tc>
          <w:tcPr>
            <w:tcW w:w="300" w:type="dxa"/>
            <w:vAlign w:val="bottom"/>
            <w:gridSpan w:val="2"/>
            <w:shd w:val="clear" w:color="auto" w:fill="E0E7ED"/>
          </w:tcPr>
          <w:p>
            <w:pPr>
              <w:jc w:val="right"/>
              <w:ind w:right="60"/>
              <w:spacing w:after="0"/>
              <w:rPr>
                <w:sz w:val="20"/>
                <w:szCs w:val="20"/>
                <w:color w:val="auto"/>
              </w:rPr>
            </w:pPr>
            <w:r>
              <w:rPr>
                <w:rFonts w:ascii="Verdana" w:cs="Verdana" w:eastAsia="Verdana" w:hAnsi="Verdana"/>
                <w:sz w:val="18"/>
                <w:szCs w:val="18"/>
                <w:color w:val="auto"/>
              </w:rPr>
              <w:t>$</w:t>
            </w:r>
          </w:p>
        </w:tc>
        <w:tc>
          <w:tcPr>
            <w:tcW w:w="14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6,969,807</w:t>
            </w:r>
          </w:p>
        </w:tc>
        <w:tc>
          <w:tcPr>
            <w:tcW w:w="18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0.03 %</w:t>
            </w:r>
          </w:p>
        </w:tc>
        <w:tc>
          <w:tcPr>
            <w:tcW w:w="0" w:type="dxa"/>
            <w:vAlign w:val="bottom"/>
          </w:tcPr>
          <w:p>
            <w:pPr>
              <w:spacing w:after="0"/>
              <w:rPr>
                <w:sz w:val="1"/>
                <w:szCs w:val="1"/>
                <w:color w:val="auto"/>
              </w:rPr>
            </w:pPr>
          </w:p>
        </w:tc>
      </w:tr>
      <w:tr>
        <w:trPr>
          <w:trHeight w:val="20"/>
        </w:trPr>
        <w:tc>
          <w:tcPr>
            <w:tcW w:w="6100" w:type="dxa"/>
            <w:vAlign w:val="bottom"/>
            <w:tcBorders>
              <w:top w:val="single" w:sz="8" w:color="E0E7ED"/>
              <w:bottom w:val="single" w:sz="8" w:color="E0E7ED"/>
            </w:tcBorders>
            <w:vMerge w:val="restart"/>
          </w:tcPr>
          <w:p>
            <w:pPr>
              <w:ind w:left="180"/>
              <w:spacing w:after="0"/>
              <w:rPr>
                <w:sz w:val="20"/>
                <w:szCs w:val="20"/>
                <w:color w:val="auto"/>
              </w:rPr>
            </w:pPr>
            <w:r>
              <w:rPr>
                <w:rFonts w:ascii="Verdana" w:cs="Verdana" w:eastAsia="Verdana" w:hAnsi="Verdana"/>
                <w:sz w:val="18"/>
                <w:szCs w:val="18"/>
                <w:color w:val="auto"/>
              </w:rPr>
              <w:t>Provision for credit losses</w:t>
            </w:r>
          </w:p>
        </w:tc>
        <w:tc>
          <w:tcPr>
            <w:tcW w:w="40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E0E7ED"/>
              <w:bottom w:val="single" w:sz="8" w:color="E0E7ED"/>
            </w:tcBorders>
            <w:vMerge w:val="restart"/>
          </w:tcPr>
          <w:p>
            <w:pPr>
              <w:jc w:val="right"/>
              <w:spacing w:after="0"/>
              <w:rPr>
                <w:sz w:val="20"/>
                <w:szCs w:val="20"/>
                <w:color w:val="auto"/>
              </w:rPr>
            </w:pPr>
            <w:r>
              <w:rPr>
                <w:rFonts w:ascii="Verdana" w:cs="Verdana" w:eastAsia="Verdana" w:hAnsi="Verdana"/>
                <w:sz w:val="18"/>
                <w:szCs w:val="18"/>
                <w:color w:val="auto"/>
              </w:rPr>
              <w:t>(15,101)</w:t>
            </w: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6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00" w:type="dxa"/>
            <w:vAlign w:val="bottom"/>
            <w:tcBorders>
              <w:bottom w:val="single" w:sz="8" w:color="E0E7ED"/>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0E7ED"/>
            </w:tcBorders>
          </w:tcPr>
          <w:p>
            <w:pPr>
              <w:spacing w:after="0"/>
              <w:rPr>
                <w:sz w:val="18"/>
                <w:szCs w:val="18"/>
                <w:color w:val="auto"/>
              </w:rPr>
            </w:pPr>
          </w:p>
        </w:tc>
        <w:tc>
          <w:tcPr>
            <w:tcW w:w="200" w:type="dxa"/>
            <w:vAlign w:val="bottom"/>
            <w:tcBorders>
              <w:bottom w:val="single" w:sz="8" w:color="E0E7ED"/>
            </w:tcBorders>
          </w:tcPr>
          <w:p>
            <w:pPr>
              <w:spacing w:after="0"/>
              <w:rPr>
                <w:sz w:val="18"/>
                <w:szCs w:val="18"/>
                <w:color w:val="auto"/>
              </w:rPr>
            </w:pPr>
          </w:p>
        </w:tc>
        <w:tc>
          <w:tcPr>
            <w:tcW w:w="1420" w:type="dxa"/>
            <w:vAlign w:val="bottom"/>
            <w:tcBorders>
              <w:bottom w:val="single" w:sz="8" w:color="E0E7ED"/>
            </w:tcBorders>
          </w:tcPr>
          <w:p>
            <w:pPr>
              <w:spacing w:after="0"/>
              <w:rPr>
                <w:sz w:val="18"/>
                <w:szCs w:val="18"/>
                <w:color w:val="auto"/>
              </w:rPr>
            </w:pPr>
          </w:p>
        </w:tc>
        <w:tc>
          <w:tcPr>
            <w:tcW w:w="80" w:type="dxa"/>
            <w:vAlign w:val="bottom"/>
            <w:tcBorders>
              <w:bottom w:val="single" w:sz="8" w:color="E0E7ED"/>
            </w:tcBorders>
          </w:tcPr>
          <w:p>
            <w:pPr>
              <w:spacing w:after="0"/>
              <w:rPr>
                <w:sz w:val="18"/>
                <w:szCs w:val="18"/>
                <w:color w:val="auto"/>
              </w:rPr>
            </w:pPr>
          </w:p>
        </w:tc>
        <w:tc>
          <w:tcPr>
            <w:tcW w:w="1760" w:type="dxa"/>
            <w:vAlign w:val="bottom"/>
            <w:tcBorders>
              <w:bottom w:val="single" w:sz="8" w:color="E0E7ED"/>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ACL balance, December 31, 2021</w:t>
            </w:r>
          </w:p>
        </w:tc>
        <w:tc>
          <w:tcPr>
            <w:tcW w:w="40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87,887</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76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100" w:type="dxa"/>
            <w:vAlign w:val="bottom"/>
          </w:tcPr>
          <w:p>
            <w:pPr>
              <w:ind w:left="180"/>
              <w:spacing w:after="0"/>
              <w:rPr>
                <w:sz w:val="20"/>
                <w:szCs w:val="20"/>
                <w:color w:val="auto"/>
              </w:rPr>
            </w:pPr>
            <w:r>
              <w:rPr>
                <w:rFonts w:ascii="Verdana" w:cs="Verdana" w:eastAsia="Verdana" w:hAnsi="Verdana"/>
                <w:sz w:val="18"/>
                <w:szCs w:val="18"/>
                <w:color w:val="auto"/>
              </w:rPr>
              <w:t>Net (charge-offs) recoveries and average portfolio loans by loan</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100" w:type="dxa"/>
            <w:vAlign w:val="bottom"/>
          </w:tcPr>
          <w:p>
            <w:pPr>
              <w:ind w:left="180"/>
              <w:spacing w:after="0"/>
              <w:rPr>
                <w:sz w:val="20"/>
                <w:szCs w:val="20"/>
                <w:color w:val="auto"/>
              </w:rPr>
            </w:pPr>
            <w:r>
              <w:rPr>
                <w:rFonts w:ascii="Verdana" w:cs="Verdana" w:eastAsia="Verdana" w:hAnsi="Verdana"/>
                <w:sz w:val="18"/>
                <w:szCs w:val="18"/>
                <w:color w:val="auto"/>
              </w:rPr>
              <w:t>category:</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1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4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(492)</w:t>
            </w:r>
          </w:p>
        </w:tc>
        <w:tc>
          <w:tcPr>
            <w:tcW w:w="300" w:type="dxa"/>
            <w:vAlign w:val="bottom"/>
            <w:gridSpan w:val="2"/>
            <w:shd w:val="clear" w:color="auto" w:fill="E0E7ED"/>
          </w:tcPr>
          <w:p>
            <w:pPr>
              <w:jc w:val="right"/>
              <w:ind w:right="60"/>
              <w:spacing w:after="0"/>
              <w:rPr>
                <w:sz w:val="20"/>
                <w:szCs w:val="20"/>
                <w:color w:val="auto"/>
              </w:rPr>
            </w:pPr>
            <w:r>
              <w:rPr>
                <w:rFonts w:ascii="Verdana" w:cs="Verdana" w:eastAsia="Verdana" w:hAnsi="Verdana"/>
                <w:sz w:val="18"/>
                <w:szCs w:val="18"/>
                <w:color w:val="auto"/>
              </w:rPr>
              <w:t>$</w:t>
            </w:r>
          </w:p>
        </w:tc>
        <w:tc>
          <w:tcPr>
            <w:tcW w:w="14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1,919,227</w:t>
            </w:r>
          </w:p>
        </w:tc>
        <w:tc>
          <w:tcPr>
            <w:tcW w:w="18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0.03 %</w:t>
            </w:r>
          </w:p>
        </w:tc>
        <w:tc>
          <w:tcPr>
            <w:tcW w:w="0" w:type="dxa"/>
            <w:vAlign w:val="bottom"/>
          </w:tcPr>
          <w:p>
            <w:pPr>
              <w:spacing w:after="0"/>
              <w:rPr>
                <w:sz w:val="1"/>
                <w:szCs w:val="1"/>
                <w:color w:val="auto"/>
              </w:rPr>
            </w:pPr>
          </w:p>
        </w:tc>
      </w:tr>
      <w:tr>
        <w:trPr>
          <w:trHeight w:val="263"/>
        </w:trPr>
        <w:tc>
          <w:tcPr>
            <w:tcW w:w="6100" w:type="dxa"/>
            <w:vAlign w:val="bottom"/>
          </w:tcPr>
          <w:p>
            <w:pPr>
              <w:ind w:left="360"/>
              <w:spacing w:after="0"/>
              <w:rPr>
                <w:sz w:val="20"/>
                <w:szCs w:val="20"/>
                <w:color w:val="auto"/>
              </w:rPr>
            </w:pPr>
            <w:r>
              <w:rPr>
                <w:rFonts w:ascii="Verdana" w:cs="Verdana" w:eastAsia="Verdana" w:hAnsi="Verdana"/>
                <w:sz w:val="18"/>
                <w:szCs w:val="18"/>
                <w:color w:val="auto"/>
              </w:rPr>
              <w:t>Commercial real estate</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(842)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4"/>
              <w:spacing w:after="0"/>
              <w:rPr>
                <w:sz w:val="20"/>
                <w:szCs w:val="20"/>
                <w:color w:val="auto"/>
              </w:rPr>
            </w:pPr>
            <w:r>
              <w:rPr>
                <w:rFonts w:ascii="Verdana" w:cs="Verdana" w:eastAsia="Verdana" w:hAnsi="Verdana"/>
                <w:sz w:val="18"/>
                <w:szCs w:val="18"/>
                <w:color w:val="auto"/>
              </w:rPr>
              <w:t>3,200,166</w:t>
            </w:r>
          </w:p>
        </w:tc>
        <w:tc>
          <w:tcPr>
            <w:tcW w:w="1840" w:type="dxa"/>
            <w:vAlign w:val="bottom"/>
            <w:gridSpan w:val="2"/>
          </w:tcPr>
          <w:p>
            <w:pPr>
              <w:jc w:val="right"/>
              <w:spacing w:after="0"/>
              <w:rPr>
                <w:sz w:val="20"/>
                <w:szCs w:val="20"/>
                <w:color w:val="auto"/>
              </w:rPr>
            </w:pPr>
            <w:r>
              <w:rPr>
                <w:rFonts w:ascii="Verdana" w:cs="Verdana" w:eastAsia="Verdana" w:hAnsi="Verdana"/>
                <w:sz w:val="18"/>
                <w:szCs w:val="18"/>
                <w:color w:val="auto"/>
              </w:rPr>
              <w:t>0.03 %</w:t>
            </w:r>
          </w:p>
        </w:tc>
        <w:tc>
          <w:tcPr>
            <w:tcW w:w="0" w:type="dxa"/>
            <w:vAlign w:val="bottom"/>
          </w:tcPr>
          <w:p>
            <w:pPr>
              <w:spacing w:after="0"/>
              <w:rPr>
                <w:sz w:val="1"/>
                <w:szCs w:val="1"/>
                <w:color w:val="auto"/>
              </w:rPr>
            </w:pPr>
          </w:p>
        </w:tc>
      </w:tr>
      <w:tr>
        <w:trPr>
          <w:trHeight w:val="277"/>
        </w:trPr>
        <w:tc>
          <w:tcPr>
            <w:tcW w:w="61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 construction</w:t>
            </w:r>
          </w:p>
        </w:tc>
        <w:tc>
          <w:tcPr>
            <w:tcW w:w="4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466,045</w:t>
            </w:r>
          </w:p>
        </w:tc>
        <w:tc>
          <w:tcPr>
            <w:tcW w:w="18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(0.05)%</w:t>
            </w:r>
          </w:p>
        </w:tc>
        <w:tc>
          <w:tcPr>
            <w:tcW w:w="0" w:type="dxa"/>
            <w:vAlign w:val="bottom"/>
          </w:tcPr>
          <w:p>
            <w:pPr>
              <w:spacing w:after="0"/>
              <w:rPr>
                <w:sz w:val="1"/>
                <w:szCs w:val="1"/>
                <w:color w:val="auto"/>
              </w:rPr>
            </w:pPr>
          </w:p>
        </w:tc>
      </w:tr>
      <w:tr>
        <w:trPr>
          <w:trHeight w:val="263"/>
        </w:trPr>
        <w:tc>
          <w:tcPr>
            <w:tcW w:w="6100" w:type="dxa"/>
            <w:vAlign w:val="bottom"/>
          </w:tcPr>
          <w:p>
            <w:pPr>
              <w:ind w:left="360"/>
              <w:spacing w:after="0"/>
              <w:rPr>
                <w:sz w:val="20"/>
                <w:szCs w:val="20"/>
                <w:color w:val="auto"/>
              </w:rPr>
            </w:pPr>
            <w:r>
              <w:rPr>
                <w:rFonts w:ascii="Verdana" w:cs="Verdana" w:eastAsia="Verdana" w:hAnsi="Verdana"/>
                <w:sz w:val="18"/>
                <w:szCs w:val="18"/>
                <w:color w:val="auto"/>
              </w:rPr>
              <w:t>Retail real estate</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4"/>
              <w:spacing w:after="0"/>
              <w:rPr>
                <w:sz w:val="20"/>
                <w:szCs w:val="20"/>
                <w:color w:val="auto"/>
              </w:rPr>
            </w:pPr>
            <w:r>
              <w:rPr>
                <w:rFonts w:ascii="Verdana" w:cs="Verdana" w:eastAsia="Verdana" w:hAnsi="Verdana"/>
                <w:sz w:val="18"/>
                <w:szCs w:val="18"/>
                <w:color w:val="auto"/>
              </w:rPr>
              <w:t>1,584,859</w:t>
            </w:r>
          </w:p>
        </w:tc>
        <w:tc>
          <w:tcPr>
            <w:tcW w:w="1840" w:type="dxa"/>
            <w:vAlign w:val="bottom"/>
            <w:gridSpan w:val="2"/>
          </w:tcPr>
          <w:p>
            <w:pPr>
              <w:jc w:val="right"/>
              <w:spacing w:after="0"/>
              <w:rPr>
                <w:sz w:val="20"/>
                <w:szCs w:val="20"/>
                <w:color w:val="auto"/>
              </w:rPr>
            </w:pPr>
            <w:r>
              <w:rPr>
                <w:rFonts w:ascii="Verdana" w:cs="Verdana" w:eastAsia="Verdana" w:hAnsi="Verdana"/>
                <w:sz w:val="18"/>
                <w:szCs w:val="18"/>
                <w:color w:val="auto"/>
              </w:rPr>
              <w:t>(0.02)%</w:t>
            </w:r>
          </w:p>
        </w:tc>
        <w:tc>
          <w:tcPr>
            <w:tcW w:w="0" w:type="dxa"/>
            <w:vAlign w:val="bottom"/>
          </w:tcPr>
          <w:p>
            <w:pPr>
              <w:spacing w:after="0"/>
              <w:rPr>
                <w:sz w:val="1"/>
                <w:szCs w:val="1"/>
                <w:color w:val="auto"/>
              </w:rPr>
            </w:pPr>
          </w:p>
        </w:tc>
      </w:tr>
      <w:tr>
        <w:trPr>
          <w:trHeight w:val="270"/>
        </w:trPr>
        <w:tc>
          <w:tcPr>
            <w:tcW w:w="61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other</w:t>
            </w:r>
          </w:p>
        </w:tc>
        <w:tc>
          <w:tcPr>
            <w:tcW w:w="40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(166)</w:t>
            </w:r>
          </w:p>
        </w:tc>
        <w:tc>
          <w:tcPr>
            <w:tcW w:w="10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275,665</w:t>
            </w:r>
          </w:p>
        </w:tc>
        <w:tc>
          <w:tcPr>
            <w:tcW w:w="18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0.06 %</w:t>
            </w:r>
          </w:p>
        </w:tc>
        <w:tc>
          <w:tcPr>
            <w:tcW w:w="0" w:type="dxa"/>
            <w:vAlign w:val="bottom"/>
          </w:tcPr>
          <w:p>
            <w:pPr>
              <w:spacing w:after="0"/>
              <w:rPr>
                <w:sz w:val="1"/>
                <w:szCs w:val="1"/>
                <w:color w:val="auto"/>
              </w:rPr>
            </w:pPr>
          </w:p>
        </w:tc>
      </w:tr>
      <w:tr>
        <w:trPr>
          <w:trHeight w:val="270"/>
        </w:trPr>
        <w:tc>
          <w:tcPr>
            <w:tcW w:w="6100" w:type="dxa"/>
            <w:vAlign w:val="bottom"/>
          </w:tcPr>
          <w:p>
            <w:pPr>
              <w:ind w:left="180"/>
              <w:spacing w:after="0"/>
              <w:rPr>
                <w:sz w:val="20"/>
                <w:szCs w:val="20"/>
                <w:color w:val="auto"/>
              </w:rPr>
            </w:pPr>
            <w:r>
              <w:rPr>
                <w:rFonts w:ascii="Verdana" w:cs="Verdana" w:eastAsia="Verdana" w:hAnsi="Verdana"/>
                <w:sz w:val="18"/>
                <w:szCs w:val="18"/>
                <w:color w:val="auto"/>
              </w:rPr>
              <w:t>Net (charge-offs) recoveries and average portfolio loans</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(902)</w:t>
            </w:r>
          </w:p>
        </w:tc>
        <w:tc>
          <w:tcPr>
            <w:tcW w:w="30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4"/>
              <w:spacing w:after="0"/>
              <w:rPr>
                <w:sz w:val="20"/>
                <w:szCs w:val="20"/>
                <w:color w:val="auto"/>
              </w:rPr>
            </w:pPr>
            <w:r>
              <w:rPr>
                <w:rFonts w:ascii="Verdana" w:cs="Verdana" w:eastAsia="Verdana" w:hAnsi="Verdana"/>
                <w:sz w:val="18"/>
                <w:szCs w:val="18"/>
                <w:color w:val="auto"/>
              </w:rPr>
              <w:t>7,445,962</w:t>
            </w:r>
          </w:p>
        </w:tc>
        <w:tc>
          <w:tcPr>
            <w:tcW w:w="1840" w:type="dxa"/>
            <w:vAlign w:val="bottom"/>
            <w:gridSpan w:val="2"/>
          </w:tcPr>
          <w:p>
            <w:pPr>
              <w:jc w:val="right"/>
              <w:spacing w:after="0"/>
              <w:rPr>
                <w:sz w:val="20"/>
                <w:szCs w:val="20"/>
                <w:color w:val="auto"/>
              </w:rPr>
            </w:pPr>
            <w:r>
              <w:rPr>
                <w:rFonts w:ascii="Verdana" w:cs="Verdana" w:eastAsia="Verdana" w:hAnsi="Verdana"/>
                <w:sz w:val="18"/>
                <w:szCs w:val="18"/>
                <w:color w:val="auto"/>
              </w:rPr>
              <w:t>0.01 %</w:t>
            </w:r>
          </w:p>
        </w:tc>
        <w:tc>
          <w:tcPr>
            <w:tcW w:w="0" w:type="dxa"/>
            <w:vAlign w:val="bottom"/>
          </w:tcPr>
          <w:p>
            <w:pPr>
              <w:spacing w:after="0"/>
              <w:rPr>
                <w:sz w:val="1"/>
                <w:szCs w:val="1"/>
                <w:color w:val="auto"/>
              </w:rPr>
            </w:pPr>
          </w:p>
        </w:tc>
      </w:tr>
      <w:tr>
        <w:trPr>
          <w:trHeight w:val="20"/>
        </w:trPr>
        <w:tc>
          <w:tcPr>
            <w:tcW w:w="6100" w:type="dxa"/>
            <w:vAlign w:val="bottom"/>
            <w:tcBorders>
              <w:bottom w:val="single" w:sz="8" w:color="E0E7ED"/>
            </w:tcBorders>
          </w:tcPr>
          <w:p>
            <w:pPr>
              <w:spacing w:after="0" w:line="20" w:lineRule="exact"/>
              <w:rPr>
                <w:sz w:val="1"/>
                <w:szCs w:val="1"/>
                <w:color w:val="auto"/>
              </w:rPr>
            </w:pPr>
          </w:p>
        </w:tc>
        <w:tc>
          <w:tcPr>
            <w:tcW w:w="400" w:type="dxa"/>
            <w:vAlign w:val="bottom"/>
            <w:tcBorders>
              <w:bottom w:val="single" w:sz="8" w:color="E0E7ED"/>
            </w:tcBorders>
          </w:tcPr>
          <w:p>
            <w:pPr>
              <w:spacing w:after="0" w:line="20" w:lineRule="exact"/>
              <w:rPr>
                <w:sz w:val="1"/>
                <w:szCs w:val="1"/>
                <w:color w:val="auto"/>
              </w:rPr>
            </w:pPr>
          </w:p>
        </w:tc>
        <w:tc>
          <w:tcPr>
            <w:tcW w:w="11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76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credit losses</w:t>
            </w:r>
          </w:p>
        </w:tc>
        <w:tc>
          <w:tcPr>
            <w:tcW w:w="400" w:type="dxa"/>
            <w:vAlign w:val="bottom"/>
            <w:tcBorders>
              <w:bottom w:val="single" w:sz="8" w:color="auto"/>
            </w:tcBorders>
            <w:shd w:val="clear" w:color="auto" w:fill="E0E7ED"/>
          </w:tcPr>
          <w:p>
            <w:pPr>
              <w:spacing w:after="0"/>
              <w:rPr>
                <w:sz w:val="20"/>
                <w:szCs w:val="20"/>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4,623</w:t>
            </w: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7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100" w:type="dxa"/>
            <w:vAlign w:val="bottom"/>
          </w:tcPr>
          <w:p>
            <w:pPr>
              <w:ind w:left="20"/>
              <w:spacing w:after="0"/>
              <w:rPr>
                <w:sz w:val="20"/>
                <w:szCs w:val="20"/>
                <w:color w:val="auto"/>
              </w:rPr>
            </w:pPr>
            <w:r>
              <w:rPr>
                <w:rFonts w:ascii="Verdana" w:cs="Verdana" w:eastAsia="Verdana" w:hAnsi="Verdana"/>
                <w:sz w:val="18"/>
                <w:szCs w:val="18"/>
                <w:b w:val="1"/>
                <w:bCs w:val="1"/>
                <w:color w:val="auto"/>
              </w:rPr>
              <w:t>ACL balance, December 31, 2022</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91,608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(charge-offs) recoveries and average portfolio loans by loan</w:t>
            </w:r>
          </w:p>
        </w:tc>
        <w:tc>
          <w:tcPr>
            <w:tcW w:w="4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7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category:</w:t>
            </w:r>
          </w:p>
        </w:tc>
        <w:tc>
          <w:tcPr>
            <w:tcW w:w="4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7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100" w:type="dxa"/>
            <w:vAlign w:val="bottom"/>
          </w:tcPr>
          <w:p>
            <w:pPr>
              <w:ind w:left="360"/>
              <w:spacing w:after="0"/>
              <w:rPr>
                <w:sz w:val="20"/>
                <w:szCs w:val="20"/>
                <w:color w:val="auto"/>
              </w:rPr>
            </w:pPr>
            <w:r>
              <w:rPr>
                <w:rFonts w:ascii="Verdana" w:cs="Verdana" w:eastAsia="Verdana" w:hAnsi="Verdana"/>
                <w:sz w:val="18"/>
                <w:szCs w:val="18"/>
                <w:color w:val="auto"/>
              </w:rPr>
              <w:t>Commercial</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(1,877)</w:t>
            </w:r>
          </w:p>
        </w:tc>
        <w:tc>
          <w:tcPr>
            <w:tcW w:w="30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4"/>
              <w:spacing w:after="0"/>
              <w:rPr>
                <w:sz w:val="20"/>
                <w:szCs w:val="20"/>
                <w:color w:val="auto"/>
              </w:rPr>
            </w:pPr>
            <w:r>
              <w:rPr>
                <w:rFonts w:ascii="Verdana" w:cs="Verdana" w:eastAsia="Verdana" w:hAnsi="Verdana"/>
                <w:sz w:val="18"/>
                <w:szCs w:val="18"/>
                <w:color w:val="auto"/>
              </w:rPr>
              <w:t>1,910,008</w:t>
            </w:r>
          </w:p>
        </w:tc>
        <w:tc>
          <w:tcPr>
            <w:tcW w:w="1840" w:type="dxa"/>
            <w:vAlign w:val="bottom"/>
            <w:gridSpan w:val="2"/>
          </w:tcPr>
          <w:p>
            <w:pPr>
              <w:jc w:val="right"/>
              <w:spacing w:after="0"/>
              <w:rPr>
                <w:sz w:val="20"/>
                <w:szCs w:val="20"/>
                <w:color w:val="auto"/>
              </w:rPr>
            </w:pPr>
            <w:r>
              <w:rPr>
                <w:rFonts w:ascii="Verdana" w:cs="Verdana" w:eastAsia="Verdana" w:hAnsi="Verdana"/>
                <w:sz w:val="18"/>
                <w:szCs w:val="18"/>
                <w:color w:val="auto"/>
              </w:rPr>
              <w:t>0.10 %</w:t>
            </w:r>
          </w:p>
        </w:tc>
        <w:tc>
          <w:tcPr>
            <w:tcW w:w="0" w:type="dxa"/>
            <w:vAlign w:val="bottom"/>
          </w:tcPr>
          <w:p>
            <w:pPr>
              <w:spacing w:after="0"/>
              <w:rPr>
                <w:sz w:val="1"/>
                <w:szCs w:val="1"/>
                <w:color w:val="auto"/>
              </w:rPr>
            </w:pPr>
          </w:p>
        </w:tc>
      </w:tr>
      <w:tr>
        <w:trPr>
          <w:trHeight w:val="277"/>
        </w:trPr>
        <w:tc>
          <w:tcPr>
            <w:tcW w:w="61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 real estate</w:t>
            </w:r>
          </w:p>
        </w:tc>
        <w:tc>
          <w:tcPr>
            <w:tcW w:w="4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(379)</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3,316,633</w:t>
            </w:r>
          </w:p>
        </w:tc>
        <w:tc>
          <w:tcPr>
            <w:tcW w:w="18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0.01 %</w:t>
            </w:r>
          </w:p>
        </w:tc>
        <w:tc>
          <w:tcPr>
            <w:tcW w:w="0" w:type="dxa"/>
            <w:vAlign w:val="bottom"/>
          </w:tcPr>
          <w:p>
            <w:pPr>
              <w:spacing w:after="0"/>
              <w:rPr>
                <w:sz w:val="1"/>
                <w:szCs w:val="1"/>
                <w:color w:val="auto"/>
              </w:rPr>
            </w:pPr>
          </w:p>
        </w:tc>
      </w:tr>
      <w:tr>
        <w:trPr>
          <w:trHeight w:val="263"/>
        </w:trPr>
        <w:tc>
          <w:tcPr>
            <w:tcW w:w="6100" w:type="dxa"/>
            <w:vAlign w:val="bottom"/>
          </w:tcPr>
          <w:p>
            <w:pPr>
              <w:ind w:left="360"/>
              <w:spacing w:after="0"/>
              <w:rPr>
                <w:sz w:val="20"/>
                <w:szCs w:val="20"/>
                <w:color w:val="auto"/>
              </w:rPr>
            </w:pPr>
            <w:r>
              <w:rPr>
                <w:rFonts w:ascii="Verdana" w:cs="Verdana" w:eastAsia="Verdana" w:hAnsi="Verdana"/>
                <w:sz w:val="18"/>
                <w:szCs w:val="18"/>
                <w:color w:val="auto"/>
              </w:rPr>
              <w:t>Real estate construction</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4"/>
              <w:spacing w:after="0"/>
              <w:rPr>
                <w:sz w:val="20"/>
                <w:szCs w:val="20"/>
                <w:color w:val="auto"/>
              </w:rPr>
            </w:pPr>
            <w:r>
              <w:rPr>
                <w:rFonts w:ascii="Verdana" w:cs="Verdana" w:eastAsia="Verdana" w:hAnsi="Verdana"/>
                <w:sz w:val="18"/>
                <w:szCs w:val="18"/>
                <w:color w:val="auto"/>
              </w:rPr>
              <w:t>536,280</w:t>
            </w:r>
          </w:p>
        </w:tc>
        <w:tc>
          <w:tcPr>
            <w:tcW w:w="1840" w:type="dxa"/>
            <w:vAlign w:val="bottom"/>
            <w:gridSpan w:val="2"/>
          </w:tcPr>
          <w:p>
            <w:pPr>
              <w:jc w:val="right"/>
              <w:spacing w:after="0"/>
              <w:rPr>
                <w:sz w:val="20"/>
                <w:szCs w:val="20"/>
                <w:color w:val="auto"/>
              </w:rPr>
            </w:pPr>
            <w:r>
              <w:rPr>
                <w:rFonts w:ascii="Verdana" w:cs="Verdana" w:eastAsia="Verdana" w:hAnsi="Verdana"/>
                <w:sz w:val="18"/>
                <w:szCs w:val="18"/>
                <w:color w:val="auto"/>
              </w:rPr>
              <w:t>(0.03)%</w:t>
            </w:r>
          </w:p>
        </w:tc>
        <w:tc>
          <w:tcPr>
            <w:tcW w:w="0" w:type="dxa"/>
            <w:vAlign w:val="bottom"/>
          </w:tcPr>
          <w:p>
            <w:pPr>
              <w:spacing w:after="0"/>
              <w:rPr>
                <w:sz w:val="1"/>
                <w:szCs w:val="1"/>
                <w:color w:val="auto"/>
              </w:rPr>
            </w:pPr>
          </w:p>
        </w:tc>
      </w:tr>
      <w:tr>
        <w:trPr>
          <w:trHeight w:val="277"/>
        </w:trPr>
        <w:tc>
          <w:tcPr>
            <w:tcW w:w="61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real estate</w:t>
            </w:r>
          </w:p>
        </w:tc>
        <w:tc>
          <w:tcPr>
            <w:tcW w:w="4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183</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1,689,868</w:t>
            </w:r>
          </w:p>
        </w:tc>
        <w:tc>
          <w:tcPr>
            <w:tcW w:w="18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(0.01)%</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Retail other</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(365)</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306,683</w:t>
            </w:r>
          </w:p>
        </w:tc>
        <w:tc>
          <w:tcPr>
            <w:tcW w:w="184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0.12 %</w:t>
            </w:r>
          </w:p>
        </w:tc>
        <w:tc>
          <w:tcPr>
            <w:tcW w:w="0" w:type="dxa"/>
            <w:vAlign w:val="bottom"/>
          </w:tcPr>
          <w:p>
            <w:pPr>
              <w:spacing w:after="0"/>
              <w:rPr>
                <w:sz w:val="1"/>
                <w:szCs w:val="1"/>
                <w:color w:val="auto"/>
              </w:rPr>
            </w:pPr>
          </w:p>
        </w:tc>
      </w:tr>
      <w:tr>
        <w:trPr>
          <w:trHeight w:val="290"/>
        </w:trPr>
        <w:tc>
          <w:tcPr>
            <w:tcW w:w="6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(charge-offs) recoveries and average portfolio loans</w:t>
            </w:r>
          </w:p>
        </w:tc>
        <w:tc>
          <w:tcPr>
            <w:tcW w:w="4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(2,267)</w:t>
            </w:r>
          </w:p>
        </w:tc>
        <w:tc>
          <w:tcPr>
            <w:tcW w:w="300" w:type="dxa"/>
            <w:vAlign w:val="bottom"/>
            <w:gridSpan w:val="2"/>
            <w:shd w:val="clear" w:color="auto" w:fill="E0E7ED"/>
          </w:tcPr>
          <w:p>
            <w:pPr>
              <w:jc w:val="right"/>
              <w:ind w:right="60"/>
              <w:spacing w:after="0"/>
              <w:rPr>
                <w:sz w:val="20"/>
                <w:szCs w:val="20"/>
                <w:color w:val="auto"/>
              </w:rPr>
            </w:pPr>
            <w:r>
              <w:rPr>
                <w:rFonts w:ascii="Verdana" w:cs="Verdana" w:eastAsia="Verdana" w:hAnsi="Verdana"/>
                <w:sz w:val="18"/>
                <w:szCs w:val="18"/>
                <w:color w:val="auto"/>
              </w:rPr>
              <w:t>$</w:t>
            </w:r>
          </w:p>
        </w:tc>
        <w:tc>
          <w:tcPr>
            <w:tcW w:w="14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7,759,472</w:t>
            </w:r>
          </w:p>
        </w:tc>
        <w:tc>
          <w:tcPr>
            <w:tcW w:w="18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0.03 %</w:t>
            </w:r>
          </w:p>
        </w:tc>
        <w:tc>
          <w:tcPr>
            <w:tcW w:w="0" w:type="dxa"/>
            <w:vAlign w:val="bottom"/>
          </w:tcPr>
          <w:p>
            <w:pPr>
              <w:spacing w:after="0"/>
              <w:rPr>
                <w:sz w:val="1"/>
                <w:szCs w:val="1"/>
                <w:color w:val="auto"/>
              </w:rPr>
            </w:pPr>
          </w:p>
        </w:tc>
      </w:tr>
      <w:tr>
        <w:trPr>
          <w:trHeight w:val="20"/>
        </w:trPr>
        <w:tc>
          <w:tcPr>
            <w:tcW w:w="6100" w:type="dxa"/>
            <w:vAlign w:val="bottom"/>
            <w:tcBorders>
              <w:top w:val="single" w:sz="8" w:color="E0E7ED"/>
              <w:bottom w:val="single" w:sz="8" w:color="E0E7ED"/>
            </w:tcBorders>
            <w:vMerge w:val="restart"/>
          </w:tcPr>
          <w:p>
            <w:pPr>
              <w:ind w:left="180"/>
              <w:spacing w:after="0"/>
              <w:rPr>
                <w:sz w:val="20"/>
                <w:szCs w:val="20"/>
                <w:color w:val="auto"/>
              </w:rPr>
            </w:pPr>
            <w:r>
              <w:rPr>
                <w:rFonts w:ascii="Verdana" w:cs="Verdana" w:eastAsia="Verdana" w:hAnsi="Verdana"/>
                <w:sz w:val="18"/>
                <w:szCs w:val="18"/>
                <w:color w:val="auto"/>
              </w:rPr>
              <w:t>Provision for credit losses</w:t>
            </w:r>
          </w:p>
        </w:tc>
        <w:tc>
          <w:tcPr>
            <w:tcW w:w="40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E0E7ED"/>
              <w:bottom w:val="single" w:sz="8" w:color="E0E7ED"/>
            </w:tcBorders>
            <w:vMerge w:val="restart"/>
          </w:tcPr>
          <w:p>
            <w:pPr>
              <w:jc w:val="right"/>
              <w:spacing w:after="0"/>
              <w:rPr>
                <w:sz w:val="20"/>
                <w:szCs w:val="20"/>
                <w:color w:val="auto"/>
              </w:rPr>
            </w:pPr>
            <w:r>
              <w:rPr>
                <w:rFonts w:ascii="Verdana" w:cs="Verdana" w:eastAsia="Verdana" w:hAnsi="Verdana"/>
                <w:sz w:val="18"/>
                <w:szCs w:val="18"/>
                <w:color w:val="auto"/>
              </w:rPr>
              <w:t>2,399</w:t>
            </w: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6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tcBorders>
              <w:bottom w:val="single" w:sz="8" w:color="E0E7ED"/>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0E7ED"/>
            </w:tcBorders>
          </w:tcPr>
          <w:p>
            <w:pPr>
              <w:spacing w:after="0"/>
              <w:rPr>
                <w:sz w:val="18"/>
                <w:szCs w:val="18"/>
                <w:color w:val="auto"/>
              </w:rPr>
            </w:pPr>
          </w:p>
        </w:tc>
        <w:tc>
          <w:tcPr>
            <w:tcW w:w="200" w:type="dxa"/>
            <w:vAlign w:val="bottom"/>
            <w:tcBorders>
              <w:bottom w:val="single" w:sz="8" w:color="E0E7ED"/>
            </w:tcBorders>
          </w:tcPr>
          <w:p>
            <w:pPr>
              <w:spacing w:after="0"/>
              <w:rPr>
                <w:sz w:val="18"/>
                <w:szCs w:val="18"/>
                <w:color w:val="auto"/>
              </w:rPr>
            </w:pPr>
          </w:p>
        </w:tc>
        <w:tc>
          <w:tcPr>
            <w:tcW w:w="1420" w:type="dxa"/>
            <w:vAlign w:val="bottom"/>
            <w:tcBorders>
              <w:bottom w:val="single" w:sz="8" w:color="E0E7ED"/>
            </w:tcBorders>
          </w:tcPr>
          <w:p>
            <w:pPr>
              <w:spacing w:after="0"/>
              <w:rPr>
                <w:sz w:val="18"/>
                <w:szCs w:val="18"/>
                <w:color w:val="auto"/>
              </w:rPr>
            </w:pPr>
          </w:p>
        </w:tc>
        <w:tc>
          <w:tcPr>
            <w:tcW w:w="80" w:type="dxa"/>
            <w:vAlign w:val="bottom"/>
            <w:tcBorders>
              <w:bottom w:val="single" w:sz="8" w:color="E0E7ED"/>
            </w:tcBorders>
          </w:tcPr>
          <w:p>
            <w:pPr>
              <w:spacing w:after="0"/>
              <w:rPr>
                <w:sz w:val="18"/>
                <w:szCs w:val="18"/>
                <w:color w:val="auto"/>
              </w:rPr>
            </w:pPr>
          </w:p>
        </w:tc>
        <w:tc>
          <w:tcPr>
            <w:tcW w:w="1760" w:type="dxa"/>
            <w:vAlign w:val="bottom"/>
            <w:tcBorders>
              <w:bottom w:val="single" w:sz="8" w:color="E0E7ED"/>
            </w:tcBorders>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1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ACL balance, December 31, 2023</w:t>
            </w:r>
          </w:p>
        </w:tc>
        <w:tc>
          <w:tcPr>
            <w:tcW w:w="400" w:type="dxa"/>
            <w:vAlign w:val="bottom"/>
            <w:tcBorders>
              <w:bottom w:val="single" w:sz="8" w:color="auto"/>
            </w:tcBorders>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E0E7ED"/>
            </w:tcBorders>
            <w:shd w:val="clear" w:color="auto" w:fill="E0E7ED"/>
          </w:tcPr>
          <w:p>
            <w:pPr>
              <w:spacing w:after="0"/>
              <w:rPr>
                <w:sz w:val="24"/>
                <w:szCs w:val="24"/>
                <w:color w:val="auto"/>
              </w:rPr>
            </w:pPr>
          </w:p>
        </w:tc>
        <w:tc>
          <w:tcPr>
            <w:tcW w:w="14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1760" w:type="dxa"/>
            <w:vAlign w:val="bottom"/>
            <w:tcBorders>
              <w:bottom w:val="single" w:sz="8" w:color="E0E7ED"/>
            </w:tcBorders>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14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6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40"/>
        </w:numPr>
        <w:rPr>
          <w:rFonts w:ascii="Verdana" w:cs="Verdana" w:eastAsia="Verdana" w:hAnsi="Verdana"/>
          <w:sz w:val="13"/>
          <w:szCs w:val="13"/>
          <w:color w:val="auto"/>
        </w:rPr>
      </w:pPr>
      <w:r>
        <w:rPr>
          <w:rFonts w:ascii="Verdana" w:cs="Verdana" w:eastAsia="Verdana" w:hAnsi="Verdana"/>
          <w:sz w:val="13"/>
          <w:szCs w:val="13"/>
          <w:color w:val="auto"/>
        </w:rPr>
        <w:t>The Day 1 PCD is attributable to the CAC acquisition.</w:t>
      </w:r>
    </w:p>
    <w:p>
      <w:pPr>
        <w:spacing w:after="0" w:line="4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8" w:name="page79"/>
    <w:bookmarkEnd w:id="7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254" w:lineRule="auto"/>
        <w:rPr>
          <w:sz w:val="20"/>
          <w:szCs w:val="20"/>
          <w:color w:val="auto"/>
        </w:rPr>
      </w:pPr>
      <w:r>
        <w:rPr>
          <w:rFonts w:ascii="Verdana" w:cs="Verdana" w:eastAsia="Verdana" w:hAnsi="Verdana"/>
          <w:sz w:val="18"/>
          <w:szCs w:val="18"/>
          <w:color w:val="auto"/>
        </w:rPr>
        <w:t xml:space="preserve">The following table sets forth the ACL by loan categories and percentage of loans to total loans as of December 31 for each of the years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 December 31,</w:t>
            </w: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450"/>
              <w:spacing w:after="0"/>
              <w:rPr>
                <w:sz w:val="20"/>
                <w:szCs w:val="20"/>
                <w:color w:val="auto"/>
              </w:rPr>
            </w:pPr>
            <w:r>
              <w:rPr>
                <w:rFonts w:ascii="Verdana" w:cs="Verdana" w:eastAsia="Verdana" w:hAnsi="Verdana"/>
                <w:sz w:val="13"/>
                <w:szCs w:val="13"/>
                <w:b w:val="1"/>
                <w:bCs w:val="1"/>
                <w:color w:val="auto"/>
                <w:w w:val="97"/>
              </w:rPr>
              <w:t>2023</w:t>
            </w: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428"/>
              <w:spacing w:after="0"/>
              <w:rPr>
                <w:sz w:val="20"/>
                <w:szCs w:val="20"/>
                <w:color w:val="auto"/>
              </w:rPr>
            </w:pPr>
            <w:r>
              <w:rPr>
                <w:rFonts w:ascii="Verdana" w:cs="Verdana" w:eastAsia="Verdana" w:hAnsi="Verdana"/>
                <w:sz w:val="13"/>
                <w:szCs w:val="13"/>
                <w:b w:val="1"/>
                <w:bCs w:val="1"/>
                <w:color w:val="auto"/>
                <w:w w:val="97"/>
              </w:rPr>
              <w:t>2022</w:t>
            </w:r>
          </w:p>
        </w:tc>
        <w:tc>
          <w:tcPr>
            <w:tcW w:w="0" w:type="dxa"/>
            <w:vAlign w:val="bottom"/>
          </w:tcPr>
          <w:p>
            <w:pPr>
              <w:spacing w:after="0"/>
              <w:rPr>
                <w:sz w:val="1"/>
                <w:szCs w:val="1"/>
                <w:color w:val="auto"/>
              </w:rPr>
            </w:pPr>
          </w:p>
        </w:tc>
      </w:tr>
      <w:tr>
        <w:trPr>
          <w:trHeight w:val="120"/>
        </w:trPr>
        <w:tc>
          <w:tcPr>
            <w:tcW w:w="4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vMerge w:val="restart"/>
          </w:tcPr>
          <w:p>
            <w:pPr>
              <w:jc w:val="right"/>
              <w:ind w:right="474"/>
              <w:spacing w:after="0"/>
              <w:rPr>
                <w:sz w:val="20"/>
                <w:szCs w:val="20"/>
                <w:color w:val="auto"/>
              </w:rPr>
            </w:pPr>
            <w:r>
              <w:rPr>
                <w:rFonts w:ascii="Verdana" w:cs="Verdana" w:eastAsia="Verdana" w:hAnsi="Verdana"/>
                <w:sz w:val="13"/>
                <w:szCs w:val="13"/>
                <w:b w:val="1"/>
                <w:bCs w:val="1"/>
                <w:color w:val="auto"/>
              </w:rPr>
              <w:t>ACL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jc w:val="center"/>
              <w:spacing w:after="0" w:line="120" w:lineRule="exact"/>
              <w:rPr>
                <w:sz w:val="20"/>
                <w:szCs w:val="20"/>
                <w:color w:val="auto"/>
              </w:rPr>
            </w:pPr>
            <w:r>
              <w:rPr>
                <w:rFonts w:ascii="Verdana" w:cs="Verdana" w:eastAsia="Verdana" w:hAnsi="Verdana"/>
                <w:sz w:val="13"/>
                <w:szCs w:val="13"/>
                <w:b w:val="1"/>
                <w:bCs w:val="1"/>
                <w:color w:val="auto"/>
                <w:w w:val="96"/>
              </w:rPr>
              <w:t>% of Loans to Total</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vMerge w:val="restart"/>
          </w:tcPr>
          <w:p>
            <w:pPr>
              <w:jc w:val="right"/>
              <w:ind w:right="494"/>
              <w:spacing w:after="0"/>
              <w:rPr>
                <w:sz w:val="20"/>
                <w:szCs w:val="20"/>
                <w:color w:val="auto"/>
              </w:rPr>
            </w:pPr>
            <w:r>
              <w:rPr>
                <w:rFonts w:ascii="Verdana" w:cs="Verdana" w:eastAsia="Verdana" w:hAnsi="Verdana"/>
                <w:sz w:val="13"/>
                <w:szCs w:val="13"/>
                <w:b w:val="1"/>
                <w:bCs w:val="1"/>
                <w:color w:val="auto"/>
                <w:w w:val="85"/>
              </w:rPr>
              <w:t>ACL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tcPr>
          <w:p>
            <w:pPr>
              <w:jc w:val="right"/>
              <w:ind w:right="88"/>
              <w:spacing w:after="0" w:line="120" w:lineRule="exact"/>
              <w:rPr>
                <w:sz w:val="20"/>
                <w:szCs w:val="20"/>
                <w:color w:val="auto"/>
              </w:rPr>
            </w:pPr>
            <w:r>
              <w:rPr>
                <w:rFonts w:ascii="Verdana" w:cs="Verdana" w:eastAsia="Verdana" w:hAnsi="Verdana"/>
                <w:sz w:val="13"/>
                <w:szCs w:val="13"/>
                <w:b w:val="1"/>
                <w:bCs w:val="1"/>
                <w:color w:val="auto"/>
              </w:rPr>
              <w:t>% of Loans to Total</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Verdana" w:cs="Verdana" w:eastAsia="Verdana" w:hAnsi="Verdana"/>
                <w:sz w:val="13"/>
                <w:szCs w:val="13"/>
                <w:b w:val="1"/>
                <w:bCs w:val="1"/>
                <w:color w:val="auto"/>
                <w:w w:val="97"/>
              </w:rPr>
              <w:t>Loans</w:t>
            </w:r>
          </w:p>
        </w:tc>
        <w:tc>
          <w:tcPr>
            <w:tcW w:w="6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right"/>
              <w:ind w:right="568"/>
              <w:spacing w:after="0"/>
              <w:rPr>
                <w:sz w:val="20"/>
                <w:szCs w:val="20"/>
                <w:color w:val="auto"/>
              </w:rPr>
            </w:pPr>
            <w:r>
              <w:rPr>
                <w:rFonts w:ascii="Verdana" w:cs="Verdana" w:eastAsia="Verdana" w:hAnsi="Verdana"/>
                <w:sz w:val="13"/>
                <w:szCs w:val="13"/>
                <w:b w:val="1"/>
                <w:bCs w:val="1"/>
                <w:color w:val="auto"/>
              </w:rPr>
              <w:t>Loans</w:t>
            </w:r>
          </w:p>
        </w:tc>
        <w:tc>
          <w:tcPr>
            <w:tcW w:w="0" w:type="dxa"/>
            <w:vAlign w:val="bottom"/>
          </w:tcPr>
          <w:p>
            <w:pPr>
              <w:spacing w:after="0"/>
              <w:rPr>
                <w:sz w:val="1"/>
                <w:szCs w:val="1"/>
                <w:color w:val="auto"/>
              </w:rPr>
            </w:pPr>
          </w:p>
        </w:tc>
      </w:tr>
      <w:tr>
        <w:trPr>
          <w:trHeight w:val="255"/>
        </w:trPr>
        <w:tc>
          <w:tcPr>
            <w:tcW w:w="44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 Category</w:t>
            </w:r>
          </w:p>
        </w:tc>
        <w:tc>
          <w:tcPr>
            <w:tcW w:w="380" w:type="dxa"/>
            <w:vAlign w:val="bottom"/>
            <w:tcBorders>
              <w:top w:val="single" w:sz="8" w:color="auto"/>
            </w:tcBorders>
            <w:shd w:val="clear" w:color="auto" w:fill="E0E7ED"/>
          </w:tcPr>
          <w:p>
            <w:pPr>
              <w:spacing w:after="0"/>
              <w:rPr>
                <w:sz w:val="22"/>
                <w:szCs w:val="22"/>
                <w:color w:val="auto"/>
              </w:rPr>
            </w:pPr>
          </w:p>
        </w:tc>
        <w:tc>
          <w:tcPr>
            <w:tcW w:w="11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7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660" w:type="dxa"/>
            <w:vAlign w:val="bottom"/>
            <w:tcBorders>
              <w:top w:val="single" w:sz="8" w:color="auto"/>
            </w:tcBorders>
            <w:shd w:val="clear" w:color="auto" w:fill="E0E7ED"/>
          </w:tcPr>
          <w:p>
            <w:pPr>
              <w:spacing w:after="0"/>
              <w:rPr>
                <w:sz w:val="22"/>
                <w:szCs w:val="22"/>
                <w:color w:val="auto"/>
              </w:rPr>
            </w:pPr>
          </w:p>
        </w:tc>
        <w:tc>
          <w:tcPr>
            <w:tcW w:w="8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7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40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21,256</w:t>
            </w:r>
          </w:p>
        </w:tc>
        <w:tc>
          <w:tcPr>
            <w:tcW w:w="1900" w:type="dxa"/>
            <w:vAlign w:val="bottom"/>
            <w:gridSpan w:val="3"/>
          </w:tcPr>
          <w:p>
            <w:pPr>
              <w:jc w:val="right"/>
              <w:spacing w:after="0"/>
              <w:rPr>
                <w:sz w:val="20"/>
                <w:szCs w:val="20"/>
                <w:color w:val="auto"/>
              </w:rPr>
            </w:pPr>
            <w:r>
              <w:rPr>
                <w:rFonts w:ascii="Verdana" w:cs="Verdana" w:eastAsia="Verdana" w:hAnsi="Verdana"/>
                <w:sz w:val="18"/>
                <w:szCs w:val="18"/>
                <w:color w:val="auto"/>
              </w:rPr>
              <w:t>24.0 %</w:t>
            </w:r>
          </w:p>
        </w:tc>
        <w:tc>
          <w:tcPr>
            <w:tcW w:w="80" w:type="dxa"/>
            <w:vAlign w:val="bottom"/>
          </w:tcPr>
          <w:p>
            <w:pPr>
              <w:spacing w:after="0"/>
              <w:rPr>
                <w:sz w:val="22"/>
                <w:szCs w:val="22"/>
                <w:color w:val="auto"/>
              </w:rPr>
            </w:pPr>
          </w:p>
        </w:tc>
        <w:tc>
          <w:tcPr>
            <w:tcW w:w="660" w:type="dxa"/>
            <w:vAlign w:val="bottom"/>
          </w:tcPr>
          <w:p>
            <w:pPr>
              <w:jc w:val="right"/>
              <w:ind w:right="430"/>
              <w:spacing w:after="0"/>
              <w:rPr>
                <w:sz w:val="20"/>
                <w:szCs w:val="20"/>
                <w:color w:val="auto"/>
              </w:rPr>
            </w:pPr>
            <w:r>
              <w:rPr>
                <w:rFonts w:ascii="Verdana" w:cs="Verdana" w:eastAsia="Verdana" w:hAnsi="Verdana"/>
                <w:sz w:val="18"/>
                <w:szCs w:val="18"/>
                <w:color w:val="auto"/>
              </w:rPr>
              <w:t>$</w:t>
            </w:r>
          </w:p>
        </w:tc>
        <w:tc>
          <w:tcPr>
            <w:tcW w:w="840" w:type="dxa"/>
            <w:vAlign w:val="bottom"/>
          </w:tcPr>
          <w:p>
            <w:pPr>
              <w:jc w:val="right"/>
              <w:spacing w:after="0"/>
              <w:rPr>
                <w:sz w:val="20"/>
                <w:szCs w:val="20"/>
                <w:color w:val="auto"/>
              </w:rPr>
            </w:pPr>
            <w:r>
              <w:rPr>
                <w:rFonts w:ascii="Verdana" w:cs="Verdana" w:eastAsia="Verdana" w:hAnsi="Verdana"/>
                <w:sz w:val="18"/>
                <w:szCs w:val="18"/>
                <w:color w:val="auto"/>
              </w:rPr>
              <w:t>23,860</w:t>
            </w:r>
          </w:p>
        </w:tc>
        <w:tc>
          <w:tcPr>
            <w:tcW w:w="1880" w:type="dxa"/>
            <w:vAlign w:val="bottom"/>
            <w:gridSpan w:val="3"/>
          </w:tcPr>
          <w:p>
            <w:pPr>
              <w:jc w:val="right"/>
              <w:spacing w:after="0"/>
              <w:rPr>
                <w:sz w:val="20"/>
                <w:szCs w:val="20"/>
                <w:color w:val="auto"/>
              </w:rPr>
            </w:pPr>
            <w:r>
              <w:rPr>
                <w:rFonts w:ascii="Verdana" w:cs="Verdana" w:eastAsia="Verdana" w:hAnsi="Verdana"/>
                <w:sz w:val="18"/>
                <w:szCs w:val="18"/>
                <w:color w:val="auto"/>
              </w:rPr>
              <w:t>25.6 %</w:t>
            </w:r>
          </w:p>
        </w:tc>
        <w:tc>
          <w:tcPr>
            <w:tcW w:w="0" w:type="dxa"/>
            <w:vAlign w:val="bottom"/>
          </w:tcPr>
          <w:p>
            <w:pPr>
              <w:spacing w:after="0"/>
              <w:rPr>
                <w:sz w:val="1"/>
                <w:szCs w:val="1"/>
                <w:color w:val="auto"/>
              </w:rPr>
            </w:pPr>
          </w:p>
        </w:tc>
      </w:tr>
      <w:tr>
        <w:trPr>
          <w:trHeight w:val="277"/>
        </w:trPr>
        <w:tc>
          <w:tcPr>
            <w:tcW w:w="4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80" w:type="dxa"/>
            <w:vAlign w:val="bottom"/>
            <w:shd w:val="clear" w:color="auto" w:fill="E0E7ED"/>
          </w:tcPr>
          <w:p>
            <w:pPr>
              <w:spacing w:after="0"/>
              <w:rPr>
                <w:sz w:val="24"/>
                <w:szCs w:val="24"/>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35,465</w:t>
            </w:r>
          </w:p>
        </w:tc>
        <w:tc>
          <w:tcPr>
            <w:tcW w:w="190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43.6 %</w:t>
            </w:r>
          </w:p>
        </w:tc>
        <w:tc>
          <w:tcPr>
            <w:tcW w:w="80" w:type="dxa"/>
            <w:vAlign w:val="bottom"/>
            <w:shd w:val="clear" w:color="auto" w:fill="E0E7ED"/>
          </w:tcPr>
          <w:p>
            <w:pPr>
              <w:spacing w:after="0"/>
              <w:rPr>
                <w:sz w:val="24"/>
                <w:szCs w:val="24"/>
                <w:color w:val="auto"/>
              </w:rPr>
            </w:pPr>
          </w:p>
        </w:tc>
        <w:tc>
          <w:tcPr>
            <w:tcW w:w="66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38,299</w:t>
            </w:r>
          </w:p>
        </w:tc>
        <w:tc>
          <w:tcPr>
            <w:tcW w:w="188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42.2 %</w:t>
            </w:r>
          </w:p>
        </w:tc>
        <w:tc>
          <w:tcPr>
            <w:tcW w:w="0" w:type="dxa"/>
            <w:vAlign w:val="bottom"/>
          </w:tcPr>
          <w:p>
            <w:pPr>
              <w:spacing w:after="0"/>
              <w:rPr>
                <w:sz w:val="1"/>
                <w:szCs w:val="1"/>
                <w:color w:val="auto"/>
              </w:rPr>
            </w:pPr>
          </w:p>
        </w:tc>
      </w:tr>
      <w:tr>
        <w:trPr>
          <w:trHeight w:val="263"/>
        </w:trPr>
        <w:tc>
          <w:tcPr>
            <w:tcW w:w="4400" w:type="dxa"/>
            <w:vAlign w:val="bottom"/>
          </w:tcPr>
          <w:p>
            <w:pPr>
              <w:ind w:left="180"/>
              <w:spacing w:after="0"/>
              <w:rPr>
                <w:sz w:val="20"/>
                <w:szCs w:val="20"/>
                <w:color w:val="auto"/>
              </w:rPr>
            </w:pPr>
            <w:r>
              <w:rPr>
                <w:rFonts w:ascii="Verdana" w:cs="Verdana" w:eastAsia="Verdana" w:hAnsi="Verdana"/>
                <w:sz w:val="18"/>
                <w:szCs w:val="18"/>
                <w:color w:val="auto"/>
              </w:rPr>
              <w:t>Real estate construction</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5,163</w:t>
            </w:r>
          </w:p>
        </w:tc>
        <w:tc>
          <w:tcPr>
            <w:tcW w:w="1900" w:type="dxa"/>
            <w:vAlign w:val="bottom"/>
            <w:gridSpan w:val="3"/>
          </w:tcPr>
          <w:p>
            <w:pPr>
              <w:jc w:val="right"/>
              <w:spacing w:after="0"/>
              <w:rPr>
                <w:sz w:val="20"/>
                <w:szCs w:val="20"/>
                <w:color w:val="auto"/>
              </w:rPr>
            </w:pPr>
            <w:r>
              <w:rPr>
                <w:rFonts w:ascii="Verdana" w:cs="Verdana" w:eastAsia="Verdana" w:hAnsi="Verdana"/>
                <w:sz w:val="18"/>
                <w:szCs w:val="18"/>
                <w:color w:val="auto"/>
              </w:rPr>
              <w:t>6.0 %</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6,457</w:t>
            </w:r>
          </w:p>
        </w:tc>
        <w:tc>
          <w:tcPr>
            <w:tcW w:w="1880" w:type="dxa"/>
            <w:vAlign w:val="bottom"/>
            <w:gridSpan w:val="3"/>
          </w:tcPr>
          <w:p>
            <w:pPr>
              <w:jc w:val="right"/>
              <w:spacing w:after="0"/>
              <w:rPr>
                <w:sz w:val="20"/>
                <w:szCs w:val="20"/>
                <w:color w:val="auto"/>
              </w:rPr>
            </w:pPr>
            <w:r>
              <w:rPr>
                <w:rFonts w:ascii="Verdana" w:cs="Verdana" w:eastAsia="Verdana" w:hAnsi="Verdana"/>
                <w:sz w:val="18"/>
                <w:szCs w:val="18"/>
                <w:color w:val="auto"/>
              </w:rPr>
              <w:t>6.9 %</w:t>
            </w:r>
          </w:p>
        </w:tc>
        <w:tc>
          <w:tcPr>
            <w:tcW w:w="0" w:type="dxa"/>
            <w:vAlign w:val="bottom"/>
          </w:tcPr>
          <w:p>
            <w:pPr>
              <w:spacing w:after="0"/>
              <w:rPr>
                <w:sz w:val="1"/>
                <w:szCs w:val="1"/>
                <w:color w:val="auto"/>
              </w:rPr>
            </w:pPr>
          </w:p>
        </w:tc>
      </w:tr>
      <w:tr>
        <w:trPr>
          <w:trHeight w:val="277"/>
        </w:trPr>
        <w:tc>
          <w:tcPr>
            <w:tcW w:w="4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80" w:type="dxa"/>
            <w:vAlign w:val="bottom"/>
            <w:shd w:val="clear" w:color="auto" w:fill="E0E7ED"/>
          </w:tcPr>
          <w:p>
            <w:pPr>
              <w:spacing w:after="0"/>
              <w:rPr>
                <w:sz w:val="24"/>
                <w:szCs w:val="24"/>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26,298</w:t>
            </w:r>
          </w:p>
        </w:tc>
        <w:tc>
          <w:tcPr>
            <w:tcW w:w="190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22.5 %</w:t>
            </w:r>
          </w:p>
        </w:tc>
        <w:tc>
          <w:tcPr>
            <w:tcW w:w="80" w:type="dxa"/>
            <w:vAlign w:val="bottom"/>
            <w:shd w:val="clear" w:color="auto" w:fill="E0E7ED"/>
          </w:tcPr>
          <w:p>
            <w:pPr>
              <w:spacing w:after="0"/>
              <w:rPr>
                <w:sz w:val="24"/>
                <w:szCs w:val="24"/>
                <w:color w:val="auto"/>
              </w:rPr>
            </w:pPr>
          </w:p>
        </w:tc>
        <w:tc>
          <w:tcPr>
            <w:tcW w:w="66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18,193</w:t>
            </w:r>
          </w:p>
        </w:tc>
        <w:tc>
          <w:tcPr>
            <w:tcW w:w="188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21.4 %</w:t>
            </w:r>
          </w:p>
        </w:tc>
        <w:tc>
          <w:tcPr>
            <w:tcW w:w="0" w:type="dxa"/>
            <w:vAlign w:val="bottom"/>
          </w:tcPr>
          <w:p>
            <w:pPr>
              <w:spacing w:after="0"/>
              <w:rPr>
                <w:sz w:val="1"/>
                <w:szCs w:val="1"/>
                <w:color w:val="auto"/>
              </w:rPr>
            </w:pPr>
          </w:p>
        </w:tc>
      </w:tr>
      <w:tr>
        <w:trPr>
          <w:trHeight w:val="263"/>
        </w:trPr>
        <w:tc>
          <w:tcPr>
            <w:tcW w:w="4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3,558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E0E7ED"/>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3.9 %</w:t>
            </w:r>
          </w:p>
        </w:tc>
        <w:tc>
          <w:tcPr>
            <w:tcW w:w="80" w:type="dxa"/>
            <w:vAlign w:val="bottom"/>
            <w:tcBorders>
              <w:bottom w:val="single" w:sz="8" w:color="E0E7ED"/>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4,799</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3.9 %</w:t>
            </w:r>
          </w:p>
        </w:tc>
        <w:tc>
          <w:tcPr>
            <w:tcW w:w="0" w:type="dxa"/>
            <w:vAlign w:val="bottom"/>
          </w:tcPr>
          <w:p>
            <w:pPr>
              <w:spacing w:after="0"/>
              <w:rPr>
                <w:sz w:val="1"/>
                <w:szCs w:val="1"/>
                <w:color w:val="auto"/>
              </w:rPr>
            </w:pPr>
          </w:p>
        </w:tc>
      </w:tr>
      <w:tr>
        <w:trPr>
          <w:trHeight w:val="290"/>
        </w:trPr>
        <w:tc>
          <w:tcPr>
            <w:tcW w:w="4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w:t>
            </w: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190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100.0 %</w:t>
            </w:r>
          </w:p>
        </w:tc>
        <w:tc>
          <w:tcPr>
            <w:tcW w:w="80" w:type="dxa"/>
            <w:vAlign w:val="bottom"/>
            <w:shd w:val="clear" w:color="auto" w:fill="E0E7ED"/>
          </w:tcPr>
          <w:p>
            <w:pPr>
              <w:spacing w:after="0"/>
              <w:rPr>
                <w:sz w:val="24"/>
                <w:szCs w:val="24"/>
                <w:color w:val="auto"/>
              </w:rPr>
            </w:pPr>
          </w:p>
        </w:tc>
        <w:tc>
          <w:tcPr>
            <w:tcW w:w="660" w:type="dxa"/>
            <w:vAlign w:val="bottom"/>
            <w:shd w:val="clear" w:color="auto" w:fill="E0E7ED"/>
          </w:tcPr>
          <w:p>
            <w:pPr>
              <w:jc w:val="right"/>
              <w:ind w:right="430"/>
              <w:spacing w:after="0"/>
              <w:rPr>
                <w:sz w:val="20"/>
                <w:szCs w:val="20"/>
                <w:color w:val="auto"/>
              </w:rPr>
            </w:pPr>
            <w:r>
              <w:rPr>
                <w:rFonts w:ascii="Verdana" w:cs="Verdana" w:eastAsia="Verdana" w:hAnsi="Verdana"/>
                <w:sz w:val="18"/>
                <w:szCs w:val="18"/>
                <w:color w:val="auto"/>
              </w:rPr>
              <w:t>$</w:t>
            </w: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91,608</w:t>
            </w:r>
          </w:p>
        </w:tc>
        <w:tc>
          <w:tcPr>
            <w:tcW w:w="188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ongoing impacts of CECL will be dependent upon changes in economic conditions and forecasts, originated and acquired loan portfolio composition, credit performance trends, portfolio duration, and other factors. As of December 31, 2023, Busey management believed the level of the allowance to be appropriate based upon the information available. However, additional losses may be identified in our loan portfolio as new information is obtained.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Non-Performing Loans and Non-Performing Assets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5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2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9" w:name="page80"/>
    <w:bookmarkEnd w:id="7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 sets forth information concerning non-performing loans and performing restructured loans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jc w:val="right"/>
              <w:ind w:right="1051"/>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5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3"/>
                <w:szCs w:val="13"/>
                <w:b w:val="1"/>
                <w:bCs w:val="1"/>
                <w:color w:val="auto"/>
              </w:rPr>
              <w:t>2022</w:t>
            </w:r>
          </w:p>
        </w:tc>
      </w:tr>
      <w:tr>
        <w:trPr>
          <w:trHeight w:val="269"/>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Portfolio loans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7,651,034</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7,725,702</w:t>
            </w:r>
          </w:p>
        </w:tc>
      </w:tr>
      <w:tr>
        <w:trPr>
          <w:trHeight w:val="263"/>
        </w:trPr>
        <w:tc>
          <w:tcPr>
            <w:tcW w:w="7580" w:type="dxa"/>
            <w:vAlign w:val="bottom"/>
          </w:tcPr>
          <w:p>
            <w:pPr>
              <w:ind w:left="20"/>
              <w:spacing w:after="0"/>
              <w:rPr>
                <w:sz w:val="20"/>
                <w:szCs w:val="20"/>
                <w:color w:val="auto"/>
              </w:rPr>
            </w:pPr>
            <w:r>
              <w:rPr>
                <w:rFonts w:ascii="Verdana" w:cs="Verdana" w:eastAsia="Verdana" w:hAnsi="Verdana"/>
                <w:sz w:val="18"/>
                <w:szCs w:val="18"/>
                <w:color w:val="auto"/>
              </w:rPr>
              <w:t>Loans 30 – 89 days past due</w:t>
            </w:r>
          </w:p>
        </w:tc>
        <w:tc>
          <w:tcPr>
            <w:tcW w:w="300" w:type="dxa"/>
            <w:vAlign w:val="bottom"/>
          </w:tcPr>
          <w:p>
            <w:pPr>
              <w:spacing w:after="0"/>
              <w:rPr>
                <w:sz w:val="22"/>
                <w:szCs w:val="22"/>
                <w:color w:val="auto"/>
              </w:rPr>
            </w:pP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5,779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6,548</w:t>
            </w:r>
          </w:p>
        </w:tc>
      </w:tr>
      <w:tr>
        <w:trPr>
          <w:trHeight w:val="277"/>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assets</w:t>
            </w: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12,283,415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12,336,677</w:t>
            </w:r>
          </w:p>
        </w:tc>
      </w:tr>
      <w:tr>
        <w:trPr>
          <w:trHeight w:val="270"/>
        </w:trPr>
        <w:tc>
          <w:tcPr>
            <w:tcW w:w="7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Non-performing assets</w:t>
            </w:r>
          </w:p>
        </w:tc>
        <w:tc>
          <w:tcPr>
            <w:tcW w:w="300" w:type="dxa"/>
            <w:vAlign w:val="bottom"/>
            <w:shd w:val="clear" w:color="auto" w:fill="E0E7ED"/>
          </w:tcPr>
          <w:p>
            <w:pPr>
              <w:spacing w:after="0"/>
              <w:rPr>
                <w:sz w:val="23"/>
                <w:szCs w:val="23"/>
                <w:color w:val="auto"/>
              </w:rPr>
            </w:pPr>
          </w:p>
        </w:tc>
        <w:tc>
          <w:tcPr>
            <w:tcW w:w="14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480" w:type="dxa"/>
            <w:vAlign w:val="bottom"/>
            <w:shd w:val="clear" w:color="auto" w:fill="E0E7ED"/>
          </w:tcPr>
          <w:p>
            <w:pPr>
              <w:spacing w:after="0"/>
              <w:rPr>
                <w:sz w:val="23"/>
                <w:szCs w:val="23"/>
                <w:color w:val="auto"/>
              </w:rPr>
            </w:pPr>
          </w:p>
        </w:tc>
      </w:tr>
      <w:tr>
        <w:trPr>
          <w:trHeight w:val="263"/>
        </w:trPr>
        <w:tc>
          <w:tcPr>
            <w:tcW w:w="7580" w:type="dxa"/>
            <w:vAlign w:val="bottom"/>
          </w:tcPr>
          <w:p>
            <w:pPr>
              <w:ind w:left="180"/>
              <w:spacing w:after="0"/>
              <w:rPr>
                <w:sz w:val="20"/>
                <w:szCs w:val="20"/>
                <w:color w:val="auto"/>
              </w:rPr>
            </w:pPr>
            <w:r>
              <w:rPr>
                <w:rFonts w:ascii="Verdana" w:cs="Verdana" w:eastAsia="Verdana" w:hAnsi="Verdana"/>
                <w:sz w:val="18"/>
                <w:szCs w:val="18"/>
                <w:color w:val="auto"/>
              </w:rPr>
              <w:t>Non-performing loans:</w:t>
            </w: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75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Non-accrual loans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7,441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15,067</w:t>
            </w:r>
          </w:p>
        </w:tc>
      </w:tr>
      <w:tr>
        <w:trPr>
          <w:trHeight w:val="263"/>
        </w:trPr>
        <w:tc>
          <w:tcPr>
            <w:tcW w:w="758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Loans 90+ days past due and still accruing</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375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673</w:t>
            </w:r>
          </w:p>
        </w:tc>
      </w:tr>
      <w:tr>
        <w:trPr>
          <w:trHeight w:val="270"/>
        </w:trPr>
        <w:tc>
          <w:tcPr>
            <w:tcW w:w="7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non-performing loans</w:t>
            </w:r>
          </w:p>
        </w:tc>
        <w:tc>
          <w:tcPr>
            <w:tcW w:w="300" w:type="dxa"/>
            <w:vAlign w:val="bottom"/>
            <w:shd w:val="clear" w:color="auto" w:fill="E0E7ED"/>
          </w:tcPr>
          <w:p>
            <w:pPr>
              <w:spacing w:after="0"/>
              <w:rPr>
                <w:sz w:val="23"/>
                <w:szCs w:val="23"/>
                <w:color w:val="auto"/>
              </w:rPr>
            </w:pP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7,816</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15,740</w:t>
            </w:r>
          </w:p>
        </w:tc>
      </w:tr>
      <w:tr>
        <w:trPr>
          <w:trHeight w:val="263"/>
        </w:trPr>
        <w:tc>
          <w:tcPr>
            <w:tcW w:w="75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OREO and other repossessed assets</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125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850</w:t>
            </w:r>
          </w:p>
        </w:tc>
      </w:tr>
      <w:tr>
        <w:trPr>
          <w:trHeight w:val="270"/>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non-performing assets</w:t>
            </w:r>
          </w:p>
        </w:tc>
        <w:tc>
          <w:tcPr>
            <w:tcW w:w="300" w:type="dxa"/>
            <w:vAlign w:val="bottom"/>
            <w:shd w:val="clear" w:color="auto" w:fill="E0E7ED"/>
          </w:tcPr>
          <w:p>
            <w:pPr>
              <w:spacing w:after="0"/>
              <w:rPr>
                <w:sz w:val="23"/>
                <w:szCs w:val="23"/>
                <w:color w:val="auto"/>
              </w:rPr>
            </w:pP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7,941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16,590</w:t>
            </w:r>
          </w:p>
        </w:tc>
      </w:tr>
      <w:tr>
        <w:trPr>
          <w:trHeight w:val="263"/>
        </w:trPr>
        <w:tc>
          <w:tcPr>
            <w:tcW w:w="758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Substandard (excludes 90+ days past due)</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64,347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90,489</w:t>
            </w:r>
          </w:p>
        </w:tc>
      </w:tr>
      <w:tr>
        <w:trPr>
          <w:trHeight w:val="295"/>
        </w:trPr>
        <w:tc>
          <w:tcPr>
            <w:tcW w:w="75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Classified assets</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72,288</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107,079</w:t>
            </w:r>
          </w:p>
        </w:tc>
      </w:tr>
      <w:tr>
        <w:trPr>
          <w:trHeight w:val="20"/>
        </w:trPr>
        <w:tc>
          <w:tcPr>
            <w:tcW w:w="75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7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70"/>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91,740</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91,608</w:t>
            </w:r>
          </w:p>
        </w:tc>
      </w:tr>
      <w:tr>
        <w:trPr>
          <w:trHeight w:val="263"/>
        </w:trPr>
        <w:tc>
          <w:tcPr>
            <w:tcW w:w="7580" w:type="dxa"/>
            <w:vAlign w:val="bottom"/>
          </w:tcPr>
          <w:p>
            <w:pPr>
              <w:ind w:left="20"/>
              <w:spacing w:after="0"/>
              <w:rPr>
                <w:sz w:val="20"/>
                <w:szCs w:val="20"/>
                <w:color w:val="auto"/>
              </w:rPr>
            </w:pPr>
            <w:r>
              <w:rPr>
                <w:rFonts w:ascii="Verdana" w:cs="Verdana" w:eastAsia="Verdana" w:hAnsi="Verdana"/>
                <w:sz w:val="18"/>
                <w:szCs w:val="18"/>
                <w:color w:val="auto"/>
              </w:rPr>
              <w:t>Bank Tier 1 Capital</w:t>
            </w:r>
          </w:p>
        </w:tc>
        <w:tc>
          <w:tcPr>
            <w:tcW w:w="300" w:type="dxa"/>
            <w:vAlign w:val="bottom"/>
          </w:tcPr>
          <w:p>
            <w:pPr>
              <w:spacing w:after="0"/>
              <w:rPr>
                <w:sz w:val="22"/>
                <w:szCs w:val="22"/>
                <w:color w:val="auto"/>
              </w:rPr>
            </w:pPr>
          </w:p>
        </w:tc>
        <w:tc>
          <w:tcPr>
            <w:tcW w:w="1480" w:type="dxa"/>
            <w:vAlign w:val="bottom"/>
          </w:tcPr>
          <w:p>
            <w:pPr>
              <w:jc w:val="right"/>
              <w:ind w:right="192"/>
              <w:spacing w:after="0"/>
              <w:rPr>
                <w:sz w:val="20"/>
                <w:szCs w:val="20"/>
                <w:color w:val="auto"/>
              </w:rPr>
            </w:pPr>
            <w:r>
              <w:rPr>
                <w:rFonts w:ascii="Verdana" w:cs="Verdana" w:eastAsia="Verdana" w:hAnsi="Verdana"/>
                <w:sz w:val="18"/>
                <w:szCs w:val="18"/>
                <w:color w:val="auto"/>
              </w:rPr>
              <w:t>1,362,962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Verdana" w:cs="Verdana" w:eastAsia="Verdana" w:hAnsi="Verdana"/>
                <w:sz w:val="18"/>
                <w:szCs w:val="18"/>
                <w:color w:val="auto"/>
              </w:rPr>
              <w:t>1,306,716</w:t>
            </w:r>
          </w:p>
        </w:tc>
      </w:tr>
      <w:tr>
        <w:trPr>
          <w:trHeight w:val="277"/>
        </w:trPr>
        <w:tc>
          <w:tcPr>
            <w:tcW w:w="75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r>
      <w:tr>
        <w:trPr>
          <w:trHeight w:val="263"/>
        </w:trPr>
        <w:tc>
          <w:tcPr>
            <w:tcW w:w="7580" w:type="dxa"/>
            <w:vAlign w:val="bottom"/>
          </w:tcPr>
          <w:p>
            <w:pPr>
              <w:ind w:left="20"/>
              <w:spacing w:after="0"/>
              <w:rPr>
                <w:sz w:val="20"/>
                <w:szCs w:val="20"/>
                <w:color w:val="auto"/>
              </w:rPr>
            </w:pPr>
            <w:r>
              <w:rPr>
                <w:rFonts w:ascii="Verdana" w:cs="Verdana" w:eastAsia="Verdana" w:hAnsi="Verdana"/>
                <w:sz w:val="18"/>
                <w:szCs w:val="18"/>
                <w:b w:val="1"/>
                <w:bCs w:val="1"/>
                <w:color w:val="auto"/>
              </w:rPr>
              <w:t>Ratios</w:t>
            </w: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to portfolio loans</w:t>
            </w: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1.19 %</w:t>
            </w:r>
          </w:p>
        </w:tc>
      </w:tr>
      <w:tr>
        <w:trPr>
          <w:trHeight w:val="263"/>
        </w:trPr>
        <w:tc>
          <w:tcPr>
            <w:tcW w:w="7580" w:type="dxa"/>
            <w:vAlign w:val="bottom"/>
          </w:tcPr>
          <w:p>
            <w:pPr>
              <w:ind w:left="20"/>
              <w:spacing w:after="0"/>
              <w:rPr>
                <w:sz w:val="20"/>
                <w:szCs w:val="20"/>
                <w:color w:val="auto"/>
              </w:rPr>
            </w:pPr>
            <w:r>
              <w:rPr>
                <w:rFonts w:ascii="Verdana" w:cs="Verdana" w:eastAsia="Verdana" w:hAnsi="Verdana"/>
                <w:sz w:val="18"/>
                <w:szCs w:val="18"/>
                <w:color w:val="auto"/>
              </w:rPr>
              <w:t>ACL to non-accrual loans</w:t>
            </w: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1,232.90 %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608.00 %</w:t>
            </w:r>
          </w:p>
        </w:tc>
      </w:tr>
      <w:tr>
        <w:trPr>
          <w:trHeight w:val="277"/>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to non-performing loans</w:t>
            </w: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1,173.75 %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582.01 %</w:t>
            </w:r>
          </w:p>
        </w:tc>
      </w:tr>
      <w:tr>
        <w:trPr>
          <w:trHeight w:val="263"/>
        </w:trPr>
        <w:tc>
          <w:tcPr>
            <w:tcW w:w="7580" w:type="dxa"/>
            <w:vAlign w:val="bottom"/>
          </w:tcPr>
          <w:p>
            <w:pPr>
              <w:ind w:left="20"/>
              <w:spacing w:after="0"/>
              <w:rPr>
                <w:sz w:val="20"/>
                <w:szCs w:val="20"/>
                <w:color w:val="auto"/>
              </w:rPr>
            </w:pPr>
            <w:r>
              <w:rPr>
                <w:rFonts w:ascii="Verdana" w:cs="Verdana" w:eastAsia="Verdana" w:hAnsi="Verdana"/>
                <w:sz w:val="18"/>
                <w:szCs w:val="18"/>
                <w:color w:val="auto"/>
              </w:rPr>
              <w:t>ACL to non-performing assets</w:t>
            </w: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1,155.27 %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552.19 %</w:t>
            </w:r>
          </w:p>
        </w:tc>
      </w:tr>
      <w:tr>
        <w:trPr>
          <w:trHeight w:val="277"/>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Non-accrual loans to portfolio loans</w:t>
            </w: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0.10 %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0.20 %</w:t>
            </w:r>
          </w:p>
        </w:tc>
      </w:tr>
      <w:tr>
        <w:trPr>
          <w:trHeight w:val="263"/>
        </w:trPr>
        <w:tc>
          <w:tcPr>
            <w:tcW w:w="7580" w:type="dxa"/>
            <w:vAlign w:val="bottom"/>
          </w:tcPr>
          <w:p>
            <w:pPr>
              <w:ind w:left="20"/>
              <w:spacing w:after="0"/>
              <w:rPr>
                <w:sz w:val="20"/>
                <w:szCs w:val="20"/>
                <w:color w:val="auto"/>
              </w:rPr>
            </w:pPr>
            <w:r>
              <w:rPr>
                <w:rFonts w:ascii="Verdana" w:cs="Verdana" w:eastAsia="Verdana" w:hAnsi="Verdana"/>
                <w:sz w:val="18"/>
                <w:szCs w:val="18"/>
                <w:color w:val="auto"/>
              </w:rPr>
              <w:t>Non-performing loans to portfolio loans</w:t>
            </w: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0.10 %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0.20 %</w:t>
            </w:r>
          </w:p>
        </w:tc>
      </w:tr>
      <w:tr>
        <w:trPr>
          <w:trHeight w:val="277"/>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Non-performing assets to total assets</w:t>
            </w: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0.06 %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0.13 %</w:t>
            </w:r>
          </w:p>
        </w:tc>
      </w:tr>
      <w:tr>
        <w:trPr>
          <w:trHeight w:val="263"/>
        </w:trPr>
        <w:tc>
          <w:tcPr>
            <w:tcW w:w="7580" w:type="dxa"/>
            <w:vAlign w:val="bottom"/>
          </w:tcPr>
          <w:p>
            <w:pPr>
              <w:ind w:left="20"/>
              <w:spacing w:after="0"/>
              <w:rPr>
                <w:sz w:val="20"/>
                <w:szCs w:val="20"/>
                <w:color w:val="auto"/>
              </w:rPr>
            </w:pPr>
            <w:r>
              <w:rPr>
                <w:rFonts w:ascii="Verdana" w:cs="Verdana" w:eastAsia="Verdana" w:hAnsi="Verdana"/>
                <w:sz w:val="18"/>
                <w:szCs w:val="18"/>
                <w:color w:val="auto"/>
              </w:rPr>
              <w:t>Non-performing assets to portfolio loans and OREO and other repossessed assets</w:t>
            </w: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0.10 %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0.21 %</w:t>
            </w:r>
          </w:p>
        </w:tc>
      </w:tr>
      <w:tr>
        <w:trPr>
          <w:trHeight w:val="277"/>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Classified assets to Bank Tier 1 Capital and ACL</w:t>
            </w: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4.97 %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7.66 %</w:t>
            </w: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Asset quality remains strong by both Busey’s historical and current industry trends, and our operating mandate and focus have been on emphasizing credit quality over asset growth.</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As a result of continued disciplined credit management, non-performing loan balances declined by 50.34% to $7.8 million as of December 31, 2023, compared to $15.7 million as of December 31, 2022. Non-performing loans represented 0.10% of portfolio loans as of December 31, 2023, compared to 0.20% as of December 31, 2022. Our allowance coverage of non-performing loans increased to 1,173.75% at December 31, 2023, compared to 582.01% at December 31, 2022.</w:t>
      </w:r>
    </w:p>
    <w:p>
      <w:pPr>
        <w:spacing w:after="0" w:line="17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Non-performing assets declined by 52.13% to $7.9 million as of December 31, 2023, compared to $16.6 million as of December 31, 2022. Non-performing assets represented 0.06% of total assets as of December 31, 2023, compared to 0.13% as of December 31, 2022. Our allowance for credit losses provided 1,155.27% coverage of our non-performing assets at December 31, 2023, up from 552.19% at December 31, 2022.</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0" w:name="page81"/>
    <w:bookmarkEnd w:id="8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Classified assets, which includes non-performing assets and substandard loans, decreased to $72.3 million as of December 31, 2023, compared to $107.1 million as of December 31, 2022. Classified assets represented 4.97% of Busey Bank’s Tier 1 capital and ACL at December 31, 2023, down from 7.66% at December 31, 2022.</w:t>
      </w:r>
    </w:p>
    <w:p>
      <w:pPr>
        <w:spacing w:after="0" w:line="15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Net charge-offs totaled $2.3 million in 2023, representing 0.03% of average loans, compared with net charge-offs of $0.9 million in 2022, representing 0.01% of average loans.</w:t>
      </w:r>
    </w:p>
    <w:p>
      <w:pPr>
        <w:spacing w:after="0" w:line="14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Asset quality metrics remain dependent upon market-specific economic conditions, and specific measures may fluctuate from period to period. If economic conditions were to deteriorate, we would expect the credit quality of our loan portfolio to decline and loan defaults to increase.</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Potential Problem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Potential problem loans are loans classified as substandard which are not individually evaluated,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decreased to $64.3 million at December 31, 2023, compared to $89.2 million at December 31, 2022. Management continues to monitor these credits and anticipates that restructurings, guarantees, additional collateral, or other planned actions will result in full repayment of the debts. As of December 31, 2023, management identified no other loans that represent or result from trends or uncertainties that would be expected to materially impact future operating results, liquidity, or capital resources.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COVID-19 Modifications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To alleviate some of the financial hardships faced as a result of COVID-19, Busey offered a Financial Relief Program to qualifying customers. The program included options for short-term loan payment deferrals and certain fee waivers. We had no commercial or retail loans remaining in the program as of December 31, 2023. In comparison, we had eight payment deferred commercial loans totaling $20.6 million that were on interest-only payment terms, and one payment deferred retail loan totaling $0.1 million as of December 31, 2022.</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1" w:name="page82"/>
    <w:bookmarkEnd w:id="8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Deposits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 shows the deposit mix for each of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right"/>
              <w:ind w:right="1000"/>
              <w:spacing w:after="0"/>
              <w:rPr>
                <w:sz w:val="20"/>
                <w:szCs w:val="20"/>
                <w:color w:val="auto"/>
              </w:rPr>
            </w:pPr>
            <w:r>
              <w:rPr>
                <w:rFonts w:ascii="Verdana" w:cs="Verdana" w:eastAsia="Verdana" w:hAnsi="Verdana"/>
                <w:sz w:val="13"/>
                <w:szCs w:val="13"/>
                <w:b w:val="1"/>
                <w:bCs w:val="1"/>
                <w:color w:val="auto"/>
              </w:rPr>
              <w:t>As of December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9"/>
        </w:trPr>
        <w:tc>
          <w:tcPr>
            <w:tcW w:w="2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Verdana" w:cs="Verdana" w:eastAsia="Verdana" w:hAnsi="Verdana"/>
                <w:sz w:val="13"/>
                <w:szCs w:val="13"/>
                <w:b w:val="1"/>
                <w:bCs w:val="1"/>
                <w:color w:val="auto"/>
              </w:rPr>
              <w:t>2023</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Verdana" w:cs="Verdana" w:eastAsia="Verdana" w:hAnsi="Verdana"/>
                <w:sz w:val="13"/>
                <w:szCs w:val="13"/>
                <w:b w:val="1"/>
                <w:bCs w:val="1"/>
                <w:color w:val="auto"/>
              </w:rPr>
              <w:t>2022</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Verdana" w:cs="Verdana" w:eastAsia="Verdana" w:hAnsi="Verdana"/>
                <w:sz w:val="13"/>
                <w:szCs w:val="13"/>
                <w:b w:val="1"/>
                <w:bCs w:val="1"/>
                <w:color w:val="auto"/>
              </w:rPr>
              <w:t>Balance</w:t>
            </w:r>
          </w:p>
        </w:tc>
        <w:tc>
          <w:tcPr>
            <w:tcW w:w="124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 Total</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Verdana" w:cs="Verdana" w:eastAsia="Verdana" w:hAnsi="Verdana"/>
                <w:sz w:val="13"/>
                <w:szCs w:val="13"/>
                <w:b w:val="1"/>
                <w:bCs w:val="1"/>
                <w:color w:val="auto"/>
              </w:rPr>
              <w:t>Balance</w:t>
            </w:r>
          </w:p>
        </w:tc>
        <w:tc>
          <w:tcPr>
            <w:tcW w:w="1240" w:type="dxa"/>
            <w:vAlign w:val="bottom"/>
          </w:tcPr>
          <w:p>
            <w:pPr>
              <w:jc w:val="right"/>
              <w:ind w:right="254"/>
              <w:spacing w:after="0"/>
              <w:rPr>
                <w:sz w:val="20"/>
                <w:szCs w:val="20"/>
                <w:color w:val="auto"/>
              </w:rPr>
            </w:pPr>
            <w:r>
              <w:rPr>
                <w:rFonts w:ascii="Verdana" w:cs="Verdana" w:eastAsia="Verdana" w:hAnsi="Verdana"/>
                <w:sz w:val="13"/>
                <w:szCs w:val="13"/>
                <w:b w:val="1"/>
                <w:bCs w:val="1"/>
                <w:color w:val="auto"/>
              </w:rPr>
              <w:t>% Total</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394"/>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Pr>
          <w:p>
            <w:pPr>
              <w:spacing w:after="0"/>
              <w:rPr>
                <w:sz w:val="14"/>
                <w:szCs w:val="14"/>
                <w:color w:val="auto"/>
              </w:rPr>
            </w:pPr>
          </w:p>
        </w:tc>
        <w:tc>
          <w:tcPr>
            <w:tcW w:w="1240" w:type="dxa"/>
            <w:vAlign w:val="bottom"/>
          </w:tcPr>
          <w:p>
            <w:pPr>
              <w:jc w:val="right"/>
              <w:ind w:right="19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24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Deposits</w:t>
            </w:r>
          </w:p>
        </w:tc>
        <w:tc>
          <w:tcPr>
            <w:tcW w:w="26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r>
      <w:tr>
        <w:trPr>
          <w:trHeight w:val="263"/>
        </w:trPr>
        <w:tc>
          <w:tcPr>
            <w:tcW w:w="2440" w:type="dxa"/>
            <w:vAlign w:val="bottom"/>
          </w:tcPr>
          <w:p>
            <w:pPr>
              <w:ind w:left="180"/>
              <w:spacing w:after="0"/>
              <w:rPr>
                <w:sz w:val="20"/>
                <w:szCs w:val="20"/>
                <w:color w:val="auto"/>
              </w:rPr>
            </w:pPr>
            <w:r>
              <w:rPr>
                <w:rFonts w:ascii="Verdana" w:cs="Verdana" w:eastAsia="Verdana" w:hAnsi="Verdana"/>
                <w:sz w:val="18"/>
                <w:szCs w:val="18"/>
                <w:color w:val="auto"/>
              </w:rPr>
              <w:t>Non-maturity deposits:</w:t>
            </w: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44"/>
        </w:trPr>
        <w:tc>
          <w:tcPr>
            <w:tcW w:w="2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Noninterest-bearing</w:t>
            </w:r>
          </w:p>
        </w:tc>
        <w:tc>
          <w:tcPr>
            <w:tcW w:w="26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r>
      <w:tr>
        <w:trPr>
          <w:trHeight w:val="248"/>
        </w:trPr>
        <w:tc>
          <w:tcPr>
            <w:tcW w:w="2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demand deposits</w:t>
            </w: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2,834,655</w:t>
            </w:r>
          </w:p>
        </w:tc>
        <w:tc>
          <w:tcPr>
            <w:tcW w:w="10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27.5 %</w:t>
            </w:r>
          </w:p>
        </w:tc>
        <w:tc>
          <w:tcPr>
            <w:tcW w:w="80" w:type="dxa"/>
            <w:vAlign w:val="bottom"/>
            <w:shd w:val="clear" w:color="auto" w:fill="E0E7ED"/>
          </w:tcPr>
          <w:p>
            <w:pPr>
              <w:spacing w:after="0"/>
              <w:rPr>
                <w:sz w:val="21"/>
                <w:szCs w:val="21"/>
                <w:color w:val="auto"/>
              </w:rPr>
            </w:pP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3,393,666</w:t>
            </w:r>
          </w:p>
        </w:tc>
        <w:tc>
          <w:tcPr>
            <w:tcW w:w="10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33.7 %</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(559,011)</w:t>
            </w:r>
          </w:p>
        </w:tc>
        <w:tc>
          <w:tcPr>
            <w:tcW w:w="13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(16.5)%</w:t>
            </w:r>
          </w:p>
        </w:tc>
      </w:tr>
      <w:tr>
        <w:trPr>
          <w:trHeight w:val="238"/>
        </w:trPr>
        <w:tc>
          <w:tcPr>
            <w:tcW w:w="2440" w:type="dxa"/>
            <w:vAlign w:val="bottom"/>
          </w:tcPr>
          <w:p>
            <w:pPr>
              <w:ind w:left="360"/>
              <w:spacing w:after="0"/>
              <w:rPr>
                <w:sz w:val="20"/>
                <w:szCs w:val="20"/>
                <w:color w:val="auto"/>
              </w:rPr>
            </w:pPr>
            <w:r>
              <w:rPr>
                <w:rFonts w:ascii="Verdana" w:cs="Verdana" w:eastAsia="Verdana" w:hAnsi="Verdana"/>
                <w:sz w:val="18"/>
                <w:szCs w:val="18"/>
                <w:color w:val="auto"/>
              </w:rPr>
              <w:t>Interest-bearing</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2440" w:type="dxa"/>
            <w:vAlign w:val="bottom"/>
          </w:tcPr>
          <w:p>
            <w:pPr>
              <w:ind w:left="360"/>
              <w:spacing w:after="0"/>
              <w:rPr>
                <w:sz w:val="20"/>
                <w:szCs w:val="20"/>
                <w:color w:val="auto"/>
              </w:rPr>
            </w:pPr>
            <w:r>
              <w:rPr>
                <w:rFonts w:ascii="Verdana" w:cs="Verdana" w:eastAsia="Verdana" w:hAnsi="Verdana"/>
                <w:sz w:val="18"/>
                <w:szCs w:val="18"/>
                <w:color w:val="auto"/>
              </w:rPr>
              <w:t>transaction deposits</w:t>
            </w:r>
          </w:p>
        </w:tc>
        <w:tc>
          <w:tcPr>
            <w:tcW w:w="26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Verdana" w:cs="Verdana" w:eastAsia="Verdana" w:hAnsi="Verdana"/>
                <w:sz w:val="18"/>
                <w:szCs w:val="18"/>
                <w:color w:val="auto"/>
              </w:rPr>
              <w:t>2,717,139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26.4 %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2,857,818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28.4 %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(140,679)</w:t>
            </w:r>
          </w:p>
        </w:tc>
        <w:tc>
          <w:tcPr>
            <w:tcW w:w="1340" w:type="dxa"/>
            <w:vAlign w:val="bottom"/>
            <w:gridSpan w:val="2"/>
          </w:tcPr>
          <w:p>
            <w:pPr>
              <w:jc w:val="right"/>
              <w:spacing w:after="0"/>
              <w:rPr>
                <w:sz w:val="20"/>
                <w:szCs w:val="20"/>
                <w:color w:val="auto"/>
              </w:rPr>
            </w:pPr>
            <w:r>
              <w:rPr>
                <w:rFonts w:ascii="Verdana" w:cs="Verdana" w:eastAsia="Verdana" w:hAnsi="Verdana"/>
                <w:sz w:val="18"/>
                <w:szCs w:val="18"/>
                <w:color w:val="auto"/>
              </w:rPr>
              <w:t>(4.9)%</w:t>
            </w:r>
          </w:p>
        </w:tc>
      </w:tr>
      <w:tr>
        <w:trPr>
          <w:trHeight w:val="244"/>
        </w:trPr>
        <w:tc>
          <w:tcPr>
            <w:tcW w:w="2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Saving deposits and</w:t>
            </w:r>
          </w:p>
        </w:tc>
        <w:tc>
          <w:tcPr>
            <w:tcW w:w="26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r>
      <w:tr>
        <w:trPr>
          <w:trHeight w:val="216"/>
        </w:trPr>
        <w:tc>
          <w:tcPr>
            <w:tcW w:w="2440" w:type="dxa"/>
            <w:vAlign w:val="bottom"/>
            <w:shd w:val="clear" w:color="auto" w:fill="E0E7ED"/>
          </w:tcPr>
          <w:p>
            <w:pPr>
              <w:ind w:left="360"/>
              <w:spacing w:after="0" w:line="216" w:lineRule="exact"/>
              <w:rPr>
                <w:sz w:val="20"/>
                <w:szCs w:val="20"/>
                <w:color w:val="auto"/>
              </w:rPr>
            </w:pPr>
            <w:r>
              <w:rPr>
                <w:rFonts w:ascii="Verdana" w:cs="Verdana" w:eastAsia="Verdana" w:hAnsi="Verdana"/>
                <w:sz w:val="18"/>
                <w:szCs w:val="18"/>
                <w:color w:val="auto"/>
              </w:rPr>
              <w:t>money market</w:t>
            </w:r>
          </w:p>
        </w:tc>
        <w:tc>
          <w:tcPr>
            <w:tcW w:w="26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r>
      <w:tr>
        <w:trPr>
          <w:trHeight w:val="248"/>
        </w:trPr>
        <w:tc>
          <w:tcPr>
            <w:tcW w:w="24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deposits</w:t>
            </w:r>
          </w:p>
        </w:tc>
        <w:tc>
          <w:tcPr>
            <w:tcW w:w="26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2,920,088</w:t>
            </w:r>
          </w:p>
        </w:tc>
        <w:tc>
          <w:tcPr>
            <w:tcW w:w="100" w:type="dxa"/>
            <w:vAlign w:val="bottom"/>
            <w:shd w:val="clear" w:color="auto" w:fill="E0E7ED"/>
          </w:tcPr>
          <w:p>
            <w:pPr>
              <w:spacing w:after="0"/>
              <w:rPr>
                <w:sz w:val="21"/>
                <w:szCs w:val="21"/>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28.4 %</w:t>
            </w:r>
          </w:p>
        </w:tc>
        <w:tc>
          <w:tcPr>
            <w:tcW w:w="8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2,964,421</w:t>
            </w:r>
          </w:p>
        </w:tc>
        <w:tc>
          <w:tcPr>
            <w:tcW w:w="100" w:type="dxa"/>
            <w:vAlign w:val="bottom"/>
            <w:shd w:val="clear" w:color="auto" w:fill="E0E7ED"/>
          </w:tcPr>
          <w:p>
            <w:pPr>
              <w:spacing w:after="0"/>
              <w:rPr>
                <w:sz w:val="21"/>
                <w:szCs w:val="21"/>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29.4 %</w:t>
            </w:r>
          </w:p>
        </w:tc>
        <w:tc>
          <w:tcPr>
            <w:tcW w:w="1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(44,333)</w:t>
            </w:r>
          </w:p>
        </w:tc>
        <w:tc>
          <w:tcPr>
            <w:tcW w:w="13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(1.5)%</w:t>
            </w:r>
          </w:p>
        </w:tc>
      </w:tr>
      <w:tr>
        <w:trPr>
          <w:trHeight w:val="218"/>
        </w:trPr>
        <w:tc>
          <w:tcPr>
            <w:tcW w:w="2440" w:type="dxa"/>
            <w:vAlign w:val="bottom"/>
          </w:tcPr>
          <w:p>
            <w:pPr>
              <w:ind w:left="180"/>
              <w:spacing w:after="0" w:line="217" w:lineRule="exact"/>
              <w:rPr>
                <w:sz w:val="20"/>
                <w:szCs w:val="20"/>
                <w:color w:val="auto"/>
              </w:rPr>
            </w:pPr>
            <w:r>
              <w:rPr>
                <w:rFonts w:ascii="Verdana" w:cs="Verdana" w:eastAsia="Verdana" w:hAnsi="Verdana"/>
                <w:sz w:val="18"/>
                <w:szCs w:val="18"/>
                <w:color w:val="auto"/>
              </w:rPr>
              <w:t>Total non-maturity</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2"/>
        </w:trPr>
        <w:tc>
          <w:tcPr>
            <w:tcW w:w="2440" w:type="dxa"/>
            <w:vAlign w:val="bottom"/>
          </w:tcPr>
          <w:p>
            <w:pPr>
              <w:ind w:left="180"/>
              <w:spacing w:after="0"/>
              <w:rPr>
                <w:sz w:val="20"/>
                <w:szCs w:val="20"/>
                <w:color w:val="auto"/>
              </w:rPr>
            </w:pPr>
            <w:r>
              <w:rPr>
                <w:rFonts w:ascii="Verdana" w:cs="Verdana" w:eastAsia="Verdana" w:hAnsi="Verdana"/>
                <w:sz w:val="18"/>
                <w:szCs w:val="18"/>
                <w:color w:val="auto"/>
              </w:rPr>
              <w:t>deposits</w:t>
            </w:r>
          </w:p>
        </w:tc>
        <w:tc>
          <w:tcPr>
            <w:tcW w:w="26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Verdana" w:cs="Verdana" w:eastAsia="Verdana" w:hAnsi="Verdana"/>
                <w:sz w:val="18"/>
                <w:szCs w:val="18"/>
                <w:color w:val="auto"/>
              </w:rPr>
              <w:t>8,471,882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82.3 %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9,215,905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91.5 %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(744,023)</w:t>
            </w:r>
          </w:p>
        </w:tc>
        <w:tc>
          <w:tcPr>
            <w:tcW w:w="1340" w:type="dxa"/>
            <w:vAlign w:val="bottom"/>
            <w:gridSpan w:val="2"/>
          </w:tcPr>
          <w:p>
            <w:pPr>
              <w:jc w:val="right"/>
              <w:spacing w:after="0"/>
              <w:rPr>
                <w:sz w:val="20"/>
                <w:szCs w:val="20"/>
                <w:color w:val="auto"/>
              </w:rPr>
            </w:pPr>
            <w:r>
              <w:rPr>
                <w:rFonts w:ascii="Verdana" w:cs="Verdana" w:eastAsia="Verdana" w:hAnsi="Verdana"/>
                <w:sz w:val="18"/>
                <w:szCs w:val="18"/>
                <w:color w:val="auto"/>
              </w:rPr>
              <w:t>(8.1)%</w:t>
            </w:r>
          </w:p>
        </w:tc>
      </w:tr>
      <w:tr>
        <w:trPr>
          <w:trHeight w:val="270"/>
        </w:trPr>
        <w:tc>
          <w:tcPr>
            <w:tcW w:w="2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Time deposits</w:t>
            </w:r>
          </w:p>
        </w:tc>
        <w:tc>
          <w:tcPr>
            <w:tcW w:w="26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1,819,274</w:t>
            </w:r>
          </w:p>
        </w:tc>
        <w:tc>
          <w:tcPr>
            <w:tcW w:w="100" w:type="dxa"/>
            <w:vAlign w:val="bottom"/>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17.7 %</w:t>
            </w:r>
          </w:p>
        </w:tc>
        <w:tc>
          <w:tcPr>
            <w:tcW w:w="8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855,375</w:t>
            </w:r>
          </w:p>
        </w:tc>
        <w:tc>
          <w:tcPr>
            <w:tcW w:w="100" w:type="dxa"/>
            <w:vAlign w:val="bottom"/>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8.5 %</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963,899</w:t>
            </w:r>
          </w:p>
        </w:tc>
        <w:tc>
          <w:tcPr>
            <w:tcW w:w="134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112.7 %</w:t>
            </w:r>
          </w:p>
        </w:tc>
      </w:tr>
      <w:tr>
        <w:trPr>
          <w:trHeight w:val="270"/>
        </w:trPr>
        <w:tc>
          <w:tcPr>
            <w:tcW w:w="2440" w:type="dxa"/>
            <w:vAlign w:val="bottom"/>
          </w:tcPr>
          <w:p>
            <w:pPr>
              <w:ind w:left="20"/>
              <w:spacing w:after="0"/>
              <w:rPr>
                <w:sz w:val="20"/>
                <w:szCs w:val="20"/>
                <w:color w:val="auto"/>
              </w:rPr>
            </w:pPr>
            <w:r>
              <w:rPr>
                <w:rFonts w:ascii="Verdana" w:cs="Verdana" w:eastAsia="Verdana" w:hAnsi="Verdana"/>
                <w:sz w:val="18"/>
                <w:szCs w:val="18"/>
                <w:color w:val="auto"/>
              </w:rPr>
              <w:t>Total deposits</w:t>
            </w:r>
          </w:p>
        </w:tc>
        <w:tc>
          <w:tcPr>
            <w:tcW w:w="26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10,291,156</w:t>
            </w: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100.0 %</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10,071,280</w:t>
            </w: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100.0 %</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219,876</w:t>
            </w:r>
          </w:p>
        </w:tc>
        <w:tc>
          <w:tcPr>
            <w:tcW w:w="1340" w:type="dxa"/>
            <w:vAlign w:val="bottom"/>
            <w:gridSpan w:val="2"/>
          </w:tcPr>
          <w:p>
            <w:pPr>
              <w:jc w:val="right"/>
              <w:spacing w:after="0"/>
              <w:rPr>
                <w:sz w:val="20"/>
                <w:szCs w:val="20"/>
                <w:color w:val="auto"/>
              </w:rPr>
            </w:pPr>
            <w:r>
              <w:rPr>
                <w:rFonts w:ascii="Verdana" w:cs="Verdana" w:eastAsia="Verdana" w:hAnsi="Verdana"/>
                <w:sz w:val="18"/>
                <w:szCs w:val="18"/>
                <w:color w:val="auto"/>
              </w:rPr>
              <w:t>2.2 %</w:t>
            </w:r>
          </w:p>
        </w:tc>
      </w:tr>
      <w:tr>
        <w:trPr>
          <w:trHeight w:val="20"/>
        </w:trPr>
        <w:tc>
          <w:tcPr>
            <w:tcW w:w="2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Total deposits increased by 2.2% to $10.3 billion as of December 31, 2023, compared to $10.1 billion as of December 31, 2022. Growth in our deposit base coupled with cash flows from our securities portfolio allows us to fund loan growth while limiting our reliance on higher cost wholesale funding alternatives. We focus on deepening our relationship with customers to maintain and protect our strong core deposit</w:t>
      </w:r>
      <w:r>
        <w:rPr>
          <w:rFonts w:ascii="Verdana" w:cs="Verdana" w:eastAsia="Verdana" w:hAnsi="Verdana"/>
          <w:sz w:val="11"/>
          <w:szCs w:val="11"/>
          <w:color w:val="auto"/>
        </w:rPr>
        <w:t>4</w:t>
      </w:r>
      <w:r>
        <w:rPr>
          <w:rFonts w:ascii="Verdana" w:cs="Verdana" w:eastAsia="Verdana" w:hAnsi="Verdana"/>
          <w:sz w:val="18"/>
          <w:szCs w:val="18"/>
          <w:color w:val="auto"/>
        </w:rPr>
        <w:t xml:space="preserve"> franchise, allowing us to reduce our reliance on wholesale funding. As of December 31, 2023, our average customer tenure was 16.5 years for retail customers and 12.4 years for commercial customers. Core deposits</w:t>
      </w:r>
      <w:r>
        <w:rPr>
          <w:rFonts w:ascii="Verdana" w:cs="Verdana" w:eastAsia="Verdana" w:hAnsi="Verdana"/>
          <w:sz w:val="11"/>
          <w:szCs w:val="11"/>
          <w:color w:val="auto"/>
        </w:rPr>
        <w:t>4</w:t>
      </w:r>
      <w:r>
        <w:rPr>
          <w:rFonts w:ascii="Verdana" w:cs="Verdana" w:eastAsia="Verdana" w:hAnsi="Verdana"/>
          <w:sz w:val="18"/>
          <w:szCs w:val="18"/>
          <w:color w:val="auto"/>
        </w:rPr>
        <w:t xml:space="preserve"> include non-brokered transaction accounts, money market deposit accounts, and time deposits of $250,000 or less. Core deposits</w:t>
      </w:r>
      <w:r>
        <w:rPr>
          <w:rFonts w:ascii="Verdana" w:cs="Verdana" w:eastAsia="Verdana" w:hAnsi="Verdana"/>
          <w:sz w:val="11"/>
          <w:szCs w:val="11"/>
          <w:color w:val="auto"/>
        </w:rPr>
        <w:t>4</w:t>
      </w:r>
      <w:r>
        <w:rPr>
          <w:rFonts w:ascii="Verdana" w:cs="Verdana" w:eastAsia="Verdana" w:hAnsi="Verdana"/>
          <w:sz w:val="18"/>
          <w:szCs w:val="18"/>
          <w:color w:val="auto"/>
        </w:rPr>
        <w:t xml:space="preserve"> represented 96.2% of total deposits as of December 31, 2023, compared to 98.8% as of December 31, 2022.</w:t>
      </w:r>
    </w:p>
    <w:p>
      <w:pPr>
        <w:spacing w:after="0" w:line="17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Deposits are federally insured up to the FDIC insurance limit of $250,000. When a portion of a deposit account exceeds the FDIC insurance limit, that portion is uninsured. Estimated uninsured deposits were $3.8 billion at December 31, 2023. The portion of our deposit base that was uninsured and not otherwise collateralized was estimated to be $2.8 billion at December 31, 2023, which represented 27% of total deposits. Of that amount, $350.1 million represented time deposits. The following table presents estimates of the uninsured portion of time deposits by maturity date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Verdana" w:cs="Verdana" w:eastAsia="Verdana" w:hAnsi="Verdana"/>
          <w:sz w:val="17"/>
          <w:szCs w:val="17"/>
          <w:b w:val="1"/>
          <w:bCs w:val="1"/>
          <w:color w:val="auto"/>
        </w:rPr>
        <w:t>Estimated uninsured time deposits by schedule of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Verdana" w:cs="Verdana" w:eastAsia="Verdana" w:hAnsi="Verdana"/>
          <w:sz w:val="18"/>
          <w:szCs w:val="18"/>
          <w:color w:val="auto"/>
        </w:rPr>
        <w:t>3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 w:lineRule="exact"/>
        <w:rPr>
          <w:sz w:val="20"/>
          <w:szCs w:val="20"/>
          <w:color w:val="auto"/>
        </w:rPr>
      </w:pPr>
    </w:p>
    <w:p>
      <w:pPr>
        <w:ind w:left="180"/>
        <w:spacing w:after="0"/>
        <w:rPr>
          <w:sz w:val="20"/>
          <w:szCs w:val="20"/>
          <w:color w:val="auto"/>
        </w:rPr>
      </w:pPr>
      <w:r>
        <w:rPr>
          <w:rFonts w:ascii="Verdana" w:cs="Verdana" w:eastAsia="Verdana" w:hAnsi="Verdana"/>
          <w:sz w:val="18"/>
          <w:szCs w:val="18"/>
          <w:color w:val="auto"/>
        </w:rPr>
        <w:t>Over 3 months through 6 months</w:t>
      </w:r>
    </w:p>
    <w:p>
      <w:pPr>
        <w:spacing w:after="0" w:line="51" w:lineRule="exact"/>
        <w:rPr>
          <w:sz w:val="20"/>
          <w:szCs w:val="20"/>
          <w:color w:val="auto"/>
        </w:rPr>
      </w:pPr>
    </w:p>
    <w:p>
      <w:pPr>
        <w:ind w:left="180"/>
        <w:spacing w:after="0"/>
        <w:rPr>
          <w:sz w:val="20"/>
          <w:szCs w:val="20"/>
          <w:color w:val="auto"/>
        </w:rPr>
      </w:pPr>
      <w:r>
        <w:rPr>
          <w:rFonts w:ascii="Verdana" w:cs="Verdana" w:eastAsia="Verdana" w:hAnsi="Verdana"/>
          <w:sz w:val="18"/>
          <w:szCs w:val="18"/>
          <w:color w:val="auto"/>
        </w:rPr>
        <w:t>Over 6 months through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 w:lineRule="exact"/>
        <w:rPr>
          <w:sz w:val="20"/>
          <w:szCs w:val="20"/>
          <w:color w:val="auto"/>
        </w:rPr>
      </w:pPr>
    </w:p>
    <w:p>
      <w:pPr>
        <w:ind w:left="180"/>
        <w:spacing w:after="0"/>
        <w:rPr>
          <w:sz w:val="20"/>
          <w:szCs w:val="20"/>
          <w:color w:val="auto"/>
        </w:rPr>
      </w:pPr>
      <w:r>
        <w:rPr>
          <w:rFonts w:ascii="Verdana" w:cs="Verdana" w:eastAsia="Verdana" w:hAnsi="Verdana"/>
          <w:sz w:val="18"/>
          <w:szCs w:val="18"/>
          <w:color w:val="auto"/>
        </w:rPr>
        <w:t>Thereafter</w:t>
      </w:r>
    </w:p>
    <w:p>
      <w:pPr>
        <w:spacing w:after="0" w:line="92"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Uninsured 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714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
        <w:spacing w:after="0"/>
        <w:rPr>
          <w:sz w:val="20"/>
          <w:szCs w:val="20"/>
          <w:color w:val="auto"/>
        </w:rPr>
      </w:pPr>
      <w:r>
        <w:rPr>
          <w:rFonts w:ascii="Verdana" w:cs="Verdana" w:eastAsia="Verdana" w:hAnsi="Verdana"/>
          <w:sz w:val="13"/>
          <w:szCs w:val="13"/>
          <w:b w:val="1"/>
          <w:bCs w:val="1"/>
          <w:color w:val="auto"/>
        </w:rPr>
        <w:t>As of</w:t>
      </w:r>
    </w:p>
    <w:p>
      <w:pPr>
        <w:jc w:val="center"/>
        <w:ind w:right="-1"/>
        <w:spacing w:after="0" w:line="184" w:lineRule="auto"/>
        <w:rPr>
          <w:sz w:val="20"/>
          <w:szCs w:val="20"/>
          <w:color w:val="auto"/>
        </w:rPr>
      </w:pPr>
      <w:r>
        <w:rPr>
          <w:rFonts w:ascii="Verdana" w:cs="Verdana" w:eastAsia="Verdana" w:hAnsi="Verdana"/>
          <w:sz w:val="13"/>
          <w:szCs w:val="13"/>
          <w:b w:val="1"/>
          <w:bCs w:val="1"/>
          <w:color w:val="auto"/>
        </w:rPr>
        <w:t>December 31,</w:t>
      </w:r>
    </w:p>
    <w:p>
      <w:pPr>
        <w:jc w:val="center"/>
        <w:ind w:right="-1"/>
        <w:spacing w:after="0"/>
        <w:rPr>
          <w:sz w:val="20"/>
          <w:szCs w:val="20"/>
          <w:color w:val="auto"/>
        </w:rPr>
      </w:pPr>
      <w:r>
        <w:rPr>
          <w:rFonts w:ascii="Verdana" w:cs="Verdana" w:eastAsia="Verdana" w:hAnsi="Verdana"/>
          <w:sz w:val="13"/>
          <w:szCs w:val="13"/>
          <w:b w:val="1"/>
          <w:bCs w:val="1"/>
          <w:color w:val="auto"/>
        </w:rPr>
        <w:t>2023</w:t>
      </w:r>
    </w:p>
    <w:p>
      <w:pPr>
        <w:spacing w:after="0" w:line="314" w:lineRule="exact"/>
        <w:rPr>
          <w:sz w:val="20"/>
          <w:szCs w:val="20"/>
          <w:color w:val="auto"/>
        </w:rPr>
      </w:pPr>
    </w:p>
    <w:p>
      <w:pPr>
        <w:ind w:left="762" w:hanging="762"/>
        <w:spacing w:after="0"/>
        <w:tabs>
          <w:tab w:leader="none" w:pos="762"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115,498</w:t>
      </w:r>
    </w:p>
    <w:p>
      <w:pPr>
        <w:spacing w:after="0" w:line="51" w:lineRule="exact"/>
        <w:rPr>
          <w:rFonts w:ascii="Verdana" w:cs="Verdana" w:eastAsia="Verdana" w:hAnsi="Verdana"/>
          <w:sz w:val="18"/>
          <w:szCs w:val="18"/>
          <w:color w:val="auto"/>
        </w:rPr>
      </w:pPr>
    </w:p>
    <w:p>
      <w:pPr>
        <w:ind w:left="762"/>
        <w:spacing w:after="0"/>
        <w:rPr>
          <w:rFonts w:ascii="Verdana" w:cs="Verdana" w:eastAsia="Verdana" w:hAnsi="Verdana"/>
          <w:sz w:val="18"/>
          <w:szCs w:val="18"/>
          <w:color w:val="auto"/>
        </w:rPr>
      </w:pPr>
      <w:r>
        <w:rPr>
          <w:rFonts w:ascii="Verdana" w:cs="Verdana" w:eastAsia="Verdana" w:hAnsi="Verdana"/>
          <w:sz w:val="18"/>
          <w:szCs w:val="18"/>
          <w:color w:val="auto"/>
        </w:rPr>
        <w:t>123,186</w:t>
      </w:r>
    </w:p>
    <w:p>
      <w:pPr>
        <w:spacing w:after="0" w:line="51" w:lineRule="exact"/>
        <w:rPr>
          <w:rFonts w:ascii="Verdana" w:cs="Verdana" w:eastAsia="Verdana" w:hAnsi="Verdana"/>
          <w:sz w:val="18"/>
          <w:szCs w:val="18"/>
          <w:color w:val="auto"/>
        </w:rPr>
      </w:pPr>
    </w:p>
    <w:p>
      <w:pPr>
        <w:ind w:left="882"/>
        <w:spacing w:after="0"/>
        <w:rPr>
          <w:rFonts w:ascii="Verdana" w:cs="Verdana" w:eastAsia="Verdana" w:hAnsi="Verdana"/>
          <w:sz w:val="18"/>
          <w:szCs w:val="18"/>
          <w:color w:val="auto"/>
        </w:rPr>
      </w:pPr>
      <w:r>
        <w:rPr>
          <w:rFonts w:ascii="Verdana" w:cs="Verdana" w:eastAsia="Verdana" w:hAnsi="Verdana"/>
          <w:sz w:val="18"/>
          <w:szCs w:val="18"/>
          <w:color w:val="auto"/>
        </w:rPr>
        <w:t>88,335</w:t>
      </w:r>
    </w:p>
    <w:p>
      <w:pPr>
        <w:spacing w:after="0" w:line="51" w:lineRule="exact"/>
        <w:rPr>
          <w:rFonts w:ascii="Verdana" w:cs="Verdana" w:eastAsia="Verdana" w:hAnsi="Verdana"/>
          <w:sz w:val="18"/>
          <w:szCs w:val="18"/>
          <w:color w:val="auto"/>
        </w:rPr>
      </w:pPr>
    </w:p>
    <w:p>
      <w:pPr>
        <w:ind w:left="882"/>
        <w:spacing w:after="0"/>
        <w:rPr>
          <w:rFonts w:ascii="Verdana" w:cs="Verdana" w:eastAsia="Verdana" w:hAnsi="Verdana"/>
          <w:sz w:val="18"/>
          <w:szCs w:val="18"/>
          <w:color w:val="auto"/>
        </w:rPr>
      </w:pPr>
      <w:r>
        <w:rPr>
          <w:rFonts w:ascii="Verdana" w:cs="Verdana" w:eastAsia="Verdana" w:hAnsi="Verdana"/>
          <w:sz w:val="18"/>
          <w:szCs w:val="18"/>
          <w:color w:val="auto"/>
        </w:rPr>
        <w:t>23,059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45" w:lineRule="exact"/>
        <w:rPr>
          <w:sz w:val="20"/>
          <w:szCs w:val="20"/>
          <w:color w:val="auto"/>
        </w:rPr>
      </w:pPr>
    </w:p>
    <w:p>
      <w:pPr>
        <w:ind w:left="762" w:hanging="762"/>
        <w:spacing w:after="0"/>
        <w:tabs>
          <w:tab w:leader="none" w:pos="762" w:val="left"/>
        </w:tabs>
        <w:numPr>
          <w:ilvl w:val="0"/>
          <w:numId w:val="42"/>
        </w:numPr>
        <w:rPr>
          <w:rFonts w:ascii="Verdana" w:cs="Verdana" w:eastAsia="Verdana" w:hAnsi="Verdana"/>
          <w:sz w:val="18"/>
          <w:szCs w:val="18"/>
          <w:color w:val="auto"/>
        </w:rPr>
      </w:pPr>
      <w:r>
        <w:rPr>
          <w:rFonts w:ascii="Verdana" w:cs="Verdana" w:eastAsia="Verdana" w:hAnsi="Verdana"/>
          <w:sz w:val="18"/>
          <w:szCs w:val="18"/>
          <w:color w:val="auto"/>
        </w:rPr>
        <w:t>350,078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44450</wp:posOffset>
            </wp:positionV>
            <wp:extent cx="1028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918" w:space="720"/>
            <w:col w:w="1602"/>
          </w:cols>
          <w:pgMar w:left="320" w:top="310" w:right="339" w:bottom="1440" w:gutter="0" w:footer="0" w:header="0"/>
          <w:type w:val="continuous"/>
        </w:sectPr>
      </w:pPr>
    </w:p>
    <w:p>
      <w:pPr>
        <w:spacing w:after="0" w:line="378" w:lineRule="exact"/>
        <w:rPr>
          <w:sz w:val="20"/>
          <w:szCs w:val="20"/>
          <w:color w:val="auto"/>
        </w:rPr>
      </w:pPr>
    </w:p>
    <w:p>
      <w:pPr>
        <w:ind w:firstLine="8"/>
        <w:spacing w:after="0" w:line="189" w:lineRule="auto"/>
        <w:tabs>
          <w:tab w:leader="none" w:pos="137" w:val="left"/>
        </w:tabs>
        <w:numPr>
          <w:ilvl w:val="0"/>
          <w:numId w:val="43"/>
        </w:numPr>
        <w:rPr>
          <w:rFonts w:ascii="Verdana" w:cs="Verdana" w:eastAsia="Verdana" w:hAnsi="Verdana"/>
          <w:sz w:val="22"/>
          <w:szCs w:val="22"/>
          <w:color w:val="auto"/>
          <w:vertAlign w:val="superscript"/>
        </w:rPr>
      </w:pPr>
      <w:r>
        <w:rPr>
          <w:rFonts w:ascii="Verdana" w:cs="Verdana" w:eastAsia="Verdana" w:hAnsi="Verdana"/>
          <w:sz w:val="12"/>
          <w:szCs w:val="12"/>
          <w:color w:val="auto"/>
        </w:rPr>
        <w:t xml:space="preserve">Core deposits is a non-GAAP financial measure. For a reconciliation of non-GAAP measures to the most directly comparable GAAP financial measures, see </w:t>
      </w:r>
      <w:r>
        <w:rPr>
          <w:rFonts w:ascii="Verdana" w:cs="Verdana" w:eastAsia="Verdana" w:hAnsi="Verdana"/>
          <w:sz w:val="12"/>
          <w:szCs w:val="12"/>
          <w:i w:val="1"/>
          <w:iCs w:val="1"/>
          <w:color w:val="auto"/>
        </w:rPr>
        <w:t>“</w:t>
      </w:r>
      <w:r>
        <w:rPr>
          <w:rFonts w:ascii="Verdana" w:cs="Verdana" w:eastAsia="Verdana" w:hAnsi="Verdana"/>
          <w:sz w:val="12"/>
          <w:szCs w:val="12"/>
          <w:i w:val="1"/>
          <w:iCs w:val="1"/>
          <w:u w:val="single" w:color="auto"/>
          <w:color w:val="0000FF"/>
        </w:rPr>
        <w:t>Item 1. Business—</w:t>
      </w:r>
      <w:r>
        <w:rPr>
          <w:rFonts w:ascii="Verdana" w:cs="Verdana" w:eastAsia="Verdana" w:hAnsi="Verdana"/>
          <w:sz w:val="12"/>
          <w:szCs w:val="12"/>
          <w:color w:val="auto"/>
        </w:rPr>
        <w:t xml:space="preserve"> </w:t>
      </w:r>
      <w:r>
        <w:rPr>
          <w:rFonts w:ascii="Verdana" w:cs="Verdana" w:eastAsia="Verdana" w:hAnsi="Verdana"/>
          <w:sz w:val="12"/>
          <w:szCs w:val="12"/>
          <w:i w:val="1"/>
          <w:iCs w:val="1"/>
          <w:u w:val="single" w:color="auto"/>
          <w:color w:val="0000FF"/>
        </w:rPr>
        <w:t>Non-GAAP Financial Information</w:t>
      </w:r>
      <w:r>
        <w:rPr>
          <w:rFonts w:ascii="Verdana" w:cs="Verdana" w:eastAsia="Verdana" w:hAnsi="Verdana"/>
          <w:sz w:val="12"/>
          <w:szCs w:val="12"/>
          <w:i w:val="1"/>
          <w:iCs w:val="1"/>
          <w:color w:val="000000"/>
        </w:rPr>
        <w:t>”</w:t>
      </w:r>
      <w:r>
        <w:rPr>
          <w:rFonts w:ascii="Verdana" w:cs="Verdana" w:eastAsia="Verdana" w:hAnsi="Verdana"/>
          <w:sz w:val="12"/>
          <w:szCs w:val="12"/>
          <w:i w:val="1"/>
          <w:iCs w:val="1"/>
          <w:color w:val="0000FF"/>
        </w:rPr>
        <w:t xml:space="preserve"> </w:t>
      </w:r>
      <w:r>
        <w:rPr>
          <w:rFonts w:ascii="Verdana" w:cs="Verdana" w:eastAsia="Verdana" w:hAnsi="Verdana"/>
          <w:sz w:val="12"/>
          <w:szCs w:val="12"/>
          <w:color w:val="000000"/>
        </w:rPr>
        <w:t>included in this Annual Report.</w:t>
      </w:r>
    </w:p>
    <w:p>
      <w:pPr>
        <w:spacing w:after="0" w:line="21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82" w:name="page83"/>
    <w:bookmarkEnd w:id="8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Borrowings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Term Loan</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May 28, 2021, Busey entered into a Second Amended and Restated Credit Agreement, pursuant to which we have access to (1) a $40.0 million revolving line of credit with an initial termination date of April 30, 2022, and (2)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loans now have an annual interest rate of 1.80% plus the one-month forward-looking term rate based on SOFR. On April 30, 2023, the agreement was further amended to extend the term for the revolving line of credit to April 30, 2024.</w:t>
      </w:r>
    </w:p>
    <w:p>
      <w:pPr>
        <w:spacing w:after="0" w:line="17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Proceeds of the Term Loan were used to fund a part of the cash portion of the merger consideration related to the acquisition of CAC in the second quarter of 2021, and for general corporate purposes. The total outstanding balance on the Term Loan was $30.0 million as of December 31, 2023, of which $12.0 million was short-term and $18.0 million was long-term. Quarterly payments on the Term Loan reduce the outstanding principal balance by $3.0 million each quarter.</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of December 31, 2023, there was no balance outstanding on the revolving credit facility. The revolving credit facility incurs a non-usage fee based on any undrawn amounts.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Securities Sold Under Agreements to Repurchase and Short-term Borrowings</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Securities sold under agreements to repurchase, which are classified as secured borrowings, generally mature daily. Short-term borrowings include FHLB advances that mature in less than one year from the date of origination, and the current portion of long-term debt due within 12 months.</w:t>
      </w:r>
    </w:p>
    <w:p>
      <w:pPr>
        <w:spacing w:after="0" w:line="2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3" w:name="page84"/>
    <w:bookmarkEnd w:id="8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 sets forth the distribution of securities sold under agreements to repurchase and short-term borrowings, as well as the weighted average interest rates thereon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20"/>
              <w:spacing w:after="0"/>
              <w:rPr>
                <w:sz w:val="20"/>
                <w:szCs w:val="20"/>
                <w:color w:val="auto"/>
              </w:rPr>
            </w:pPr>
            <w:r>
              <w:rPr>
                <w:rFonts w:ascii="Verdana" w:cs="Verdana" w:eastAsia="Verdana" w:hAnsi="Verdana"/>
                <w:sz w:val="13"/>
                <w:szCs w:val="13"/>
                <w:b w:val="1"/>
                <w:bCs w:val="1"/>
                <w:color w:val="auto"/>
                <w:w w:val="95"/>
              </w:rPr>
              <w:t>Years Ended December 31,</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70"/>
        </w:trPr>
        <w:tc>
          <w:tcPr>
            <w:tcW w:w="5820" w:type="dxa"/>
            <w:vAlign w:val="bottom"/>
            <w:tcBorders>
              <w:bottom w:val="single" w:sz="8" w:color="E0E7ED"/>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2"/>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2"/>
              <w:spacing w:after="0"/>
              <w:rPr>
                <w:sz w:val="20"/>
                <w:szCs w:val="20"/>
                <w:color w:val="auto"/>
              </w:rPr>
            </w:pPr>
            <w:r>
              <w:rPr>
                <w:rFonts w:ascii="Verdana" w:cs="Verdana" w:eastAsia="Verdana" w:hAnsi="Verdana"/>
                <w:sz w:val="13"/>
                <w:szCs w:val="13"/>
                <w:b w:val="1"/>
                <w:bCs w:val="1"/>
                <w:color w:val="auto"/>
              </w:rPr>
              <w:t>2022</w:t>
            </w:r>
          </w:p>
        </w:tc>
        <w:tc>
          <w:tcPr>
            <w:tcW w:w="8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2"/>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58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Securities sold under agreements to repurchase</w:t>
            </w:r>
          </w:p>
        </w:tc>
        <w:tc>
          <w:tcPr>
            <w:tcW w:w="40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r>
      <w:tr>
        <w:trPr>
          <w:trHeight w:val="263"/>
        </w:trPr>
        <w:tc>
          <w:tcPr>
            <w:tcW w:w="5820" w:type="dxa"/>
            <w:vAlign w:val="bottom"/>
          </w:tcPr>
          <w:p>
            <w:pPr>
              <w:ind w:left="180"/>
              <w:spacing w:after="0"/>
              <w:rPr>
                <w:sz w:val="20"/>
                <w:szCs w:val="20"/>
                <w:color w:val="auto"/>
              </w:rPr>
            </w:pPr>
            <w:r>
              <w:rPr>
                <w:rFonts w:ascii="Verdana" w:cs="Verdana" w:eastAsia="Verdana" w:hAnsi="Verdana"/>
                <w:sz w:val="18"/>
                <w:szCs w:val="18"/>
                <w:color w:val="auto"/>
              </w:rPr>
              <w:t>Balance at end of period</w:t>
            </w:r>
          </w:p>
        </w:tc>
        <w:tc>
          <w:tcPr>
            <w:tcW w:w="400" w:type="dxa"/>
            <w:vAlign w:val="bottom"/>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187,396</w:t>
            </w:r>
          </w:p>
        </w:tc>
        <w:tc>
          <w:tcPr>
            <w:tcW w:w="500" w:type="dxa"/>
            <w:vAlign w:val="bottom"/>
            <w:gridSpan w:val="2"/>
          </w:tcPr>
          <w:p>
            <w:pPr>
              <w:jc w:val="right"/>
              <w:ind w:right="28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229,806</w:t>
            </w:r>
          </w:p>
        </w:tc>
        <w:tc>
          <w:tcPr>
            <w:tcW w:w="8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270,139</w:t>
            </w:r>
          </w:p>
        </w:tc>
      </w:tr>
      <w:tr>
        <w:trPr>
          <w:trHeight w:val="277"/>
        </w:trPr>
        <w:tc>
          <w:tcPr>
            <w:tcW w:w="5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interest rate at end of period</w:t>
            </w: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3.26 %</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1.91 %</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0.08 %</w:t>
            </w:r>
          </w:p>
        </w:tc>
      </w:tr>
      <w:tr>
        <w:trPr>
          <w:trHeight w:val="238"/>
        </w:trPr>
        <w:tc>
          <w:tcPr>
            <w:tcW w:w="5820" w:type="dxa"/>
            <w:vAlign w:val="bottom"/>
          </w:tcPr>
          <w:p>
            <w:pPr>
              <w:ind w:left="180"/>
              <w:spacing w:after="0"/>
              <w:rPr>
                <w:sz w:val="20"/>
                <w:szCs w:val="20"/>
                <w:color w:val="auto"/>
              </w:rPr>
            </w:pPr>
            <w:r>
              <w:rPr>
                <w:rFonts w:ascii="Verdana" w:cs="Verdana" w:eastAsia="Verdana" w:hAnsi="Verdana"/>
                <w:sz w:val="18"/>
                <w:szCs w:val="18"/>
                <w:color w:val="auto"/>
              </w:rPr>
              <w:t>Maximum outstanding at any month end in year-to-date</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2"/>
        </w:trPr>
        <w:tc>
          <w:tcPr>
            <w:tcW w:w="5820" w:type="dxa"/>
            <w:vAlign w:val="bottom"/>
          </w:tcPr>
          <w:p>
            <w:pPr>
              <w:ind w:left="180"/>
              <w:spacing w:after="0"/>
              <w:rPr>
                <w:sz w:val="20"/>
                <w:szCs w:val="20"/>
                <w:color w:val="auto"/>
              </w:rPr>
            </w:pPr>
            <w:r>
              <w:rPr>
                <w:rFonts w:ascii="Verdana" w:cs="Verdana" w:eastAsia="Verdana" w:hAnsi="Verdana"/>
                <w:sz w:val="18"/>
                <w:szCs w:val="18"/>
                <w:color w:val="auto"/>
              </w:rPr>
              <w:t>period</w:t>
            </w:r>
          </w:p>
        </w:tc>
        <w:tc>
          <w:tcPr>
            <w:tcW w:w="400" w:type="dxa"/>
            <w:vAlign w:val="bottom"/>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248,850</w:t>
            </w:r>
          </w:p>
        </w:tc>
        <w:tc>
          <w:tcPr>
            <w:tcW w:w="500" w:type="dxa"/>
            <w:vAlign w:val="bottom"/>
            <w:gridSpan w:val="2"/>
          </w:tcPr>
          <w:p>
            <w:pPr>
              <w:jc w:val="right"/>
              <w:ind w:right="28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283,664</w:t>
            </w:r>
          </w:p>
        </w:tc>
        <w:tc>
          <w:tcPr>
            <w:tcW w:w="8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270,139</w:t>
            </w:r>
          </w:p>
        </w:tc>
      </w:tr>
      <w:tr>
        <w:trPr>
          <w:trHeight w:val="277"/>
        </w:trPr>
        <w:tc>
          <w:tcPr>
            <w:tcW w:w="5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Average daily balance for the year-to-date period</w:t>
            </w: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200,702</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243,690</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218,454</w:t>
            </w:r>
          </w:p>
        </w:tc>
      </w:tr>
      <w:tr>
        <w:trPr>
          <w:trHeight w:val="270"/>
        </w:trPr>
        <w:tc>
          <w:tcPr>
            <w:tcW w:w="5820" w:type="dxa"/>
            <w:vAlign w:val="bottom"/>
          </w:tcPr>
          <w:p>
            <w:pPr>
              <w:ind w:left="180"/>
              <w:spacing w:after="0" w:line="270" w:lineRule="exact"/>
              <w:rPr>
                <w:sz w:val="20"/>
                <w:szCs w:val="20"/>
                <w:color w:val="auto"/>
              </w:rPr>
            </w:pPr>
            <w:r>
              <w:rPr>
                <w:rFonts w:ascii="Verdana" w:cs="Verdana" w:eastAsia="Verdana" w:hAnsi="Verdana"/>
                <w:sz w:val="18"/>
                <w:szCs w:val="18"/>
                <w:color w:val="auto"/>
              </w:rPr>
              <w:t>Weighted average interest rate during period</w:t>
            </w:r>
            <w:r>
              <w:rPr>
                <w:rFonts w:ascii="Verdana" w:cs="Verdana" w:eastAsia="Verdana" w:hAnsi="Verdana"/>
                <w:sz w:val="23"/>
                <w:szCs w:val="23"/>
                <w:color w:val="auto"/>
                <w:vertAlign w:val="superscript"/>
              </w:rPr>
              <w:t>1</w:t>
            </w: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2.58 %</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0.60 %</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0.10 %</w:t>
            </w:r>
          </w:p>
        </w:tc>
      </w:tr>
      <w:tr>
        <w:trPr>
          <w:trHeight w:val="270"/>
        </w:trPr>
        <w:tc>
          <w:tcPr>
            <w:tcW w:w="5820" w:type="dxa"/>
            <w:vAlign w:val="bottom"/>
            <w:shd w:val="clear" w:color="auto" w:fill="E0E7ED"/>
          </w:tcPr>
          <w:p>
            <w:pPr>
              <w:spacing w:after="0"/>
              <w:rPr>
                <w:sz w:val="23"/>
                <w:szCs w:val="23"/>
                <w:color w:val="auto"/>
              </w:rPr>
            </w:pPr>
          </w:p>
        </w:tc>
        <w:tc>
          <w:tcPr>
            <w:tcW w:w="40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r>
      <w:tr>
        <w:trPr>
          <w:trHeight w:val="263"/>
        </w:trPr>
        <w:tc>
          <w:tcPr>
            <w:tcW w:w="5820" w:type="dxa"/>
            <w:vAlign w:val="bottom"/>
          </w:tcPr>
          <w:p>
            <w:pPr>
              <w:ind w:left="20"/>
              <w:spacing w:after="0"/>
              <w:rPr>
                <w:sz w:val="20"/>
                <w:szCs w:val="20"/>
                <w:color w:val="auto"/>
              </w:rPr>
            </w:pPr>
            <w:r>
              <w:rPr>
                <w:rFonts w:ascii="Verdana" w:cs="Verdana" w:eastAsia="Verdana" w:hAnsi="Verdana"/>
                <w:sz w:val="18"/>
                <w:szCs w:val="18"/>
                <w:b w:val="1"/>
                <w:bCs w:val="1"/>
                <w:color w:val="auto"/>
              </w:rPr>
              <w:t>FHLB advances, current portion due within 12 months</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7"/>
        </w:trPr>
        <w:tc>
          <w:tcPr>
            <w:tcW w:w="5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Balance at end of period</w:t>
            </w:r>
          </w:p>
        </w:tc>
        <w:tc>
          <w:tcPr>
            <w:tcW w:w="40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w:t>
            </w:r>
          </w:p>
        </w:tc>
        <w:tc>
          <w:tcPr>
            <w:tcW w:w="500" w:type="dxa"/>
            <w:vAlign w:val="bottom"/>
            <w:gridSpan w:val="2"/>
            <w:shd w:val="clear" w:color="auto" w:fill="E0E7ED"/>
          </w:tcPr>
          <w:p>
            <w:pPr>
              <w:jc w:val="right"/>
              <w:ind w:right="28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339,054</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5,678</w:t>
            </w:r>
          </w:p>
        </w:tc>
      </w:tr>
      <w:tr>
        <w:trPr>
          <w:trHeight w:val="263"/>
        </w:trPr>
        <w:tc>
          <w:tcPr>
            <w:tcW w:w="5820" w:type="dxa"/>
            <w:vAlign w:val="bottom"/>
          </w:tcPr>
          <w:p>
            <w:pPr>
              <w:ind w:left="180"/>
              <w:spacing w:after="0"/>
              <w:rPr>
                <w:sz w:val="20"/>
                <w:szCs w:val="20"/>
                <w:color w:val="auto"/>
              </w:rPr>
            </w:pPr>
            <w:r>
              <w:rPr>
                <w:rFonts w:ascii="Verdana" w:cs="Verdana" w:eastAsia="Verdana" w:hAnsi="Verdana"/>
                <w:sz w:val="18"/>
                <w:szCs w:val="18"/>
                <w:color w:val="auto"/>
              </w:rPr>
              <w:t>Weighted average interest rate at end of period</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 %</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4.28 %</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0.36 %</w:t>
            </w:r>
          </w:p>
        </w:tc>
      </w:tr>
      <w:tr>
        <w:trPr>
          <w:trHeight w:val="244"/>
        </w:trPr>
        <w:tc>
          <w:tcPr>
            <w:tcW w:w="5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Maximum outstanding at any month end in year-to-date</w:t>
            </w:r>
          </w:p>
        </w:tc>
        <w:tc>
          <w:tcPr>
            <w:tcW w:w="40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42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42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r>
      <w:tr>
        <w:trPr>
          <w:trHeight w:val="248"/>
        </w:trPr>
        <w:tc>
          <w:tcPr>
            <w:tcW w:w="5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period</w:t>
            </w:r>
          </w:p>
        </w:tc>
        <w:tc>
          <w:tcPr>
            <w:tcW w:w="40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603,881</w:t>
            </w:r>
          </w:p>
        </w:tc>
        <w:tc>
          <w:tcPr>
            <w:tcW w:w="500" w:type="dxa"/>
            <w:vAlign w:val="bottom"/>
            <w:gridSpan w:val="2"/>
            <w:shd w:val="clear" w:color="auto" w:fill="E0E7ED"/>
          </w:tcPr>
          <w:p>
            <w:pPr>
              <w:jc w:val="right"/>
              <w:ind w:right="28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339,054</w:t>
            </w:r>
          </w:p>
        </w:tc>
        <w:tc>
          <w:tcPr>
            <w:tcW w:w="80" w:type="dxa"/>
            <w:vAlign w:val="bottom"/>
            <w:shd w:val="clear" w:color="auto" w:fill="E0E7ED"/>
          </w:tcPr>
          <w:p>
            <w:pPr>
              <w:spacing w:after="0"/>
              <w:rPr>
                <w:sz w:val="21"/>
                <w:szCs w:val="21"/>
                <w:color w:val="auto"/>
              </w:rPr>
            </w:pP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5,678</w:t>
            </w:r>
          </w:p>
        </w:tc>
      </w:tr>
      <w:tr>
        <w:trPr>
          <w:trHeight w:val="263"/>
        </w:trPr>
        <w:tc>
          <w:tcPr>
            <w:tcW w:w="5820" w:type="dxa"/>
            <w:vAlign w:val="bottom"/>
          </w:tcPr>
          <w:p>
            <w:pPr>
              <w:ind w:left="180"/>
              <w:spacing w:after="0"/>
              <w:rPr>
                <w:sz w:val="20"/>
                <w:szCs w:val="20"/>
                <w:color w:val="auto"/>
              </w:rPr>
            </w:pPr>
            <w:r>
              <w:rPr>
                <w:rFonts w:ascii="Verdana" w:cs="Verdana" w:eastAsia="Verdana" w:hAnsi="Verdana"/>
                <w:sz w:val="18"/>
                <w:szCs w:val="18"/>
                <w:color w:val="auto"/>
              </w:rPr>
              <w:t>Average daily balance for the year-to-date period</w:t>
            </w:r>
          </w:p>
        </w:tc>
        <w:tc>
          <w:tcPr>
            <w:tcW w:w="400" w:type="dxa"/>
            <w:vAlign w:val="bottom"/>
          </w:tcPr>
          <w:p>
            <w:pPr>
              <w:spacing w:after="0"/>
              <w:rPr>
                <w:sz w:val="22"/>
                <w:szCs w:val="22"/>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241,382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25,845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4,934</w:t>
            </w:r>
          </w:p>
        </w:tc>
      </w:tr>
      <w:tr>
        <w:trPr>
          <w:trHeight w:val="277"/>
        </w:trPr>
        <w:tc>
          <w:tcPr>
            <w:tcW w:w="5820" w:type="dxa"/>
            <w:vAlign w:val="bottom"/>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Weighted average interest rate during period</w:t>
            </w:r>
            <w:r>
              <w:rPr>
                <w:rFonts w:ascii="Verdana" w:cs="Verdana" w:eastAsia="Verdana" w:hAnsi="Verdana"/>
                <w:sz w:val="23"/>
                <w:szCs w:val="23"/>
                <w:color w:val="auto"/>
                <w:vertAlign w:val="superscript"/>
              </w:rPr>
              <w:t>1</w:t>
            </w: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4.90 %</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4.28 %</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0.41 %</w:t>
            </w:r>
          </w:p>
        </w:tc>
      </w:tr>
      <w:tr>
        <w:trPr>
          <w:trHeight w:val="270"/>
        </w:trPr>
        <w:tc>
          <w:tcPr>
            <w:tcW w:w="5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58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Term Loan, current portion due within 12 months</w:t>
            </w:r>
          </w:p>
        </w:tc>
        <w:tc>
          <w:tcPr>
            <w:tcW w:w="40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r>
      <w:tr>
        <w:trPr>
          <w:trHeight w:val="263"/>
        </w:trPr>
        <w:tc>
          <w:tcPr>
            <w:tcW w:w="5820" w:type="dxa"/>
            <w:vAlign w:val="bottom"/>
          </w:tcPr>
          <w:p>
            <w:pPr>
              <w:ind w:left="180"/>
              <w:spacing w:after="0"/>
              <w:rPr>
                <w:sz w:val="20"/>
                <w:szCs w:val="20"/>
                <w:color w:val="auto"/>
              </w:rPr>
            </w:pPr>
            <w:r>
              <w:rPr>
                <w:rFonts w:ascii="Verdana" w:cs="Verdana" w:eastAsia="Verdana" w:hAnsi="Verdana"/>
                <w:sz w:val="18"/>
                <w:szCs w:val="18"/>
                <w:color w:val="auto"/>
              </w:rPr>
              <w:t>Balance at end of period</w:t>
            </w:r>
          </w:p>
        </w:tc>
        <w:tc>
          <w:tcPr>
            <w:tcW w:w="400" w:type="dxa"/>
            <w:vAlign w:val="bottom"/>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12,000</w:t>
            </w:r>
          </w:p>
        </w:tc>
        <w:tc>
          <w:tcPr>
            <w:tcW w:w="500" w:type="dxa"/>
            <w:vAlign w:val="bottom"/>
            <w:gridSpan w:val="2"/>
          </w:tcPr>
          <w:p>
            <w:pPr>
              <w:jc w:val="right"/>
              <w:ind w:right="28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12,000</w:t>
            </w:r>
          </w:p>
        </w:tc>
        <w:tc>
          <w:tcPr>
            <w:tcW w:w="8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12,000</w:t>
            </w:r>
          </w:p>
        </w:tc>
      </w:tr>
      <w:tr>
        <w:trPr>
          <w:trHeight w:val="277"/>
        </w:trPr>
        <w:tc>
          <w:tcPr>
            <w:tcW w:w="5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interest rate at end of period</w:t>
            </w: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7.14 %</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5.92 %</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1.88 %</w:t>
            </w:r>
          </w:p>
        </w:tc>
      </w:tr>
      <w:tr>
        <w:trPr>
          <w:trHeight w:val="238"/>
        </w:trPr>
        <w:tc>
          <w:tcPr>
            <w:tcW w:w="5820" w:type="dxa"/>
            <w:vAlign w:val="bottom"/>
          </w:tcPr>
          <w:p>
            <w:pPr>
              <w:ind w:left="180"/>
              <w:spacing w:after="0"/>
              <w:rPr>
                <w:sz w:val="20"/>
                <w:szCs w:val="20"/>
                <w:color w:val="auto"/>
              </w:rPr>
            </w:pPr>
            <w:r>
              <w:rPr>
                <w:rFonts w:ascii="Verdana" w:cs="Verdana" w:eastAsia="Verdana" w:hAnsi="Verdana"/>
                <w:sz w:val="18"/>
                <w:szCs w:val="18"/>
                <w:color w:val="auto"/>
              </w:rPr>
              <w:t>Maximum outstanding at any month end in year-to-date</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2"/>
        </w:trPr>
        <w:tc>
          <w:tcPr>
            <w:tcW w:w="5820" w:type="dxa"/>
            <w:vAlign w:val="bottom"/>
          </w:tcPr>
          <w:p>
            <w:pPr>
              <w:ind w:left="180"/>
              <w:spacing w:after="0"/>
              <w:rPr>
                <w:sz w:val="20"/>
                <w:szCs w:val="20"/>
                <w:color w:val="auto"/>
              </w:rPr>
            </w:pPr>
            <w:r>
              <w:rPr>
                <w:rFonts w:ascii="Verdana" w:cs="Verdana" w:eastAsia="Verdana" w:hAnsi="Verdana"/>
                <w:sz w:val="18"/>
                <w:szCs w:val="18"/>
                <w:color w:val="auto"/>
              </w:rPr>
              <w:t>period</w:t>
            </w:r>
          </w:p>
        </w:tc>
        <w:tc>
          <w:tcPr>
            <w:tcW w:w="400" w:type="dxa"/>
            <w:vAlign w:val="bottom"/>
          </w:tcPr>
          <w:p>
            <w:pPr>
              <w:jc w:val="right"/>
              <w:ind w:right="19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12,000</w:t>
            </w:r>
          </w:p>
        </w:tc>
        <w:tc>
          <w:tcPr>
            <w:tcW w:w="500" w:type="dxa"/>
            <w:vAlign w:val="bottom"/>
            <w:gridSpan w:val="2"/>
          </w:tcPr>
          <w:p>
            <w:pPr>
              <w:jc w:val="right"/>
              <w:ind w:right="28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12,000</w:t>
            </w:r>
          </w:p>
        </w:tc>
        <w:tc>
          <w:tcPr>
            <w:tcW w:w="8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2"/>
              <w:spacing w:after="0"/>
              <w:rPr>
                <w:sz w:val="20"/>
                <w:szCs w:val="20"/>
                <w:color w:val="auto"/>
              </w:rPr>
            </w:pPr>
            <w:r>
              <w:rPr>
                <w:rFonts w:ascii="Verdana" w:cs="Verdana" w:eastAsia="Verdana" w:hAnsi="Verdana"/>
                <w:sz w:val="18"/>
                <w:szCs w:val="18"/>
                <w:color w:val="auto"/>
              </w:rPr>
              <w:t>12,000</w:t>
            </w:r>
          </w:p>
        </w:tc>
      </w:tr>
      <w:tr>
        <w:trPr>
          <w:trHeight w:val="277"/>
        </w:trPr>
        <w:tc>
          <w:tcPr>
            <w:tcW w:w="5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Average daily balance for the year-to-date period</w:t>
            </w:r>
          </w:p>
        </w:tc>
        <w:tc>
          <w:tcPr>
            <w:tcW w:w="4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12,000</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12,000</w:t>
            </w: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7,167</w:t>
            </w:r>
          </w:p>
        </w:tc>
      </w:tr>
      <w:tr>
        <w:trPr>
          <w:trHeight w:val="345"/>
        </w:trPr>
        <w:tc>
          <w:tcPr>
            <w:tcW w:w="5820" w:type="dxa"/>
            <w:vAlign w:val="bottom"/>
          </w:tcPr>
          <w:p>
            <w:pPr>
              <w:ind w:left="180"/>
              <w:spacing w:after="0"/>
              <w:rPr>
                <w:sz w:val="20"/>
                <w:szCs w:val="20"/>
                <w:color w:val="auto"/>
              </w:rPr>
            </w:pPr>
            <w:r>
              <w:rPr>
                <w:rFonts w:ascii="Verdana" w:cs="Verdana" w:eastAsia="Verdana" w:hAnsi="Verdana"/>
                <w:sz w:val="18"/>
                <w:szCs w:val="18"/>
                <w:color w:val="auto"/>
              </w:rPr>
              <w:t>Weighted average interest rate during period</w:t>
            </w:r>
            <w:r>
              <w:rPr>
                <w:rFonts w:ascii="Verdana" w:cs="Verdana" w:eastAsia="Verdana" w:hAnsi="Verdana"/>
                <w:sz w:val="23"/>
                <w:szCs w:val="23"/>
                <w:color w:val="auto"/>
                <w:vertAlign w:val="superscript"/>
              </w:rPr>
              <w:t>1</w:t>
            </w: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6.88 %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3.55 %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1.79 %</w:t>
            </w:r>
          </w:p>
        </w:tc>
      </w:tr>
    </w:tbl>
    <w:p>
      <w:pPr>
        <w:spacing w:after="0" w:line="5"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44"/>
        </w:numPr>
        <w:rPr>
          <w:rFonts w:ascii="Verdana" w:cs="Verdana" w:eastAsia="Verdana" w:hAnsi="Verdana"/>
          <w:sz w:val="13"/>
          <w:szCs w:val="13"/>
          <w:color w:val="auto"/>
        </w:rPr>
      </w:pPr>
      <w:r>
        <w:rPr>
          <w:rFonts w:ascii="Verdana" w:cs="Verdana" w:eastAsia="Verdana" w:hAnsi="Verdana"/>
          <w:sz w:val="13"/>
          <w:szCs w:val="13"/>
          <w:color w:val="auto"/>
        </w:rPr>
        <w:t>The weighted average interest rate is computed by dividing total interest for the period by the average daily balance outstanding.</w:t>
      </w:r>
    </w:p>
    <w:p>
      <w:pPr>
        <w:spacing w:after="0" w:line="166"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Senior and Subordinated Notes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On May 25, 2017, we issued $40.0 million of 3.75% senior notes that matured and were redeemed on May 25, 2022. Additionally, on May 25, 2017, we issued $60.0 million of fixed-to-floating rate subordinated notes that were scheduled to mature on May 25, 2027, with an optional redemption in whole or in part on any interest payment date on or after May 25, 2022. We redeemed all $60.0 million of the outstanding fixed-to-floating rate subordinated notes during the third quarter of 2022. At the time of redemption, the redeemed subordinated notes carried interest at a floating rate of 3-month LIBOR plus 2.919%.</w:t>
      </w:r>
    </w:p>
    <w:p>
      <w:pPr>
        <w:spacing w:after="0" w:line="15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June 1, 2020, Busey issued $125.0 million of fixed-to-floating rate subordinated notes that mature on June 1, 2030. The subordinated notes, which qualify as Tier 2 capital for regulatory purposes, bear interest at an annual rate of 5.25% for the first five years after issuance and thereafter bear interest at a floating rate equal to a three-month benchmark rate plus a spread of 5.11%, as calculated on each applicable determination date. Interest on the subordinated notes is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21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4" w:name="page85"/>
    <w:bookmarkEnd w:id="8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will accrue at a rate equal to (1) 5.000% per annum from the original issue date to, but excluding, June 15, 2027, payable semiannually in arrears, and (2) a floating rate per annum equal to a benchmark rate, which is expected to be the Three-Month Term SOFR (as defined in the subordinated notes), plus a spread of 252 basis points from and including, June 15, 2027, payable quarterly in arrears. The subordinated notes have an optional redemption in whole or in part on any interest payment date on or after June 15, 2027.</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Unamortized debt issuance costs related to subordinated notes are presented in the following table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279"/>
              <w:spacing w:after="0"/>
              <w:rPr>
                <w:sz w:val="20"/>
                <w:szCs w:val="20"/>
                <w:color w:val="auto"/>
              </w:rPr>
            </w:pPr>
            <w:r>
              <w:rPr>
                <w:rFonts w:ascii="Verdana" w:cs="Verdana" w:eastAsia="Verdana" w:hAnsi="Verdana"/>
                <w:sz w:val="13"/>
                <w:szCs w:val="13"/>
                <w:b w:val="1"/>
                <w:bCs w:val="1"/>
                <w:color w:val="auto"/>
              </w:rPr>
              <w:t>As of December 31,</w:t>
            </w:r>
          </w:p>
        </w:tc>
        <w:tc>
          <w:tcPr>
            <w:tcW w:w="620" w:type="dxa"/>
            <w:vAlign w:val="bottom"/>
            <w:tcBorders>
              <w:bottom w:val="single" w:sz="8" w:color="auto"/>
            </w:tcBorders>
          </w:tcPr>
          <w:p>
            <w:pPr>
              <w:spacing w:after="0"/>
              <w:rPr>
                <w:sz w:val="15"/>
                <w:szCs w:val="15"/>
                <w:color w:val="auto"/>
              </w:rPr>
            </w:pPr>
          </w:p>
        </w:tc>
      </w:tr>
      <w:tr>
        <w:trPr>
          <w:trHeight w:val="170"/>
        </w:trPr>
        <w:tc>
          <w:tcPr>
            <w:tcW w:w="7900" w:type="dxa"/>
            <w:vAlign w:val="bottom"/>
            <w:tcBorders>
              <w:bottom w:val="single" w:sz="8" w:color="E0E7ED"/>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2022</w:t>
            </w:r>
          </w:p>
        </w:tc>
        <w:tc>
          <w:tcPr>
            <w:tcW w:w="620" w:type="dxa"/>
            <w:vAlign w:val="bottom"/>
            <w:tcBorders>
              <w:bottom w:val="single" w:sz="8" w:color="auto"/>
            </w:tcBorders>
          </w:tcPr>
          <w:p>
            <w:pPr>
              <w:spacing w:after="0"/>
              <w:rPr>
                <w:sz w:val="14"/>
                <w:szCs w:val="14"/>
                <w:color w:val="auto"/>
              </w:rPr>
            </w:pP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Unamortized debt issuance costs</w:t>
            </w:r>
          </w:p>
        </w:tc>
        <w:tc>
          <w:tcPr>
            <w:tcW w:w="1000" w:type="dxa"/>
            <w:vAlign w:val="bottom"/>
            <w:shd w:val="clear" w:color="auto" w:fill="E0E7ED"/>
          </w:tcPr>
          <w:p>
            <w:pPr>
              <w:spacing w:after="0"/>
              <w:rPr>
                <w:sz w:val="22"/>
                <w:szCs w:val="22"/>
                <w:color w:val="auto"/>
              </w:rPr>
            </w:pPr>
          </w:p>
        </w:tc>
        <w:tc>
          <w:tcPr>
            <w:tcW w:w="6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000" w:type="dxa"/>
            <w:vAlign w:val="bottom"/>
            <w:shd w:val="clear" w:color="auto" w:fill="E0E7ED"/>
          </w:tcPr>
          <w:p>
            <w:pPr>
              <w:spacing w:after="0"/>
              <w:rPr>
                <w:sz w:val="22"/>
                <w:szCs w:val="22"/>
                <w:color w:val="auto"/>
              </w:rPr>
            </w:pPr>
          </w:p>
        </w:tc>
        <w:tc>
          <w:tcPr>
            <w:tcW w:w="620" w:type="dxa"/>
            <w:vAlign w:val="bottom"/>
            <w:shd w:val="clear" w:color="auto" w:fill="E0E7ED"/>
          </w:tcPr>
          <w:p>
            <w:pPr>
              <w:spacing w:after="0"/>
              <w:rPr>
                <w:sz w:val="22"/>
                <w:szCs w:val="22"/>
                <w:color w:val="auto"/>
              </w:rPr>
            </w:pPr>
          </w:p>
        </w:tc>
      </w:tr>
      <w:tr>
        <w:trPr>
          <w:trHeight w:val="263"/>
        </w:trPr>
        <w:tc>
          <w:tcPr>
            <w:tcW w:w="7900" w:type="dxa"/>
            <w:vAlign w:val="bottom"/>
          </w:tcPr>
          <w:p>
            <w:pPr>
              <w:jc w:val="center"/>
              <w:ind w:right="4290"/>
              <w:spacing w:after="0"/>
              <w:rPr>
                <w:sz w:val="20"/>
                <w:szCs w:val="20"/>
                <w:color w:val="auto"/>
              </w:rPr>
            </w:pPr>
            <w:r>
              <w:rPr>
                <w:rFonts w:ascii="Verdana" w:cs="Verdana" w:eastAsia="Verdana" w:hAnsi="Verdana"/>
                <w:sz w:val="18"/>
                <w:szCs w:val="18"/>
                <w:color w:val="auto"/>
              </w:rPr>
              <w:t>Subordinated notes issued in 2020</w:t>
            </w:r>
          </w:p>
        </w:tc>
        <w:tc>
          <w:tcPr>
            <w:tcW w:w="1000" w:type="dxa"/>
            <w:vAlign w:val="bottom"/>
          </w:tcPr>
          <w:p>
            <w:pPr>
              <w:jc w:val="right"/>
              <w:ind w:right="784"/>
              <w:spacing w:after="0"/>
              <w:rPr>
                <w:sz w:val="20"/>
                <w:szCs w:val="20"/>
                <w:color w:val="auto"/>
              </w:rPr>
            </w:pPr>
            <w:r>
              <w:rPr>
                <w:rFonts w:ascii="Verdana" w:cs="Verdana" w:eastAsia="Verdana" w:hAnsi="Verdana"/>
                <w:sz w:val="18"/>
                <w:szCs w:val="18"/>
                <w:color w:val="auto"/>
              </w:rPr>
              <w:t>$</w:t>
            </w:r>
          </w:p>
        </w:tc>
        <w:tc>
          <w:tcPr>
            <w:tcW w:w="620" w:type="dxa"/>
            <w:vAlign w:val="bottom"/>
          </w:tcPr>
          <w:p>
            <w:pPr>
              <w:jc w:val="right"/>
              <w:spacing w:after="0"/>
              <w:rPr>
                <w:sz w:val="20"/>
                <w:szCs w:val="20"/>
                <w:color w:val="auto"/>
              </w:rPr>
            </w:pPr>
            <w:r>
              <w:rPr>
                <w:rFonts w:ascii="Verdana" w:cs="Verdana" w:eastAsia="Verdana" w:hAnsi="Verdana"/>
                <w:sz w:val="18"/>
                <w:szCs w:val="18"/>
                <w:color w:val="auto"/>
              </w:rPr>
              <w:t>735</w:t>
            </w:r>
          </w:p>
        </w:tc>
        <w:tc>
          <w:tcPr>
            <w:tcW w:w="100" w:type="dxa"/>
            <w:vAlign w:val="bottom"/>
          </w:tcPr>
          <w:p>
            <w:pPr>
              <w:spacing w:after="0"/>
              <w:rPr>
                <w:sz w:val="22"/>
                <w:szCs w:val="22"/>
                <w:color w:val="auto"/>
              </w:rPr>
            </w:pPr>
          </w:p>
        </w:tc>
        <w:tc>
          <w:tcPr>
            <w:tcW w:w="1000" w:type="dxa"/>
            <w:vAlign w:val="bottom"/>
          </w:tcPr>
          <w:p>
            <w:pPr>
              <w:jc w:val="right"/>
              <w:ind w:right="779"/>
              <w:spacing w:after="0"/>
              <w:rPr>
                <w:sz w:val="20"/>
                <w:szCs w:val="20"/>
                <w:color w:val="auto"/>
              </w:rPr>
            </w:pPr>
            <w:r>
              <w:rPr>
                <w:rFonts w:ascii="Verdana" w:cs="Verdana" w:eastAsia="Verdana" w:hAnsi="Verdana"/>
                <w:sz w:val="18"/>
                <w:szCs w:val="18"/>
                <w:color w:val="auto"/>
              </w:rPr>
              <w:t>$</w:t>
            </w:r>
          </w:p>
        </w:tc>
        <w:tc>
          <w:tcPr>
            <w:tcW w:w="620" w:type="dxa"/>
            <w:vAlign w:val="bottom"/>
          </w:tcPr>
          <w:p>
            <w:pPr>
              <w:jc w:val="right"/>
              <w:ind w:right="10"/>
              <w:spacing w:after="0"/>
              <w:rPr>
                <w:sz w:val="20"/>
                <w:szCs w:val="20"/>
                <w:color w:val="auto"/>
              </w:rPr>
            </w:pPr>
            <w:r>
              <w:rPr>
                <w:rFonts w:ascii="Verdana" w:cs="Verdana" w:eastAsia="Verdana" w:hAnsi="Verdana"/>
                <w:sz w:val="18"/>
                <w:szCs w:val="18"/>
                <w:color w:val="auto"/>
                <w:w w:val="95"/>
              </w:rPr>
              <w:t>1,220</w:t>
            </w:r>
          </w:p>
        </w:tc>
      </w:tr>
      <w:tr>
        <w:trPr>
          <w:trHeight w:val="270"/>
        </w:trPr>
        <w:tc>
          <w:tcPr>
            <w:tcW w:w="7900" w:type="dxa"/>
            <w:vAlign w:val="bottom"/>
            <w:shd w:val="clear" w:color="auto" w:fill="E0E7ED"/>
          </w:tcPr>
          <w:p>
            <w:pPr>
              <w:jc w:val="center"/>
              <w:ind w:right="4290"/>
              <w:spacing w:after="0"/>
              <w:rPr>
                <w:sz w:val="20"/>
                <w:szCs w:val="20"/>
                <w:color w:val="auto"/>
              </w:rPr>
            </w:pPr>
            <w:r>
              <w:rPr>
                <w:rFonts w:ascii="Verdana" w:cs="Verdana" w:eastAsia="Verdana" w:hAnsi="Verdana"/>
                <w:sz w:val="18"/>
                <w:szCs w:val="18"/>
                <w:color w:val="auto"/>
              </w:rPr>
              <w:t>Subordinated notes issued in 2022</w:t>
            </w:r>
          </w:p>
        </w:tc>
        <w:tc>
          <w:tcPr>
            <w:tcW w:w="1000" w:type="dxa"/>
            <w:vAlign w:val="bottom"/>
            <w:tcBorders>
              <w:bottom w:val="single" w:sz="8" w:color="auto"/>
            </w:tcBorders>
            <w:shd w:val="clear" w:color="auto" w:fill="E0E7ED"/>
          </w:tcPr>
          <w:p>
            <w:pPr>
              <w:spacing w:after="0"/>
              <w:rPr>
                <w:sz w:val="23"/>
                <w:szCs w:val="23"/>
                <w:color w:val="auto"/>
              </w:rPr>
            </w:pPr>
          </w:p>
        </w:tc>
        <w:tc>
          <w:tcPr>
            <w:tcW w:w="6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99"/>
              </w:rPr>
              <w:t>1,383</w:t>
            </w:r>
          </w:p>
        </w:tc>
        <w:tc>
          <w:tcPr>
            <w:tcW w:w="100" w:type="dxa"/>
            <w:vAlign w:val="bottom"/>
            <w:shd w:val="clear" w:color="auto" w:fill="E0E7ED"/>
          </w:tcPr>
          <w:p>
            <w:pPr>
              <w:spacing w:after="0"/>
              <w:rPr>
                <w:sz w:val="23"/>
                <w:szCs w:val="23"/>
                <w:color w:val="auto"/>
              </w:rPr>
            </w:pPr>
          </w:p>
        </w:tc>
        <w:tc>
          <w:tcPr>
            <w:tcW w:w="1000" w:type="dxa"/>
            <w:vAlign w:val="bottom"/>
            <w:tcBorders>
              <w:bottom w:val="single" w:sz="8" w:color="auto"/>
            </w:tcBorders>
            <w:shd w:val="clear" w:color="auto" w:fill="E0E7ED"/>
          </w:tcPr>
          <w:p>
            <w:pPr>
              <w:spacing w:after="0"/>
              <w:rPr>
                <w:sz w:val="23"/>
                <w:szCs w:val="23"/>
                <w:color w:val="auto"/>
              </w:rPr>
            </w:pPr>
          </w:p>
        </w:tc>
        <w:tc>
          <w:tcPr>
            <w:tcW w:w="6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95"/>
              </w:rPr>
              <w:t>1,742</w:t>
            </w:r>
          </w:p>
        </w:tc>
      </w:tr>
      <w:tr>
        <w:trPr>
          <w:trHeight w:val="270"/>
        </w:trPr>
        <w:tc>
          <w:tcPr>
            <w:tcW w:w="7900" w:type="dxa"/>
            <w:vAlign w:val="bottom"/>
          </w:tcPr>
          <w:p>
            <w:pPr>
              <w:jc w:val="center"/>
              <w:ind w:right="4310"/>
              <w:spacing w:after="0"/>
              <w:rPr>
                <w:sz w:val="20"/>
                <w:szCs w:val="20"/>
                <w:color w:val="auto"/>
              </w:rPr>
            </w:pPr>
            <w:r>
              <w:rPr>
                <w:rFonts w:ascii="Verdana" w:cs="Verdana" w:eastAsia="Verdana" w:hAnsi="Verdana"/>
                <w:sz w:val="18"/>
                <w:szCs w:val="18"/>
                <w:color w:val="auto"/>
                <w:w w:val="99"/>
              </w:rPr>
              <w:t>Total unamortized debt issuance costs</w:t>
            </w:r>
          </w:p>
        </w:tc>
        <w:tc>
          <w:tcPr>
            <w:tcW w:w="1000" w:type="dxa"/>
            <w:vAlign w:val="bottom"/>
            <w:tcBorders>
              <w:bottom w:val="single" w:sz="8" w:color="auto"/>
            </w:tcBorders>
          </w:tcPr>
          <w:p>
            <w:pPr>
              <w:jc w:val="right"/>
              <w:ind w:right="784"/>
              <w:spacing w:after="0"/>
              <w:rPr>
                <w:sz w:val="20"/>
                <w:szCs w:val="20"/>
                <w:color w:val="auto"/>
              </w:rPr>
            </w:pPr>
            <w:r>
              <w:rPr>
                <w:rFonts w:ascii="Verdana" w:cs="Verdana" w:eastAsia="Verdana" w:hAnsi="Verdana"/>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9"/>
              </w:rPr>
              <w:t>2,118</w:t>
            </w: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ind w:right="779"/>
              <w:spacing w:after="0"/>
              <w:rPr>
                <w:sz w:val="20"/>
                <w:szCs w:val="20"/>
                <w:color w:val="auto"/>
              </w:rPr>
            </w:pPr>
            <w:r>
              <w:rPr>
                <w:rFonts w:ascii="Verdana" w:cs="Verdana" w:eastAsia="Verdana" w:hAnsi="Verdana"/>
                <w:sz w:val="18"/>
                <w:szCs w:val="18"/>
                <w:color w:val="auto"/>
              </w:rPr>
              <w:t>$</w:t>
            </w:r>
          </w:p>
        </w:tc>
        <w:tc>
          <w:tcPr>
            <w:tcW w:w="6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w w:val="95"/>
              </w:rPr>
              <w:t>2,962</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Junior Subordinated Debt Owed to Unconsolidated Trusts</w:t>
      </w:r>
    </w:p>
    <w:p>
      <w:pPr>
        <w:spacing w:after="0" w:line="18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Busey maintains statutory trusts for the sole purpose of issuing and servicing trust preferred securities and related trust common securities. Proceeds from such issuances were used by the trusts to purchase junior subordinated notes of Busey, which are the sole assets of each trust. Concurrent with the issuance of the trust preferred securities, we issued guarantees for the benefit of the holders of the trust preferred securities. The trust preferred securities are instruments that qualify, and are treated, as Tier 1 regulatory capital. Busey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we acquired similar statutory trusts previously maintained by Pulaski and the fair value adjustment is being accreted over their weighted average remaining life, with a balance remaining to be accreted of $2.6 million at December 31, 2023. We had $72.0 million and $71.8 million of junior subordinated debt owed to unconsolidated trusts at December 31, 2023, and 2022, respectively.</w:t>
      </w:r>
    </w:p>
    <w:p>
      <w:pPr>
        <w:spacing w:after="0" w:line="16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Liquidity</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w:t>
      </w:r>
    </w:p>
    <w:p>
      <w:pPr>
        <w:spacing w:after="0" w:line="22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5" w:name="page86"/>
    <w:bookmarkEnd w:id="8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Average liquid assets are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20"/>
              <w:spacing w:after="0"/>
              <w:rPr>
                <w:sz w:val="20"/>
                <w:szCs w:val="20"/>
                <w:color w:val="auto"/>
              </w:rPr>
            </w:pPr>
            <w:r>
              <w:rPr>
                <w:rFonts w:ascii="Verdana" w:cs="Verdana" w:eastAsia="Verdana" w:hAnsi="Verdana"/>
                <w:sz w:val="13"/>
                <w:szCs w:val="13"/>
                <w:b w:val="1"/>
                <w:bCs w:val="1"/>
                <w:color w:val="auto"/>
                <w:w w:val="96"/>
              </w:rPr>
              <w:t>Years Ended December 31,</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70"/>
        </w:trPr>
        <w:tc>
          <w:tcPr>
            <w:tcW w:w="578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5"/>
              <w:spacing w:after="0"/>
              <w:rPr>
                <w:sz w:val="20"/>
                <w:szCs w:val="20"/>
                <w:color w:val="auto"/>
              </w:rPr>
            </w:pPr>
            <w:r>
              <w:rPr>
                <w:rFonts w:ascii="Verdana" w:cs="Verdana" w:eastAsia="Verdana" w:hAnsi="Verdana"/>
                <w:sz w:val="13"/>
                <w:szCs w:val="13"/>
                <w:b w:val="1"/>
                <w:bCs w:val="1"/>
                <w:color w:val="auto"/>
              </w:rPr>
              <w:t>2022</w:t>
            </w:r>
          </w:p>
        </w:tc>
        <w:tc>
          <w:tcPr>
            <w:tcW w:w="8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5"/>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57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Average liquid assets</w:t>
            </w:r>
          </w:p>
        </w:tc>
        <w:tc>
          <w:tcPr>
            <w:tcW w:w="42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r>
      <w:tr>
        <w:trPr>
          <w:trHeight w:val="263"/>
        </w:trPr>
        <w:tc>
          <w:tcPr>
            <w:tcW w:w="5780" w:type="dxa"/>
            <w:vAlign w:val="bottom"/>
          </w:tcPr>
          <w:p>
            <w:pPr>
              <w:ind w:left="180"/>
              <w:spacing w:after="0"/>
              <w:rPr>
                <w:sz w:val="20"/>
                <w:szCs w:val="20"/>
                <w:color w:val="auto"/>
              </w:rPr>
            </w:pPr>
            <w:r>
              <w:rPr>
                <w:rFonts w:ascii="Verdana" w:cs="Verdana" w:eastAsia="Verdana" w:hAnsi="Verdana"/>
                <w:sz w:val="18"/>
                <w:szCs w:val="18"/>
                <w:color w:val="auto"/>
              </w:rPr>
              <w:t>Cash and due from banks</w:t>
            </w: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116,530</w:t>
            </w:r>
          </w:p>
        </w:tc>
        <w:tc>
          <w:tcPr>
            <w:tcW w:w="520" w:type="dxa"/>
            <w:vAlign w:val="bottom"/>
            <w:gridSpan w:val="2"/>
          </w:tcPr>
          <w:p>
            <w:pPr>
              <w:jc w:val="right"/>
              <w:ind w:right="30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120,910</w:t>
            </w:r>
          </w:p>
        </w:tc>
        <w:tc>
          <w:tcPr>
            <w:tcW w:w="8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133,711</w:t>
            </w:r>
          </w:p>
        </w:tc>
      </w:tr>
      <w:tr>
        <w:trPr>
          <w:trHeight w:val="270"/>
        </w:trPr>
        <w:tc>
          <w:tcPr>
            <w:tcW w:w="5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Interest-bearing bank deposits</w:t>
            </w:r>
          </w:p>
        </w:tc>
        <w:tc>
          <w:tcPr>
            <w:tcW w:w="42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214,422</w:t>
            </w:r>
          </w:p>
        </w:tc>
        <w:tc>
          <w:tcPr>
            <w:tcW w:w="100" w:type="dxa"/>
            <w:vAlign w:val="bottom"/>
            <w:shd w:val="clear" w:color="auto" w:fill="E0E7ED"/>
          </w:tcPr>
          <w:p>
            <w:pPr>
              <w:spacing w:after="0"/>
              <w:rPr>
                <w:sz w:val="23"/>
                <w:szCs w:val="23"/>
                <w:color w:val="auto"/>
              </w:rPr>
            </w:pPr>
          </w:p>
        </w:tc>
        <w:tc>
          <w:tcPr>
            <w:tcW w:w="42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290,875</w:t>
            </w:r>
          </w:p>
        </w:tc>
        <w:tc>
          <w:tcPr>
            <w:tcW w:w="80" w:type="dxa"/>
            <w:vAlign w:val="bottom"/>
            <w:shd w:val="clear" w:color="auto" w:fill="E0E7ED"/>
          </w:tcPr>
          <w:p>
            <w:pPr>
              <w:spacing w:after="0"/>
              <w:rPr>
                <w:sz w:val="23"/>
                <w:szCs w:val="23"/>
                <w:color w:val="auto"/>
              </w:rPr>
            </w:pPr>
          </w:p>
        </w:tc>
        <w:tc>
          <w:tcPr>
            <w:tcW w:w="42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630,687</w:t>
            </w:r>
          </w:p>
        </w:tc>
      </w:tr>
      <w:tr>
        <w:trPr>
          <w:trHeight w:val="270"/>
        </w:trPr>
        <w:tc>
          <w:tcPr>
            <w:tcW w:w="5780" w:type="dxa"/>
            <w:vAlign w:val="bottom"/>
          </w:tcPr>
          <w:p>
            <w:pPr>
              <w:ind w:left="20"/>
              <w:spacing w:after="0"/>
              <w:rPr>
                <w:sz w:val="20"/>
                <w:szCs w:val="20"/>
                <w:color w:val="auto"/>
              </w:rPr>
            </w:pPr>
            <w:r>
              <w:rPr>
                <w:rFonts w:ascii="Verdana" w:cs="Verdana" w:eastAsia="Verdana" w:hAnsi="Verdana"/>
                <w:sz w:val="18"/>
                <w:szCs w:val="18"/>
                <w:color w:val="auto"/>
              </w:rPr>
              <w:t>Total average liquid assets</w:t>
            </w: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330,952</w:t>
            </w:r>
          </w:p>
        </w:tc>
        <w:tc>
          <w:tcPr>
            <w:tcW w:w="520" w:type="dxa"/>
            <w:vAlign w:val="bottom"/>
            <w:gridSpan w:val="2"/>
          </w:tcPr>
          <w:p>
            <w:pPr>
              <w:jc w:val="right"/>
              <w:ind w:right="30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411,785</w:t>
            </w:r>
          </w:p>
        </w:tc>
        <w:tc>
          <w:tcPr>
            <w:tcW w:w="8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764,398</w:t>
            </w:r>
          </w:p>
        </w:tc>
      </w:tr>
      <w:tr>
        <w:trPr>
          <w:trHeight w:val="20"/>
        </w:trPr>
        <w:tc>
          <w:tcPr>
            <w:tcW w:w="5780" w:type="dxa"/>
            <w:vAlign w:val="bottom"/>
            <w:tcBorders>
              <w:bottom w:val="single" w:sz="8" w:color="E0E7ED"/>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E0E7ED"/>
          </w:tcPr>
          <w:p>
            <w:pPr>
              <w:spacing w:after="0"/>
              <w:rPr>
                <w:sz w:val="20"/>
                <w:szCs w:val="20"/>
                <w:color w:val="auto"/>
              </w:rPr>
            </w:pPr>
          </w:p>
        </w:tc>
        <w:tc>
          <w:tcPr>
            <w:tcW w:w="42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42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42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r>
      <w:tr>
        <w:trPr>
          <w:trHeight w:val="257"/>
        </w:trPr>
        <w:tc>
          <w:tcPr>
            <w:tcW w:w="5780" w:type="dxa"/>
            <w:vAlign w:val="bottom"/>
          </w:tcPr>
          <w:p>
            <w:pPr>
              <w:ind w:left="20"/>
              <w:spacing w:after="0"/>
              <w:rPr>
                <w:sz w:val="20"/>
                <w:szCs w:val="20"/>
                <w:color w:val="auto"/>
              </w:rPr>
            </w:pPr>
            <w:r>
              <w:rPr>
                <w:rFonts w:ascii="Verdana" w:cs="Verdana" w:eastAsia="Verdana" w:hAnsi="Verdana"/>
                <w:sz w:val="18"/>
                <w:szCs w:val="18"/>
                <w:color w:val="auto"/>
              </w:rPr>
              <w:t>Average liquid assets as a percent of average total assets</w:t>
            </w: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2.7 %</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3.3 %</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6.4 %</w:t>
            </w:r>
          </w:p>
        </w:tc>
      </w:tr>
    </w:tbl>
    <w:p>
      <w:pPr>
        <w:spacing w:after="0" w:line="27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Cash and unencumbered securities on our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xml:space="preserve"> are summarized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5"/>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9"/>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Cash and unencumbered securities</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Total cash and cash equivalents</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719,581</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227,164</w:t>
            </w: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Debt securities available for sale</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2,087,571</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2,461,393</w:t>
            </w:r>
          </w:p>
        </w:tc>
      </w:tr>
      <w:tr>
        <w:trPr>
          <w:trHeight w:val="263"/>
        </w:trPr>
        <w:tc>
          <w:tcPr>
            <w:tcW w:w="7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Debt securities available for sale pledged as collateral</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(649,769)</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(746,675)</w:t>
            </w:r>
          </w:p>
        </w:tc>
      </w:tr>
      <w:tr>
        <w:trPr>
          <w:trHeight w:val="295"/>
        </w:trPr>
        <w:tc>
          <w:tcPr>
            <w:tcW w:w="79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Cash and unencumbered securities</w:t>
            </w: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2,157,383</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1,941,882</w:t>
            </w:r>
          </w:p>
        </w:tc>
      </w:tr>
      <w:tr>
        <w:trPr>
          <w:trHeight w:val="20"/>
        </w:trPr>
        <w:tc>
          <w:tcPr>
            <w:tcW w:w="79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primary sources of funds consist of deposits, investment maturities and sales, loan principal repayments, and capital funds. Additional liquidity is provided by the ability to borrow from the FHLB, the Federal Reserve Bank, and our revolving credit facility, as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5"/>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8"/>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Additional available borrowing capacity</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FHLB</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1,898,737</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1,765,388</w:t>
            </w: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Federal Reserve Bank</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598,878</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659,680</w:t>
            </w: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Federal funds purchased</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482,500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482,500</w:t>
            </w:r>
          </w:p>
        </w:tc>
      </w:tr>
      <w:tr>
        <w:trPr>
          <w:trHeight w:val="270"/>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Revolving credit facility</w:t>
            </w:r>
          </w:p>
        </w:tc>
        <w:tc>
          <w:tcPr>
            <w:tcW w:w="3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40,000</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40,000</w:t>
            </w:r>
          </w:p>
        </w:tc>
      </w:tr>
      <w:tr>
        <w:trPr>
          <w:trHeight w:val="270"/>
        </w:trPr>
        <w:tc>
          <w:tcPr>
            <w:tcW w:w="7900" w:type="dxa"/>
            <w:vAlign w:val="bottom"/>
          </w:tcPr>
          <w:p>
            <w:pPr>
              <w:ind w:left="20"/>
              <w:spacing w:after="0"/>
              <w:rPr>
                <w:sz w:val="20"/>
                <w:szCs w:val="20"/>
                <w:color w:val="auto"/>
              </w:rPr>
            </w:pPr>
            <w:r>
              <w:rPr>
                <w:rFonts w:ascii="Verdana" w:cs="Verdana" w:eastAsia="Verdana" w:hAnsi="Verdana"/>
                <w:sz w:val="18"/>
                <w:szCs w:val="18"/>
                <w:color w:val="auto"/>
              </w:rPr>
              <w:t>Additional borrowing capacity</w:t>
            </w: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3,020,115</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2,947,568</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color w:val="auto"/>
        </w:rPr>
        <w:t>Further, the company could utilize brokered deposits as additional sources of liquidity, as needed.</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As of December 31, 2023,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Our ability to pay cash dividends to our stockholders and to service our debt is dependent on the receipt of cash dividends from our subsidiaries. Busey Bank paid dividends to First Busey Corporation totaling $90.0 million and $95.0 million for the years ended December 31, 2023, and 2022, respectively.</w:t>
      </w:r>
    </w:p>
    <w:p>
      <w:pPr>
        <w:spacing w:after="0" w:line="22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6" w:name="page87"/>
    <w:bookmarkEnd w:id="8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Off-Balance-Sheet Arrangements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spacing w:after="0" w:line="154"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The following table summarizes our outstanding commitments and reserves for unfunded commitments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4"/>
          </w:tcPr>
          <w:p>
            <w:pPr>
              <w:jc w:val="right"/>
              <w:ind w:right="796"/>
              <w:spacing w:after="0"/>
              <w:rPr>
                <w:sz w:val="20"/>
                <w:szCs w:val="20"/>
                <w:color w:val="auto"/>
              </w:rPr>
            </w:pPr>
            <w:r>
              <w:rPr>
                <w:rFonts w:ascii="Verdana" w:cs="Verdana" w:eastAsia="Verdana" w:hAnsi="Verdana"/>
                <w:sz w:val="14"/>
                <w:szCs w:val="14"/>
                <w:b w:val="1"/>
                <w:bCs w:val="1"/>
                <w:color w:val="auto"/>
              </w:rPr>
              <w:t>As of December 31,</w:t>
            </w:r>
          </w:p>
        </w:tc>
      </w:tr>
      <w:tr>
        <w:trPr>
          <w:trHeight w:val="26"/>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7"/>
        </w:trPr>
        <w:tc>
          <w:tcPr>
            <w:tcW w:w="7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19"/>
              <w:spacing w:after="0"/>
              <w:rPr>
                <w:sz w:val="20"/>
                <w:szCs w:val="20"/>
                <w:color w:val="auto"/>
              </w:rPr>
            </w:pPr>
            <w:r>
              <w:rPr>
                <w:rFonts w:ascii="Verdana" w:cs="Verdana" w:eastAsia="Verdana" w:hAnsi="Verdana"/>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16"/>
              <w:spacing w:after="0"/>
              <w:rPr>
                <w:sz w:val="20"/>
                <w:szCs w:val="20"/>
                <w:color w:val="auto"/>
              </w:rPr>
            </w:pPr>
            <w:r>
              <w:rPr>
                <w:rFonts w:ascii="Verdana" w:cs="Verdana" w:eastAsia="Verdana" w:hAnsi="Verdana"/>
                <w:sz w:val="14"/>
                <w:szCs w:val="14"/>
                <w:b w:val="1"/>
                <w:bCs w:val="1"/>
                <w:color w:val="auto"/>
              </w:rPr>
              <w:t>2022</w:t>
            </w:r>
          </w:p>
        </w:tc>
      </w:tr>
      <w:tr>
        <w:trPr>
          <w:trHeight w:val="26"/>
        </w:trPr>
        <w:tc>
          <w:tcPr>
            <w:tcW w:w="7900" w:type="dxa"/>
            <w:vAlign w:val="bottom"/>
            <w:tcBorders>
              <w:bottom w:val="single" w:sz="8" w:color="E0E7ED"/>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Outstanding loan commitments and standby letters of credit</w:t>
            </w: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2,176,496</w:t>
            </w: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2,024,777</w:t>
            </w:r>
          </w:p>
        </w:tc>
      </w:tr>
      <w:tr>
        <w:trPr>
          <w:trHeight w:val="257"/>
        </w:trPr>
        <w:tc>
          <w:tcPr>
            <w:tcW w:w="7900" w:type="dxa"/>
            <w:vAlign w:val="bottom"/>
          </w:tcPr>
          <w:p>
            <w:pPr>
              <w:ind w:left="20"/>
              <w:spacing w:after="0"/>
              <w:rPr>
                <w:sz w:val="20"/>
                <w:szCs w:val="20"/>
                <w:color w:val="auto"/>
              </w:rPr>
            </w:pPr>
            <w:r>
              <w:rPr>
                <w:rFonts w:ascii="Verdana" w:cs="Verdana" w:eastAsia="Verdana" w:hAnsi="Verdana"/>
                <w:sz w:val="18"/>
                <w:szCs w:val="18"/>
                <w:color w:val="auto"/>
              </w:rPr>
              <w:t>Reserve for unfunded commitments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7,062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6,601</w:t>
            </w:r>
          </w:p>
        </w:tc>
      </w:tr>
    </w:tbl>
    <w:p>
      <w:pPr>
        <w:spacing w:after="0" w:line="278"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The following table summarizes our provision for unfunded commitments expenses (releases)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right="23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106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2021</w:t>
            </w:r>
          </w:p>
        </w:tc>
      </w:tr>
      <w:tr>
        <w:trPr>
          <w:trHeight w:val="269"/>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Provision for unfunded commitments expense (release)</w:t>
            </w:r>
          </w:p>
        </w:tc>
        <w:tc>
          <w:tcPr>
            <w:tcW w:w="1060" w:type="dxa"/>
            <w:vAlign w:val="bottom"/>
            <w:shd w:val="clear" w:color="auto" w:fill="E0E7ED"/>
          </w:tcPr>
          <w:p>
            <w:pPr>
              <w:jc w:val="right"/>
              <w:ind w:right="864"/>
              <w:spacing w:after="0"/>
              <w:rPr>
                <w:sz w:val="20"/>
                <w:szCs w:val="20"/>
                <w:color w:val="auto"/>
              </w:rPr>
            </w:pPr>
            <w:r>
              <w:rPr>
                <w:rFonts w:ascii="Verdana" w:cs="Verdana" w:eastAsia="Verdana" w:hAnsi="Verdana"/>
                <w:sz w:val="18"/>
                <w:szCs w:val="18"/>
                <w:color w:val="auto"/>
                <w:w w:val="86"/>
              </w:rPr>
              <w:t>$</w:t>
            </w:r>
          </w:p>
        </w:tc>
        <w:tc>
          <w:tcPr>
            <w:tcW w:w="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461</w:t>
            </w:r>
          </w:p>
        </w:tc>
        <w:tc>
          <w:tcPr>
            <w:tcW w:w="560" w:type="dxa"/>
            <w:vAlign w:val="bottom"/>
            <w:gridSpan w:val="3"/>
            <w:shd w:val="clear" w:color="auto" w:fill="E0E7ED"/>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61</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(774)</w:t>
            </w: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We anticipate we will have sufficient funds available to meet current loan commitments, including loan applications received and in process prior to the issuance of firm commitments.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Contractual Obligations</w:t>
      </w:r>
    </w:p>
    <w:p>
      <w:pPr>
        <w:spacing w:after="0" w:line="18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We have entered into certain contractual obligations and other commitments that generally relate to funding of operations through deposits, debt issuance, and property and equipment leases.</w:t>
      </w:r>
    </w:p>
    <w:p>
      <w:pPr>
        <w:spacing w:after="0" w:line="14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 summarizes significant contractual obligations and other commitments, excluding short-term borrowings and the current portion of long-term debt, as of December 31, 2023,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6"/>
              </w:rPr>
              <w:t>Junior</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5"/>
              </w:rPr>
              <w:t>Subordinated</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3"/>
            <w:vMerge w:val="restart"/>
          </w:tcPr>
          <w:p>
            <w:pPr>
              <w:ind w:left="40"/>
              <w:spacing w:after="0"/>
              <w:rPr>
                <w:sz w:val="20"/>
                <w:szCs w:val="20"/>
                <w:color w:val="auto"/>
              </w:rPr>
            </w:pPr>
            <w:r>
              <w:rPr>
                <w:rFonts w:ascii="Verdana" w:cs="Verdana" w:eastAsia="Verdana" w:hAnsi="Verdana"/>
                <w:sz w:val="13"/>
                <w:szCs w:val="13"/>
                <w:b w:val="1"/>
                <w:bCs w:val="1"/>
                <w:color w:val="auto"/>
              </w:rPr>
              <w:t>Subordinated Notes,</w:t>
            </w: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gridSpan w:val="2"/>
          </w:tcPr>
          <w:p>
            <w:pPr>
              <w:jc w:val="center"/>
              <w:ind w:right="260"/>
              <w:spacing w:after="0" w:line="108" w:lineRule="exact"/>
              <w:rPr>
                <w:sz w:val="20"/>
                <w:szCs w:val="20"/>
                <w:color w:val="auto"/>
              </w:rPr>
            </w:pPr>
            <w:r>
              <w:rPr>
                <w:rFonts w:ascii="Verdana" w:cs="Verdana" w:eastAsia="Verdana" w:hAnsi="Verdana"/>
                <w:sz w:val="10"/>
                <w:szCs w:val="10"/>
                <w:b w:val="1"/>
                <w:bCs w:val="1"/>
                <w:color w:val="auto"/>
              </w:rPr>
              <w:t>Debt Owed to</w:t>
            </w: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Verdana" w:cs="Verdana" w:eastAsia="Verdana" w:hAnsi="Verdana"/>
                <w:sz w:val="13"/>
                <w:szCs w:val="13"/>
                <w:b w:val="1"/>
                <w:bCs w:val="1"/>
                <w:color w:val="auto"/>
                <w:w w:val="95"/>
              </w:rPr>
              <w:t>Certificates of</w:t>
            </w:r>
          </w:p>
        </w:tc>
        <w:tc>
          <w:tcPr>
            <w:tcW w:w="26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Verdana" w:cs="Verdana" w:eastAsia="Verdana" w:hAnsi="Verdana"/>
                <w:sz w:val="13"/>
                <w:szCs w:val="13"/>
                <w:b w:val="1"/>
                <w:bCs w:val="1"/>
                <w:color w:val="auto"/>
                <w:w w:val="98"/>
              </w:rPr>
              <w:t>Operating</w:t>
            </w:r>
          </w:p>
        </w:tc>
        <w:tc>
          <w:tcPr>
            <w:tcW w:w="18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Verdana" w:cs="Verdana" w:eastAsia="Verdana" w:hAnsi="Verdana"/>
                <w:sz w:val="13"/>
                <w:szCs w:val="13"/>
                <w:b w:val="1"/>
                <w:bCs w:val="1"/>
                <w:color w:val="auto"/>
                <w:w w:val="97"/>
              </w:rPr>
              <w:t>Unconsolidated</w:t>
            </w:r>
          </w:p>
        </w:tc>
        <w:tc>
          <w:tcPr>
            <w:tcW w:w="26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Verdana" w:cs="Verdana" w:eastAsia="Verdana" w:hAnsi="Verdana"/>
                <w:sz w:val="13"/>
                <w:szCs w:val="13"/>
                <w:b w:val="1"/>
                <w:bCs w:val="1"/>
                <w:color w:val="auto"/>
                <w:w w:val="96"/>
              </w:rPr>
              <w:t>Long-term</w:t>
            </w:r>
          </w:p>
        </w:tc>
        <w:tc>
          <w:tcPr>
            <w:tcW w:w="1620" w:type="dxa"/>
            <w:vAlign w:val="bottom"/>
            <w:gridSpan w:val="3"/>
          </w:tcPr>
          <w:p>
            <w:pPr>
              <w:jc w:val="center"/>
              <w:ind w:right="80"/>
              <w:spacing w:after="0" w:line="135" w:lineRule="exact"/>
              <w:rPr>
                <w:sz w:val="20"/>
                <w:szCs w:val="20"/>
                <w:color w:val="auto"/>
              </w:rPr>
            </w:pPr>
            <w:r>
              <w:rPr>
                <w:rFonts w:ascii="Verdana" w:cs="Verdana" w:eastAsia="Verdana" w:hAnsi="Verdana"/>
                <w:sz w:val="13"/>
                <w:szCs w:val="13"/>
                <w:b w:val="1"/>
                <w:bCs w:val="1"/>
                <w:color w:val="auto"/>
                <w:w w:val="96"/>
              </w:rPr>
              <w:t>Net of Unamortized</w:t>
            </w:r>
          </w:p>
        </w:tc>
        <w:tc>
          <w:tcPr>
            <w:tcW w:w="320" w:type="dxa"/>
            <w:vAlign w:val="bottom"/>
          </w:tcPr>
          <w:p>
            <w:pPr>
              <w:spacing w:after="0"/>
              <w:rPr>
                <w:sz w:val="11"/>
                <w:szCs w:val="11"/>
                <w:color w:val="auto"/>
              </w:rPr>
            </w:pPr>
          </w:p>
        </w:tc>
        <w:tc>
          <w:tcPr>
            <w:tcW w:w="1200" w:type="dxa"/>
            <w:vAlign w:val="bottom"/>
            <w:vMerge w:val="restart"/>
          </w:tcPr>
          <w:p>
            <w:pPr>
              <w:jc w:val="right"/>
              <w:ind w:right="49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7"/>
              </w:rPr>
              <w:t>Deposit</w:t>
            </w: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6"/>
              </w:rPr>
              <w:t>Leases</w:t>
            </w:r>
          </w:p>
        </w:tc>
        <w:tc>
          <w:tcPr>
            <w:tcW w:w="18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9"/>
              </w:rPr>
              <w:t>Trusts</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8"/>
              </w:rPr>
              <w:t>Debt</w:t>
            </w:r>
          </w:p>
        </w:tc>
        <w:tc>
          <w:tcPr>
            <w:tcW w:w="18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6"/>
              </w:rPr>
              <w:t>Issuance Costs</w:t>
            </w:r>
          </w:p>
        </w:tc>
        <w:tc>
          <w:tcPr>
            <w:tcW w:w="3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740" w:type="dxa"/>
            <w:vAlign w:val="bottom"/>
            <w:tcBorders>
              <w:top w:val="single" w:sz="8" w:color="E0E7ED"/>
            </w:tcBorders>
            <w:shd w:val="clear" w:color="auto" w:fill="E0E7ED"/>
          </w:tcPr>
          <w:p>
            <w:pPr>
              <w:ind w:left="20"/>
              <w:spacing w:after="0" w:line="217" w:lineRule="exact"/>
              <w:rPr>
                <w:sz w:val="20"/>
                <w:szCs w:val="20"/>
                <w:color w:val="auto"/>
              </w:rPr>
            </w:pPr>
            <w:r>
              <w:rPr>
                <w:rFonts w:ascii="Verdana" w:cs="Verdana" w:eastAsia="Verdana" w:hAnsi="Verdana"/>
                <w:sz w:val="18"/>
                <w:szCs w:val="18"/>
                <w:b w:val="1"/>
                <w:bCs w:val="1"/>
                <w:color w:val="auto"/>
              </w:rPr>
              <w:t>Contractual</w:t>
            </w:r>
          </w:p>
        </w:tc>
        <w:tc>
          <w:tcPr>
            <w:tcW w:w="200" w:type="dxa"/>
            <w:vAlign w:val="bottom"/>
            <w:tcBorders>
              <w:top w:val="single" w:sz="8" w:color="auto"/>
            </w:tcBorders>
            <w:shd w:val="clear" w:color="auto" w:fill="E0E7ED"/>
          </w:tcPr>
          <w:p>
            <w:pPr>
              <w:spacing w:after="0"/>
              <w:rPr>
                <w:sz w:val="18"/>
                <w:szCs w:val="18"/>
                <w:color w:val="auto"/>
              </w:rPr>
            </w:pPr>
          </w:p>
        </w:tc>
        <w:tc>
          <w:tcPr>
            <w:tcW w:w="1300" w:type="dxa"/>
            <w:vAlign w:val="bottom"/>
            <w:tcBorders>
              <w:top w:val="single" w:sz="8" w:color="auto"/>
            </w:tcBorders>
            <w:shd w:val="clear" w:color="auto" w:fill="E0E7ED"/>
          </w:tcPr>
          <w:p>
            <w:pPr>
              <w:spacing w:after="0"/>
              <w:rPr>
                <w:sz w:val="18"/>
                <w:szCs w:val="18"/>
                <w:color w:val="auto"/>
              </w:rPr>
            </w:pPr>
          </w:p>
        </w:tc>
        <w:tc>
          <w:tcPr>
            <w:tcW w:w="100" w:type="dxa"/>
            <w:vAlign w:val="bottom"/>
            <w:tcBorders>
              <w:top w:val="single" w:sz="8" w:color="E0E7ED"/>
            </w:tcBorders>
            <w:shd w:val="clear" w:color="auto" w:fill="E0E7ED"/>
          </w:tcPr>
          <w:p>
            <w:pPr>
              <w:spacing w:after="0"/>
              <w:rPr>
                <w:sz w:val="18"/>
                <w:szCs w:val="18"/>
                <w:color w:val="auto"/>
              </w:rPr>
            </w:pPr>
          </w:p>
        </w:tc>
        <w:tc>
          <w:tcPr>
            <w:tcW w:w="260" w:type="dxa"/>
            <w:vAlign w:val="bottom"/>
            <w:tcBorders>
              <w:top w:val="single" w:sz="8" w:color="auto"/>
            </w:tcBorders>
            <w:shd w:val="clear" w:color="auto" w:fill="E0E7ED"/>
          </w:tcPr>
          <w:p>
            <w:pPr>
              <w:spacing w:after="0"/>
              <w:rPr>
                <w:sz w:val="18"/>
                <w:szCs w:val="18"/>
                <w:color w:val="auto"/>
              </w:rPr>
            </w:pPr>
          </w:p>
        </w:tc>
        <w:tc>
          <w:tcPr>
            <w:tcW w:w="1220" w:type="dxa"/>
            <w:vAlign w:val="bottom"/>
            <w:tcBorders>
              <w:top w:val="single" w:sz="8" w:color="auto"/>
            </w:tcBorders>
            <w:shd w:val="clear" w:color="auto" w:fill="E0E7ED"/>
          </w:tcPr>
          <w:p>
            <w:pPr>
              <w:spacing w:after="0"/>
              <w:rPr>
                <w:sz w:val="18"/>
                <w:szCs w:val="18"/>
                <w:color w:val="auto"/>
              </w:rPr>
            </w:pPr>
          </w:p>
        </w:tc>
        <w:tc>
          <w:tcPr>
            <w:tcW w:w="80" w:type="dxa"/>
            <w:vAlign w:val="bottom"/>
            <w:tcBorders>
              <w:top w:val="single" w:sz="8" w:color="E0E7ED"/>
            </w:tcBorders>
            <w:shd w:val="clear" w:color="auto" w:fill="E0E7ED"/>
          </w:tcPr>
          <w:p>
            <w:pPr>
              <w:spacing w:after="0"/>
              <w:rPr>
                <w:sz w:val="18"/>
                <w:szCs w:val="18"/>
                <w:color w:val="auto"/>
              </w:rPr>
            </w:pPr>
          </w:p>
        </w:tc>
        <w:tc>
          <w:tcPr>
            <w:tcW w:w="180" w:type="dxa"/>
            <w:vAlign w:val="bottom"/>
            <w:tcBorders>
              <w:top w:val="single" w:sz="8" w:color="auto"/>
            </w:tcBorders>
            <w:shd w:val="clear" w:color="auto" w:fill="E0E7ED"/>
          </w:tcPr>
          <w:p>
            <w:pPr>
              <w:spacing w:after="0"/>
              <w:rPr>
                <w:sz w:val="18"/>
                <w:szCs w:val="18"/>
                <w:color w:val="auto"/>
              </w:rPr>
            </w:pPr>
          </w:p>
        </w:tc>
        <w:tc>
          <w:tcPr>
            <w:tcW w:w="1360" w:type="dxa"/>
            <w:vAlign w:val="bottom"/>
            <w:tcBorders>
              <w:top w:val="single" w:sz="8" w:color="auto"/>
            </w:tcBorders>
            <w:shd w:val="clear" w:color="auto" w:fill="E0E7ED"/>
          </w:tcPr>
          <w:p>
            <w:pPr>
              <w:spacing w:after="0"/>
              <w:rPr>
                <w:sz w:val="18"/>
                <w:szCs w:val="18"/>
                <w:color w:val="auto"/>
              </w:rPr>
            </w:pPr>
          </w:p>
        </w:tc>
        <w:tc>
          <w:tcPr>
            <w:tcW w:w="80" w:type="dxa"/>
            <w:vAlign w:val="bottom"/>
            <w:tcBorders>
              <w:top w:val="single" w:sz="8" w:color="E0E7ED"/>
            </w:tcBorders>
            <w:shd w:val="clear" w:color="auto" w:fill="E0E7ED"/>
          </w:tcPr>
          <w:p>
            <w:pPr>
              <w:spacing w:after="0"/>
              <w:rPr>
                <w:sz w:val="18"/>
                <w:szCs w:val="18"/>
                <w:color w:val="auto"/>
              </w:rPr>
            </w:pPr>
          </w:p>
        </w:tc>
        <w:tc>
          <w:tcPr>
            <w:tcW w:w="260" w:type="dxa"/>
            <w:vAlign w:val="bottom"/>
            <w:tcBorders>
              <w:top w:val="single" w:sz="8" w:color="auto"/>
            </w:tcBorders>
            <w:shd w:val="clear" w:color="auto" w:fill="E0E7ED"/>
          </w:tcPr>
          <w:p>
            <w:pPr>
              <w:spacing w:after="0"/>
              <w:rPr>
                <w:sz w:val="18"/>
                <w:szCs w:val="18"/>
                <w:color w:val="auto"/>
              </w:rPr>
            </w:pPr>
          </w:p>
        </w:tc>
        <w:tc>
          <w:tcPr>
            <w:tcW w:w="1240" w:type="dxa"/>
            <w:vAlign w:val="bottom"/>
            <w:tcBorders>
              <w:top w:val="single" w:sz="8" w:color="auto"/>
            </w:tcBorders>
            <w:shd w:val="clear" w:color="auto" w:fill="E0E7ED"/>
          </w:tcPr>
          <w:p>
            <w:pPr>
              <w:spacing w:after="0"/>
              <w:rPr>
                <w:sz w:val="18"/>
                <w:szCs w:val="18"/>
                <w:color w:val="auto"/>
              </w:rPr>
            </w:pPr>
          </w:p>
        </w:tc>
        <w:tc>
          <w:tcPr>
            <w:tcW w:w="80" w:type="dxa"/>
            <w:vAlign w:val="bottom"/>
            <w:tcBorders>
              <w:top w:val="single" w:sz="8" w:color="E0E7ED"/>
            </w:tcBorders>
            <w:shd w:val="clear" w:color="auto" w:fill="E0E7ED"/>
          </w:tcPr>
          <w:p>
            <w:pPr>
              <w:spacing w:after="0"/>
              <w:rPr>
                <w:sz w:val="18"/>
                <w:szCs w:val="18"/>
                <w:color w:val="auto"/>
              </w:rPr>
            </w:pPr>
          </w:p>
        </w:tc>
        <w:tc>
          <w:tcPr>
            <w:tcW w:w="180" w:type="dxa"/>
            <w:vAlign w:val="bottom"/>
            <w:tcBorders>
              <w:top w:val="single" w:sz="8" w:color="auto"/>
            </w:tcBorders>
            <w:shd w:val="clear" w:color="auto" w:fill="E0E7ED"/>
          </w:tcPr>
          <w:p>
            <w:pPr>
              <w:spacing w:after="0"/>
              <w:rPr>
                <w:sz w:val="18"/>
                <w:szCs w:val="18"/>
                <w:color w:val="auto"/>
              </w:rPr>
            </w:pPr>
          </w:p>
        </w:tc>
        <w:tc>
          <w:tcPr>
            <w:tcW w:w="1340" w:type="dxa"/>
            <w:vAlign w:val="bottom"/>
            <w:tcBorders>
              <w:top w:val="single" w:sz="8" w:color="auto"/>
            </w:tcBorders>
            <w:shd w:val="clear" w:color="auto" w:fill="E0E7ED"/>
          </w:tcPr>
          <w:p>
            <w:pPr>
              <w:spacing w:after="0"/>
              <w:rPr>
                <w:sz w:val="18"/>
                <w:szCs w:val="18"/>
                <w:color w:val="auto"/>
              </w:rPr>
            </w:pPr>
          </w:p>
        </w:tc>
        <w:tc>
          <w:tcPr>
            <w:tcW w:w="100" w:type="dxa"/>
            <w:vAlign w:val="bottom"/>
            <w:tcBorders>
              <w:top w:val="single" w:sz="8" w:color="E0E7ED"/>
            </w:tcBorders>
            <w:shd w:val="clear" w:color="auto" w:fill="E0E7ED"/>
          </w:tcPr>
          <w:p>
            <w:pPr>
              <w:spacing w:after="0"/>
              <w:rPr>
                <w:sz w:val="18"/>
                <w:szCs w:val="18"/>
                <w:color w:val="auto"/>
              </w:rPr>
            </w:pPr>
          </w:p>
        </w:tc>
        <w:tc>
          <w:tcPr>
            <w:tcW w:w="320" w:type="dxa"/>
            <w:vAlign w:val="bottom"/>
            <w:tcBorders>
              <w:top w:val="single" w:sz="8" w:color="auto"/>
            </w:tcBorders>
            <w:shd w:val="clear" w:color="auto" w:fill="E0E7ED"/>
          </w:tcPr>
          <w:p>
            <w:pPr>
              <w:spacing w:after="0"/>
              <w:rPr>
                <w:sz w:val="18"/>
                <w:szCs w:val="18"/>
                <w:color w:val="auto"/>
              </w:rPr>
            </w:pPr>
          </w:p>
        </w:tc>
        <w:tc>
          <w:tcPr>
            <w:tcW w:w="1200" w:type="dxa"/>
            <w:vAlign w:val="bottom"/>
            <w:tcBorders>
              <w:top w:val="single" w:sz="8" w:color="auto"/>
            </w:tcBorders>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b w:val="1"/>
                <w:bCs w:val="1"/>
                <w:color w:val="auto"/>
              </w:rPr>
              <w:t>obligations by</w:t>
            </w:r>
          </w:p>
        </w:tc>
        <w:tc>
          <w:tcPr>
            <w:tcW w:w="20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3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3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b w:val="1"/>
                <w:bCs w:val="1"/>
                <w:color w:val="auto"/>
              </w:rPr>
              <w:t>schedule of</w:t>
            </w:r>
          </w:p>
        </w:tc>
        <w:tc>
          <w:tcPr>
            <w:tcW w:w="20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3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3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maturities</w:t>
            </w:r>
          </w:p>
        </w:tc>
        <w:tc>
          <w:tcPr>
            <w:tcW w:w="20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3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740" w:type="dxa"/>
            <w:vAlign w:val="bottom"/>
          </w:tcPr>
          <w:p>
            <w:pPr>
              <w:ind w:left="180"/>
              <w:spacing w:after="0"/>
              <w:rPr>
                <w:sz w:val="20"/>
                <w:szCs w:val="20"/>
                <w:color w:val="auto"/>
              </w:rPr>
            </w:pPr>
            <w:r>
              <w:rPr>
                <w:rFonts w:ascii="Verdana" w:cs="Verdana" w:eastAsia="Verdana" w:hAnsi="Verdana"/>
                <w:sz w:val="18"/>
                <w:szCs w:val="18"/>
                <w:color w:val="auto"/>
              </w:rPr>
              <w:t>2024</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1,705,846</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6"/>
              <w:spacing w:after="0"/>
              <w:rPr>
                <w:sz w:val="20"/>
                <w:szCs w:val="20"/>
                <w:color w:val="auto"/>
              </w:rPr>
            </w:pPr>
            <w:r>
              <w:rPr>
                <w:rFonts w:ascii="Verdana" w:cs="Verdana" w:eastAsia="Verdana" w:hAnsi="Verdana"/>
                <w:sz w:val="18"/>
                <w:szCs w:val="18"/>
                <w:color w:val="auto"/>
              </w:rPr>
              <w:t>2,023</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80" w:type="dxa"/>
            <w:vAlign w:val="bottom"/>
          </w:tcPr>
          <w:p>
            <w:pPr>
              <w:ind w:left="20"/>
              <w:spacing w:after="0"/>
              <w:rPr>
                <w:sz w:val="20"/>
                <w:szCs w:val="20"/>
                <w:color w:val="auto"/>
              </w:rPr>
            </w:pPr>
            <w:r>
              <w:rPr>
                <w:rFonts w:ascii="Verdana" w:cs="Verdana" w:eastAsia="Verdana" w:hAnsi="Verdana"/>
                <w:sz w:val="18"/>
                <w:szCs w:val="18"/>
                <w:color w:val="auto"/>
              </w:rPr>
              <w:t>$</w:t>
            </w:r>
          </w:p>
        </w:tc>
        <w:tc>
          <w:tcPr>
            <w:tcW w:w="14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1,707,869</w:t>
            </w:r>
          </w:p>
        </w:tc>
        <w:tc>
          <w:tcPr>
            <w:tcW w:w="0" w:type="dxa"/>
            <w:vAlign w:val="bottom"/>
          </w:tcPr>
          <w:p>
            <w:pPr>
              <w:spacing w:after="0"/>
              <w:rPr>
                <w:sz w:val="1"/>
                <w:szCs w:val="1"/>
                <w:color w:val="auto"/>
              </w:rPr>
            </w:pPr>
          </w:p>
        </w:tc>
      </w:tr>
      <w:tr>
        <w:trPr>
          <w:trHeight w:val="277"/>
        </w:trPr>
        <w:tc>
          <w:tcPr>
            <w:tcW w:w="17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68,738</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1,768</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12,000</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82,506</w:t>
            </w:r>
          </w:p>
        </w:tc>
        <w:tc>
          <w:tcPr>
            <w:tcW w:w="0" w:type="dxa"/>
            <w:vAlign w:val="bottom"/>
          </w:tcPr>
          <w:p>
            <w:pPr>
              <w:spacing w:after="0"/>
              <w:rPr>
                <w:sz w:val="1"/>
                <w:szCs w:val="1"/>
                <w:color w:val="auto"/>
              </w:rPr>
            </w:pPr>
          </w:p>
        </w:tc>
      </w:tr>
      <w:tr>
        <w:trPr>
          <w:trHeight w:val="263"/>
        </w:trPr>
        <w:tc>
          <w:tcPr>
            <w:tcW w:w="174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21,222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Verdana" w:cs="Verdana" w:eastAsia="Verdana" w:hAnsi="Verdana"/>
                <w:sz w:val="18"/>
                <w:szCs w:val="18"/>
                <w:color w:val="auto"/>
              </w:rPr>
              <w:t>1,443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Verdana" w:cs="Verdana" w:eastAsia="Verdana" w:hAnsi="Verdana"/>
                <w:sz w:val="18"/>
                <w:szCs w:val="18"/>
                <w:color w:val="auto"/>
              </w:rPr>
              <w:t>6,000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28,665</w:t>
            </w:r>
          </w:p>
        </w:tc>
        <w:tc>
          <w:tcPr>
            <w:tcW w:w="0" w:type="dxa"/>
            <w:vAlign w:val="bottom"/>
          </w:tcPr>
          <w:p>
            <w:pPr>
              <w:spacing w:after="0"/>
              <w:rPr>
                <w:sz w:val="1"/>
                <w:szCs w:val="1"/>
                <w:color w:val="auto"/>
              </w:rPr>
            </w:pPr>
          </w:p>
        </w:tc>
      </w:tr>
      <w:tr>
        <w:trPr>
          <w:trHeight w:val="277"/>
        </w:trPr>
        <w:tc>
          <w:tcPr>
            <w:tcW w:w="17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12,470</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1,277</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3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80" w:type="dxa"/>
            <w:vAlign w:val="bottom"/>
            <w:shd w:val="clear" w:color="auto" w:fill="E0E7ED"/>
          </w:tcPr>
          <w:p>
            <w:pPr>
              <w:spacing w:after="0"/>
              <w:rPr>
                <w:sz w:val="24"/>
                <w:szCs w:val="24"/>
                <w:color w:val="auto"/>
              </w:rPr>
            </w:pPr>
          </w:p>
        </w:tc>
        <w:tc>
          <w:tcPr>
            <w:tcW w:w="14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13,747</w:t>
            </w:r>
          </w:p>
        </w:tc>
        <w:tc>
          <w:tcPr>
            <w:tcW w:w="0" w:type="dxa"/>
            <w:vAlign w:val="bottom"/>
          </w:tcPr>
          <w:p>
            <w:pPr>
              <w:spacing w:after="0"/>
              <w:rPr>
                <w:sz w:val="1"/>
                <w:szCs w:val="1"/>
                <w:color w:val="auto"/>
              </w:rPr>
            </w:pPr>
          </w:p>
        </w:tc>
      </w:tr>
      <w:tr>
        <w:trPr>
          <w:trHeight w:val="263"/>
        </w:trPr>
        <w:tc>
          <w:tcPr>
            <w:tcW w:w="1740" w:type="dxa"/>
            <w:vAlign w:val="bottom"/>
          </w:tcPr>
          <w:p>
            <w:pPr>
              <w:ind w:left="180"/>
              <w:spacing w:after="0"/>
              <w:rPr>
                <w:sz w:val="20"/>
                <w:szCs w:val="20"/>
                <w:color w:val="auto"/>
              </w:rPr>
            </w:pPr>
            <w:r>
              <w:rPr>
                <w:rFonts w:ascii="Verdana" w:cs="Verdana" w:eastAsia="Verdana" w:hAnsi="Verdana"/>
                <w:sz w:val="18"/>
                <w:szCs w:val="18"/>
                <w:color w:val="auto"/>
              </w:rPr>
              <w:t>2028</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10,451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Verdana" w:cs="Verdana" w:eastAsia="Verdana" w:hAnsi="Verdana"/>
                <w:sz w:val="18"/>
                <w:szCs w:val="18"/>
                <w:color w:val="auto"/>
              </w:rPr>
              <w:t>1,255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8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11,706</w:t>
            </w:r>
          </w:p>
        </w:tc>
        <w:tc>
          <w:tcPr>
            <w:tcW w:w="0" w:type="dxa"/>
            <w:vAlign w:val="bottom"/>
          </w:tcPr>
          <w:p>
            <w:pPr>
              <w:spacing w:after="0"/>
              <w:rPr>
                <w:sz w:val="1"/>
                <w:szCs w:val="1"/>
                <w:color w:val="auto"/>
              </w:rPr>
            </w:pPr>
          </w:p>
        </w:tc>
      </w:tr>
      <w:tr>
        <w:trPr>
          <w:trHeight w:val="277"/>
        </w:trPr>
        <w:tc>
          <w:tcPr>
            <w:tcW w:w="17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Thereafter</w:t>
            </w: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547</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5,478</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71,993</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3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222,882</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300,900</w:t>
            </w:r>
          </w:p>
        </w:tc>
        <w:tc>
          <w:tcPr>
            <w:tcW w:w="0" w:type="dxa"/>
            <w:vAlign w:val="bottom"/>
          </w:tcPr>
          <w:p>
            <w:pPr>
              <w:spacing w:after="0"/>
              <w:rPr>
                <w:sz w:val="1"/>
                <w:szCs w:val="1"/>
                <w:color w:val="auto"/>
              </w:rPr>
            </w:pPr>
          </w:p>
        </w:tc>
      </w:tr>
      <w:tr>
        <w:trPr>
          <w:trHeight w:val="218"/>
        </w:trPr>
        <w:tc>
          <w:tcPr>
            <w:tcW w:w="1740" w:type="dxa"/>
            <w:vAlign w:val="bottom"/>
          </w:tcPr>
          <w:p>
            <w:pPr>
              <w:ind w:left="20"/>
              <w:spacing w:after="0" w:line="217" w:lineRule="exact"/>
              <w:rPr>
                <w:sz w:val="20"/>
                <w:szCs w:val="20"/>
                <w:color w:val="auto"/>
              </w:rPr>
            </w:pPr>
            <w:r>
              <w:rPr>
                <w:rFonts w:ascii="Verdana" w:cs="Verdana" w:eastAsia="Verdana" w:hAnsi="Verdana"/>
                <w:sz w:val="18"/>
                <w:szCs w:val="18"/>
                <w:color w:val="auto"/>
              </w:rPr>
              <w:t>Contractual</w:t>
            </w:r>
          </w:p>
        </w:tc>
        <w:tc>
          <w:tcPr>
            <w:tcW w:w="20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30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1,819,274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tcBorders>
              <w:top w:val="single" w:sz="8" w:color="auto"/>
            </w:tcBorders>
            <w:vMerge w:val="restart"/>
          </w:tcPr>
          <w:p>
            <w:pPr>
              <w:jc w:val="right"/>
              <w:ind w:right="16"/>
              <w:spacing w:after="0"/>
              <w:rPr>
                <w:sz w:val="20"/>
                <w:szCs w:val="20"/>
                <w:color w:val="auto"/>
              </w:rPr>
            </w:pPr>
            <w:r>
              <w:rPr>
                <w:rFonts w:ascii="Verdana" w:cs="Verdana" w:eastAsia="Verdana" w:hAnsi="Verdana"/>
                <w:sz w:val="18"/>
                <w:szCs w:val="18"/>
                <w:color w:val="auto"/>
              </w:rPr>
              <w:t>13,244</w:t>
            </w:r>
          </w:p>
        </w:tc>
        <w:tc>
          <w:tcPr>
            <w:tcW w:w="8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w:t>
            </w:r>
          </w:p>
        </w:tc>
        <w:tc>
          <w:tcPr>
            <w:tcW w:w="1360" w:type="dxa"/>
            <w:vAlign w:val="bottom"/>
            <w:tcBorders>
              <w:top w:val="single" w:sz="8" w:color="auto"/>
            </w:tcBorders>
            <w:vMerge w:val="restart"/>
          </w:tcPr>
          <w:p>
            <w:pPr>
              <w:jc w:val="right"/>
              <w:ind w:right="22"/>
              <w:spacing w:after="0"/>
              <w:rPr>
                <w:sz w:val="20"/>
                <w:szCs w:val="20"/>
                <w:color w:val="auto"/>
              </w:rPr>
            </w:pPr>
            <w:r>
              <w:rPr>
                <w:rFonts w:ascii="Verdana" w:cs="Verdana" w:eastAsia="Verdana" w:hAnsi="Verdana"/>
                <w:sz w:val="18"/>
                <w:szCs w:val="18"/>
                <w:color w:val="auto"/>
              </w:rPr>
              <w:t>71,993</w:t>
            </w:r>
          </w:p>
        </w:tc>
        <w:tc>
          <w:tcPr>
            <w:tcW w:w="8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Borders>
              <w:top w:val="single" w:sz="8" w:color="auto"/>
            </w:tcBorders>
            <w:vMerge w:val="restart"/>
          </w:tcPr>
          <w:p>
            <w:pPr>
              <w:jc w:val="right"/>
              <w:ind w:right="15"/>
              <w:spacing w:after="0"/>
              <w:rPr>
                <w:sz w:val="20"/>
                <w:szCs w:val="20"/>
                <w:color w:val="auto"/>
              </w:rPr>
            </w:pPr>
            <w:r>
              <w:rPr>
                <w:rFonts w:ascii="Verdana" w:cs="Verdana" w:eastAsia="Verdana" w:hAnsi="Verdana"/>
                <w:sz w:val="18"/>
                <w:szCs w:val="18"/>
                <w:color w:val="auto"/>
              </w:rPr>
              <w:t>18,000</w:t>
            </w:r>
          </w:p>
        </w:tc>
        <w:tc>
          <w:tcPr>
            <w:tcW w:w="80" w:type="dxa"/>
            <w:vAlign w:val="bottom"/>
          </w:tcPr>
          <w:p>
            <w:pPr>
              <w:spacing w:after="0"/>
              <w:rPr>
                <w:sz w:val="18"/>
                <w:szCs w:val="18"/>
                <w:color w:val="auto"/>
              </w:rPr>
            </w:pPr>
          </w:p>
        </w:tc>
        <w:tc>
          <w:tcPr>
            <w:tcW w:w="180" w:type="dxa"/>
            <w:vAlign w:val="bottom"/>
            <w:tcBorders>
              <w:top w:val="single" w:sz="8" w:color="auto"/>
            </w:tcBorders>
            <w:vMerge w:val="restart"/>
          </w:tcPr>
          <w:p>
            <w:pPr>
              <w:ind w:left="20"/>
              <w:spacing w:after="0"/>
              <w:rPr>
                <w:sz w:val="20"/>
                <w:szCs w:val="20"/>
                <w:color w:val="auto"/>
              </w:rPr>
            </w:pPr>
            <w:r>
              <w:rPr>
                <w:rFonts w:ascii="Verdana" w:cs="Verdana" w:eastAsia="Verdana" w:hAnsi="Verdana"/>
                <w:sz w:val="18"/>
                <w:szCs w:val="18"/>
                <w:color w:val="auto"/>
              </w:rPr>
              <w:t>$</w:t>
            </w:r>
          </w:p>
        </w:tc>
        <w:tc>
          <w:tcPr>
            <w:tcW w:w="134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222,882</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Verdana" w:cs="Verdana" w:eastAsia="Verdana" w:hAnsi="Verdana"/>
                <w:sz w:val="18"/>
                <w:szCs w:val="18"/>
                <w:color w:val="auto"/>
                <w:w w:val="86"/>
              </w:rPr>
              <w:t>$</w:t>
            </w:r>
          </w:p>
        </w:tc>
        <w:tc>
          <w:tcPr>
            <w:tcW w:w="120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2,145,393</w:t>
            </w:r>
          </w:p>
        </w:tc>
        <w:tc>
          <w:tcPr>
            <w:tcW w:w="0" w:type="dxa"/>
            <w:vAlign w:val="bottom"/>
          </w:tcPr>
          <w:p>
            <w:pPr>
              <w:spacing w:after="0"/>
              <w:rPr>
                <w:sz w:val="1"/>
                <w:szCs w:val="1"/>
                <w:color w:val="auto"/>
              </w:rPr>
            </w:pPr>
          </w:p>
        </w:tc>
      </w:tr>
      <w:tr>
        <w:trPr>
          <w:trHeight w:val="226"/>
        </w:trPr>
        <w:tc>
          <w:tcPr>
            <w:tcW w:w="1740" w:type="dxa"/>
            <w:vAlign w:val="bottom"/>
          </w:tcPr>
          <w:p>
            <w:pPr>
              <w:ind w:left="20"/>
              <w:spacing w:after="0"/>
              <w:rPr>
                <w:sz w:val="20"/>
                <w:szCs w:val="20"/>
                <w:color w:val="auto"/>
              </w:rPr>
            </w:pPr>
            <w:r>
              <w:rPr>
                <w:rFonts w:ascii="Verdana" w:cs="Verdana" w:eastAsia="Verdana" w:hAnsi="Verdana"/>
                <w:sz w:val="18"/>
                <w:szCs w:val="18"/>
                <w:color w:val="auto"/>
              </w:rPr>
              <w:t>obligations</w:t>
            </w:r>
          </w:p>
        </w:tc>
        <w:tc>
          <w:tcPr>
            <w:tcW w:w="2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4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3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80" w:type="dxa"/>
            <w:vAlign w:val="bottom"/>
            <w:shd w:val="clear" w:color="auto" w:fill="E0E7ED"/>
          </w:tcPr>
          <w:p>
            <w:pPr>
              <w:spacing w:after="0"/>
              <w:rPr>
                <w:sz w:val="20"/>
                <w:szCs w:val="20"/>
                <w:color w:val="auto"/>
              </w:rPr>
            </w:pPr>
          </w:p>
        </w:tc>
        <w:tc>
          <w:tcPr>
            <w:tcW w:w="13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8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gridSpan w:val="10"/>
          </w:tcPr>
          <w:p>
            <w:pPr>
              <w:ind w:left="20"/>
              <w:spacing w:after="0"/>
              <w:rPr>
                <w:sz w:val="20"/>
                <w:szCs w:val="20"/>
                <w:color w:val="auto"/>
              </w:rPr>
            </w:pPr>
            <w:r>
              <w:rPr>
                <w:rFonts w:ascii="Verdana" w:cs="Verdana" w:eastAsia="Verdana" w:hAnsi="Verdana"/>
                <w:sz w:val="18"/>
                <w:szCs w:val="18"/>
                <w:color w:val="auto"/>
              </w:rPr>
              <w:t>Commitments to extend credit and standby letters of credit</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w w:val="86"/>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2,176,496</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60" w:type="dxa"/>
            <w:vAlign w:val="bottom"/>
            <w:gridSpan w:val="7"/>
          </w:tcPr>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87</w:t>
            </w:r>
          </w:p>
        </w:tc>
        <w:tc>
          <w:tcPr>
            <w:tcW w:w="0" w:type="dxa"/>
            <w:vAlign w:val="bottom"/>
          </w:tcPr>
          <w:p>
            <w:pPr>
              <w:spacing w:after="0"/>
              <w:rPr>
                <w:sz w:val="1"/>
                <w:szCs w:val="1"/>
                <w:color w:val="auto"/>
              </w:rPr>
            </w:pPr>
          </w:p>
        </w:tc>
      </w:tr>
      <w:tr>
        <w:trPr>
          <w:trHeight w:val="641"/>
        </w:trPr>
        <w:tc>
          <w:tcPr>
            <w:tcW w:w="1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7" w:name="page88"/>
    <w:bookmarkEnd w:id="8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Cash Flows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Busey’s cash flows consist of operating activities, investing activities, and financing activities.</w:t>
      </w:r>
    </w:p>
    <w:p>
      <w:pPr>
        <w:spacing w:after="0" w:line="173" w:lineRule="exact"/>
        <w:rPr>
          <w:sz w:val="20"/>
          <w:szCs w:val="20"/>
          <w:color w:val="auto"/>
        </w:rPr>
      </w:pPr>
    </w:p>
    <w:p>
      <w:pPr>
        <w:jc w:val="both"/>
        <w:ind w:right="20"/>
        <w:spacing w:after="0" w:line="242" w:lineRule="auto"/>
        <w:rPr>
          <w:sz w:val="20"/>
          <w:szCs w:val="20"/>
          <w:color w:val="auto"/>
        </w:rPr>
      </w:pPr>
      <w:r>
        <w:rPr>
          <w:rFonts w:ascii="Verdana" w:cs="Verdana" w:eastAsia="Verdana" w:hAnsi="Verdana"/>
          <w:sz w:val="18"/>
          <w:szCs w:val="18"/>
          <w:color w:val="auto"/>
        </w:rPr>
        <w:t>Net cash flows provided by operating activities totaled $173.4 million in 2023, compared to $165.9 million provided by operating activities in 2022. Significant operating activities affecting cash flows include net income, depreciation and amortization, and mortgage loan sale activity. Fluctuations in sales of loans held for sale are a function of changes in market rates for mortgage loans, which influence refinance activity.</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Net cash provided by investing activities totaled $551.0 million in 2023, compared to $291.0 million used in investing activities in 2022. Significant investing activities are those associated with managing Busey’s investment and loan portfolios.</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Net cash used in financing activities totaled $232.0 million in 2023, compared to $483.9 million used in financing activities in 2022. Significant financing activities affecting cash flows include deposit and other borrowings, as well as cash dividends paid.</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For additional detail, see the </w:t>
      </w:r>
      <w:r>
        <w:rPr>
          <w:rFonts w:ascii="Verdana" w:cs="Verdana" w:eastAsia="Verdana" w:hAnsi="Verdana"/>
          <w:sz w:val="18"/>
          <w:szCs w:val="18"/>
          <w:u w:val="single" w:color="auto"/>
          <w:color w:val="0000FF"/>
        </w:rPr>
        <w:t>Consolidated Statements of Cash Flows</w:t>
      </w:r>
      <w:r>
        <w:rPr>
          <w:rFonts w:ascii="Verdana" w:cs="Verdana" w:eastAsia="Verdana" w:hAnsi="Verdana"/>
          <w:sz w:val="18"/>
          <w:szCs w:val="18"/>
          <w:color w:val="auto"/>
        </w:rPr>
        <w:t>.</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Resources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Our capital ratios are in excess of those required to be considered “well -capitalized” pursuant to applicable regulatory guidelines. The Federal Reserve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December 31, 2023.</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80" w:type="dxa"/>
            <w:vAlign w:val="bottom"/>
          </w:tcPr>
          <w:p>
            <w:pPr>
              <w:spacing w:after="0"/>
              <w:rPr>
                <w:sz w:val="15"/>
                <w:szCs w:val="15"/>
                <w:color w:val="auto"/>
              </w:rPr>
            </w:pPr>
          </w:p>
        </w:tc>
        <w:tc>
          <w:tcPr>
            <w:tcW w:w="1840" w:type="dxa"/>
            <w:vAlign w:val="bottom"/>
            <w:gridSpan w:val="2"/>
          </w:tcPr>
          <w:p>
            <w:pPr>
              <w:jc w:val="center"/>
              <w:ind w:right="100"/>
              <w:spacing w:after="0"/>
              <w:rPr>
                <w:sz w:val="20"/>
                <w:szCs w:val="20"/>
                <w:color w:val="auto"/>
              </w:rPr>
            </w:pPr>
            <w:r>
              <w:rPr>
                <w:rFonts w:ascii="Verdana" w:cs="Verdana" w:eastAsia="Verdana" w:hAnsi="Verdana"/>
                <w:sz w:val="13"/>
                <w:szCs w:val="13"/>
                <w:b w:val="1"/>
                <w:bCs w:val="1"/>
                <w:color w:val="auto"/>
                <w:w w:val="96"/>
              </w:rPr>
              <w:t>Minimum Capital</w:t>
            </w:r>
          </w:p>
        </w:tc>
        <w:tc>
          <w:tcPr>
            <w:tcW w:w="3520" w:type="dxa"/>
            <w:vAlign w:val="bottom"/>
            <w:tcBorders>
              <w:bottom w:val="single" w:sz="8" w:color="auto"/>
            </w:tcBorders>
            <w:gridSpan w:val="3"/>
          </w:tcPr>
          <w:p>
            <w:pPr>
              <w:jc w:val="right"/>
              <w:ind w:right="799"/>
              <w:spacing w:after="0"/>
              <w:rPr>
                <w:sz w:val="20"/>
                <w:szCs w:val="20"/>
                <w:color w:val="auto"/>
              </w:rPr>
            </w:pPr>
            <w:r>
              <w:rPr>
                <w:rFonts w:ascii="Verdana" w:cs="Verdana" w:eastAsia="Verdana" w:hAnsi="Verdana"/>
                <w:sz w:val="13"/>
                <w:szCs w:val="13"/>
                <w:b w:val="1"/>
                <w:bCs w:val="1"/>
                <w:color w:val="auto"/>
              </w:rPr>
              <w:t>As of December 31, 2023</w:t>
            </w:r>
          </w:p>
        </w:tc>
      </w:tr>
      <w:tr>
        <w:trPr>
          <w:trHeight w:val="135"/>
        </w:trPr>
        <w:tc>
          <w:tcPr>
            <w:tcW w:w="5880" w:type="dxa"/>
            <w:vAlign w:val="bottom"/>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Verdana" w:cs="Verdana" w:eastAsia="Verdana" w:hAnsi="Verdana"/>
                <w:sz w:val="13"/>
                <w:szCs w:val="13"/>
                <w:b w:val="1"/>
                <w:bCs w:val="1"/>
                <w:color w:val="auto"/>
                <w:w w:val="96"/>
              </w:rPr>
              <w:t>Requirements with</w:t>
            </w:r>
          </w:p>
        </w:tc>
        <w:tc>
          <w:tcPr>
            <w:tcW w:w="1800" w:type="dxa"/>
            <w:vAlign w:val="bottom"/>
            <w:gridSpan w:val="2"/>
          </w:tcPr>
          <w:p>
            <w:pPr>
              <w:jc w:val="center"/>
              <w:ind w:right="80"/>
              <w:spacing w:after="0" w:line="135" w:lineRule="exact"/>
              <w:rPr>
                <w:sz w:val="20"/>
                <w:szCs w:val="20"/>
                <w:color w:val="auto"/>
              </w:rPr>
            </w:pPr>
            <w:r>
              <w:rPr>
                <w:rFonts w:ascii="Verdana" w:cs="Verdana" w:eastAsia="Verdana" w:hAnsi="Verdana"/>
                <w:sz w:val="13"/>
                <w:szCs w:val="13"/>
                <w:b w:val="1"/>
                <w:bCs w:val="1"/>
                <w:color w:val="auto"/>
                <w:w w:val="96"/>
              </w:rPr>
              <w:t>First</w:t>
            </w:r>
          </w:p>
        </w:tc>
        <w:tc>
          <w:tcPr>
            <w:tcW w:w="1720" w:type="dxa"/>
            <w:vAlign w:val="bottom"/>
          </w:tcPr>
          <w:p>
            <w:pPr>
              <w:jc w:val="right"/>
              <w:ind w:right="559"/>
              <w:spacing w:after="0" w:line="135" w:lineRule="exact"/>
              <w:rPr>
                <w:sz w:val="20"/>
                <w:szCs w:val="20"/>
                <w:color w:val="auto"/>
              </w:rPr>
            </w:pPr>
            <w:r>
              <w:rPr>
                <w:rFonts w:ascii="Verdana" w:cs="Verdana" w:eastAsia="Verdana" w:hAnsi="Verdana"/>
                <w:sz w:val="13"/>
                <w:szCs w:val="13"/>
                <w:b w:val="1"/>
                <w:bCs w:val="1"/>
                <w:color w:val="auto"/>
              </w:rPr>
              <w:t>Busey</w:t>
            </w:r>
          </w:p>
        </w:tc>
      </w:tr>
      <w:tr>
        <w:trPr>
          <w:trHeight w:val="170"/>
        </w:trPr>
        <w:tc>
          <w:tcPr>
            <w:tcW w:w="588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Verdana" w:cs="Verdana" w:eastAsia="Verdana" w:hAnsi="Verdana"/>
                <w:sz w:val="13"/>
                <w:szCs w:val="13"/>
                <w:b w:val="1"/>
                <w:bCs w:val="1"/>
                <w:color w:val="auto"/>
                <w:w w:val="97"/>
              </w:rPr>
              <w:t>Capital Buffer</w:t>
            </w:r>
          </w:p>
        </w:tc>
        <w:tc>
          <w:tcPr>
            <w:tcW w:w="1800" w:type="dxa"/>
            <w:vAlign w:val="bottom"/>
            <w:gridSpan w:val="2"/>
          </w:tcPr>
          <w:p>
            <w:pPr>
              <w:jc w:val="center"/>
              <w:ind w:right="100"/>
              <w:spacing w:after="0"/>
              <w:rPr>
                <w:sz w:val="20"/>
                <w:szCs w:val="20"/>
                <w:color w:val="auto"/>
              </w:rPr>
            </w:pPr>
            <w:r>
              <w:rPr>
                <w:rFonts w:ascii="Verdana" w:cs="Verdana" w:eastAsia="Verdana" w:hAnsi="Verdana"/>
                <w:sz w:val="13"/>
                <w:szCs w:val="13"/>
                <w:b w:val="1"/>
                <w:bCs w:val="1"/>
                <w:color w:val="auto"/>
                <w:w w:val="95"/>
              </w:rPr>
              <w:t>Busey</w:t>
            </w:r>
          </w:p>
        </w:tc>
        <w:tc>
          <w:tcPr>
            <w:tcW w:w="1720" w:type="dxa"/>
            <w:vAlign w:val="bottom"/>
          </w:tcPr>
          <w:p>
            <w:pPr>
              <w:jc w:val="right"/>
              <w:ind w:right="599"/>
              <w:spacing w:after="0"/>
              <w:rPr>
                <w:sz w:val="20"/>
                <w:szCs w:val="20"/>
                <w:color w:val="auto"/>
              </w:rPr>
            </w:pPr>
            <w:r>
              <w:rPr>
                <w:rFonts w:ascii="Verdana" w:cs="Verdana" w:eastAsia="Verdana" w:hAnsi="Verdana"/>
                <w:sz w:val="13"/>
                <w:szCs w:val="13"/>
                <w:b w:val="1"/>
                <w:bCs w:val="1"/>
                <w:color w:val="auto"/>
              </w:rPr>
              <w:t>Bank</w:t>
            </w:r>
          </w:p>
        </w:tc>
      </w:tr>
      <w:tr>
        <w:trPr>
          <w:trHeight w:val="269"/>
        </w:trPr>
        <w:tc>
          <w:tcPr>
            <w:tcW w:w="58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Common Equity Tier 1 Capital to Risk Weighted Assets</w:t>
            </w:r>
          </w:p>
        </w:tc>
        <w:tc>
          <w:tcPr>
            <w:tcW w:w="17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7.00 %</w:t>
            </w:r>
          </w:p>
        </w:tc>
        <w:tc>
          <w:tcPr>
            <w:tcW w:w="100" w:type="dxa"/>
            <w:vAlign w:val="bottom"/>
            <w:tcBorders>
              <w:top w:val="single" w:sz="8" w:color="E0E7ED"/>
            </w:tcBorders>
            <w:shd w:val="clear" w:color="auto" w:fill="E0E7ED"/>
          </w:tcPr>
          <w:p>
            <w:pPr>
              <w:spacing w:after="0"/>
              <w:rPr>
                <w:sz w:val="23"/>
                <w:szCs w:val="23"/>
                <w:color w:val="auto"/>
              </w:rPr>
            </w:pPr>
          </w:p>
        </w:tc>
        <w:tc>
          <w:tcPr>
            <w:tcW w:w="17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13.09 %</w:t>
            </w:r>
          </w:p>
        </w:tc>
        <w:tc>
          <w:tcPr>
            <w:tcW w:w="80" w:type="dxa"/>
            <w:vAlign w:val="bottom"/>
            <w:tcBorders>
              <w:top w:val="single" w:sz="8" w:color="E0E7ED"/>
            </w:tcBorders>
            <w:shd w:val="clear" w:color="auto" w:fill="E0E7ED"/>
          </w:tcPr>
          <w:p>
            <w:pPr>
              <w:spacing w:after="0"/>
              <w:rPr>
                <w:sz w:val="23"/>
                <w:szCs w:val="23"/>
                <w:color w:val="auto"/>
              </w:rPr>
            </w:pPr>
          </w:p>
        </w:tc>
        <w:tc>
          <w:tcPr>
            <w:tcW w:w="17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15.48 %</w:t>
            </w:r>
          </w:p>
        </w:tc>
      </w:tr>
      <w:tr>
        <w:trPr>
          <w:trHeight w:val="263"/>
        </w:trPr>
        <w:tc>
          <w:tcPr>
            <w:tcW w:w="5880" w:type="dxa"/>
            <w:vAlign w:val="bottom"/>
          </w:tcPr>
          <w:p>
            <w:pPr>
              <w:ind w:left="20"/>
              <w:spacing w:after="0"/>
              <w:rPr>
                <w:sz w:val="20"/>
                <w:szCs w:val="20"/>
                <w:color w:val="auto"/>
              </w:rPr>
            </w:pPr>
            <w:r>
              <w:rPr>
                <w:rFonts w:ascii="Verdana" w:cs="Verdana" w:eastAsia="Verdana" w:hAnsi="Verdana"/>
                <w:sz w:val="18"/>
                <w:szCs w:val="18"/>
                <w:color w:val="auto"/>
              </w:rPr>
              <w:t>Tier 1 Capital to Risk Weighted Assets</w:t>
            </w:r>
          </w:p>
        </w:tc>
        <w:tc>
          <w:tcPr>
            <w:tcW w:w="1740" w:type="dxa"/>
            <w:vAlign w:val="bottom"/>
          </w:tcPr>
          <w:p>
            <w:pPr>
              <w:jc w:val="right"/>
              <w:spacing w:after="0"/>
              <w:rPr>
                <w:sz w:val="20"/>
                <w:szCs w:val="20"/>
                <w:color w:val="auto"/>
              </w:rPr>
            </w:pPr>
            <w:r>
              <w:rPr>
                <w:rFonts w:ascii="Verdana" w:cs="Verdana" w:eastAsia="Verdana" w:hAnsi="Verdana"/>
                <w:sz w:val="18"/>
                <w:szCs w:val="18"/>
                <w:color w:val="auto"/>
              </w:rPr>
              <w:t>8.50 %</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13.93 %</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15.48 %</w:t>
            </w:r>
          </w:p>
        </w:tc>
      </w:tr>
      <w:tr>
        <w:trPr>
          <w:trHeight w:val="277"/>
        </w:trPr>
        <w:tc>
          <w:tcPr>
            <w:tcW w:w="5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Capital to Risk Weighted Assets</w:t>
            </w:r>
          </w:p>
        </w:tc>
        <w:tc>
          <w:tcPr>
            <w:tcW w:w="17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10.50 %</w:t>
            </w:r>
          </w:p>
        </w:tc>
        <w:tc>
          <w:tcPr>
            <w:tcW w:w="100" w:type="dxa"/>
            <w:vAlign w:val="bottom"/>
            <w:shd w:val="clear" w:color="auto" w:fill="E0E7ED"/>
          </w:tcPr>
          <w:p>
            <w:pPr>
              <w:spacing w:after="0"/>
              <w:rPr>
                <w:sz w:val="24"/>
                <w:szCs w:val="24"/>
                <w:color w:val="auto"/>
              </w:rPr>
            </w:pPr>
          </w:p>
        </w:tc>
        <w:tc>
          <w:tcPr>
            <w:tcW w:w="17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17.44 %</w:t>
            </w:r>
          </w:p>
        </w:tc>
        <w:tc>
          <w:tcPr>
            <w:tcW w:w="80" w:type="dxa"/>
            <w:vAlign w:val="bottom"/>
            <w:shd w:val="clear" w:color="auto" w:fill="E0E7ED"/>
          </w:tcPr>
          <w:p>
            <w:pPr>
              <w:spacing w:after="0"/>
              <w:rPr>
                <w:sz w:val="24"/>
                <w:szCs w:val="24"/>
                <w:color w:val="auto"/>
              </w:rPr>
            </w:pPr>
          </w:p>
        </w:tc>
        <w:tc>
          <w:tcPr>
            <w:tcW w:w="17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16.45 %</w:t>
            </w:r>
          </w:p>
        </w:tc>
      </w:tr>
      <w:tr>
        <w:trPr>
          <w:trHeight w:val="256"/>
        </w:trPr>
        <w:tc>
          <w:tcPr>
            <w:tcW w:w="5880" w:type="dxa"/>
            <w:vAlign w:val="bottom"/>
          </w:tcPr>
          <w:p>
            <w:pPr>
              <w:ind w:left="20"/>
              <w:spacing w:after="0"/>
              <w:rPr>
                <w:sz w:val="20"/>
                <w:szCs w:val="20"/>
                <w:color w:val="auto"/>
              </w:rPr>
            </w:pPr>
            <w:r>
              <w:rPr>
                <w:rFonts w:ascii="Verdana" w:cs="Verdana" w:eastAsia="Verdana" w:hAnsi="Verdana"/>
                <w:sz w:val="18"/>
                <w:szCs w:val="18"/>
                <w:color w:val="auto"/>
              </w:rPr>
              <w:t>Leverage Ratio of Tier 1 Capital to Average Assets</w:t>
            </w:r>
          </w:p>
        </w:tc>
        <w:tc>
          <w:tcPr>
            <w:tcW w:w="174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10.08 %</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11.19 %</w:t>
            </w:r>
          </w:p>
        </w:tc>
      </w:tr>
    </w:tbl>
    <w:p>
      <w:pPr>
        <w:spacing w:after="0" w:line="27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Management believes that no conditions or events have occurred since December 31, 2023, that would materially adversely change First Busey’s or Busey Bank’s capital classifications.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NEW ACCOUNTING PRONOUNCEMENTS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We review new accounting standards as issued. Information relating to accounting pronouncements applicable to Busey appears in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 Significant Accounting Policies</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in the Notes to the Consolidated Financial Statements.</w:t>
      </w:r>
    </w:p>
    <w:p>
      <w:pPr>
        <w:spacing w:after="0" w:line="19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8" w:name="page89"/>
    <w:bookmarkEnd w:id="8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EFFECTS OF INFLATION</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The effect of inflation on a financial institution differs significantly from the effect on an industrial company. While a financial institution’s operating expenses, particularly salaries, wages, and employee benefits, are affected by general inflation, the asset and liability structure of a financial institution consists largely of monetary items. Monetary items, such as cash, loans, and deposits, are those assets and liabilities which are or will be converted into a fixed number of dollars regardless of changes in prices. As a result, changes in interest rates have a more significant impact on a financial institution’s performance than does general inflation. For additional information regarding interest rates and changes in net interest income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7. Management’s Discussion and Analysis of Financial Condition and Results of Operations—</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Results of Operation — Three Years Ended December 31, 2023—Consolidated Average Balance Sheets and Interest Rates</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 xml:space="preserve">and </w:t>
      </w:r>
      <w:r>
        <w:rPr>
          <w:rFonts w:ascii="Verdana" w:cs="Verdana" w:eastAsia="Verdana" w:hAnsi="Verdana"/>
          <w:sz w:val="18"/>
          <w:szCs w:val="18"/>
          <w:i w:val="1"/>
          <w:iCs w:val="1"/>
          <w:color w:val="000000"/>
        </w:rPr>
        <w:t>“</w:t>
      </w:r>
      <w:r>
        <w:rPr>
          <w:rFonts w:ascii="Verdana" w:cs="Verdana" w:eastAsia="Verdana" w:hAnsi="Verdana"/>
          <w:sz w:val="18"/>
          <w:szCs w:val="18"/>
          <w:i w:val="1"/>
          <w:iCs w:val="1"/>
          <w:u w:val="single" w:color="auto"/>
          <w:color w:val="0000FF"/>
        </w:rPr>
        <w:t>Item 7A. Quantitative and Qualitative Disclosures About Market Risk</w:t>
      </w:r>
      <w:r>
        <w:rPr>
          <w:rFonts w:ascii="Verdana" w:cs="Verdana" w:eastAsia="Verdana" w:hAnsi="Verdana"/>
          <w:sz w:val="18"/>
          <w:szCs w:val="18"/>
          <w:i w:val="1"/>
          <w:iCs w:val="1"/>
          <w:color w:val="000000"/>
        </w:rPr>
        <w:t>.”</w:t>
      </w:r>
    </w:p>
    <w:p>
      <w:pPr>
        <w:spacing w:after="0" w:line="21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9" w:name="page90"/>
    <w:bookmarkEnd w:id="8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7A. QUANTITATIVE AND QUALITATIVE DISCLOSURES ABOUT MARKET RISK</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minimal impact or do not arise in the normal course of Busey’s business activities.</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has an asset-liability committee, whose policy is to meet at least quarterly, to review current market conditions and to structure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xml:space="preserve"> to optimize stability in net interest income in consideration of projected future changes in interest rates.</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+/-300, and +/-400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57"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Busey’s interest rate risk resulting from immediate and sustained changes in interest rates, expressed as a change in net interest income as a percentage of the net interest income calculated in the constant base model,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3540" w:type="dxa"/>
            <w:vAlign w:val="bottom"/>
            <w:gridSpan w:val="4"/>
          </w:tcPr>
          <w:p>
            <w:pPr>
              <w:ind w:left="620"/>
              <w:spacing w:after="0"/>
              <w:rPr>
                <w:sz w:val="20"/>
                <w:szCs w:val="20"/>
                <w:color w:val="auto"/>
              </w:rPr>
            </w:pPr>
            <w:r>
              <w:rPr>
                <w:rFonts w:ascii="Verdana" w:cs="Verdana" w:eastAsia="Verdana" w:hAnsi="Verdana"/>
                <w:sz w:val="13"/>
                <w:szCs w:val="13"/>
                <w:b w:val="1"/>
                <w:bCs w:val="1"/>
                <w:color w:val="auto"/>
              </w:rPr>
              <w:t>Year-One: Basis Point Changes</w:t>
            </w:r>
          </w:p>
        </w:tc>
        <w:tc>
          <w:tcPr>
            <w:tcW w:w="3500" w:type="dxa"/>
            <w:vAlign w:val="bottom"/>
            <w:gridSpan w:val="3"/>
          </w:tcPr>
          <w:p>
            <w:pPr>
              <w:jc w:val="right"/>
              <w:ind w:right="553"/>
              <w:spacing w:after="0"/>
              <w:rPr>
                <w:sz w:val="20"/>
                <w:szCs w:val="20"/>
                <w:color w:val="auto"/>
              </w:rPr>
            </w:pPr>
            <w:r>
              <w:rPr>
                <w:rFonts w:ascii="Verdana" w:cs="Verdana" w:eastAsia="Verdana" w:hAnsi="Verdana"/>
                <w:sz w:val="13"/>
                <w:szCs w:val="13"/>
                <w:b w:val="1"/>
                <w:bCs w:val="1"/>
                <w:color w:val="auto"/>
              </w:rPr>
              <w:t>Year-Two: Basis Point Changes</w:t>
            </w:r>
          </w:p>
        </w:tc>
      </w:tr>
      <w:tr>
        <w:trPr>
          <w:trHeight w:val="170"/>
        </w:trPr>
        <w:tc>
          <w:tcPr>
            <w:tcW w:w="4200" w:type="dxa"/>
            <w:vAlign w:val="bottom"/>
          </w:tcPr>
          <w:p>
            <w:pPr>
              <w:spacing w:after="0"/>
              <w:rPr>
                <w:sz w:val="14"/>
                <w:szCs w:val="14"/>
                <w:color w:val="auto"/>
              </w:rPr>
            </w:pPr>
          </w:p>
        </w:tc>
        <w:tc>
          <w:tcPr>
            <w:tcW w:w="1760" w:type="dxa"/>
            <w:vAlign w:val="bottom"/>
            <w:tcBorders>
              <w:top w:val="single" w:sz="8" w:color="auto"/>
            </w:tcBorders>
            <w:gridSpan w:val="2"/>
          </w:tcPr>
          <w:p>
            <w:pPr>
              <w:ind w:left="140"/>
              <w:spacing w:after="0"/>
              <w:rPr>
                <w:sz w:val="20"/>
                <w:szCs w:val="20"/>
                <w:color w:val="auto"/>
              </w:rPr>
            </w:pPr>
            <w:r>
              <w:rPr>
                <w:rFonts w:ascii="Verdana" w:cs="Verdana" w:eastAsia="Verdana" w:hAnsi="Verdana"/>
                <w:sz w:val="13"/>
                <w:szCs w:val="13"/>
                <w:b w:val="1"/>
                <w:bCs w:val="1"/>
                <w:color w:val="auto"/>
              </w:rPr>
              <w:t>December 31, 2023</w:t>
            </w:r>
          </w:p>
        </w:tc>
        <w:tc>
          <w:tcPr>
            <w:tcW w:w="1680" w:type="dxa"/>
            <w:vAlign w:val="bottom"/>
            <w:tcBorders>
              <w:top w:val="single" w:sz="8" w:color="auto"/>
            </w:tcBorders>
          </w:tcPr>
          <w:p>
            <w:pPr>
              <w:jc w:val="right"/>
              <w:ind w:right="53"/>
              <w:spacing w:after="0"/>
              <w:rPr>
                <w:sz w:val="20"/>
                <w:szCs w:val="20"/>
                <w:color w:val="auto"/>
              </w:rPr>
            </w:pPr>
            <w:r>
              <w:rPr>
                <w:rFonts w:ascii="Verdana" w:cs="Verdana" w:eastAsia="Verdana" w:hAnsi="Verdana"/>
                <w:sz w:val="13"/>
                <w:szCs w:val="13"/>
                <w:b w:val="1"/>
                <w:bCs w:val="1"/>
                <w:color w:val="auto"/>
              </w:rPr>
              <w:t>December 31, 2022</w:t>
            </w:r>
          </w:p>
        </w:tc>
        <w:tc>
          <w:tcPr>
            <w:tcW w:w="100" w:type="dxa"/>
            <w:vAlign w:val="bottom"/>
          </w:tcPr>
          <w:p>
            <w:pPr>
              <w:spacing w:after="0"/>
              <w:rPr>
                <w:sz w:val="14"/>
                <w:szCs w:val="14"/>
                <w:color w:val="auto"/>
              </w:rPr>
            </w:pPr>
          </w:p>
        </w:tc>
        <w:tc>
          <w:tcPr>
            <w:tcW w:w="1800" w:type="dxa"/>
            <w:vAlign w:val="bottom"/>
            <w:tcBorders>
              <w:top w:val="single" w:sz="8" w:color="auto"/>
            </w:tcBorders>
            <w:gridSpan w:val="2"/>
          </w:tcPr>
          <w:p>
            <w:pPr>
              <w:ind w:left="160"/>
              <w:spacing w:after="0"/>
              <w:rPr>
                <w:sz w:val="20"/>
                <w:szCs w:val="20"/>
                <w:color w:val="auto"/>
              </w:rPr>
            </w:pPr>
            <w:r>
              <w:rPr>
                <w:rFonts w:ascii="Verdana" w:cs="Verdana" w:eastAsia="Verdana" w:hAnsi="Verdana"/>
                <w:sz w:val="13"/>
                <w:szCs w:val="13"/>
                <w:b w:val="1"/>
                <w:bCs w:val="1"/>
                <w:color w:val="auto"/>
              </w:rPr>
              <w:t>December 31, 2023</w:t>
            </w:r>
          </w:p>
        </w:tc>
        <w:tc>
          <w:tcPr>
            <w:tcW w:w="1700" w:type="dxa"/>
            <w:vAlign w:val="bottom"/>
            <w:tcBorders>
              <w:top w:val="single" w:sz="8" w:color="auto"/>
            </w:tcBorders>
          </w:tcPr>
          <w:p>
            <w:pPr>
              <w:jc w:val="right"/>
              <w:ind w:right="73"/>
              <w:spacing w:after="0"/>
              <w:rPr>
                <w:sz w:val="20"/>
                <w:szCs w:val="20"/>
                <w:color w:val="auto"/>
              </w:rPr>
            </w:pPr>
            <w:r>
              <w:rPr>
                <w:rFonts w:ascii="Verdana" w:cs="Verdana" w:eastAsia="Verdana" w:hAnsi="Verdana"/>
                <w:sz w:val="13"/>
                <w:szCs w:val="13"/>
                <w:b w:val="1"/>
                <w:bCs w:val="1"/>
                <w:color w:val="auto"/>
              </w:rPr>
              <w:t>December 31, 2022</w:t>
            </w:r>
          </w:p>
        </w:tc>
      </w:tr>
      <w:tr>
        <w:trPr>
          <w:trHeight w:val="269"/>
        </w:trPr>
        <w:tc>
          <w:tcPr>
            <w:tcW w:w="42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+400</w:t>
            </w: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7.38 %</w:t>
            </w:r>
          </w:p>
        </w:tc>
        <w:tc>
          <w:tcPr>
            <w:tcW w:w="100" w:type="dxa"/>
            <w:vAlign w:val="bottom"/>
            <w:tcBorders>
              <w:top w:val="single" w:sz="8" w:color="E0E7ED"/>
            </w:tcBorders>
            <w:shd w:val="clear" w:color="auto" w:fill="E0E7ED"/>
          </w:tcPr>
          <w:p>
            <w:pPr>
              <w:spacing w:after="0"/>
              <w:rPr>
                <w:sz w:val="23"/>
                <w:szCs w:val="23"/>
                <w:color w:val="auto"/>
              </w:rPr>
            </w:pPr>
          </w:p>
        </w:tc>
        <w:tc>
          <w:tcPr>
            <w:tcW w:w="16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12.27 %</w:t>
            </w:r>
          </w:p>
        </w:tc>
        <w:tc>
          <w:tcPr>
            <w:tcW w:w="100" w:type="dxa"/>
            <w:vAlign w:val="bottom"/>
            <w:tcBorders>
              <w:top w:val="single" w:sz="8" w:color="E0E7ED"/>
            </w:tcBorders>
            <w:shd w:val="clear" w:color="auto" w:fill="E0E7ED"/>
          </w:tcPr>
          <w:p>
            <w:pPr>
              <w:spacing w:after="0"/>
              <w:rPr>
                <w:sz w:val="23"/>
                <w:szCs w:val="23"/>
                <w:color w:val="auto"/>
              </w:rPr>
            </w:pP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8.55 %</w:t>
            </w:r>
          </w:p>
        </w:tc>
        <w:tc>
          <w:tcPr>
            <w:tcW w:w="100" w:type="dxa"/>
            <w:vAlign w:val="bottom"/>
            <w:tcBorders>
              <w:top w:val="single" w:sz="8" w:color="E0E7ED"/>
            </w:tcBorders>
            <w:shd w:val="clear" w:color="auto" w:fill="E0E7ED"/>
          </w:tcPr>
          <w:p>
            <w:pPr>
              <w:spacing w:after="0"/>
              <w:rPr>
                <w:sz w:val="23"/>
                <w:szCs w:val="23"/>
                <w:color w:val="auto"/>
              </w:rPr>
            </w:pP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16.02 %</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+300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5.49 %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9.18 %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6.34 %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11.94 %</w:t>
            </w:r>
          </w:p>
        </w:tc>
      </w:tr>
      <w:tr>
        <w:trPr>
          <w:trHeight w:val="277"/>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+200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3.64 %</w:t>
            </w: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6.11 %</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4.20 %</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7.91 %</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+100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1.81 %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3.05 %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2.10 %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3.94 %</w:t>
            </w:r>
          </w:p>
        </w:tc>
      </w:tr>
      <w:tr>
        <w:trPr>
          <w:trHeight w:val="277"/>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- 100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(1.91)%</w:t>
            </w: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(3.95)%</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(2.98)%</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(5.27)%</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-200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(3.86)%</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(8.08)%</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(6.12)%</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(10.76)%</w:t>
            </w:r>
          </w:p>
        </w:tc>
      </w:tr>
      <w:tr>
        <w:trPr>
          <w:trHeight w:val="277"/>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-300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(5.60)%</w:t>
            </w: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(14.74)%</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(9.17)%</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(19.56)%</w:t>
            </w:r>
          </w:p>
        </w:tc>
      </w:tr>
      <w:tr>
        <w:trPr>
          <w:trHeight w:val="257"/>
        </w:trPr>
        <w:tc>
          <w:tcPr>
            <w:tcW w:w="4200" w:type="dxa"/>
            <w:vAlign w:val="bottom"/>
          </w:tcPr>
          <w:p>
            <w:pPr>
              <w:ind w:left="20"/>
              <w:spacing w:after="0"/>
              <w:rPr>
                <w:sz w:val="20"/>
                <w:szCs w:val="20"/>
                <w:color w:val="auto"/>
              </w:rPr>
            </w:pPr>
            <w:r>
              <w:rPr>
                <w:rFonts w:ascii="Verdana" w:cs="Verdana" w:eastAsia="Verdana" w:hAnsi="Verdana"/>
                <w:sz w:val="18"/>
                <w:szCs w:val="18"/>
                <w:color w:val="auto"/>
              </w:rPr>
              <w:t>-400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(6.91)%</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(21.24)%</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(11.36)%</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(27.82)%</w:t>
            </w:r>
          </w:p>
        </w:tc>
      </w:tr>
    </w:tbl>
    <w:p>
      <w:pPr>
        <w:spacing w:after="0" w:line="27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22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0" w:name="page91"/>
    <w:bookmarkEnd w:id="9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p>
        </w:tc>
        <w:tc>
          <w:tcPr>
            <w:tcW w:w="8960" w:type="dxa"/>
            <w:vAlign w:val="bottom"/>
          </w:tcPr>
          <w:p>
            <w:pPr>
              <w:ind w:left="1620"/>
              <w:spacing w:after="0"/>
              <w:rPr>
                <w:sz w:val="20"/>
                <w:szCs w:val="20"/>
                <w:color w:val="auto"/>
              </w:rPr>
            </w:pPr>
            <w:r>
              <w:rPr>
                <w:rFonts w:ascii="Verdana" w:cs="Verdana" w:eastAsia="Verdana" w:hAnsi="Verdana"/>
                <w:sz w:val="18"/>
                <w:szCs w:val="18"/>
                <w:b w:val="1"/>
                <w:bCs w:val="1"/>
                <w:color w:val="auto"/>
              </w:rPr>
              <w:t>ITEM 8. FINANCIAL STATEMENTS AND SUPPLEMENTARY DATA</w:t>
            </w:r>
          </w:p>
        </w:tc>
        <w:tc>
          <w:tcPr>
            <w:tcW w:w="1400" w:type="dxa"/>
            <w:vAlign w:val="bottom"/>
          </w:tcPr>
          <w:p>
            <w:pPr>
              <w:spacing w:after="0"/>
              <w:rPr>
                <w:sz w:val="20"/>
                <w:szCs w:val="20"/>
                <w:color w:val="auto"/>
              </w:rPr>
            </w:pPr>
          </w:p>
        </w:tc>
      </w:tr>
      <w:tr>
        <w:trPr>
          <w:trHeight w:val="392"/>
        </w:trPr>
        <w:tc>
          <w:tcPr>
            <w:tcW w:w="9820" w:type="dxa"/>
            <w:vAlign w:val="bottom"/>
            <w:gridSpan w:val="2"/>
          </w:tcPr>
          <w:p>
            <w:pPr>
              <w:spacing w:after="0"/>
              <w:rPr>
                <w:sz w:val="20"/>
                <w:szCs w:val="20"/>
                <w:color w:val="auto"/>
              </w:rPr>
            </w:pPr>
            <w:r>
              <w:rPr>
                <w:rFonts w:ascii="Verdana" w:cs="Verdana" w:eastAsia="Verdana" w:hAnsi="Verdana"/>
                <w:sz w:val="18"/>
                <w:szCs w:val="18"/>
                <w:b w:val="1"/>
                <w:bCs w:val="1"/>
                <w:color w:val="auto"/>
              </w:rPr>
              <w:t>Contents of Item 8. Financial Statements &amp; Supplementary Data</w:t>
            </w:r>
          </w:p>
        </w:tc>
        <w:tc>
          <w:tcPr>
            <w:tcW w:w="1400" w:type="dxa"/>
            <w:vAlign w:val="bottom"/>
          </w:tcPr>
          <w:p>
            <w:pPr>
              <w:spacing w:after="0"/>
              <w:rPr>
                <w:sz w:val="24"/>
                <w:szCs w:val="24"/>
                <w:color w:val="auto"/>
              </w:rPr>
            </w:pPr>
          </w:p>
        </w:tc>
      </w:tr>
      <w:tr>
        <w:trPr>
          <w:trHeight w:val="445"/>
        </w:trPr>
        <w:tc>
          <w:tcPr>
            <w:tcW w:w="9820" w:type="dxa"/>
            <w:vAlign w:val="bottom"/>
            <w:gridSpan w:val="2"/>
          </w:tcPr>
          <w:p>
            <w:pPr>
              <w:ind w:left="20"/>
              <w:spacing w:after="0"/>
              <w:rPr>
                <w:sz w:val="20"/>
                <w:szCs w:val="20"/>
                <w:color w:val="auto"/>
              </w:rPr>
            </w:pPr>
            <w:r>
              <w:rPr>
                <w:rFonts w:ascii="Verdana" w:cs="Verdana" w:eastAsia="Verdana" w:hAnsi="Verdana"/>
                <w:sz w:val="18"/>
                <w:szCs w:val="18"/>
                <w:color w:val="auto"/>
              </w:rPr>
              <w:t>REPORT OF INDEPENDENT REGISTERED PUBLIC ACCOUNTING FIRM (PCAOB ID 49)</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92</w:t>
            </w:r>
          </w:p>
        </w:tc>
      </w:tr>
      <w:tr>
        <w:trPr>
          <w:trHeight w:val="540"/>
        </w:trPr>
        <w:tc>
          <w:tcPr>
            <w:tcW w:w="9820" w:type="dxa"/>
            <w:vAlign w:val="bottom"/>
            <w:gridSpan w:val="2"/>
          </w:tcPr>
          <w:p>
            <w:pPr>
              <w:ind w:left="20"/>
              <w:spacing w:after="0"/>
              <w:rPr>
                <w:sz w:val="20"/>
                <w:szCs w:val="20"/>
                <w:color w:val="auto"/>
              </w:rPr>
            </w:pPr>
            <w:r>
              <w:rPr>
                <w:rFonts w:ascii="Verdana" w:cs="Verdana" w:eastAsia="Verdana" w:hAnsi="Verdana"/>
                <w:sz w:val="18"/>
                <w:szCs w:val="18"/>
                <w:color w:val="auto"/>
              </w:rPr>
              <w:t>CONSOLIDATED FINANCIAL STATEMENTS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Consolidated Balance Sheets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Consolidated Statements of Income</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95</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Consolidated Statements of Comprehensive Income (Loss)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96</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Consolidated Statements of Stockholders’ Equity</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97</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Consolidated Statements of Cash Flows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98</w:t>
            </w:r>
          </w:p>
        </w:tc>
      </w:tr>
      <w:tr>
        <w:trPr>
          <w:trHeight w:val="540"/>
        </w:trPr>
        <w:tc>
          <w:tcPr>
            <w:tcW w:w="9820" w:type="dxa"/>
            <w:vAlign w:val="bottom"/>
            <w:gridSpan w:val="2"/>
          </w:tcPr>
          <w:p>
            <w:pPr>
              <w:ind w:left="20"/>
              <w:spacing w:after="0"/>
              <w:rPr>
                <w:sz w:val="20"/>
                <w:szCs w:val="20"/>
                <w:color w:val="auto"/>
              </w:rPr>
            </w:pPr>
            <w:r>
              <w:rPr>
                <w:rFonts w:ascii="Verdana" w:cs="Verdana" w:eastAsia="Verdana" w:hAnsi="Verdana"/>
                <w:sz w:val="18"/>
                <w:szCs w:val="18"/>
                <w:color w:val="auto"/>
              </w:rPr>
              <w:t>NOTES TO CONSOLIDATED FINANCIAL STATEMENTS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100</w:t>
            </w:r>
          </w:p>
        </w:tc>
      </w:tr>
      <w:tr>
        <w:trPr>
          <w:trHeight w:val="270"/>
        </w:trPr>
        <w:tc>
          <w:tcPr>
            <w:tcW w:w="860" w:type="dxa"/>
            <w:vAlign w:val="bottom"/>
          </w:tcPr>
          <w:p>
            <w:pPr>
              <w:ind w:left="360"/>
              <w:spacing w:after="0"/>
              <w:rPr>
                <w:sz w:val="20"/>
                <w:szCs w:val="20"/>
                <w:color w:val="auto"/>
              </w:rPr>
            </w:pPr>
            <w:r>
              <w:rPr>
                <w:rFonts w:ascii="Verdana" w:cs="Verdana" w:eastAsia="Verdana" w:hAnsi="Verdana"/>
                <w:sz w:val="18"/>
                <w:szCs w:val="18"/>
                <w:color w:val="auto"/>
              </w:rPr>
              <w:t>Note</w:t>
            </w:r>
          </w:p>
        </w:tc>
        <w:tc>
          <w:tcPr>
            <w:tcW w:w="8960" w:type="dxa"/>
            <w:vAlign w:val="bottom"/>
          </w:tcPr>
          <w:p>
            <w:pPr>
              <w:ind w:left="100"/>
              <w:spacing w:after="0"/>
              <w:rPr>
                <w:sz w:val="20"/>
                <w:szCs w:val="20"/>
                <w:color w:val="auto"/>
              </w:rPr>
            </w:pPr>
            <w:r>
              <w:rPr>
                <w:rFonts w:ascii="Verdana" w:cs="Verdana" w:eastAsia="Verdana" w:hAnsi="Verdana"/>
                <w:sz w:val="18"/>
                <w:szCs w:val="18"/>
                <w:color w:val="auto"/>
              </w:rPr>
              <w:t>1. Significant Accounting Policies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100</w:t>
            </w:r>
          </w:p>
        </w:tc>
      </w:tr>
      <w:tr>
        <w:trPr>
          <w:trHeight w:val="270"/>
        </w:trPr>
        <w:tc>
          <w:tcPr>
            <w:tcW w:w="860" w:type="dxa"/>
            <w:vAlign w:val="bottom"/>
          </w:tcPr>
          <w:p>
            <w:pPr>
              <w:ind w:left="360"/>
              <w:spacing w:after="0"/>
              <w:rPr>
                <w:sz w:val="20"/>
                <w:szCs w:val="20"/>
                <w:color w:val="auto"/>
              </w:rPr>
            </w:pPr>
            <w:r>
              <w:rPr>
                <w:rFonts w:ascii="Verdana" w:cs="Verdana" w:eastAsia="Verdana" w:hAnsi="Verdana"/>
                <w:sz w:val="18"/>
                <w:szCs w:val="18"/>
                <w:color w:val="auto"/>
              </w:rPr>
              <w:t>Note</w:t>
            </w:r>
          </w:p>
        </w:tc>
        <w:tc>
          <w:tcPr>
            <w:tcW w:w="8960" w:type="dxa"/>
            <w:vAlign w:val="bottom"/>
          </w:tcPr>
          <w:p>
            <w:pPr>
              <w:ind w:left="100"/>
              <w:spacing w:after="0"/>
              <w:rPr>
                <w:sz w:val="20"/>
                <w:szCs w:val="20"/>
                <w:color w:val="auto"/>
              </w:rPr>
            </w:pPr>
            <w:r>
              <w:rPr>
                <w:rFonts w:ascii="Verdana" w:cs="Verdana" w:eastAsia="Verdana" w:hAnsi="Verdana"/>
                <w:sz w:val="18"/>
                <w:szCs w:val="18"/>
                <w:color w:val="auto"/>
              </w:rPr>
              <w:t>2. Debt Securities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117</w:t>
            </w:r>
          </w:p>
        </w:tc>
      </w:tr>
      <w:tr>
        <w:trPr>
          <w:trHeight w:val="270"/>
        </w:trPr>
        <w:tc>
          <w:tcPr>
            <w:tcW w:w="860" w:type="dxa"/>
            <w:vAlign w:val="bottom"/>
          </w:tcPr>
          <w:p>
            <w:pPr>
              <w:ind w:left="360"/>
              <w:spacing w:after="0"/>
              <w:rPr>
                <w:sz w:val="20"/>
                <w:szCs w:val="20"/>
                <w:color w:val="auto"/>
              </w:rPr>
            </w:pPr>
            <w:r>
              <w:rPr>
                <w:rFonts w:ascii="Verdana" w:cs="Verdana" w:eastAsia="Verdana" w:hAnsi="Verdana"/>
                <w:sz w:val="18"/>
                <w:szCs w:val="18"/>
                <w:color w:val="auto"/>
              </w:rPr>
              <w:t>Note</w:t>
            </w:r>
          </w:p>
        </w:tc>
        <w:tc>
          <w:tcPr>
            <w:tcW w:w="8960" w:type="dxa"/>
            <w:vAlign w:val="bottom"/>
          </w:tcPr>
          <w:p>
            <w:pPr>
              <w:ind w:left="100"/>
              <w:spacing w:after="0"/>
              <w:rPr>
                <w:sz w:val="20"/>
                <w:szCs w:val="20"/>
                <w:color w:val="auto"/>
              </w:rPr>
            </w:pPr>
            <w:r>
              <w:rPr>
                <w:rFonts w:ascii="Verdana" w:cs="Verdana" w:eastAsia="Verdana" w:hAnsi="Verdana"/>
                <w:sz w:val="18"/>
                <w:szCs w:val="18"/>
                <w:color w:val="auto"/>
              </w:rPr>
              <w:t>3. Portfolio Loans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123</w:t>
            </w:r>
          </w:p>
        </w:tc>
      </w:tr>
      <w:tr>
        <w:trPr>
          <w:trHeight w:val="270"/>
        </w:trPr>
        <w:tc>
          <w:tcPr>
            <w:tcW w:w="860" w:type="dxa"/>
            <w:vAlign w:val="bottom"/>
          </w:tcPr>
          <w:p>
            <w:pPr>
              <w:ind w:left="360"/>
              <w:spacing w:after="0"/>
              <w:rPr>
                <w:sz w:val="20"/>
                <w:szCs w:val="20"/>
                <w:color w:val="auto"/>
              </w:rPr>
            </w:pPr>
            <w:r>
              <w:rPr>
                <w:rFonts w:ascii="Verdana" w:cs="Verdana" w:eastAsia="Verdana" w:hAnsi="Verdana"/>
                <w:sz w:val="18"/>
                <w:szCs w:val="18"/>
                <w:color w:val="auto"/>
              </w:rPr>
              <w:t>Note</w:t>
            </w:r>
          </w:p>
        </w:tc>
        <w:tc>
          <w:tcPr>
            <w:tcW w:w="8960" w:type="dxa"/>
            <w:vAlign w:val="bottom"/>
          </w:tcPr>
          <w:p>
            <w:pPr>
              <w:ind w:left="100"/>
              <w:spacing w:after="0"/>
              <w:rPr>
                <w:sz w:val="20"/>
                <w:szCs w:val="20"/>
                <w:color w:val="auto"/>
              </w:rPr>
            </w:pPr>
            <w:r>
              <w:rPr>
                <w:rFonts w:ascii="Verdana" w:cs="Verdana" w:eastAsia="Verdana" w:hAnsi="Verdana"/>
                <w:sz w:val="18"/>
                <w:szCs w:val="18"/>
                <w:color w:val="auto"/>
              </w:rPr>
              <w:t>4. Other Real Estate Owned and Other Repossessed Assets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135</w:t>
            </w:r>
          </w:p>
        </w:tc>
      </w:tr>
      <w:tr>
        <w:trPr>
          <w:trHeight w:val="270"/>
        </w:trPr>
        <w:tc>
          <w:tcPr>
            <w:tcW w:w="860" w:type="dxa"/>
            <w:vAlign w:val="bottom"/>
          </w:tcPr>
          <w:p>
            <w:pPr>
              <w:ind w:left="360"/>
              <w:spacing w:after="0"/>
              <w:rPr>
                <w:sz w:val="20"/>
                <w:szCs w:val="20"/>
                <w:color w:val="auto"/>
              </w:rPr>
            </w:pPr>
            <w:r>
              <w:rPr>
                <w:rFonts w:ascii="Verdana" w:cs="Verdana" w:eastAsia="Verdana" w:hAnsi="Verdana"/>
                <w:sz w:val="18"/>
                <w:szCs w:val="18"/>
                <w:color w:val="auto"/>
              </w:rPr>
              <w:t>Note</w:t>
            </w:r>
          </w:p>
        </w:tc>
        <w:tc>
          <w:tcPr>
            <w:tcW w:w="8960" w:type="dxa"/>
            <w:vAlign w:val="bottom"/>
          </w:tcPr>
          <w:p>
            <w:pPr>
              <w:ind w:left="100"/>
              <w:spacing w:after="0"/>
              <w:rPr>
                <w:sz w:val="20"/>
                <w:szCs w:val="20"/>
                <w:color w:val="auto"/>
              </w:rPr>
            </w:pPr>
            <w:r>
              <w:rPr>
                <w:rFonts w:ascii="Verdana" w:cs="Verdana" w:eastAsia="Verdana" w:hAnsi="Verdana"/>
                <w:sz w:val="18"/>
                <w:szCs w:val="18"/>
                <w:color w:val="auto"/>
              </w:rPr>
              <w:t>5. Premises and Equipment</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136</w:t>
            </w:r>
          </w:p>
        </w:tc>
      </w:tr>
      <w:tr>
        <w:trPr>
          <w:trHeight w:val="270"/>
        </w:trPr>
        <w:tc>
          <w:tcPr>
            <w:tcW w:w="860" w:type="dxa"/>
            <w:vAlign w:val="bottom"/>
          </w:tcPr>
          <w:p>
            <w:pPr>
              <w:ind w:left="360"/>
              <w:spacing w:after="0"/>
              <w:rPr>
                <w:sz w:val="20"/>
                <w:szCs w:val="20"/>
                <w:color w:val="auto"/>
              </w:rPr>
            </w:pPr>
            <w:r>
              <w:rPr>
                <w:rFonts w:ascii="Verdana" w:cs="Verdana" w:eastAsia="Verdana" w:hAnsi="Verdana"/>
                <w:sz w:val="18"/>
                <w:szCs w:val="18"/>
                <w:color w:val="auto"/>
              </w:rPr>
              <w:t>Note</w:t>
            </w:r>
          </w:p>
        </w:tc>
        <w:tc>
          <w:tcPr>
            <w:tcW w:w="8960" w:type="dxa"/>
            <w:vAlign w:val="bottom"/>
          </w:tcPr>
          <w:p>
            <w:pPr>
              <w:ind w:left="100"/>
              <w:spacing w:after="0"/>
              <w:rPr>
                <w:sz w:val="20"/>
                <w:szCs w:val="20"/>
                <w:color w:val="auto"/>
              </w:rPr>
            </w:pPr>
            <w:r>
              <w:rPr>
                <w:rFonts w:ascii="Verdana" w:cs="Verdana" w:eastAsia="Verdana" w:hAnsi="Verdana"/>
                <w:sz w:val="18"/>
                <w:szCs w:val="18"/>
                <w:color w:val="auto"/>
              </w:rPr>
              <w:t>6. Leases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136</w:t>
            </w:r>
          </w:p>
        </w:tc>
      </w:tr>
      <w:tr>
        <w:trPr>
          <w:trHeight w:val="270"/>
        </w:trPr>
        <w:tc>
          <w:tcPr>
            <w:tcW w:w="860" w:type="dxa"/>
            <w:vAlign w:val="bottom"/>
          </w:tcPr>
          <w:p>
            <w:pPr>
              <w:ind w:left="360"/>
              <w:spacing w:after="0"/>
              <w:rPr>
                <w:sz w:val="20"/>
                <w:szCs w:val="20"/>
                <w:color w:val="auto"/>
              </w:rPr>
            </w:pPr>
            <w:r>
              <w:rPr>
                <w:rFonts w:ascii="Verdana" w:cs="Verdana" w:eastAsia="Verdana" w:hAnsi="Verdana"/>
                <w:sz w:val="18"/>
                <w:szCs w:val="18"/>
                <w:color w:val="auto"/>
              </w:rPr>
              <w:t>Note</w:t>
            </w:r>
          </w:p>
        </w:tc>
        <w:tc>
          <w:tcPr>
            <w:tcW w:w="8960" w:type="dxa"/>
            <w:vAlign w:val="bottom"/>
          </w:tcPr>
          <w:p>
            <w:pPr>
              <w:ind w:left="100"/>
              <w:spacing w:after="0"/>
              <w:rPr>
                <w:sz w:val="20"/>
                <w:szCs w:val="20"/>
                <w:color w:val="auto"/>
              </w:rPr>
            </w:pPr>
            <w:r>
              <w:rPr>
                <w:rFonts w:ascii="Verdana" w:cs="Verdana" w:eastAsia="Verdana" w:hAnsi="Verdana"/>
                <w:sz w:val="18"/>
                <w:szCs w:val="18"/>
                <w:color w:val="auto"/>
              </w:rPr>
              <w:t>7. Goodwill and Other Intangible Assets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138</w:t>
            </w:r>
          </w:p>
        </w:tc>
      </w:tr>
      <w:tr>
        <w:trPr>
          <w:trHeight w:val="270"/>
        </w:trPr>
        <w:tc>
          <w:tcPr>
            <w:tcW w:w="860" w:type="dxa"/>
            <w:vAlign w:val="bottom"/>
          </w:tcPr>
          <w:p>
            <w:pPr>
              <w:ind w:left="360"/>
              <w:spacing w:after="0"/>
              <w:rPr>
                <w:sz w:val="20"/>
                <w:szCs w:val="20"/>
                <w:color w:val="auto"/>
              </w:rPr>
            </w:pPr>
            <w:r>
              <w:rPr>
                <w:rFonts w:ascii="Verdana" w:cs="Verdana" w:eastAsia="Verdana" w:hAnsi="Verdana"/>
                <w:sz w:val="18"/>
                <w:szCs w:val="18"/>
                <w:color w:val="auto"/>
              </w:rPr>
              <w:t>Note</w:t>
            </w:r>
          </w:p>
        </w:tc>
        <w:tc>
          <w:tcPr>
            <w:tcW w:w="8960" w:type="dxa"/>
            <w:vAlign w:val="bottom"/>
          </w:tcPr>
          <w:p>
            <w:pPr>
              <w:ind w:left="100"/>
              <w:spacing w:after="0"/>
              <w:rPr>
                <w:sz w:val="20"/>
                <w:szCs w:val="20"/>
                <w:color w:val="auto"/>
              </w:rPr>
            </w:pPr>
            <w:r>
              <w:rPr>
                <w:rFonts w:ascii="Verdana" w:cs="Verdana" w:eastAsia="Verdana" w:hAnsi="Verdana"/>
                <w:sz w:val="18"/>
                <w:szCs w:val="18"/>
                <w:color w:val="auto"/>
              </w:rPr>
              <w:t>8. Deposits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139</w:t>
            </w:r>
          </w:p>
        </w:tc>
      </w:tr>
      <w:tr>
        <w:trPr>
          <w:trHeight w:val="270"/>
        </w:trPr>
        <w:tc>
          <w:tcPr>
            <w:tcW w:w="860" w:type="dxa"/>
            <w:vAlign w:val="bottom"/>
          </w:tcPr>
          <w:p>
            <w:pPr>
              <w:ind w:left="360"/>
              <w:spacing w:after="0"/>
              <w:rPr>
                <w:sz w:val="20"/>
                <w:szCs w:val="20"/>
                <w:color w:val="auto"/>
              </w:rPr>
            </w:pPr>
            <w:r>
              <w:rPr>
                <w:rFonts w:ascii="Verdana" w:cs="Verdana" w:eastAsia="Verdana" w:hAnsi="Verdana"/>
                <w:sz w:val="18"/>
                <w:szCs w:val="18"/>
                <w:color w:val="auto"/>
              </w:rPr>
              <w:t>Note</w:t>
            </w:r>
          </w:p>
        </w:tc>
        <w:tc>
          <w:tcPr>
            <w:tcW w:w="8960" w:type="dxa"/>
            <w:vAlign w:val="bottom"/>
          </w:tcPr>
          <w:p>
            <w:pPr>
              <w:ind w:left="100"/>
              <w:spacing w:after="0"/>
              <w:rPr>
                <w:sz w:val="20"/>
                <w:szCs w:val="20"/>
                <w:color w:val="auto"/>
              </w:rPr>
            </w:pPr>
            <w:r>
              <w:rPr>
                <w:rFonts w:ascii="Verdana" w:cs="Verdana" w:eastAsia="Verdana" w:hAnsi="Verdana"/>
                <w:sz w:val="18"/>
                <w:szCs w:val="18"/>
                <w:color w:val="auto"/>
              </w:rPr>
              <w:t>9. Borrowings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140</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10. Junior Subordinated Debt Owed to Unconsolidated Trusts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142</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11. Regulatory Capital</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143</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12. Income Taxes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146</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13. Employee Benefit Plans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148</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14. Stock-based Compensation</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149</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15. Transactions with Related Parties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153</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16. Outstanding Commitments and Contingent Liabilities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153</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17. Derivative Financial Instruments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154</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18. Fair Value Measurements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161</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19. Earnings Per Share</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167</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20. Accumulated Other Comprehensive Income (Loss)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168</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21. Operating Segments and Related Information</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170</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22. Parent Company Only Financial Information</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173</w:t>
            </w:r>
          </w:p>
        </w:tc>
      </w:tr>
      <w:tr>
        <w:trPr>
          <w:trHeight w:val="270"/>
        </w:trPr>
        <w:tc>
          <w:tcPr>
            <w:tcW w:w="9820" w:type="dxa"/>
            <w:vAlign w:val="bottom"/>
            <w:gridSpan w:val="2"/>
          </w:tcPr>
          <w:p>
            <w:pPr>
              <w:ind w:left="360"/>
              <w:spacing w:after="0"/>
              <w:rPr>
                <w:sz w:val="20"/>
                <w:szCs w:val="20"/>
                <w:color w:val="auto"/>
              </w:rPr>
            </w:pPr>
            <w:r>
              <w:rPr>
                <w:rFonts w:ascii="Verdana" w:cs="Verdana" w:eastAsia="Verdana" w:hAnsi="Verdana"/>
                <w:sz w:val="18"/>
                <w:szCs w:val="18"/>
                <w:color w:val="auto"/>
              </w:rPr>
              <w:t>Note 23. Acquisitions</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176</w:t>
            </w:r>
          </w:p>
        </w:tc>
      </w:tr>
    </w:tbl>
    <w:p>
      <w:pPr>
        <w:spacing w:after="0" w:line="33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1" w:name="page92"/>
    <w:bookmarkEnd w:id="9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First Busey Corporation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audited the accompanying consolidated balance sheets of First Busey Corporation and its subsidiaries (the Company) as of December 31, 2023 and 2022, the related consolidated statements of income, comprehensive income (loss), stockholders' equity and cash flows for each of the three years in the period ended December 31, 2023, and the related notes to the consolidated financial statements (collectively,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12"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in 2013, and our report dated February 22,</w:t>
      </w:r>
      <w:r>
        <w:rPr>
          <w:rFonts w:ascii="Arial" w:cs="Arial" w:eastAsia="Arial" w:hAnsi="Arial"/>
          <w:sz w:val="18"/>
          <w:szCs w:val="18"/>
          <w:i w:val="1"/>
          <w:iCs w:val="1"/>
          <w:color w:val="auto"/>
        </w:rPr>
        <w:t xml:space="preserve"> </w:t>
      </w:r>
      <w:r>
        <w:rPr>
          <w:rFonts w:ascii="Arial" w:cs="Arial" w:eastAsia="Arial" w:hAnsi="Arial"/>
          <w:sz w:val="18"/>
          <w:szCs w:val="18"/>
          <w:color w:val="auto"/>
        </w:rPr>
        <w:t>2024, expressed an unqualified opinion on the effectiveness of the Company's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2" w:name="page93"/>
    <w:bookmarkEnd w:id="9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on Loans—Adjustments to Historical Loss Factors</w:t>
      </w:r>
    </w:p>
    <w:p>
      <w:pPr>
        <w:spacing w:after="0" w:line="25" w:lineRule="exact"/>
        <w:rPr>
          <w:sz w:val="20"/>
          <w:szCs w:val="20"/>
          <w:color w:val="auto"/>
        </w:rPr>
      </w:pPr>
    </w:p>
    <w:p>
      <w:pPr>
        <w:ind w:right="20"/>
        <w:spacing w:after="0" w:line="217" w:lineRule="exact"/>
        <w:rPr>
          <w:sz w:val="20"/>
          <w:szCs w:val="20"/>
          <w:color w:val="auto"/>
        </w:rPr>
      </w:pPr>
      <w:r>
        <w:rPr>
          <w:rFonts w:ascii="Arial" w:cs="Arial" w:eastAsia="Arial" w:hAnsi="Arial"/>
          <w:sz w:val="18"/>
          <w:szCs w:val="18"/>
          <w:color w:val="auto"/>
        </w:rPr>
        <w:t>As described in Notes 1 and 3 to the financial statements, the Company’s allowance for credit losses totaled $ 91.7 million, which consists of a reserve on loans collectively evaluated for impairment (a/k/a general reserve) of $90.8 million and a reserve on loans individually evaluated (a/k/a specific reserve) of $.9 million at December 31, 2023. The allowance for credit losses is measured on a collective loan pool basis when similar risk characteristics exist.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 xml:space="preserve"> case basis, a loan may be evaluated on an individual basis based on disparate risk characteristics. The measurement of expected credit losses on collectively evaluated loans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w:t>
      </w:r>
      <w:r>
        <w:rPr>
          <w:rFonts w:ascii="MS PGothic" w:cs="MS PGothic" w:eastAsia="MS PGothic" w:hAnsi="MS PGothic"/>
          <w:sz w:val="18"/>
          <w:szCs w:val="18"/>
          <w:color w:val="auto"/>
        </w:rPr>
        <w:t>‑</w:t>
      </w:r>
      <w:r>
        <w:rPr>
          <w:rFonts w:ascii="Arial" w:cs="Arial" w:eastAsia="Arial" w:hAnsi="Arial"/>
          <w:sz w:val="18"/>
          <w:szCs w:val="18"/>
          <w:color w:val="auto"/>
        </w:rPr>
        <w:t>specific risk characteristics such as differences in underwriting standards, portfolio mix, delinquency level, or term as well as for changes in environmental conditions such as changes in unemployment rates, property values and other relevant factors. The calculation also contemplates that the Company may not be able to make or obtain such forecasts for the entire life of the financial assets and requires a reversion to historical credit loss information.</w:t>
      </w:r>
    </w:p>
    <w:p>
      <w:pPr>
        <w:spacing w:after="0" w:line="22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identified the adjustments to historical loss factors component of the allowance for credit losses as a critical audit matter, as auditing the underlying adjustments required significant auditor judgment as amounts determined by management rely on analysis that is highly subjective and includes significant estimation uncertainty.</w:t>
      </w:r>
    </w:p>
    <w:p>
      <w:pPr>
        <w:spacing w:after="0" w:line="19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Our audit procedures related to the adjustments to historical factors within the allowance for credit losses include the following, among others:</w:t>
      </w:r>
    </w:p>
    <w:p>
      <w:pPr>
        <w:spacing w:after="0" w:line="180" w:lineRule="exact"/>
        <w:rPr>
          <w:sz w:val="20"/>
          <w:szCs w:val="20"/>
          <w:color w:val="auto"/>
        </w:rPr>
      </w:pPr>
    </w:p>
    <w:p>
      <w:pPr>
        <w:ind w:left="340" w:right="180" w:hanging="332"/>
        <w:spacing w:after="0" w:line="28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the adjustments to historical factors in the calculation of the allowance for credit losses and tested such controls for design and operating effectiveness.</w:t>
      </w:r>
    </w:p>
    <w:p>
      <w:pPr>
        <w:spacing w:after="0" w:line="179"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tested the completeness and accuracy of data used by management in determining adjustments to historical loss factors including testing the supporting data for agreement to internal or external source data.</w:t>
      </w:r>
    </w:p>
    <w:p>
      <w:pPr>
        <w:spacing w:after="0" w:line="179" w:lineRule="exact"/>
        <w:rPr>
          <w:rFonts w:ascii="Arial" w:cs="Arial" w:eastAsia="Arial" w:hAnsi="Arial"/>
          <w:sz w:val="18"/>
          <w:szCs w:val="18"/>
          <w:color w:val="auto"/>
        </w:rPr>
      </w:pPr>
    </w:p>
    <w:p>
      <w:pPr>
        <w:ind w:left="340" w:right="1000" w:hanging="332"/>
        <w:spacing w:after="0" w:line="28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tested management’s conclusions regarding the appropriateness of the adjustments, including magnitude and directional consistency, to historical loss factors included in the allowance for credit losses calculation.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or our predecessor firms have served as the Company’s auditor since at least 1980; however, an earlier year could not be established.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5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3" w:name="page94"/>
    <w:bookmarkEnd w:id="9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4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CONSOLIDATED FINANCIAL STATEMENTS</w:t>
      </w:r>
    </w:p>
    <w:p>
      <w:pPr>
        <w:jc w:val="center"/>
        <w:spacing w:after="0" w:line="236" w:lineRule="auto"/>
        <w:rPr>
          <w:sz w:val="20"/>
          <w:szCs w:val="20"/>
          <w:color w:val="auto"/>
        </w:rPr>
      </w:pPr>
      <w:r>
        <w:rPr>
          <w:rFonts w:ascii="Verdana" w:cs="Verdana" w:eastAsia="Verdana" w:hAnsi="Verdana"/>
          <w:sz w:val="18"/>
          <w:szCs w:val="18"/>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777"/>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438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E0E7ED"/>
            </w:tcBorders>
          </w:tcPr>
          <w:p>
            <w:pPr>
              <w:spacing w:after="0"/>
              <w:rPr>
                <w:sz w:val="14"/>
                <w:szCs w:val="14"/>
                <w:color w:val="auto"/>
              </w:rPr>
            </w:pPr>
          </w:p>
        </w:tc>
        <w:tc>
          <w:tcPr>
            <w:tcW w:w="160" w:type="dxa"/>
            <w:vAlign w:val="bottom"/>
            <w:tcBorders>
              <w:bottom w:val="single" w:sz="8" w:color="E0E7ED"/>
            </w:tcBorders>
          </w:tcPr>
          <w:p>
            <w:pPr>
              <w:spacing w:after="0"/>
              <w:rPr>
                <w:sz w:val="14"/>
                <w:szCs w:val="14"/>
                <w:color w:val="auto"/>
              </w:rPr>
            </w:pPr>
          </w:p>
        </w:tc>
        <w:tc>
          <w:tcPr>
            <w:tcW w:w="312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2022</w:t>
            </w:r>
          </w:p>
        </w:tc>
      </w:tr>
      <w:tr>
        <w:trPr>
          <w:trHeight w:val="161"/>
        </w:trPr>
        <w:tc>
          <w:tcPr>
            <w:tcW w:w="8060" w:type="dxa"/>
            <w:vAlign w:val="bottom"/>
            <w:gridSpan w:val="5"/>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Assets</w:t>
            </w: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r>
      <w:tr>
        <w:trPr>
          <w:trHeight w:val="170"/>
        </w:trPr>
        <w:tc>
          <w:tcPr>
            <w:tcW w:w="8060" w:type="dxa"/>
            <w:vAlign w:val="bottom"/>
            <w:gridSpan w:val="5"/>
          </w:tcPr>
          <w:p>
            <w:pPr>
              <w:ind w:left="180"/>
              <w:spacing w:after="0"/>
              <w:rPr>
                <w:sz w:val="20"/>
                <w:szCs w:val="20"/>
                <w:color w:val="auto"/>
              </w:rPr>
            </w:pPr>
            <w:r>
              <w:rPr>
                <w:rFonts w:ascii="Verdana" w:cs="Verdana" w:eastAsia="Verdana" w:hAnsi="Verdana"/>
                <w:sz w:val="13"/>
                <w:szCs w:val="13"/>
                <w:color w:val="auto"/>
              </w:rPr>
              <w:t>Cash and cash equivalents: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1"/>
        </w:trPr>
        <w:tc>
          <w:tcPr>
            <w:tcW w:w="806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Cash and due from banks</w:t>
            </w: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134,680</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117,513</w:t>
            </w:r>
          </w:p>
        </w:tc>
      </w:tr>
      <w:tr>
        <w:trPr>
          <w:trHeight w:val="170"/>
        </w:trPr>
        <w:tc>
          <w:tcPr>
            <w:tcW w:w="806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Interest-bearing deposits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584,901</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109,651</w:t>
            </w:r>
          </w:p>
        </w:tc>
      </w:tr>
      <w:tr>
        <w:trPr>
          <w:trHeight w:val="174"/>
        </w:trPr>
        <w:tc>
          <w:tcPr>
            <w:tcW w:w="806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Total cash and cash equivalents</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719,581</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227,164</w:t>
            </w:r>
          </w:p>
        </w:tc>
      </w:tr>
      <w:tr>
        <w:trPr>
          <w:trHeight w:val="175"/>
        </w:trPr>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806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Debt securities available for sale</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2,087,571</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2,461,393</w:t>
            </w:r>
          </w:p>
        </w:tc>
      </w:tr>
      <w:tr>
        <w:trPr>
          <w:trHeight w:val="170"/>
        </w:trPr>
        <w:tc>
          <w:tcPr>
            <w:tcW w:w="8060" w:type="dxa"/>
            <w:vAlign w:val="bottom"/>
            <w:gridSpan w:val="5"/>
          </w:tcPr>
          <w:p>
            <w:pPr>
              <w:ind w:left="180"/>
              <w:spacing w:after="0"/>
              <w:rPr>
                <w:sz w:val="20"/>
                <w:szCs w:val="20"/>
                <w:color w:val="auto"/>
              </w:rPr>
            </w:pPr>
            <w:r>
              <w:rPr>
                <w:rFonts w:ascii="Verdana" w:cs="Verdana" w:eastAsia="Verdana" w:hAnsi="Verdana"/>
                <w:sz w:val="13"/>
                <w:szCs w:val="13"/>
                <w:color w:val="auto"/>
              </w:rPr>
              <w:t>Debt securities held to maturity</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872,628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918,312</w:t>
            </w:r>
          </w:p>
        </w:tc>
      </w:tr>
      <w:tr>
        <w:trPr>
          <w:trHeight w:val="181"/>
        </w:trPr>
        <w:tc>
          <w:tcPr>
            <w:tcW w:w="806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Equity securities</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9,812</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11,535</w:t>
            </w:r>
          </w:p>
        </w:tc>
      </w:tr>
      <w:tr>
        <w:trPr>
          <w:trHeight w:val="170"/>
        </w:trPr>
        <w:tc>
          <w:tcPr>
            <w:tcW w:w="8060" w:type="dxa"/>
            <w:vAlign w:val="bottom"/>
            <w:gridSpan w:val="5"/>
          </w:tcPr>
          <w:p>
            <w:pPr>
              <w:ind w:left="180"/>
              <w:spacing w:after="0"/>
              <w:rPr>
                <w:sz w:val="20"/>
                <w:szCs w:val="20"/>
                <w:color w:val="auto"/>
              </w:rPr>
            </w:pPr>
            <w:r>
              <w:rPr>
                <w:rFonts w:ascii="Verdana" w:cs="Verdana" w:eastAsia="Verdana" w:hAnsi="Verdana"/>
                <w:sz w:val="13"/>
                <w:szCs w:val="13"/>
                <w:color w:val="auto"/>
              </w:rPr>
              <w:t>Loans held for sale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2,379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1,253</w:t>
            </w:r>
          </w:p>
        </w:tc>
      </w:tr>
      <w:tr>
        <w:trPr>
          <w:trHeight w:val="181"/>
        </w:trPr>
        <w:tc>
          <w:tcPr>
            <w:tcW w:w="806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Portfolio loans (net of ACL of $91,740 at December 31, 2023; $91,608 at December 31, 2022)</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7,559,294</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7,634,094</w:t>
            </w:r>
          </w:p>
        </w:tc>
      </w:tr>
      <w:tr>
        <w:trPr>
          <w:trHeight w:val="170"/>
        </w:trPr>
        <w:tc>
          <w:tcPr>
            <w:tcW w:w="8060" w:type="dxa"/>
            <w:vAlign w:val="bottom"/>
            <w:gridSpan w:val="5"/>
          </w:tcPr>
          <w:p>
            <w:pPr>
              <w:ind w:left="180"/>
              <w:spacing w:after="0"/>
              <w:rPr>
                <w:sz w:val="20"/>
                <w:szCs w:val="20"/>
                <w:color w:val="auto"/>
              </w:rPr>
            </w:pPr>
            <w:r>
              <w:rPr>
                <w:rFonts w:ascii="Verdana" w:cs="Verdana" w:eastAsia="Verdana" w:hAnsi="Verdana"/>
                <w:sz w:val="13"/>
                <w:szCs w:val="13"/>
                <w:color w:val="auto"/>
              </w:rPr>
              <w:t>Premises and equipment, net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122,594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126,524</w:t>
            </w:r>
          </w:p>
        </w:tc>
      </w:tr>
      <w:tr>
        <w:trPr>
          <w:trHeight w:val="181"/>
        </w:trPr>
        <w:tc>
          <w:tcPr>
            <w:tcW w:w="806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Right of use assets</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11,027</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12,829</w:t>
            </w:r>
          </w:p>
        </w:tc>
      </w:tr>
      <w:tr>
        <w:trPr>
          <w:trHeight w:val="170"/>
        </w:trPr>
        <w:tc>
          <w:tcPr>
            <w:tcW w:w="8060" w:type="dxa"/>
            <w:vAlign w:val="bottom"/>
            <w:gridSpan w:val="5"/>
          </w:tcPr>
          <w:p>
            <w:pPr>
              <w:ind w:left="180"/>
              <w:spacing w:after="0"/>
              <w:rPr>
                <w:sz w:val="20"/>
                <w:szCs w:val="20"/>
                <w:color w:val="auto"/>
              </w:rPr>
            </w:pPr>
            <w:r>
              <w:rPr>
                <w:rFonts w:ascii="Verdana" w:cs="Verdana" w:eastAsia="Verdana" w:hAnsi="Verdana"/>
                <w:sz w:val="13"/>
                <w:szCs w:val="13"/>
                <w:color w:val="auto"/>
              </w:rPr>
              <w:t>Goodwill</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317,873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317,873</w:t>
            </w:r>
          </w:p>
        </w:tc>
      </w:tr>
      <w:tr>
        <w:trPr>
          <w:trHeight w:val="181"/>
        </w:trPr>
        <w:tc>
          <w:tcPr>
            <w:tcW w:w="806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Other intangible assets, net</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35,991</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46,423</w:t>
            </w:r>
          </w:p>
        </w:tc>
      </w:tr>
      <w:tr>
        <w:trPr>
          <w:trHeight w:val="170"/>
        </w:trPr>
        <w:tc>
          <w:tcPr>
            <w:tcW w:w="8060" w:type="dxa"/>
            <w:vAlign w:val="bottom"/>
            <w:gridSpan w:val="5"/>
          </w:tcPr>
          <w:p>
            <w:pPr>
              <w:ind w:left="180"/>
              <w:spacing w:after="0"/>
              <w:rPr>
                <w:sz w:val="20"/>
                <w:szCs w:val="20"/>
                <w:color w:val="auto"/>
              </w:rPr>
            </w:pPr>
            <w:r>
              <w:rPr>
                <w:rFonts w:ascii="Verdana" w:cs="Verdana" w:eastAsia="Verdana" w:hAnsi="Verdana"/>
                <w:sz w:val="13"/>
                <w:szCs w:val="13"/>
                <w:color w:val="auto"/>
              </w:rPr>
              <w:t>Cash surrender value of bank owned life insurance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182,975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180,485</w:t>
            </w:r>
          </w:p>
        </w:tc>
      </w:tr>
      <w:tr>
        <w:trPr>
          <w:trHeight w:val="176"/>
        </w:trPr>
        <w:tc>
          <w:tcPr>
            <w:tcW w:w="806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Other assets</w:t>
            </w: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361,690</w:t>
            </w:r>
          </w:p>
        </w:tc>
        <w:tc>
          <w:tcPr>
            <w:tcW w:w="10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398,792</w:t>
            </w:r>
          </w:p>
        </w:tc>
      </w:tr>
      <w:tr>
        <w:trPr>
          <w:trHeight w:val="174"/>
        </w:trPr>
        <w:tc>
          <w:tcPr>
            <w:tcW w:w="8060" w:type="dxa"/>
            <w:vAlign w:val="bottom"/>
            <w:gridSpan w:val="5"/>
          </w:tcPr>
          <w:p>
            <w:pPr>
              <w:ind w:left="20"/>
              <w:spacing w:after="0"/>
              <w:rPr>
                <w:sz w:val="20"/>
                <w:szCs w:val="20"/>
                <w:color w:val="auto"/>
              </w:rPr>
            </w:pPr>
            <w:r>
              <w:rPr>
                <w:rFonts w:ascii="Verdana" w:cs="Verdana" w:eastAsia="Verdana" w:hAnsi="Verdana"/>
                <w:sz w:val="13"/>
                <w:szCs w:val="13"/>
                <w:color w:val="auto"/>
              </w:rPr>
              <w:t>Total assets</w:t>
            </w:r>
          </w:p>
        </w:tc>
        <w:tc>
          <w:tcPr>
            <w:tcW w:w="340" w:type="dxa"/>
            <w:vAlign w:val="bottom"/>
            <w:tcBorders>
              <w:bottom w:val="single" w:sz="8" w:color="auto"/>
            </w:tcBorders>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12,283,415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12,336,677</w:t>
            </w:r>
          </w:p>
        </w:tc>
      </w:tr>
      <w:tr>
        <w:trPr>
          <w:trHeight w:val="20"/>
        </w:trPr>
        <w:tc>
          <w:tcPr>
            <w:tcW w:w="43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312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3"/>
        </w:trPr>
        <w:tc>
          <w:tcPr>
            <w:tcW w:w="43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312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r>
      <w:tr>
        <w:trPr>
          <w:trHeight w:val="170"/>
        </w:trPr>
        <w:tc>
          <w:tcPr>
            <w:tcW w:w="8060" w:type="dxa"/>
            <w:vAlign w:val="bottom"/>
            <w:gridSpan w:val="5"/>
          </w:tcPr>
          <w:p>
            <w:pPr>
              <w:ind w:left="20"/>
              <w:spacing w:after="0"/>
              <w:rPr>
                <w:sz w:val="20"/>
                <w:szCs w:val="20"/>
                <w:color w:val="auto"/>
              </w:rPr>
            </w:pPr>
            <w:r>
              <w:rPr>
                <w:rFonts w:ascii="Verdana" w:cs="Verdana" w:eastAsia="Verdana" w:hAnsi="Verdana"/>
                <w:sz w:val="13"/>
                <w:szCs w:val="13"/>
                <w:b w:val="1"/>
                <w:bCs w:val="1"/>
                <w:color w:val="auto"/>
              </w:rPr>
              <w:t>Liabilities and stockholders’ equity</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1"/>
        </w:trPr>
        <w:tc>
          <w:tcPr>
            <w:tcW w:w="806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b w:val="1"/>
                <w:bCs w:val="1"/>
                <w:color w:val="auto"/>
              </w:rPr>
              <w:t>Liabilities</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r>
      <w:tr>
        <w:trPr>
          <w:trHeight w:val="170"/>
        </w:trPr>
        <w:tc>
          <w:tcPr>
            <w:tcW w:w="8060" w:type="dxa"/>
            <w:vAlign w:val="bottom"/>
            <w:gridSpan w:val="5"/>
          </w:tcPr>
          <w:p>
            <w:pPr>
              <w:ind w:left="340"/>
              <w:spacing w:after="0"/>
              <w:rPr>
                <w:sz w:val="20"/>
                <w:szCs w:val="20"/>
                <w:color w:val="auto"/>
              </w:rPr>
            </w:pPr>
            <w:r>
              <w:rPr>
                <w:rFonts w:ascii="Verdana" w:cs="Verdana" w:eastAsia="Verdana" w:hAnsi="Verdana"/>
                <w:sz w:val="13"/>
                <w:szCs w:val="13"/>
                <w:color w:val="auto"/>
              </w:rPr>
              <w:t>Deposits: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1"/>
        </w:trPr>
        <w:tc>
          <w:tcPr>
            <w:tcW w:w="8060" w:type="dxa"/>
            <w:vAlign w:val="bottom"/>
            <w:gridSpan w:val="5"/>
            <w:shd w:val="clear" w:color="auto" w:fill="E0E7ED"/>
          </w:tcPr>
          <w:p>
            <w:pPr>
              <w:ind w:left="500"/>
              <w:spacing w:after="0"/>
              <w:rPr>
                <w:sz w:val="20"/>
                <w:szCs w:val="20"/>
                <w:color w:val="auto"/>
              </w:rPr>
            </w:pPr>
            <w:r>
              <w:rPr>
                <w:rFonts w:ascii="Verdana" w:cs="Verdana" w:eastAsia="Verdana" w:hAnsi="Verdana"/>
                <w:sz w:val="13"/>
                <w:szCs w:val="13"/>
                <w:color w:val="auto"/>
              </w:rPr>
              <w:t>Noninterest-bearing</w:t>
            </w: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2,834,655</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3,393,666</w:t>
            </w:r>
          </w:p>
        </w:tc>
      </w:tr>
      <w:tr>
        <w:trPr>
          <w:trHeight w:val="170"/>
        </w:trPr>
        <w:tc>
          <w:tcPr>
            <w:tcW w:w="8060" w:type="dxa"/>
            <w:vAlign w:val="bottom"/>
            <w:tcBorders>
              <w:bottom w:val="single" w:sz="8" w:color="E0E7ED"/>
            </w:tcBorders>
            <w:gridSpan w:val="5"/>
          </w:tcPr>
          <w:p>
            <w:pPr>
              <w:ind w:left="500"/>
              <w:spacing w:after="0"/>
              <w:rPr>
                <w:sz w:val="20"/>
                <w:szCs w:val="20"/>
                <w:color w:val="auto"/>
              </w:rPr>
            </w:pPr>
            <w:r>
              <w:rPr>
                <w:rFonts w:ascii="Verdana" w:cs="Verdana" w:eastAsia="Verdana" w:hAnsi="Verdana"/>
                <w:sz w:val="13"/>
                <w:szCs w:val="13"/>
                <w:color w:val="auto"/>
              </w:rPr>
              <w:t>Interest-bearing</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7,456,501</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6,677,614</w:t>
            </w:r>
          </w:p>
        </w:tc>
      </w:tr>
      <w:tr>
        <w:trPr>
          <w:trHeight w:val="174"/>
        </w:trPr>
        <w:tc>
          <w:tcPr>
            <w:tcW w:w="806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Total deposits</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10,291,156</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10,071,280</w:t>
            </w:r>
          </w:p>
        </w:tc>
      </w:tr>
      <w:tr>
        <w:trPr>
          <w:trHeight w:val="175"/>
        </w:trPr>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806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Securities sold under agreements to repurchase</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187,396</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229,806</w:t>
            </w:r>
          </w:p>
        </w:tc>
      </w:tr>
      <w:tr>
        <w:trPr>
          <w:trHeight w:val="170"/>
        </w:trPr>
        <w:tc>
          <w:tcPr>
            <w:tcW w:w="8060" w:type="dxa"/>
            <w:vAlign w:val="bottom"/>
            <w:gridSpan w:val="5"/>
          </w:tcPr>
          <w:p>
            <w:pPr>
              <w:ind w:left="340"/>
              <w:spacing w:after="0"/>
              <w:rPr>
                <w:sz w:val="20"/>
                <w:szCs w:val="20"/>
                <w:color w:val="auto"/>
              </w:rPr>
            </w:pPr>
            <w:r>
              <w:rPr>
                <w:rFonts w:ascii="Verdana" w:cs="Verdana" w:eastAsia="Verdana" w:hAnsi="Verdana"/>
                <w:sz w:val="13"/>
                <w:szCs w:val="13"/>
                <w:color w:val="auto"/>
              </w:rPr>
              <w:t>Short-term borrowings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12,000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351,054</w:t>
            </w:r>
          </w:p>
        </w:tc>
      </w:tr>
      <w:tr>
        <w:trPr>
          <w:trHeight w:val="181"/>
        </w:trPr>
        <w:tc>
          <w:tcPr>
            <w:tcW w:w="806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Long-term debt</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18,000</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30,000</w:t>
            </w:r>
          </w:p>
        </w:tc>
      </w:tr>
      <w:tr>
        <w:trPr>
          <w:trHeight w:val="170"/>
        </w:trPr>
        <w:tc>
          <w:tcPr>
            <w:tcW w:w="8060" w:type="dxa"/>
            <w:vAlign w:val="bottom"/>
            <w:gridSpan w:val="5"/>
          </w:tcPr>
          <w:p>
            <w:pPr>
              <w:ind w:left="340"/>
              <w:spacing w:after="0"/>
              <w:rPr>
                <w:sz w:val="20"/>
                <w:szCs w:val="20"/>
                <w:color w:val="auto"/>
              </w:rPr>
            </w:pPr>
            <w:r>
              <w:rPr>
                <w:rFonts w:ascii="Verdana" w:cs="Verdana" w:eastAsia="Verdana" w:hAnsi="Verdana"/>
                <w:sz w:val="13"/>
                <w:szCs w:val="13"/>
                <w:color w:val="auto"/>
              </w:rPr>
              <w:t>Subordinated notes, net of unamortized issuance costs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222,882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222,038</w:t>
            </w:r>
          </w:p>
        </w:tc>
      </w:tr>
      <w:tr>
        <w:trPr>
          <w:trHeight w:val="181"/>
        </w:trPr>
        <w:tc>
          <w:tcPr>
            <w:tcW w:w="806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Junior subordinated debt owed to unconsolidated trusts</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71,993</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71,810</w:t>
            </w:r>
          </w:p>
        </w:tc>
      </w:tr>
      <w:tr>
        <w:trPr>
          <w:trHeight w:val="170"/>
        </w:trPr>
        <w:tc>
          <w:tcPr>
            <w:tcW w:w="8060" w:type="dxa"/>
            <w:vAlign w:val="bottom"/>
            <w:gridSpan w:val="5"/>
          </w:tcPr>
          <w:p>
            <w:pPr>
              <w:ind w:left="340"/>
              <w:spacing w:after="0"/>
              <w:rPr>
                <w:sz w:val="20"/>
                <w:szCs w:val="20"/>
                <w:color w:val="auto"/>
              </w:rPr>
            </w:pPr>
            <w:r>
              <w:rPr>
                <w:rFonts w:ascii="Verdana" w:cs="Verdana" w:eastAsia="Verdana" w:hAnsi="Verdana"/>
                <w:sz w:val="13"/>
                <w:szCs w:val="13"/>
                <w:color w:val="auto"/>
              </w:rPr>
              <w:t>Lease liabilities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11,308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12,995</w:t>
            </w:r>
          </w:p>
        </w:tc>
      </w:tr>
      <w:tr>
        <w:trPr>
          <w:trHeight w:val="181"/>
        </w:trPr>
        <w:tc>
          <w:tcPr>
            <w:tcW w:w="806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Other liabilities</w:t>
            </w: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196,699</w:t>
            </w:r>
          </w:p>
        </w:tc>
        <w:tc>
          <w:tcPr>
            <w:tcW w:w="10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201,717</w:t>
            </w:r>
          </w:p>
        </w:tc>
      </w:tr>
      <w:tr>
        <w:trPr>
          <w:trHeight w:val="164"/>
        </w:trPr>
        <w:tc>
          <w:tcPr>
            <w:tcW w:w="8060" w:type="dxa"/>
            <w:vAlign w:val="bottom"/>
            <w:tcBorders>
              <w:bottom w:val="single" w:sz="8" w:color="E0E7ED"/>
            </w:tcBorders>
            <w:gridSpan w:val="5"/>
          </w:tcPr>
          <w:p>
            <w:pPr>
              <w:ind w:left="180"/>
              <w:spacing w:after="0" w:line="153" w:lineRule="exact"/>
              <w:rPr>
                <w:sz w:val="20"/>
                <w:szCs w:val="20"/>
                <w:color w:val="auto"/>
              </w:rPr>
            </w:pPr>
            <w:r>
              <w:rPr>
                <w:rFonts w:ascii="Verdana" w:cs="Verdana" w:eastAsia="Verdana" w:hAnsi="Verdana"/>
                <w:sz w:val="13"/>
                <w:szCs w:val="13"/>
                <w:color w:val="auto"/>
              </w:rPr>
              <w:t>Total liabilities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11,011,434</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11,190,700</w:t>
            </w:r>
          </w:p>
        </w:tc>
      </w:tr>
      <w:tr>
        <w:trPr>
          <w:trHeight w:val="161"/>
        </w:trPr>
        <w:tc>
          <w:tcPr>
            <w:tcW w:w="43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60" w:type="dxa"/>
            <w:vAlign w:val="bottom"/>
            <w:shd w:val="clear" w:color="auto" w:fill="E0E7ED"/>
          </w:tcPr>
          <w:p>
            <w:pPr>
              <w:spacing w:after="0"/>
              <w:rPr>
                <w:sz w:val="13"/>
                <w:szCs w:val="13"/>
                <w:color w:val="auto"/>
              </w:rPr>
            </w:pPr>
          </w:p>
        </w:tc>
        <w:tc>
          <w:tcPr>
            <w:tcW w:w="312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r>
      <w:tr>
        <w:trPr>
          <w:trHeight w:val="135"/>
        </w:trPr>
        <w:tc>
          <w:tcPr>
            <w:tcW w:w="8060" w:type="dxa"/>
            <w:vAlign w:val="bottom"/>
            <w:gridSpan w:val="5"/>
          </w:tcPr>
          <w:p>
            <w:pPr>
              <w:ind w:left="340"/>
              <w:spacing w:after="0" w:line="135" w:lineRule="exact"/>
              <w:rPr>
                <w:sz w:val="20"/>
                <w:szCs w:val="20"/>
                <w:color w:val="auto"/>
              </w:rPr>
            </w:pPr>
            <w:r>
              <w:rPr>
                <w:rFonts w:ascii="Verdana" w:cs="Verdana" w:eastAsia="Verdana" w:hAnsi="Verdana"/>
                <w:sz w:val="13"/>
                <w:szCs w:val="13"/>
                <w:color w:val="auto"/>
              </w:rPr>
              <w:t xml:space="preserve">Outstanding commitments and contingent liabilities (see Notes </w:t>
            </w:r>
            <w:r>
              <w:rPr>
                <w:rFonts w:ascii="Verdana" w:cs="Verdana" w:eastAsia="Verdana" w:hAnsi="Verdana"/>
                <w:sz w:val="13"/>
                <w:szCs w:val="13"/>
                <w:color w:val="0000FF"/>
              </w:rPr>
              <w:t>6</w:t>
            </w:r>
            <w:r>
              <w:rPr>
                <w:rFonts w:ascii="Verdana" w:cs="Verdana" w:eastAsia="Verdana" w:hAnsi="Verdana"/>
                <w:sz w:val="13"/>
                <w:szCs w:val="13"/>
                <w:color w:val="auto"/>
              </w:rPr>
              <w:t xml:space="preserve"> and </w:t>
            </w:r>
            <w:r>
              <w:rPr>
                <w:rFonts w:ascii="Verdana" w:cs="Verdana" w:eastAsia="Verdana" w:hAnsi="Verdana"/>
                <w:sz w:val="13"/>
                <w:szCs w:val="13"/>
                <w:color w:val="0000FF"/>
              </w:rPr>
              <w:t>16</w:t>
            </w:r>
            <w:r>
              <w:rPr>
                <w:rFonts w:ascii="Verdana" w:cs="Verdana" w:eastAsia="Verdana" w:hAnsi="Verdana"/>
                <w:sz w:val="13"/>
                <w:szCs w:val="13"/>
                <w:color w:val="auto"/>
              </w:rPr>
              <w: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43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312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r>
      <w:tr>
        <w:trPr>
          <w:trHeight w:val="170"/>
        </w:trPr>
        <w:tc>
          <w:tcPr>
            <w:tcW w:w="806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Stockholders’ equity</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1"/>
        </w:trPr>
        <w:tc>
          <w:tcPr>
            <w:tcW w:w="806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Common stock, ($0.001 par value; 100,000,000 shares authorized)</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w:t>
            </w:r>
          </w:p>
        </w:tc>
      </w:tr>
      <w:tr>
        <w:trPr>
          <w:trHeight w:val="170"/>
        </w:trPr>
        <w:tc>
          <w:tcPr>
            <w:tcW w:w="8060" w:type="dxa"/>
            <w:vAlign w:val="bottom"/>
            <w:gridSpan w:val="5"/>
          </w:tcPr>
          <w:p>
            <w:pPr>
              <w:ind w:left="340"/>
              <w:spacing w:after="0"/>
              <w:rPr>
                <w:sz w:val="20"/>
                <w:szCs w:val="20"/>
                <w:color w:val="auto"/>
              </w:rPr>
            </w:pPr>
            <w:r>
              <w:rPr>
                <w:rFonts w:ascii="Verdana" w:cs="Verdana" w:eastAsia="Verdana" w:hAnsi="Verdana"/>
                <w:sz w:val="13"/>
                <w:szCs w:val="13"/>
                <w:color w:val="auto"/>
              </w:rPr>
              <w:t>Additional paid-in capital</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1,323,595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1,320,980</w:t>
            </w:r>
          </w:p>
        </w:tc>
      </w:tr>
      <w:tr>
        <w:trPr>
          <w:trHeight w:val="181"/>
        </w:trPr>
        <w:tc>
          <w:tcPr>
            <w:tcW w:w="806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Retained earnings</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237,197</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168,769</w:t>
            </w:r>
          </w:p>
        </w:tc>
      </w:tr>
      <w:tr>
        <w:trPr>
          <w:trHeight w:val="170"/>
        </w:trPr>
        <w:tc>
          <w:tcPr>
            <w:tcW w:w="806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AOCI</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(218,803)</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(273,278)</w:t>
            </w:r>
          </w:p>
        </w:tc>
      </w:tr>
      <w:tr>
        <w:trPr>
          <w:trHeight w:val="174"/>
        </w:trPr>
        <w:tc>
          <w:tcPr>
            <w:tcW w:w="806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Total stockholders’ equity before treasury stock</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1,342,047</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1,216,529</w:t>
            </w:r>
          </w:p>
        </w:tc>
      </w:tr>
      <w:tr>
        <w:trPr>
          <w:trHeight w:val="170"/>
        </w:trPr>
        <w:tc>
          <w:tcPr>
            <w:tcW w:w="806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Treasury stock at cost</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(70,066)</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(70,552)</w:t>
            </w:r>
          </w:p>
        </w:tc>
      </w:tr>
      <w:tr>
        <w:trPr>
          <w:trHeight w:val="169"/>
        </w:trPr>
        <w:tc>
          <w:tcPr>
            <w:tcW w:w="806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Total stockholders’ equity</w:t>
            </w:r>
          </w:p>
        </w:tc>
        <w:tc>
          <w:tcPr>
            <w:tcW w:w="340" w:type="dxa"/>
            <w:vAlign w:val="bottom"/>
            <w:tcBorders>
              <w:bottom w:val="single" w:sz="8" w:color="auto"/>
            </w:tcBorders>
            <w:shd w:val="clear" w:color="auto" w:fill="E0E7ED"/>
          </w:tcPr>
          <w:p>
            <w:pPr>
              <w:spacing w:after="0"/>
              <w:rPr>
                <w:sz w:val="14"/>
                <w:szCs w:val="14"/>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1,271,981</w:t>
            </w:r>
          </w:p>
        </w:tc>
        <w:tc>
          <w:tcPr>
            <w:tcW w:w="100" w:type="dxa"/>
            <w:vAlign w:val="bottom"/>
            <w:shd w:val="clear" w:color="auto" w:fill="E0E7ED"/>
          </w:tcPr>
          <w:p>
            <w:pPr>
              <w:spacing w:after="0"/>
              <w:rPr>
                <w:sz w:val="14"/>
                <w:szCs w:val="14"/>
                <w:color w:val="auto"/>
              </w:rPr>
            </w:pPr>
          </w:p>
        </w:tc>
        <w:tc>
          <w:tcPr>
            <w:tcW w:w="340" w:type="dxa"/>
            <w:vAlign w:val="bottom"/>
            <w:tcBorders>
              <w:bottom w:val="single" w:sz="8" w:color="auto"/>
            </w:tcBorders>
            <w:shd w:val="clear" w:color="auto" w:fill="E0E7ED"/>
          </w:tcPr>
          <w:p>
            <w:pPr>
              <w:spacing w:after="0"/>
              <w:rPr>
                <w:sz w:val="14"/>
                <w:szCs w:val="14"/>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1,145,977</w:t>
            </w:r>
          </w:p>
        </w:tc>
      </w:tr>
      <w:tr>
        <w:trPr>
          <w:trHeight w:val="174"/>
        </w:trPr>
        <w:tc>
          <w:tcPr>
            <w:tcW w:w="8060" w:type="dxa"/>
            <w:vAlign w:val="bottom"/>
            <w:gridSpan w:val="5"/>
          </w:tcPr>
          <w:p>
            <w:pPr>
              <w:ind w:left="20"/>
              <w:spacing w:after="0"/>
              <w:rPr>
                <w:sz w:val="20"/>
                <w:szCs w:val="20"/>
                <w:color w:val="auto"/>
              </w:rPr>
            </w:pPr>
            <w:r>
              <w:rPr>
                <w:rFonts w:ascii="Verdana" w:cs="Verdana" w:eastAsia="Verdana" w:hAnsi="Verdana"/>
                <w:sz w:val="13"/>
                <w:szCs w:val="13"/>
                <w:color w:val="auto"/>
              </w:rPr>
              <w:t>Total liabilities and stockholders’ equity</w:t>
            </w:r>
          </w:p>
        </w:tc>
        <w:tc>
          <w:tcPr>
            <w:tcW w:w="340" w:type="dxa"/>
            <w:vAlign w:val="bottom"/>
            <w:tcBorders>
              <w:bottom w:val="single" w:sz="8" w:color="auto"/>
            </w:tcBorders>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12,283,415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12,336,677</w:t>
            </w:r>
          </w:p>
        </w:tc>
      </w:tr>
      <w:tr>
        <w:trPr>
          <w:trHeight w:val="20"/>
        </w:trPr>
        <w:tc>
          <w:tcPr>
            <w:tcW w:w="43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312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3"/>
        </w:trPr>
        <w:tc>
          <w:tcPr>
            <w:tcW w:w="43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312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r>
      <w:tr>
        <w:trPr>
          <w:trHeight w:val="170"/>
        </w:trPr>
        <w:tc>
          <w:tcPr>
            <w:tcW w:w="8060" w:type="dxa"/>
            <w:vAlign w:val="bottom"/>
            <w:gridSpan w:val="5"/>
          </w:tcPr>
          <w:p>
            <w:pPr>
              <w:ind w:left="20"/>
              <w:spacing w:after="0"/>
              <w:rPr>
                <w:sz w:val="20"/>
                <w:szCs w:val="20"/>
                <w:color w:val="auto"/>
              </w:rPr>
            </w:pPr>
            <w:r>
              <w:rPr>
                <w:rFonts w:ascii="Verdana" w:cs="Verdana" w:eastAsia="Verdana" w:hAnsi="Verdana"/>
                <w:sz w:val="13"/>
                <w:szCs w:val="13"/>
                <w:b w:val="1"/>
                <w:bCs w:val="1"/>
                <w:color w:val="auto"/>
              </w:rPr>
              <w:t>Shares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1"/>
        </w:trPr>
        <w:tc>
          <w:tcPr>
            <w:tcW w:w="806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Common shares issued</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58,116,969</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58,116,970</w:t>
            </w:r>
          </w:p>
        </w:tc>
      </w:tr>
      <w:tr>
        <w:trPr>
          <w:trHeight w:val="170"/>
        </w:trPr>
        <w:tc>
          <w:tcPr>
            <w:tcW w:w="8060" w:type="dxa"/>
            <w:vAlign w:val="bottom"/>
            <w:tcBorders>
              <w:bottom w:val="single" w:sz="8" w:color="E0E7ED"/>
            </w:tcBorders>
            <w:gridSpan w:val="5"/>
          </w:tcPr>
          <w:p>
            <w:pPr>
              <w:ind w:left="180"/>
              <w:spacing w:after="0"/>
              <w:rPr>
                <w:sz w:val="20"/>
                <w:szCs w:val="20"/>
                <w:color w:val="auto"/>
              </w:rPr>
            </w:pPr>
            <w:r>
              <w:rPr>
                <w:rFonts w:ascii="Verdana" w:cs="Verdana" w:eastAsia="Verdana" w:hAnsi="Verdana"/>
                <w:sz w:val="13"/>
                <w:szCs w:val="13"/>
                <w:color w:val="auto"/>
              </w:rPr>
              <w:t>Less: Treasury shares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(2,872,850)</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(2,837,846)</w:t>
            </w:r>
          </w:p>
        </w:tc>
      </w:tr>
      <w:tr>
        <w:trPr>
          <w:trHeight w:val="199"/>
        </w:trPr>
        <w:tc>
          <w:tcPr>
            <w:tcW w:w="8060" w:type="dxa"/>
            <w:vAlign w:val="bottom"/>
            <w:tcBorders>
              <w:bottom w:val="single" w:sz="8" w:color="E0E7ED"/>
            </w:tcBorders>
            <w:gridSpan w:val="5"/>
            <w:shd w:val="clear" w:color="auto" w:fill="E0E7ED"/>
          </w:tcPr>
          <w:p>
            <w:pPr>
              <w:ind w:left="180"/>
              <w:spacing w:after="0"/>
              <w:rPr>
                <w:sz w:val="20"/>
                <w:szCs w:val="20"/>
                <w:color w:val="auto"/>
              </w:rPr>
            </w:pPr>
            <w:r>
              <w:rPr>
                <w:rFonts w:ascii="Verdana" w:cs="Verdana" w:eastAsia="Verdana" w:hAnsi="Verdana"/>
                <w:sz w:val="13"/>
                <w:szCs w:val="13"/>
                <w:color w:val="auto"/>
              </w:rPr>
              <w:t>Common shares outstanding</w:t>
            </w:r>
          </w:p>
        </w:tc>
        <w:tc>
          <w:tcPr>
            <w:tcW w:w="34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55,244,119</w:t>
            </w:r>
          </w:p>
        </w:tc>
        <w:tc>
          <w:tcPr>
            <w:tcW w:w="100" w:type="dxa"/>
            <w:vAlign w:val="bottom"/>
            <w:tcBorders>
              <w:bottom w:val="single" w:sz="8" w:color="E0E7ED"/>
            </w:tcBorders>
            <w:shd w:val="clear" w:color="auto" w:fill="E0E7ED"/>
          </w:tcPr>
          <w:p>
            <w:pPr>
              <w:spacing w:after="0"/>
              <w:rPr>
                <w:sz w:val="16"/>
                <w:szCs w:val="16"/>
                <w:color w:val="auto"/>
              </w:rPr>
            </w:pPr>
          </w:p>
        </w:tc>
        <w:tc>
          <w:tcPr>
            <w:tcW w:w="34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55,279,124</w:t>
            </w:r>
          </w:p>
        </w:tc>
      </w:tr>
      <w:tr>
        <w:trPr>
          <w:trHeight w:val="20"/>
        </w:trPr>
        <w:tc>
          <w:tcPr>
            <w:tcW w:w="43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312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See accompanying Notes to Consolidated Financial Statements.</w:t>
      </w:r>
    </w:p>
    <w:p>
      <w:pPr>
        <w:spacing w:after="0" w:line="22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4" w:name="page95"/>
    <w:bookmarkEnd w:id="9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INCOME</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jc w:val="right"/>
              <w:ind w:right="177"/>
              <w:spacing w:after="0"/>
              <w:rPr>
                <w:sz w:val="20"/>
                <w:szCs w:val="20"/>
                <w:color w:val="auto"/>
              </w:rPr>
            </w:pPr>
            <w:r>
              <w:rPr>
                <w:rFonts w:ascii="Verdana" w:cs="Verdana" w:eastAsia="Verdana" w:hAnsi="Verdana"/>
                <w:sz w:val="13"/>
                <w:szCs w:val="13"/>
                <w:b w:val="1"/>
                <w:bCs w:val="1"/>
                <w:color w:val="auto"/>
              </w:rPr>
              <w:t>Year Ended December 31,</w:t>
            </w:r>
          </w:p>
        </w:tc>
        <w:tc>
          <w:tcPr>
            <w:tcW w:w="1160" w:type="dxa"/>
            <w:vAlign w:val="bottom"/>
            <w:tcBorders>
              <w:bottom w:val="single" w:sz="8" w:color="auto"/>
            </w:tcBorders>
          </w:tcPr>
          <w:p>
            <w:pPr>
              <w:spacing w:after="0"/>
              <w:rPr>
                <w:sz w:val="15"/>
                <w:szCs w:val="15"/>
                <w:color w:val="auto"/>
              </w:rPr>
            </w:pPr>
          </w:p>
        </w:tc>
      </w:tr>
      <w:tr>
        <w:trPr>
          <w:trHeight w:val="170"/>
        </w:trPr>
        <w:tc>
          <w:tcPr>
            <w:tcW w:w="66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2021</w:t>
            </w:r>
          </w:p>
        </w:tc>
      </w:tr>
      <w:tr>
        <w:trPr>
          <w:trHeight w:val="161"/>
        </w:trPr>
        <w:tc>
          <w:tcPr>
            <w:tcW w:w="6600" w:type="dxa"/>
            <w:vAlign w:val="bottom"/>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Interest income</w:t>
            </w: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Interest and fees on loans</w:t>
            </w: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385,848</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287,477</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252,097</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Interest and dividends on investment securities: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Taxable interest income</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80,316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66,140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41,787</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Non-taxable interest income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2,678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3,272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3,765</w:t>
            </w:r>
          </w:p>
        </w:tc>
      </w:tr>
      <w:tr>
        <w:trPr>
          <w:trHeight w:val="170"/>
        </w:trPr>
        <w:tc>
          <w:tcPr>
            <w:tcW w:w="660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Other interest income</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10,531</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3,097</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1,151</w:t>
            </w:r>
          </w:p>
        </w:tc>
      </w:tr>
      <w:tr>
        <w:trPr>
          <w:trHeight w:val="169"/>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Total interest income</w:t>
            </w: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479,373</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359,986</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298,800</w:t>
            </w:r>
          </w:p>
        </w:tc>
      </w:t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5"/>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Interest expense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Deposits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123,985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16,112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12,583</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Federal funds purchased and securities sold under agreements to repurchase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5,203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1,475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227</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Short-term borrowings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12,775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1,647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279</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Long-term debt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1,700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1,310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657</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Senior notes</w:t>
            </w:r>
          </w:p>
        </w:tc>
        <w:tc>
          <w:tcPr>
            <w:tcW w:w="3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1,598</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Subordinated notes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12,406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12,338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9,918</w:t>
            </w:r>
          </w:p>
        </w:tc>
      </w:tr>
      <w:tr>
        <w:trPr>
          <w:trHeight w:val="170"/>
        </w:trPr>
        <w:tc>
          <w:tcPr>
            <w:tcW w:w="660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Junior subordinated debt owed to unconsolidated trusts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3,853</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3,029</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2,840</w:t>
            </w:r>
          </w:p>
        </w:tc>
      </w:tr>
      <w:tr>
        <w:trPr>
          <w:trHeight w:val="169"/>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Total interest expense</w:t>
            </w: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159,922</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36,548</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28,102</w:t>
            </w:r>
          </w:p>
        </w:tc>
      </w:t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5"/>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Net interest income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319,451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323,438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270,698</w:t>
            </w:r>
          </w:p>
        </w:tc>
      </w:tr>
      <w:tr>
        <w:trPr>
          <w:trHeight w:val="170"/>
        </w:trPr>
        <w:tc>
          <w:tcPr>
            <w:tcW w:w="660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Provision for credit losses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2,399</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4,623</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(15,101)</w:t>
            </w:r>
          </w:p>
        </w:tc>
      </w:tr>
      <w:tr>
        <w:trPr>
          <w:trHeight w:val="169"/>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Net interest income after provision for credit losses</w:t>
            </w: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317,052</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318,815</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285,799</w:t>
            </w:r>
          </w:p>
        </w:tc>
      </w:t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6"/>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Noninterest income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Wealth management fees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57,309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55,378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53,086</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Fees for customer services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29,044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33,111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35,604</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Payment technology solutions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21,192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20,067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18,347</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Mortgage revenue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1,089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1,895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7,239</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Income on bank owned life insurance</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4,701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3,663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5,166</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Realized net gains (losses) on securities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Unrealized net gains (losses) recognized on equity securities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(2,171)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(2,183)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3,041</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income</w:t>
            </w: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11,248</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14,822</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10,292</w:t>
            </w:r>
          </w:p>
        </w:tc>
      </w:tr>
      <w:tr>
        <w:trPr>
          <w:trHeight w:val="164"/>
        </w:trPr>
        <w:tc>
          <w:tcPr>
            <w:tcW w:w="660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noninterest income</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122,384</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126,803</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132,804</w:t>
            </w:r>
          </w:p>
        </w:tc>
      </w:tr>
      <w:tr>
        <w:trPr>
          <w:trHeight w:val="161"/>
        </w:trPr>
        <w:tc>
          <w:tcPr>
            <w:tcW w:w="66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6600" w:type="dxa"/>
            <w:vAlign w:val="bottom"/>
          </w:tcPr>
          <w:p>
            <w:pPr>
              <w:ind w:left="20"/>
              <w:spacing w:after="0"/>
              <w:rPr>
                <w:sz w:val="20"/>
                <w:szCs w:val="20"/>
                <w:color w:val="auto"/>
              </w:rPr>
            </w:pPr>
            <w:r>
              <w:rPr>
                <w:rFonts w:ascii="Verdana" w:cs="Verdana" w:eastAsia="Verdana" w:hAnsi="Verdana"/>
                <w:sz w:val="13"/>
                <w:szCs w:val="13"/>
                <w:b w:val="1"/>
                <w:bCs w:val="1"/>
                <w:color w:val="auto"/>
              </w:rPr>
              <w:t>Noninterest expense</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Salaries, wages, and employee benefits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162,597</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159,016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145,312</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Data processing</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23,708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21,648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21,862</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occupancy expense of premises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18,214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19,130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18,346</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Furniture and equipment expenses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6,759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7,645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8,301</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Professional fees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7,147</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6,125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7,549</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Amortization of intangible assets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10,432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11,628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11,274</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Interchange expense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6,864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6,298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5,792</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FDIC insurance</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5,650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4,058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3,083</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expense</w:t>
            </w: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44,161</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48,333</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40,261</w:t>
            </w:r>
          </w:p>
        </w:tc>
      </w:tr>
      <w:tr>
        <w:trPr>
          <w:trHeight w:val="164"/>
        </w:trPr>
        <w:tc>
          <w:tcPr>
            <w:tcW w:w="660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noninterest expense</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285,532</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283,881</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261,780</w:t>
            </w:r>
          </w:p>
        </w:tc>
      </w:tr>
      <w:tr>
        <w:trPr>
          <w:trHeight w:val="161"/>
        </w:trPr>
        <w:tc>
          <w:tcPr>
            <w:tcW w:w="66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6600" w:type="dxa"/>
            <w:vAlign w:val="bottom"/>
          </w:tcPr>
          <w:p>
            <w:pPr>
              <w:ind w:left="20"/>
              <w:spacing w:after="0"/>
              <w:rPr>
                <w:sz w:val="20"/>
                <w:szCs w:val="20"/>
                <w:color w:val="auto"/>
              </w:rPr>
            </w:pPr>
            <w:r>
              <w:rPr>
                <w:rFonts w:ascii="Verdana" w:cs="Verdana" w:eastAsia="Verdana" w:hAnsi="Verdana"/>
                <w:sz w:val="13"/>
                <w:szCs w:val="13"/>
                <w:color w:val="auto"/>
              </w:rPr>
              <w:t>Income before income taxes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153,904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161,737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156,823</w:t>
            </w:r>
          </w:p>
        </w:tc>
      </w:tr>
      <w:tr>
        <w:trPr>
          <w:trHeight w:val="175"/>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Income taxes</w:t>
            </w: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31,339</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33,426</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33,374</w:t>
            </w:r>
          </w:p>
        </w:tc>
      </w:tr>
      <w:tr>
        <w:trPr>
          <w:trHeight w:val="174"/>
        </w:trPr>
        <w:tc>
          <w:tcPr>
            <w:tcW w:w="6600" w:type="dxa"/>
            <w:vAlign w:val="bottom"/>
          </w:tcPr>
          <w:p>
            <w:pPr>
              <w:ind w:left="20"/>
              <w:spacing w:after="0"/>
              <w:rPr>
                <w:sz w:val="20"/>
                <w:szCs w:val="20"/>
                <w:color w:val="auto"/>
              </w:rPr>
            </w:pPr>
            <w:r>
              <w:rPr>
                <w:rFonts w:ascii="Verdana" w:cs="Verdana" w:eastAsia="Verdana" w:hAnsi="Verdana"/>
                <w:sz w:val="13"/>
                <w:szCs w:val="13"/>
                <w:b w:val="1"/>
                <w:bCs w:val="1"/>
                <w:color w:val="auto"/>
              </w:rPr>
              <w:t>Net income</w:t>
            </w: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122,565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128,311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123,449</w:t>
            </w:r>
          </w:p>
        </w:tc>
      </w:tr>
      <w:tr>
        <w:trPr>
          <w:trHeight w:val="20"/>
        </w:trPr>
        <w:tc>
          <w:tcPr>
            <w:tcW w:w="66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3"/>
        </w:trPr>
        <w:tc>
          <w:tcPr>
            <w:tcW w:w="66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r>
      <w:tr>
        <w:trPr>
          <w:trHeight w:val="170"/>
        </w:trPr>
        <w:tc>
          <w:tcPr>
            <w:tcW w:w="6600" w:type="dxa"/>
            <w:vAlign w:val="bottom"/>
          </w:tcPr>
          <w:p>
            <w:pPr>
              <w:ind w:left="20"/>
              <w:spacing w:after="0"/>
              <w:rPr>
                <w:sz w:val="20"/>
                <w:szCs w:val="20"/>
                <w:color w:val="auto"/>
              </w:rPr>
            </w:pPr>
            <w:r>
              <w:rPr>
                <w:rFonts w:ascii="Verdana" w:cs="Verdana" w:eastAsia="Verdana" w:hAnsi="Verdana"/>
                <w:sz w:val="13"/>
                <w:szCs w:val="13"/>
                <w:b w:val="1"/>
                <w:bCs w:val="1"/>
                <w:color w:val="auto"/>
              </w:rPr>
              <w:t>Basic earnings per common share</w:t>
            </w: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spacing w:after="0"/>
              <w:rPr>
                <w:sz w:val="20"/>
                <w:szCs w:val="20"/>
                <w:color w:val="auto"/>
              </w:rPr>
            </w:pPr>
            <w:r>
              <w:rPr>
                <w:rFonts w:ascii="Verdana" w:cs="Verdana" w:eastAsia="Verdana" w:hAnsi="Verdana"/>
                <w:sz w:val="13"/>
                <w:szCs w:val="13"/>
                <w:color w:val="auto"/>
              </w:rPr>
              <w:t>2.21</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2.32</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2.23</w:t>
            </w:r>
          </w:p>
        </w:tc>
      </w:tr>
      <w:tr>
        <w:trPr>
          <w:trHeight w:val="181"/>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Diluted earnings per common share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2.20</w:t>
            </w:r>
          </w:p>
        </w:tc>
      </w:tr>
      <w:tr>
        <w:trPr>
          <w:trHeight w:val="165"/>
        </w:trPr>
        <w:tc>
          <w:tcPr>
            <w:tcW w:w="6600" w:type="dxa"/>
            <w:vAlign w:val="bottom"/>
          </w:tcPr>
          <w:p>
            <w:pPr>
              <w:ind w:left="20"/>
              <w:spacing w:after="0"/>
              <w:rPr>
                <w:sz w:val="20"/>
                <w:szCs w:val="20"/>
                <w:color w:val="auto"/>
              </w:rPr>
            </w:pPr>
            <w:r>
              <w:rPr>
                <w:rFonts w:ascii="Verdana" w:cs="Verdana" w:eastAsia="Verdana" w:hAnsi="Verdana"/>
                <w:sz w:val="13"/>
                <w:szCs w:val="13"/>
                <w:b w:val="1"/>
                <w:bCs w:val="1"/>
                <w:color w:val="auto"/>
              </w:rPr>
              <w:t>Dividends declared per share of common stock</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0.96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0.92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0.92</w:t>
            </w:r>
          </w:p>
        </w:tc>
      </w:tr>
    </w:tbl>
    <w:p>
      <w:pPr>
        <w:spacing w:after="0" w:line="2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See accompanying Notes to Consolidated Financial Statements.</w:t>
      </w:r>
    </w:p>
    <w:p>
      <w:pPr>
        <w:spacing w:after="0" w:line="22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5" w:name="page96"/>
    <w:bookmarkEnd w:id="9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COMPREHENSIVE INCOME (LOSS)</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177"/>
              <w:spacing w:after="0"/>
              <w:rPr>
                <w:sz w:val="20"/>
                <w:szCs w:val="20"/>
                <w:color w:val="auto"/>
              </w:rPr>
            </w:pPr>
            <w:r>
              <w:rPr>
                <w:rFonts w:ascii="Verdana" w:cs="Verdana" w:eastAsia="Verdana" w:hAnsi="Verdana"/>
                <w:sz w:val="13"/>
                <w:szCs w:val="13"/>
                <w:b w:val="1"/>
                <w:bCs w:val="1"/>
                <w:color w:val="auto"/>
              </w:rPr>
              <w:t>Years Ended December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2021</w:t>
            </w:r>
          </w:p>
        </w:tc>
        <w:tc>
          <w:tcPr>
            <w:tcW w:w="0" w:type="dxa"/>
            <w:vAlign w:val="bottom"/>
          </w:tcPr>
          <w:p>
            <w:pPr>
              <w:spacing w:after="0"/>
              <w:rPr>
                <w:sz w:val="1"/>
                <w:szCs w:val="1"/>
                <w:color w:val="auto"/>
              </w:rPr>
            </w:pPr>
          </w:p>
        </w:tc>
      </w:tr>
      <w:tr>
        <w:trPr>
          <w:trHeight w:val="174"/>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Net income</w:t>
            </w: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122,565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128,311</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123,449</w:t>
            </w:r>
          </w:p>
        </w:tc>
        <w:tc>
          <w:tcPr>
            <w:tcW w:w="0" w:type="dxa"/>
            <w:vAlign w:val="bottom"/>
          </w:tcPr>
          <w:p>
            <w:pPr>
              <w:spacing w:after="0"/>
              <w:rPr>
                <w:sz w:val="1"/>
                <w:szCs w:val="1"/>
                <w:color w:val="auto"/>
              </w:rPr>
            </w:pPr>
          </w:p>
        </w:tc>
      </w:tr>
      <w:tr>
        <w:trPr>
          <w:trHeight w:val="170"/>
        </w:trPr>
        <w:tc>
          <w:tcPr>
            <w:tcW w:w="6600" w:type="dxa"/>
            <w:vAlign w:val="bottom"/>
          </w:tcPr>
          <w:p>
            <w:pPr>
              <w:ind w:left="20"/>
              <w:spacing w:after="0"/>
              <w:rPr>
                <w:sz w:val="20"/>
                <w:szCs w:val="20"/>
                <w:color w:val="auto"/>
              </w:rPr>
            </w:pPr>
            <w:r>
              <w:rPr>
                <w:rFonts w:ascii="Verdana" w:cs="Verdana" w:eastAsia="Verdana" w:hAnsi="Verdana"/>
                <w:sz w:val="13"/>
                <w:szCs w:val="13"/>
                <w:color w:val="auto"/>
              </w:rPr>
              <w:t>OCI:</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Unrealized/Unrecognized gains (losses) on debt securities: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0" w:type="dxa"/>
            <w:vAlign w:val="bottom"/>
          </w:tcPr>
          <w:p>
            <w:pPr>
              <w:ind w:left="360"/>
              <w:spacing w:after="0" w:line="122" w:lineRule="exact"/>
              <w:rPr>
                <w:sz w:val="20"/>
                <w:szCs w:val="20"/>
                <w:color w:val="auto"/>
              </w:rPr>
            </w:pPr>
            <w:r>
              <w:rPr>
                <w:rFonts w:ascii="Verdana" w:cs="Verdana" w:eastAsia="Verdana" w:hAnsi="Verdana"/>
                <w:sz w:val="13"/>
                <w:szCs w:val="13"/>
                <w:color w:val="auto"/>
              </w:rPr>
              <w:t>Net unrealized holding gains (losses) on debt securities available for sale, net of taxes of</w:t>
            </w:r>
          </w:p>
        </w:tc>
        <w:tc>
          <w:tcPr>
            <w:tcW w:w="3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Verdana" w:cs="Verdana" w:eastAsia="Verdana" w:hAnsi="Verdana"/>
                <w:sz w:val="13"/>
                <w:szCs w:val="13"/>
                <w:color w:val="auto"/>
              </w:rPr>
              <w:t>41,824</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Verdana" w:cs="Verdana" w:eastAsia="Verdana" w:hAnsi="Verdana"/>
                <w:sz w:val="13"/>
                <w:szCs w:val="13"/>
                <w:color w:val="auto"/>
              </w:rPr>
              <w:t>(199,302)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Verdana" w:cs="Verdana" w:eastAsia="Verdana" w:hAnsi="Verdana"/>
                <w:sz w:val="13"/>
                <w:szCs w:val="13"/>
                <w:color w:val="auto"/>
              </w:rPr>
              <w:t>(58,610)</w:t>
            </w:r>
          </w:p>
        </w:tc>
        <w:tc>
          <w:tcPr>
            <w:tcW w:w="0" w:type="dxa"/>
            <w:vAlign w:val="bottom"/>
          </w:tcPr>
          <w:p>
            <w:pPr>
              <w:spacing w:after="0"/>
              <w:rPr>
                <w:sz w:val="1"/>
                <w:szCs w:val="1"/>
                <w:color w:val="auto"/>
              </w:rPr>
            </w:pP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$(16,674), $79,460, and $23,367</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600" w:type="dxa"/>
            <w:vAlign w:val="bottom"/>
            <w:shd w:val="clear" w:color="auto" w:fill="E0E7ED"/>
          </w:tcPr>
          <w:p>
            <w:pPr>
              <w:ind w:left="360"/>
              <w:spacing w:after="0" w:line="127" w:lineRule="exact"/>
              <w:rPr>
                <w:sz w:val="20"/>
                <w:szCs w:val="20"/>
                <w:color w:val="auto"/>
              </w:rPr>
            </w:pPr>
            <w:r>
              <w:rPr>
                <w:rFonts w:ascii="Verdana" w:cs="Verdana" w:eastAsia="Verdana" w:hAnsi="Verdana"/>
                <w:sz w:val="13"/>
                <w:szCs w:val="13"/>
                <w:color w:val="auto"/>
                <w:w w:val="98"/>
              </w:rPr>
              <w:t>Net unrecognized gains (losses) on debt securities transferred to held to maturity from available</w:t>
            </w:r>
          </w:p>
        </w:tc>
        <w:tc>
          <w:tcPr>
            <w:tcW w:w="320" w:type="dxa"/>
            <w:vAlign w:val="bottom"/>
            <w:shd w:val="clear" w:color="auto" w:fill="E0E7ED"/>
          </w:tcPr>
          <w:p>
            <w:pPr>
              <w:spacing w:after="0"/>
              <w:rPr>
                <w:sz w:val="11"/>
                <w:szCs w:val="11"/>
                <w:color w:val="auto"/>
              </w:rPr>
            </w:pPr>
          </w:p>
        </w:tc>
        <w:tc>
          <w:tcPr>
            <w:tcW w:w="126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(34,644)</w:t>
            </w:r>
          </w:p>
        </w:tc>
        <w:tc>
          <w:tcPr>
            <w:tcW w:w="10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6"/>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for sale, net of taxes of $—, $13,812, and $—, respectively</w:t>
            </w:r>
          </w:p>
        </w:tc>
        <w:tc>
          <w:tcPr>
            <w:tcW w:w="320" w:type="dxa"/>
            <w:vAlign w:val="bottom"/>
            <w:shd w:val="clear" w:color="auto" w:fill="E0E7ED"/>
          </w:tcPr>
          <w:p>
            <w:pPr>
              <w:spacing w:after="0"/>
              <w:rPr>
                <w:sz w:val="15"/>
                <w:szCs w:val="15"/>
                <w:color w:val="auto"/>
              </w:rPr>
            </w:pPr>
          </w:p>
        </w:tc>
        <w:tc>
          <w:tcPr>
            <w:tcW w:w="1260" w:type="dxa"/>
            <w:vAlign w:val="bottom"/>
            <w:gridSpan w:val="2"/>
            <w:vMerge w:val="continue"/>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0" w:type="dxa"/>
            <w:vAlign w:val="bottom"/>
          </w:tcPr>
          <w:p>
            <w:pPr>
              <w:ind w:left="360"/>
              <w:spacing w:after="0" w:line="122" w:lineRule="exact"/>
              <w:rPr>
                <w:sz w:val="20"/>
                <w:szCs w:val="20"/>
                <w:color w:val="auto"/>
              </w:rPr>
            </w:pPr>
            <w:r>
              <w:rPr>
                <w:rFonts w:ascii="Verdana" w:cs="Verdana" w:eastAsia="Verdana" w:hAnsi="Verdana"/>
                <w:sz w:val="13"/>
                <w:szCs w:val="13"/>
                <w:color w:val="auto"/>
              </w:rPr>
              <w:t>Reclassification adjustment for realized (gains) losses on debt securities available for sale</w:t>
            </w:r>
          </w:p>
        </w:tc>
        <w:tc>
          <w:tcPr>
            <w:tcW w:w="320" w:type="dxa"/>
            <w:vAlign w:val="bottom"/>
          </w:tcPr>
          <w:p>
            <w:pPr>
              <w:spacing w:after="0"/>
              <w:rPr>
                <w:sz w:val="10"/>
                <w:szCs w:val="10"/>
                <w:color w:val="auto"/>
              </w:rPr>
            </w:pPr>
          </w:p>
        </w:tc>
        <w:tc>
          <w:tcPr>
            <w:tcW w:w="116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3,934</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Verdana" w:cs="Verdana" w:eastAsia="Verdana" w:hAnsi="Verdana"/>
                <w:sz w:val="13"/>
                <w:szCs w:val="13"/>
                <w:color w:val="auto"/>
              </w:rPr>
              <w:t>(19)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44</w:t>
            </w:r>
          </w:p>
        </w:tc>
        <w:tc>
          <w:tcPr>
            <w:tcW w:w="0" w:type="dxa"/>
            <w:vAlign w:val="bottom"/>
          </w:tcPr>
          <w:p>
            <w:pPr>
              <w:spacing w:after="0"/>
              <w:rPr>
                <w:sz w:val="1"/>
                <w:szCs w:val="1"/>
                <w:color w:val="auto"/>
              </w:rPr>
            </w:pP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included in net income, net of taxes of $(1,569), $7, and $(17), respectively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600" w:type="dxa"/>
            <w:vAlign w:val="bottom"/>
            <w:shd w:val="clear" w:color="auto" w:fill="E0E7ED"/>
          </w:tcPr>
          <w:p>
            <w:pPr>
              <w:ind w:left="360"/>
              <w:spacing w:after="0" w:line="127" w:lineRule="exact"/>
              <w:rPr>
                <w:sz w:val="20"/>
                <w:szCs w:val="20"/>
                <w:color w:val="auto"/>
              </w:rPr>
            </w:pPr>
            <w:r>
              <w:rPr>
                <w:rFonts w:ascii="Verdana" w:cs="Verdana" w:eastAsia="Verdana" w:hAnsi="Verdana"/>
                <w:sz w:val="13"/>
                <w:szCs w:val="13"/>
                <w:color w:val="auto"/>
                <w:w w:val="98"/>
              </w:rPr>
              <w:t>Amortization of unrecognized losses on securities transferred to held to maturity, net of taxes of</w:t>
            </w: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4,426</w:t>
            </w: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4,745</w:t>
            </w:r>
          </w:p>
        </w:tc>
        <w:tc>
          <w:tcPr>
            <w:tcW w:w="10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5"/>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$(1,763), $(1,893), and $—, respectively</w:t>
            </w: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600" w:type="dxa"/>
            <w:vAlign w:val="bottom"/>
            <w:tcBorders>
              <w:bottom w:val="single" w:sz="8" w:color="E0E7ED"/>
            </w:tcBorders>
          </w:tcPr>
          <w:p>
            <w:pPr>
              <w:ind w:left="180"/>
              <w:spacing w:after="0" w:line="153" w:lineRule="exact"/>
              <w:rPr>
                <w:sz w:val="20"/>
                <w:szCs w:val="20"/>
                <w:color w:val="auto"/>
              </w:rPr>
            </w:pPr>
            <w:r>
              <w:rPr>
                <w:rFonts w:ascii="Verdana" w:cs="Verdana" w:eastAsia="Verdana" w:hAnsi="Verdana"/>
                <w:sz w:val="13"/>
                <w:szCs w:val="13"/>
                <w:color w:val="auto"/>
              </w:rPr>
              <w:t>Net change in unrealized/unrecognized gains (losses) on debt securities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50,184</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(229,220)</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(58,566)</w:t>
            </w:r>
          </w:p>
        </w:tc>
        <w:tc>
          <w:tcPr>
            <w:tcW w:w="0" w:type="dxa"/>
            <w:vAlign w:val="bottom"/>
          </w:tcPr>
          <w:p>
            <w:pPr>
              <w:spacing w:after="0"/>
              <w:rPr>
                <w:sz w:val="1"/>
                <w:szCs w:val="1"/>
                <w:color w:val="auto"/>
              </w:rPr>
            </w:pPr>
          </w:p>
        </w:tc>
      </w:tr>
      <w:tr>
        <w:trPr>
          <w:trHeight w:val="161"/>
        </w:trPr>
        <w:tc>
          <w:tcPr>
            <w:tcW w:w="6600" w:type="dxa"/>
            <w:vAlign w:val="bottom"/>
            <w:shd w:val="clear" w:color="auto" w:fill="E0E7ED"/>
          </w:tcPr>
          <w:p>
            <w:pPr>
              <w:ind w:left="180"/>
              <w:spacing w:after="0" w:line="150" w:lineRule="exact"/>
              <w:rPr>
                <w:sz w:val="20"/>
                <w:szCs w:val="20"/>
                <w:color w:val="auto"/>
              </w:rPr>
            </w:pPr>
            <w:r>
              <w:rPr>
                <w:rFonts w:ascii="Verdana" w:cs="Verdana" w:eastAsia="Verdana" w:hAnsi="Verdana"/>
                <w:sz w:val="13"/>
                <w:szCs w:val="13"/>
                <w:color w:val="auto"/>
              </w:rPr>
              <w:t>Unrealized gains (losses) on cash flow hedges:</w:t>
            </w: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600" w:type="dxa"/>
            <w:vAlign w:val="bottom"/>
          </w:tcPr>
          <w:p>
            <w:pPr>
              <w:ind w:left="360"/>
              <w:spacing w:after="0" w:line="122" w:lineRule="exact"/>
              <w:rPr>
                <w:sz w:val="20"/>
                <w:szCs w:val="20"/>
                <w:color w:val="auto"/>
              </w:rPr>
            </w:pPr>
            <w:r>
              <w:rPr>
                <w:rFonts w:ascii="Verdana" w:cs="Verdana" w:eastAsia="Verdana" w:hAnsi="Verdana"/>
                <w:sz w:val="13"/>
                <w:szCs w:val="13"/>
                <w:color w:val="auto"/>
              </w:rPr>
              <w:t>Net unrealized holding gains (losses) on cash flow hedges, net of taxes of $732, $8,258, and</w:t>
            </w:r>
          </w:p>
        </w:tc>
        <w:tc>
          <w:tcPr>
            <w:tcW w:w="3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Verdana" w:cs="Verdana" w:eastAsia="Verdana" w:hAnsi="Verdana"/>
                <w:sz w:val="13"/>
                <w:szCs w:val="13"/>
                <w:color w:val="auto"/>
              </w:rPr>
              <w:t>(1,835)</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Verdana" w:cs="Verdana" w:eastAsia="Verdana" w:hAnsi="Verdana"/>
                <w:sz w:val="13"/>
                <w:szCs w:val="13"/>
                <w:color w:val="auto"/>
              </w:rPr>
              <w:t>(20,717)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736</w:t>
            </w:r>
          </w:p>
        </w:tc>
        <w:tc>
          <w:tcPr>
            <w:tcW w:w="0" w:type="dxa"/>
            <w:vAlign w:val="bottom"/>
          </w:tcPr>
          <w:p>
            <w:pPr>
              <w:spacing w:after="0"/>
              <w:rPr>
                <w:sz w:val="1"/>
                <w:szCs w:val="1"/>
                <w:color w:val="auto"/>
              </w:rPr>
            </w:pP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$(294), respectively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600" w:type="dxa"/>
            <w:vAlign w:val="bottom"/>
            <w:shd w:val="clear" w:color="auto" w:fill="E0E7ED"/>
          </w:tcPr>
          <w:p>
            <w:pPr>
              <w:ind w:left="360"/>
              <w:spacing w:after="0" w:line="127" w:lineRule="exact"/>
              <w:rPr>
                <w:sz w:val="20"/>
                <w:szCs w:val="20"/>
                <w:color w:val="auto"/>
              </w:rPr>
            </w:pPr>
            <w:r>
              <w:rPr>
                <w:rFonts w:ascii="Verdana" w:cs="Verdana" w:eastAsia="Verdana" w:hAnsi="Verdana"/>
                <w:sz w:val="13"/>
                <w:szCs w:val="13"/>
                <w:color w:val="auto"/>
              </w:rPr>
              <w:t>Reclassification adjustment for realized (gains) losses on cash flow hedges included in net</w:t>
            </w: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6,126</w:t>
            </w: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417</w:t>
            </w:r>
          </w:p>
        </w:tc>
        <w:tc>
          <w:tcPr>
            <w:tcW w:w="10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763</w:t>
            </w:r>
          </w:p>
        </w:tc>
        <w:tc>
          <w:tcPr>
            <w:tcW w:w="0" w:type="dxa"/>
            <w:vAlign w:val="bottom"/>
          </w:tcPr>
          <w:p>
            <w:pPr>
              <w:spacing w:after="0"/>
              <w:rPr>
                <w:sz w:val="1"/>
                <w:szCs w:val="1"/>
                <w:color w:val="auto"/>
              </w:rPr>
            </w:pPr>
          </w:p>
        </w:tc>
      </w:tr>
      <w:tr>
        <w:trPr>
          <w:trHeight w:val="176"/>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income, net of taxes of $(2,443), $(166), and $(304), respectively</w:t>
            </w: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600" w:type="dxa"/>
            <w:vAlign w:val="bottom"/>
            <w:tcBorders>
              <w:bottom w:val="single" w:sz="8" w:color="E0E7ED"/>
            </w:tcBorders>
          </w:tcPr>
          <w:p>
            <w:pPr>
              <w:ind w:left="180"/>
              <w:spacing w:after="0" w:line="153" w:lineRule="exact"/>
              <w:rPr>
                <w:sz w:val="20"/>
                <w:szCs w:val="20"/>
                <w:color w:val="auto"/>
              </w:rPr>
            </w:pPr>
            <w:r>
              <w:rPr>
                <w:rFonts w:ascii="Verdana" w:cs="Verdana" w:eastAsia="Verdana" w:hAnsi="Verdana"/>
                <w:sz w:val="13"/>
                <w:szCs w:val="13"/>
                <w:color w:val="auto"/>
              </w:rPr>
              <w:t>Net change in unrealized gains (losses) on cash flow hedges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4,291</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(20,300)</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1,499</w:t>
            </w:r>
          </w:p>
        </w:tc>
        <w:tc>
          <w:tcPr>
            <w:tcW w:w="0" w:type="dxa"/>
            <w:vAlign w:val="bottom"/>
          </w:tcPr>
          <w:p>
            <w:pPr>
              <w:spacing w:after="0"/>
              <w:rPr>
                <w:sz w:val="1"/>
                <w:szCs w:val="1"/>
                <w:color w:val="auto"/>
              </w:rPr>
            </w:pPr>
          </w:p>
        </w:tc>
      </w:tr>
      <w:tr>
        <w:trPr>
          <w:trHeight w:val="169"/>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Net change in AOCI</w:t>
            </w: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54,475</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(249,520)</w:t>
            </w:r>
          </w:p>
        </w:tc>
        <w:tc>
          <w:tcPr>
            <w:tcW w:w="100" w:type="dxa"/>
            <w:vAlign w:val="bottom"/>
            <w:shd w:val="clear" w:color="auto" w:fill="E0E7ED"/>
          </w:tcPr>
          <w:p>
            <w:pPr>
              <w:spacing w:after="0"/>
              <w:rPr>
                <w:sz w:val="14"/>
                <w:szCs w:val="14"/>
                <w:color w:val="auto"/>
              </w:rPr>
            </w:pPr>
          </w:p>
        </w:tc>
        <w:tc>
          <w:tcPr>
            <w:tcW w:w="340" w:type="dxa"/>
            <w:vAlign w:val="bottom"/>
            <w:tcBorders>
              <w:bottom w:val="single" w:sz="8" w:color="auto"/>
            </w:tcBorders>
            <w:shd w:val="clear" w:color="auto" w:fill="E0E7ED"/>
          </w:tcPr>
          <w:p>
            <w:pPr>
              <w:spacing w:after="0"/>
              <w:rPr>
                <w:sz w:val="14"/>
                <w:szCs w:val="14"/>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(57,067)</w:t>
            </w:r>
          </w:p>
        </w:tc>
        <w:tc>
          <w:tcPr>
            <w:tcW w:w="0" w:type="dxa"/>
            <w:vAlign w:val="bottom"/>
          </w:tcPr>
          <w:p>
            <w:pPr>
              <w:spacing w:after="0"/>
              <w:rPr>
                <w:sz w:val="1"/>
                <w:szCs w:val="1"/>
                <w:color w:val="auto"/>
              </w:rPr>
            </w:pPr>
          </w:p>
        </w:tc>
      </w:tr>
      <w:tr>
        <w:trPr>
          <w:trHeight w:val="174"/>
        </w:trPr>
        <w:tc>
          <w:tcPr>
            <w:tcW w:w="6600" w:type="dxa"/>
            <w:vAlign w:val="bottom"/>
          </w:tcPr>
          <w:p>
            <w:pPr>
              <w:ind w:left="20"/>
              <w:spacing w:after="0"/>
              <w:rPr>
                <w:sz w:val="20"/>
                <w:szCs w:val="20"/>
                <w:color w:val="auto"/>
              </w:rPr>
            </w:pPr>
            <w:r>
              <w:rPr>
                <w:rFonts w:ascii="Verdana" w:cs="Verdana" w:eastAsia="Verdana" w:hAnsi="Verdana"/>
                <w:sz w:val="13"/>
                <w:szCs w:val="13"/>
                <w:color w:val="auto"/>
              </w:rPr>
              <w:t>Total comprehensive income (loss)</w:t>
            </w: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177,040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(121,209)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66,382</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See accompanying Notes to Consolidated Financial Statements.</w:t>
      </w:r>
    </w:p>
    <w:p>
      <w:pPr>
        <w:spacing w:after="0" w:line="227" w:lineRule="exact"/>
        <w:rPr>
          <w:sz w:val="20"/>
          <w:szCs w:val="20"/>
          <w:color w:val="auto"/>
        </w:rPr>
      </w:pPr>
    </w:p>
    <w:p>
      <w:pPr>
        <w:ind w:left="790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6" w:name="page97"/>
    <w:bookmarkEnd w:id="9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6"/>
              </w:rPr>
              <w:t>Common</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6"/>
              </w:rPr>
              <w:t>Additional</w:t>
            </w: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Verdana" w:cs="Verdana" w:eastAsia="Verdana" w:hAnsi="Verdana"/>
                <w:sz w:val="13"/>
                <w:szCs w:val="13"/>
                <w:b w:val="1"/>
                <w:bCs w:val="1"/>
                <w:color w:val="auto"/>
              </w:rPr>
              <w:t>Retained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180" w:type="dxa"/>
            <w:vAlign w:val="bottom"/>
          </w:tcPr>
          <w:p>
            <w:pPr>
              <w:spacing w:after="0"/>
              <w:rPr>
                <w:sz w:val="13"/>
                <w:szCs w:val="13"/>
                <w:color w:val="auto"/>
              </w:rPr>
            </w:pPr>
          </w:p>
        </w:tc>
        <w:tc>
          <w:tcPr>
            <w:tcW w:w="82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800" w:type="dxa"/>
            <w:vAlign w:val="bottom"/>
          </w:tcPr>
          <w:p>
            <w:pPr>
              <w:spacing w:after="0"/>
              <w:rPr>
                <w:sz w:val="10"/>
                <w:szCs w:val="10"/>
                <w:color w:val="auto"/>
              </w:rPr>
            </w:pPr>
          </w:p>
        </w:tc>
        <w:tc>
          <w:tcPr>
            <w:tcW w:w="1080" w:type="dxa"/>
            <w:vAlign w:val="bottom"/>
            <w:gridSpan w:val="2"/>
            <w:vMerge w:val="restart"/>
          </w:tcPr>
          <w:p>
            <w:pPr>
              <w:ind w:left="260"/>
              <w:spacing w:after="0"/>
              <w:rPr>
                <w:sz w:val="20"/>
                <w:szCs w:val="20"/>
                <w:color w:val="auto"/>
              </w:rPr>
            </w:pPr>
            <w:r>
              <w:rPr>
                <w:rFonts w:ascii="Verdana" w:cs="Verdana" w:eastAsia="Verdana" w:hAnsi="Verdana"/>
                <w:sz w:val="13"/>
                <w:szCs w:val="13"/>
                <w:b w:val="1"/>
                <w:bCs w:val="1"/>
                <w:color w:val="auto"/>
              </w:rPr>
              <w:t>Shares</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18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8"/>
              </w:rPr>
              <w:t>Stock</w:t>
            </w: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Verdana" w:cs="Verdana" w:eastAsia="Verdana" w:hAnsi="Verdana"/>
                <w:sz w:val="13"/>
                <w:szCs w:val="13"/>
                <w:b w:val="1"/>
                <w:bCs w:val="1"/>
                <w:color w:val="auto"/>
                <w:w w:val="98"/>
              </w:rPr>
              <w:t>Capital</w:t>
            </w: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Verdana" w:cs="Verdana" w:eastAsia="Verdana" w:hAnsi="Verdana"/>
                <w:sz w:val="13"/>
                <w:szCs w:val="13"/>
                <w:b w:val="1"/>
                <w:bCs w:val="1"/>
                <w:color w:val="auto"/>
              </w:rPr>
              <w:t>Earnings</w:t>
            </w: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3"/>
              </w:rPr>
              <w:t>Stock</w:t>
            </w:r>
          </w:p>
        </w:tc>
        <w:tc>
          <w:tcPr>
            <w:tcW w:w="180" w:type="dxa"/>
            <w:vAlign w:val="bottom"/>
          </w:tcPr>
          <w:p>
            <w:pPr>
              <w:spacing w:after="0"/>
              <w:rPr>
                <w:sz w:val="14"/>
                <w:szCs w:val="14"/>
                <w:color w:val="auto"/>
              </w:rPr>
            </w:pPr>
          </w:p>
        </w:tc>
        <w:tc>
          <w:tcPr>
            <w:tcW w:w="820" w:type="dxa"/>
            <w:vAlign w:val="bottom"/>
          </w:tcPr>
          <w:p>
            <w:pPr>
              <w:jc w:val="right"/>
              <w:ind w:right="217"/>
              <w:spacing w:after="0"/>
              <w:rPr>
                <w:sz w:val="20"/>
                <w:szCs w:val="20"/>
                <w:color w:val="auto"/>
              </w:rPr>
            </w:pPr>
            <w:r>
              <w:rPr>
                <w:rFonts w:ascii="Verdana" w:cs="Verdana" w:eastAsia="Verdana" w:hAnsi="Verdana"/>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38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December 31, 2020</w:t>
            </w:r>
          </w:p>
        </w:tc>
        <w:tc>
          <w:tcPr>
            <w:tcW w:w="100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54,404,379</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56</w:t>
            </w:r>
          </w:p>
        </w:tc>
        <w:tc>
          <w:tcPr>
            <w:tcW w:w="8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1,253,360</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6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20,830</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33,309</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(37,486)</w:t>
            </w: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3"/>
                <w:szCs w:val="13"/>
                <w:color w:val="auto"/>
              </w:rPr>
              <w:t>$</w:t>
            </w:r>
          </w:p>
        </w:tc>
        <w:tc>
          <w:tcPr>
            <w:tcW w:w="82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1,270,069</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10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Verdana" w:cs="Verdana" w:eastAsia="Verdana" w:hAnsi="Verdana"/>
                <w:sz w:val="13"/>
                <w:szCs w:val="13"/>
                <w:color w:val="auto"/>
              </w:rPr>
              <w:t>123,449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123,449</w:t>
            </w:r>
          </w:p>
        </w:tc>
        <w:tc>
          <w:tcPr>
            <w:tcW w:w="0" w:type="dxa"/>
            <w:vAlign w:val="bottom"/>
          </w:tcPr>
          <w:p>
            <w:pPr>
              <w:spacing w:after="0"/>
              <w:rPr>
                <w:sz w:val="1"/>
                <w:szCs w:val="1"/>
                <w:color w:val="auto"/>
              </w:rPr>
            </w:pPr>
          </w:p>
        </w:tc>
      </w:tr>
      <w:tr>
        <w:trPr>
          <w:trHeight w:val="181"/>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OCI, net of tax</w:t>
            </w:r>
          </w:p>
        </w:tc>
        <w:tc>
          <w:tcPr>
            <w:tcW w:w="10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(57,067)</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(57,067)</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Stock issued in acquisition, net of stock issuance costs</w:t>
            </w:r>
          </w:p>
        </w:tc>
        <w:tc>
          <w:tcPr>
            <w:tcW w:w="1000" w:type="dxa"/>
            <w:vAlign w:val="bottom"/>
          </w:tcPr>
          <w:p>
            <w:pPr>
              <w:jc w:val="right"/>
              <w:ind w:right="17"/>
              <w:spacing w:after="0"/>
              <w:rPr>
                <w:sz w:val="20"/>
                <w:szCs w:val="20"/>
                <w:color w:val="auto"/>
              </w:rPr>
            </w:pPr>
            <w:r>
              <w:rPr>
                <w:rFonts w:ascii="Verdana" w:cs="Verdana" w:eastAsia="Verdana" w:hAnsi="Verdana"/>
                <w:sz w:val="13"/>
                <w:szCs w:val="13"/>
                <w:color w:val="auto"/>
              </w:rPr>
              <w:t>2,206,237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58,953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58,955</w:t>
            </w:r>
          </w:p>
        </w:tc>
        <w:tc>
          <w:tcPr>
            <w:tcW w:w="0" w:type="dxa"/>
            <w:vAlign w:val="bottom"/>
          </w:tcPr>
          <w:p>
            <w:pPr>
              <w:spacing w:after="0"/>
              <w:rPr>
                <w:sz w:val="1"/>
                <w:szCs w:val="1"/>
                <w:color w:val="auto"/>
              </w:rPr>
            </w:pPr>
          </w:p>
        </w:tc>
      </w:tr>
      <w:tr>
        <w:trPr>
          <w:trHeight w:val="181"/>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Repurchase of stock</w:t>
            </w:r>
          </w:p>
        </w:tc>
        <w:tc>
          <w:tcPr>
            <w:tcW w:w="10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(1,323,000)</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(33,043)</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(33,043)</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Issuance of treasury stock for the 2021 ESPP</w:t>
            </w:r>
          </w:p>
        </w:tc>
        <w:tc>
          <w:tcPr>
            <w:tcW w:w="1000" w:type="dxa"/>
            <w:vAlign w:val="bottom"/>
          </w:tcPr>
          <w:p>
            <w:pPr>
              <w:jc w:val="right"/>
              <w:ind w:right="17"/>
              <w:spacing w:after="0"/>
              <w:rPr>
                <w:sz w:val="20"/>
                <w:szCs w:val="20"/>
                <w:color w:val="auto"/>
              </w:rPr>
            </w:pPr>
            <w:r>
              <w:rPr>
                <w:rFonts w:ascii="Verdana" w:cs="Verdana" w:eastAsia="Verdana" w:hAnsi="Verdana"/>
                <w:sz w:val="13"/>
                <w:szCs w:val="13"/>
                <w:color w:val="auto"/>
              </w:rPr>
              <w:t>30,390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(136)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Verdana" w:cs="Verdana" w:eastAsia="Verdana" w:hAnsi="Verdana"/>
                <w:sz w:val="13"/>
                <w:szCs w:val="13"/>
                <w:color w:val="auto"/>
              </w:rPr>
              <w:t>782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646</w:t>
            </w:r>
          </w:p>
        </w:tc>
        <w:tc>
          <w:tcPr>
            <w:tcW w:w="0" w:type="dxa"/>
            <w:vAlign w:val="bottom"/>
          </w:tcPr>
          <w:p>
            <w:pPr>
              <w:spacing w:after="0"/>
              <w:rPr>
                <w:sz w:val="1"/>
                <w:szCs w:val="1"/>
                <w:color w:val="auto"/>
              </w:rPr>
            </w:pPr>
          </w:p>
        </w:tc>
      </w:tr>
      <w:tr>
        <w:trPr>
          <w:trHeight w:val="127"/>
        </w:trPr>
        <w:tc>
          <w:tcPr>
            <w:tcW w:w="380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w w:val="97"/>
              </w:rPr>
              <w:t>Net issuance of treasury stock for RSU/PSU/DSU vesting</w:t>
            </w:r>
          </w:p>
        </w:tc>
        <w:tc>
          <w:tcPr>
            <w:tcW w:w="10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116,904</w:t>
            </w:r>
          </w:p>
        </w:tc>
        <w:tc>
          <w:tcPr>
            <w:tcW w:w="80" w:type="dxa"/>
            <w:vAlign w:val="bottom"/>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(4,109)</w:t>
            </w:r>
          </w:p>
        </w:tc>
        <w:tc>
          <w:tcPr>
            <w:tcW w:w="80" w:type="dxa"/>
            <w:vAlign w:val="bottom"/>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94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1"/>
                <w:szCs w:val="11"/>
                <w:color w:val="auto"/>
              </w:rPr>
            </w:pPr>
          </w:p>
        </w:tc>
        <w:tc>
          <w:tcPr>
            <w:tcW w:w="88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8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3,112</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8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(997)</w:t>
            </w:r>
          </w:p>
        </w:tc>
        <w:tc>
          <w:tcPr>
            <w:tcW w:w="0" w:type="dxa"/>
            <w:vAlign w:val="bottom"/>
          </w:tcPr>
          <w:p>
            <w:pPr>
              <w:spacing w:after="0"/>
              <w:rPr>
                <w:sz w:val="1"/>
                <w:szCs w:val="1"/>
                <w:color w:val="auto"/>
              </w:rPr>
            </w:pPr>
          </w:p>
        </w:tc>
      </w:tr>
      <w:tr>
        <w:trPr>
          <w:trHeight w:val="176"/>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and related tax</w:t>
            </w:r>
          </w:p>
        </w:tc>
        <w:tc>
          <w:tcPr>
            <w:tcW w:w="10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gridSpan w:val="2"/>
            <w:vMerge w:val="continue"/>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8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8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Cash dividends common stock at $0.92 per share</w:t>
            </w:r>
          </w:p>
        </w:tc>
        <w:tc>
          <w:tcPr>
            <w:tcW w:w="10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Verdana" w:cs="Verdana" w:eastAsia="Verdana" w:hAnsi="Verdana"/>
                <w:sz w:val="13"/>
                <w:szCs w:val="13"/>
                <w:color w:val="auto"/>
              </w:rPr>
              <w:t>(50,764)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(50,764)</w:t>
            </w:r>
          </w:p>
        </w:tc>
        <w:tc>
          <w:tcPr>
            <w:tcW w:w="0" w:type="dxa"/>
            <w:vAlign w:val="bottom"/>
          </w:tcPr>
          <w:p>
            <w:pPr>
              <w:spacing w:after="0"/>
              <w:rPr>
                <w:sz w:val="1"/>
                <w:szCs w:val="1"/>
                <w:color w:val="auto"/>
              </w:rPr>
            </w:pPr>
          </w:p>
        </w:tc>
      </w:tr>
      <w:tr>
        <w:trPr>
          <w:trHeight w:val="181"/>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Stock dividend equivalents on RSUs/PSUs/DSUs</w:t>
            </w:r>
          </w:p>
        </w:tc>
        <w:tc>
          <w:tcPr>
            <w:tcW w:w="10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1,052</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(1,052)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Stock-based compensation</w:t>
            </w:r>
          </w:p>
        </w:tc>
        <w:tc>
          <w:tcPr>
            <w:tcW w:w="10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7,864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7,864</w:t>
            </w:r>
          </w:p>
        </w:tc>
        <w:tc>
          <w:tcPr>
            <w:tcW w:w="0" w:type="dxa"/>
            <w:vAlign w:val="bottom"/>
          </w:tcPr>
          <w:p>
            <w:pPr>
              <w:spacing w:after="0"/>
              <w:rPr>
                <w:sz w:val="1"/>
                <w:szCs w:val="1"/>
                <w:color w:val="auto"/>
              </w:rPr>
            </w:pPr>
          </w:p>
        </w:tc>
      </w:tr>
      <w:tr>
        <w:trPr>
          <w:trHeight w:val="174"/>
        </w:trPr>
        <w:tc>
          <w:tcPr>
            <w:tcW w:w="38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December 31, 2021</w:t>
            </w:r>
          </w:p>
        </w:tc>
        <w:tc>
          <w:tcPr>
            <w:tcW w:w="100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55,434,910</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58</w:t>
            </w:r>
          </w:p>
        </w:tc>
        <w:tc>
          <w:tcPr>
            <w:tcW w:w="8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tcBorders>
            <w:shd w:val="clear" w:color="auto" w:fill="E0E7ED"/>
          </w:tcPr>
          <w:p>
            <w:pPr>
              <w:spacing w:after="0"/>
              <w:rPr>
                <w:sz w:val="15"/>
                <w:szCs w:val="15"/>
                <w:color w:val="auto"/>
              </w:rPr>
            </w:pPr>
          </w:p>
        </w:tc>
        <w:tc>
          <w:tcPr>
            <w:tcW w:w="8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1,316,984</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92,463</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(23,758)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(66,635)</w:t>
            </w: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1,319,112</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10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Verdana" w:cs="Verdana" w:eastAsia="Verdana" w:hAnsi="Verdana"/>
                <w:sz w:val="13"/>
                <w:szCs w:val="13"/>
                <w:color w:val="auto"/>
              </w:rPr>
              <w:t>128,311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128,311</w:t>
            </w:r>
          </w:p>
        </w:tc>
        <w:tc>
          <w:tcPr>
            <w:tcW w:w="0" w:type="dxa"/>
            <w:vAlign w:val="bottom"/>
          </w:tcPr>
          <w:p>
            <w:pPr>
              <w:spacing w:after="0"/>
              <w:rPr>
                <w:sz w:val="1"/>
                <w:szCs w:val="1"/>
                <w:color w:val="auto"/>
              </w:rPr>
            </w:pPr>
          </w:p>
        </w:tc>
      </w:tr>
      <w:tr>
        <w:trPr>
          <w:trHeight w:val="181"/>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OCI, net of tax</w:t>
            </w:r>
          </w:p>
        </w:tc>
        <w:tc>
          <w:tcPr>
            <w:tcW w:w="10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(249,520)</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(249,520)</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Repurchase of stock</w:t>
            </w:r>
          </w:p>
        </w:tc>
        <w:tc>
          <w:tcPr>
            <w:tcW w:w="1000" w:type="dxa"/>
            <w:vAlign w:val="bottom"/>
          </w:tcPr>
          <w:p>
            <w:pPr>
              <w:jc w:val="right"/>
              <w:spacing w:after="0"/>
              <w:rPr>
                <w:sz w:val="20"/>
                <w:szCs w:val="20"/>
                <w:color w:val="auto"/>
              </w:rPr>
            </w:pPr>
            <w:r>
              <w:rPr>
                <w:rFonts w:ascii="Verdana" w:cs="Verdana" w:eastAsia="Verdana" w:hAnsi="Verdana"/>
                <w:sz w:val="13"/>
                <w:szCs w:val="13"/>
                <w:color w:val="auto"/>
              </w:rPr>
              <w:t>(388,614)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(9,912)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(9,912)</w:t>
            </w:r>
          </w:p>
        </w:tc>
        <w:tc>
          <w:tcPr>
            <w:tcW w:w="0" w:type="dxa"/>
            <w:vAlign w:val="bottom"/>
          </w:tcPr>
          <w:p>
            <w:pPr>
              <w:spacing w:after="0"/>
              <w:rPr>
                <w:sz w:val="1"/>
                <w:szCs w:val="1"/>
                <w:color w:val="auto"/>
              </w:rPr>
            </w:pPr>
          </w:p>
        </w:tc>
      </w:tr>
      <w:tr>
        <w:trPr>
          <w:trHeight w:val="181"/>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of treasury stock for the 2021 ESPP</w:t>
            </w:r>
          </w:p>
        </w:tc>
        <w:tc>
          <w:tcPr>
            <w:tcW w:w="10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57,385</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(320)</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8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1,477</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1,157</w:t>
            </w:r>
          </w:p>
        </w:tc>
        <w:tc>
          <w:tcPr>
            <w:tcW w:w="0" w:type="dxa"/>
            <w:vAlign w:val="bottom"/>
          </w:tcPr>
          <w:p>
            <w:pPr>
              <w:spacing w:after="0"/>
              <w:rPr>
                <w:sz w:val="1"/>
                <w:szCs w:val="1"/>
                <w:color w:val="auto"/>
              </w:rPr>
            </w:pPr>
          </w:p>
        </w:tc>
      </w:tr>
      <w:tr>
        <w:trPr>
          <w:trHeight w:val="122"/>
        </w:trPr>
        <w:tc>
          <w:tcPr>
            <w:tcW w:w="3800" w:type="dxa"/>
            <w:vAlign w:val="bottom"/>
          </w:tcPr>
          <w:p>
            <w:pPr>
              <w:ind w:left="180"/>
              <w:spacing w:after="0" w:line="122" w:lineRule="exact"/>
              <w:rPr>
                <w:sz w:val="20"/>
                <w:szCs w:val="20"/>
                <w:color w:val="auto"/>
              </w:rPr>
            </w:pPr>
            <w:r>
              <w:rPr>
                <w:rFonts w:ascii="Verdana" w:cs="Verdana" w:eastAsia="Verdana" w:hAnsi="Verdana"/>
                <w:sz w:val="13"/>
                <w:szCs w:val="13"/>
                <w:color w:val="auto"/>
                <w:w w:val="97"/>
              </w:rPr>
              <w:t>Net issuance of treasury stock for RSU/PSU/DSU vesting</w:t>
            </w:r>
          </w:p>
        </w:tc>
        <w:tc>
          <w:tcPr>
            <w:tcW w:w="10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175,225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(5,789)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4,513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Verdana" w:cs="Verdana" w:eastAsia="Verdana" w:hAnsi="Verdana"/>
                <w:sz w:val="13"/>
                <w:szCs w:val="13"/>
                <w:color w:val="auto"/>
              </w:rPr>
              <w:t>(1,276)</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and related tax</w:t>
            </w: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80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Issuance of treasury stock for stock options exercised,</w:t>
            </w:r>
          </w:p>
        </w:tc>
        <w:tc>
          <w:tcPr>
            <w:tcW w:w="10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218</w:t>
            </w:r>
          </w:p>
        </w:tc>
        <w:tc>
          <w:tcPr>
            <w:tcW w:w="80" w:type="dxa"/>
            <w:vAlign w:val="bottom"/>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w:t>
            </w:r>
          </w:p>
        </w:tc>
        <w:tc>
          <w:tcPr>
            <w:tcW w:w="80" w:type="dxa"/>
            <w:vAlign w:val="bottom"/>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94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1"/>
                <w:szCs w:val="11"/>
                <w:color w:val="auto"/>
              </w:rPr>
            </w:pPr>
          </w:p>
        </w:tc>
        <w:tc>
          <w:tcPr>
            <w:tcW w:w="88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8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5</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82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6"/>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of shares redeemed and related tax</w:t>
            </w:r>
          </w:p>
        </w:tc>
        <w:tc>
          <w:tcPr>
            <w:tcW w:w="10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gridSpan w:val="2"/>
            <w:vMerge w:val="continue"/>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8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8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Cash dividends common stock at $0.92 per share</w:t>
            </w:r>
          </w:p>
        </w:tc>
        <w:tc>
          <w:tcPr>
            <w:tcW w:w="10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Verdana" w:cs="Verdana" w:eastAsia="Verdana" w:hAnsi="Verdana"/>
                <w:sz w:val="13"/>
                <w:szCs w:val="13"/>
                <w:color w:val="auto"/>
              </w:rPr>
              <w:t>(50,863)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(50,863)</w:t>
            </w:r>
          </w:p>
        </w:tc>
        <w:tc>
          <w:tcPr>
            <w:tcW w:w="0" w:type="dxa"/>
            <w:vAlign w:val="bottom"/>
          </w:tcPr>
          <w:p>
            <w:pPr>
              <w:spacing w:after="0"/>
              <w:rPr>
                <w:sz w:val="1"/>
                <w:szCs w:val="1"/>
                <w:color w:val="auto"/>
              </w:rPr>
            </w:pPr>
          </w:p>
        </w:tc>
      </w:tr>
      <w:tr>
        <w:trPr>
          <w:trHeight w:val="181"/>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Stock dividend equivalents on RSUs/PSUs/DSUs</w:t>
            </w:r>
          </w:p>
        </w:tc>
        <w:tc>
          <w:tcPr>
            <w:tcW w:w="10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1,142</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(1,142)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Stock-based compensation</w:t>
            </w:r>
          </w:p>
        </w:tc>
        <w:tc>
          <w:tcPr>
            <w:tcW w:w="10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8,968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8,968</w:t>
            </w:r>
          </w:p>
        </w:tc>
        <w:tc>
          <w:tcPr>
            <w:tcW w:w="0" w:type="dxa"/>
            <w:vAlign w:val="bottom"/>
          </w:tcPr>
          <w:p>
            <w:pPr>
              <w:spacing w:after="0"/>
              <w:rPr>
                <w:sz w:val="1"/>
                <w:szCs w:val="1"/>
                <w:color w:val="auto"/>
              </w:rPr>
            </w:pPr>
          </w:p>
        </w:tc>
      </w:tr>
      <w:tr>
        <w:trPr>
          <w:trHeight w:val="174"/>
        </w:trPr>
        <w:tc>
          <w:tcPr>
            <w:tcW w:w="38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December 31, 2022</w:t>
            </w:r>
          </w:p>
        </w:tc>
        <w:tc>
          <w:tcPr>
            <w:tcW w:w="100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55,279,124</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58</w:t>
            </w:r>
          </w:p>
        </w:tc>
        <w:tc>
          <w:tcPr>
            <w:tcW w:w="8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tcBorders>
            <w:shd w:val="clear" w:color="auto" w:fill="E0E7ED"/>
          </w:tcPr>
          <w:p>
            <w:pPr>
              <w:spacing w:after="0"/>
              <w:rPr>
                <w:sz w:val="15"/>
                <w:szCs w:val="15"/>
                <w:color w:val="auto"/>
              </w:rPr>
            </w:pPr>
          </w:p>
        </w:tc>
        <w:tc>
          <w:tcPr>
            <w:tcW w:w="8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1,320,980</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168,769</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(273,278)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(70,552)</w:t>
            </w: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1,145,977</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10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Verdana" w:cs="Verdana" w:eastAsia="Verdana" w:hAnsi="Verdana"/>
                <w:sz w:val="13"/>
                <w:szCs w:val="13"/>
                <w:color w:val="auto"/>
              </w:rPr>
              <w:t>122,565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122,565</w:t>
            </w:r>
          </w:p>
        </w:tc>
        <w:tc>
          <w:tcPr>
            <w:tcW w:w="0" w:type="dxa"/>
            <w:vAlign w:val="bottom"/>
          </w:tcPr>
          <w:p>
            <w:pPr>
              <w:spacing w:after="0"/>
              <w:rPr>
                <w:sz w:val="1"/>
                <w:szCs w:val="1"/>
                <w:color w:val="auto"/>
              </w:rPr>
            </w:pPr>
          </w:p>
        </w:tc>
      </w:tr>
      <w:tr>
        <w:trPr>
          <w:trHeight w:val="181"/>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OCI, net of tax</w:t>
            </w:r>
          </w:p>
        </w:tc>
        <w:tc>
          <w:tcPr>
            <w:tcW w:w="10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54,475</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54,475</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Repurchase of stock</w:t>
            </w:r>
          </w:p>
        </w:tc>
        <w:tc>
          <w:tcPr>
            <w:tcW w:w="1000" w:type="dxa"/>
            <w:vAlign w:val="bottom"/>
          </w:tcPr>
          <w:p>
            <w:pPr>
              <w:jc w:val="right"/>
              <w:spacing w:after="0"/>
              <w:rPr>
                <w:sz w:val="20"/>
                <w:szCs w:val="20"/>
                <w:color w:val="auto"/>
              </w:rPr>
            </w:pPr>
            <w:r>
              <w:rPr>
                <w:rFonts w:ascii="Verdana" w:cs="Verdana" w:eastAsia="Verdana" w:hAnsi="Verdana"/>
                <w:sz w:val="13"/>
                <w:szCs w:val="13"/>
                <w:color w:val="auto"/>
              </w:rPr>
              <w:t>(227,935)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(4,482)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(4,482)</w:t>
            </w:r>
          </w:p>
        </w:tc>
        <w:tc>
          <w:tcPr>
            <w:tcW w:w="0" w:type="dxa"/>
            <w:vAlign w:val="bottom"/>
          </w:tcPr>
          <w:p>
            <w:pPr>
              <w:spacing w:after="0"/>
              <w:rPr>
                <w:sz w:val="1"/>
                <w:szCs w:val="1"/>
                <w:color w:val="auto"/>
              </w:rPr>
            </w:pPr>
          </w:p>
        </w:tc>
      </w:tr>
      <w:tr>
        <w:trPr>
          <w:trHeight w:val="181"/>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of treasury stock for the 2021 ESPP</w:t>
            </w:r>
          </w:p>
        </w:tc>
        <w:tc>
          <w:tcPr>
            <w:tcW w:w="10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59,845</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(530)</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8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1,541</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1,011</w:t>
            </w:r>
          </w:p>
        </w:tc>
        <w:tc>
          <w:tcPr>
            <w:tcW w:w="0" w:type="dxa"/>
            <w:vAlign w:val="bottom"/>
          </w:tcPr>
          <w:p>
            <w:pPr>
              <w:spacing w:after="0"/>
              <w:rPr>
                <w:sz w:val="1"/>
                <w:szCs w:val="1"/>
                <w:color w:val="auto"/>
              </w:rPr>
            </w:pPr>
          </w:p>
        </w:tc>
      </w:tr>
      <w:tr>
        <w:trPr>
          <w:trHeight w:val="121"/>
        </w:trPr>
        <w:tc>
          <w:tcPr>
            <w:tcW w:w="3800" w:type="dxa"/>
            <w:vAlign w:val="bottom"/>
          </w:tcPr>
          <w:p>
            <w:pPr>
              <w:ind w:left="180"/>
              <w:spacing w:after="0" w:line="122" w:lineRule="exact"/>
              <w:rPr>
                <w:sz w:val="20"/>
                <w:szCs w:val="20"/>
                <w:color w:val="auto"/>
              </w:rPr>
            </w:pPr>
            <w:r>
              <w:rPr>
                <w:rFonts w:ascii="Verdana" w:cs="Verdana" w:eastAsia="Verdana" w:hAnsi="Verdana"/>
                <w:sz w:val="13"/>
                <w:szCs w:val="13"/>
                <w:color w:val="auto"/>
                <w:w w:val="97"/>
              </w:rPr>
              <w:t>Net issuance of treasury stock for RSU/PSU/DSU vesting</w:t>
            </w:r>
          </w:p>
        </w:tc>
        <w:tc>
          <w:tcPr>
            <w:tcW w:w="100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132,091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(4,494)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3,401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Verdana" w:cs="Verdana" w:eastAsia="Verdana" w:hAnsi="Verdana"/>
                <w:sz w:val="13"/>
                <w:szCs w:val="13"/>
                <w:color w:val="auto"/>
              </w:rPr>
              <w:t>(1,093)</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and related tax</w:t>
            </w: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issuance of treasury stock for warrants exercised</w:t>
            </w:r>
          </w:p>
        </w:tc>
        <w:tc>
          <w:tcPr>
            <w:tcW w:w="10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994</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8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26</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Cash dividends common stock at $0.96 per share</w:t>
            </w:r>
          </w:p>
        </w:tc>
        <w:tc>
          <w:tcPr>
            <w:tcW w:w="10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Verdana" w:cs="Verdana" w:eastAsia="Verdana" w:hAnsi="Verdana"/>
                <w:sz w:val="13"/>
                <w:szCs w:val="13"/>
                <w:color w:val="auto"/>
              </w:rPr>
              <w:t>(53,076)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(53,076)</w:t>
            </w:r>
          </w:p>
        </w:tc>
        <w:tc>
          <w:tcPr>
            <w:tcW w:w="0" w:type="dxa"/>
            <w:vAlign w:val="bottom"/>
          </w:tcPr>
          <w:p>
            <w:pPr>
              <w:spacing w:after="0"/>
              <w:rPr>
                <w:sz w:val="1"/>
                <w:szCs w:val="1"/>
                <w:color w:val="auto"/>
              </w:rPr>
            </w:pPr>
          </w:p>
        </w:tc>
      </w:tr>
      <w:tr>
        <w:trPr>
          <w:trHeight w:val="181"/>
        </w:trPr>
        <w:tc>
          <w:tcPr>
            <w:tcW w:w="38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Stock dividend equivalents on RSUs/PSUs/DSUs</w:t>
            </w:r>
          </w:p>
        </w:tc>
        <w:tc>
          <w:tcPr>
            <w:tcW w:w="10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1,061</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(1,061)</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800" w:type="dxa"/>
            <w:vAlign w:val="bottom"/>
          </w:tcPr>
          <w:p>
            <w:pPr>
              <w:ind w:left="180"/>
              <w:spacing w:after="0"/>
              <w:rPr>
                <w:sz w:val="20"/>
                <w:szCs w:val="20"/>
                <w:color w:val="auto"/>
              </w:rPr>
            </w:pPr>
            <w:r>
              <w:rPr>
                <w:rFonts w:ascii="Verdana" w:cs="Verdana" w:eastAsia="Verdana" w:hAnsi="Verdana"/>
                <w:sz w:val="13"/>
                <w:szCs w:val="13"/>
                <w:color w:val="auto"/>
              </w:rPr>
              <w:t>Stock-based compensation</w:t>
            </w:r>
          </w:p>
        </w:tc>
        <w:tc>
          <w:tcPr>
            <w:tcW w:w="10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6,595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6,595</w:t>
            </w:r>
          </w:p>
        </w:tc>
        <w:tc>
          <w:tcPr>
            <w:tcW w:w="0" w:type="dxa"/>
            <w:vAlign w:val="bottom"/>
          </w:tcPr>
          <w:p>
            <w:pPr>
              <w:spacing w:after="0"/>
              <w:rPr>
                <w:sz w:val="1"/>
                <w:szCs w:val="1"/>
                <w:color w:val="auto"/>
              </w:rPr>
            </w:pPr>
          </w:p>
        </w:tc>
      </w:tr>
      <w:tr>
        <w:trPr>
          <w:trHeight w:val="199"/>
        </w:trPr>
        <w:tc>
          <w:tcPr>
            <w:tcW w:w="380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December 31, 2023</w:t>
            </w:r>
          </w:p>
        </w:tc>
        <w:tc>
          <w:tcPr>
            <w:tcW w:w="10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55,244,119</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58</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1,323,595</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6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237,197</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200" w:type="dxa"/>
            <w:vAlign w:val="bottom"/>
            <w:tcBorders>
              <w:top w:val="single" w:sz="8" w:color="auto"/>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(218,803)</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(70,066)</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80" w:type="dxa"/>
            <w:vAlign w:val="bottom"/>
            <w:tcBorders>
              <w:top w:val="single" w:sz="8" w:color="auto"/>
              <w:bottom w:val="single" w:sz="8" w:color="auto"/>
            </w:tcBorders>
            <w:shd w:val="clear" w:color="auto" w:fill="E0E7ED"/>
          </w:tcPr>
          <w:p>
            <w:pPr>
              <w:ind w:left="20"/>
              <w:spacing w:after="0"/>
              <w:rPr>
                <w:sz w:val="20"/>
                <w:szCs w:val="20"/>
                <w:color w:val="auto"/>
              </w:rPr>
            </w:pPr>
            <w:r>
              <w:rPr>
                <w:rFonts w:ascii="Verdana" w:cs="Verdana" w:eastAsia="Verdana" w:hAnsi="Verdana"/>
                <w:sz w:val="13"/>
                <w:szCs w:val="13"/>
                <w:color w:val="auto"/>
              </w:rPr>
              <w:t>$</w:t>
            </w: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1,271,981</w:t>
            </w:r>
          </w:p>
        </w:tc>
        <w:tc>
          <w:tcPr>
            <w:tcW w:w="0" w:type="dxa"/>
            <w:vAlign w:val="bottom"/>
          </w:tcPr>
          <w:p>
            <w:pPr>
              <w:spacing w:after="0"/>
              <w:rPr>
                <w:sz w:val="1"/>
                <w:szCs w:val="1"/>
                <w:color w:val="auto"/>
              </w:rPr>
            </w:pPr>
          </w:p>
        </w:tc>
      </w:tr>
      <w:tr>
        <w:trPr>
          <w:trHeight w:val="20"/>
        </w:trPr>
        <w:tc>
          <w:tcPr>
            <w:tcW w:w="3800" w:type="dxa"/>
            <w:vAlign w:val="bottom"/>
            <w:tcBorders>
              <w:top w:val="single" w:sz="8" w:color="E0E7ED"/>
            </w:tcBorders>
          </w:tcPr>
          <w:p>
            <w:pPr>
              <w:spacing w:after="0" w:line="20" w:lineRule="exact"/>
              <w:rPr>
                <w:sz w:val="1"/>
                <w:szCs w:val="1"/>
                <w:color w:val="auto"/>
              </w:rPr>
            </w:pPr>
          </w:p>
        </w:tc>
        <w:tc>
          <w:tcPr>
            <w:tcW w:w="10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8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8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See accompanying Notes to Consolidated Financial Statements.</w:t>
      </w:r>
    </w:p>
    <w:p>
      <w:pPr>
        <w:spacing w:after="0" w:line="22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7" w:name="page98"/>
    <w:bookmarkEnd w:id="9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177"/>
              <w:spacing w:after="0"/>
              <w:rPr>
                <w:sz w:val="20"/>
                <w:szCs w:val="20"/>
                <w:color w:val="auto"/>
              </w:rPr>
            </w:pPr>
            <w:r>
              <w:rPr>
                <w:rFonts w:ascii="Verdana" w:cs="Verdana" w:eastAsia="Verdana" w:hAnsi="Verdana"/>
                <w:sz w:val="13"/>
                <w:szCs w:val="13"/>
                <w:b w:val="1"/>
                <w:bCs w:val="1"/>
                <w:color w:val="auto"/>
              </w:rPr>
              <w:t>Years Ended December 31,</w:t>
            </w:r>
          </w:p>
        </w:tc>
        <w:tc>
          <w:tcPr>
            <w:tcW w:w="1140" w:type="dxa"/>
            <w:vAlign w:val="bottom"/>
            <w:tcBorders>
              <w:bottom w:val="single" w:sz="8" w:color="auto"/>
            </w:tcBorders>
          </w:tcPr>
          <w:p>
            <w:pPr>
              <w:spacing w:after="0"/>
              <w:rPr>
                <w:sz w:val="15"/>
                <w:szCs w:val="15"/>
                <w:color w:val="auto"/>
              </w:rPr>
            </w:pPr>
          </w:p>
        </w:tc>
      </w:tr>
      <w:tr>
        <w:trPr>
          <w:trHeight w:val="170"/>
        </w:trPr>
        <w:tc>
          <w:tcPr>
            <w:tcW w:w="66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2021</w:t>
            </w:r>
          </w:p>
        </w:tc>
      </w:tr>
      <w:tr>
        <w:trPr>
          <w:trHeight w:val="161"/>
        </w:trPr>
        <w:tc>
          <w:tcPr>
            <w:tcW w:w="6600" w:type="dxa"/>
            <w:vAlign w:val="bottom"/>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Cash flows provided by (used in) operating activities</w:t>
            </w: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122,565</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128,311</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123,449</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Adjustments to reconcile net income to net cash provided by (used in) operating activities: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Provision for credit losses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2,399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4,623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(15,101)</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Amortization of intangible assets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10,432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11,628</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11,274</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Amortization of mortgage servicing rights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2,785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3,540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5,292</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Amortization of NMTC</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8,999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6,333</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5,563</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Depreciation and amortization of premises and equipment</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9,488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10,482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11,610</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Net amortization (accretion) on portfolio loans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6,971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3,932</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(11,545)</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Net amortization (accretion) of premium (discount) on investment securities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14,406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20,799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24,251</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Net amortization (accretion) of premium (discount) on time deposits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(270)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(403)</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(1,142)</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Net amortization (accretion) of premium (discount) on FHLB advances and other borrowings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1,027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1,400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826</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Impairment of OREO and other repossessed assets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611</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Impairment of fixed assets held for sale</w:t>
            </w:r>
          </w:p>
        </w:tc>
        <w:tc>
          <w:tcPr>
            <w:tcW w:w="3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3,227</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Impairment of mortgage servicing rights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(639)</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Impairment of leases</w:t>
            </w:r>
          </w:p>
        </w:tc>
        <w:tc>
          <w:tcPr>
            <w:tcW w:w="3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Unrealized (gains) losses recognized on equity securities, net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2,171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2,183</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(3,041)</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(Gain) loss on sales of equity securities, net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(5,475)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debt securities, net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5,503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(Gain) loss on sales of loans, net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(733)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(1,944)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(9,323)</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OREO and other repossessed assets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54</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174</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(Gain) loss on sales of premises and equipment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(450)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(825)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(1,023)</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(Gain) loss on life insurance proceeds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(759)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2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(1,257)</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(Increase) decrease in cash surrender value of bank owned life insurance</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(3,942)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(3,663)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(3,909)</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Provision for deferred income taxes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(2,920)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(1,272)</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4,665</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Stock-based compensation</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6,595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8,968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7,864</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Mortgage loans originated for sale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(35,413)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(70,953)</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(274,356)</w:t>
            </w:r>
          </w:p>
        </w:tc>
      </w:tr>
      <w:tr>
        <w:trPr>
          <w:trHeight w:val="170"/>
        </w:trPr>
        <w:tc>
          <w:tcPr>
            <w:tcW w:w="6600" w:type="dxa"/>
            <w:vAlign w:val="bottom"/>
          </w:tcPr>
          <w:p>
            <w:pPr>
              <w:ind w:left="360"/>
              <w:spacing w:after="0"/>
              <w:rPr>
                <w:sz w:val="20"/>
                <w:szCs w:val="20"/>
                <w:color w:val="auto"/>
              </w:rPr>
            </w:pPr>
            <w:r>
              <w:rPr>
                <w:rFonts w:ascii="Verdana" w:cs="Verdana" w:eastAsia="Verdana" w:hAnsi="Verdana"/>
                <w:sz w:val="13"/>
                <w:szCs w:val="13"/>
                <w:color w:val="auto"/>
              </w:rPr>
              <w:t>Proceeds from sales of mortgage loans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35,018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95,289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306,074</w:t>
            </w:r>
          </w:p>
        </w:tc>
      </w:tr>
      <w:tr>
        <w:trPr>
          <w:trHeight w:val="181"/>
        </w:trPr>
        <w:tc>
          <w:tcPr>
            <w:tcW w:w="660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(Increase) decrease in other assets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(17,888)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(56,284)</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7,203</w:t>
            </w:r>
          </w:p>
        </w:tc>
      </w:tr>
      <w:tr>
        <w:trPr>
          <w:trHeight w:val="170"/>
        </w:trPr>
        <w:tc>
          <w:tcPr>
            <w:tcW w:w="6600" w:type="dxa"/>
            <w:vAlign w:val="bottom"/>
            <w:tcBorders>
              <w:bottom w:val="single" w:sz="8" w:color="E0E7ED"/>
            </w:tcBorders>
          </w:tcPr>
          <w:p>
            <w:pPr>
              <w:ind w:left="360"/>
              <w:spacing w:after="0"/>
              <w:rPr>
                <w:sz w:val="20"/>
                <w:szCs w:val="20"/>
                <w:color w:val="auto"/>
              </w:rPr>
            </w:pPr>
            <w:r>
              <w:rPr>
                <w:rFonts w:ascii="Verdana" w:cs="Verdana" w:eastAsia="Verdana" w:hAnsi="Verdana"/>
                <w:sz w:val="13"/>
                <w:szCs w:val="13"/>
                <w:color w:val="auto"/>
              </w:rPr>
              <w:t>Increase (decrease) in other liabilities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12,826</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2,633</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(28,096)</w:t>
            </w:r>
          </w:p>
        </w:tc>
      </w:tr>
      <w:tr>
        <w:trPr>
          <w:trHeight w:val="199"/>
        </w:trPr>
        <w:tc>
          <w:tcPr>
            <w:tcW w:w="66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Net cash provided by (used in) operating activities</w:t>
            </w:r>
          </w:p>
        </w:tc>
        <w:tc>
          <w:tcPr>
            <w:tcW w:w="320" w:type="dxa"/>
            <w:vAlign w:val="bottom"/>
            <w:tcBorders>
              <w:bottom w:val="single" w:sz="8" w:color="auto"/>
            </w:tcBorders>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173,390</w:t>
            </w:r>
          </w:p>
        </w:tc>
        <w:tc>
          <w:tcPr>
            <w:tcW w:w="100" w:type="dxa"/>
            <w:vAlign w:val="bottom"/>
            <w:tcBorders>
              <w:bottom w:val="single" w:sz="8" w:color="E0E7ED"/>
            </w:tcBorders>
            <w:shd w:val="clear" w:color="auto" w:fill="E0E7ED"/>
          </w:tcPr>
          <w:p>
            <w:pPr>
              <w:spacing w:after="0"/>
              <w:rPr>
                <w:sz w:val="16"/>
                <w:szCs w:val="16"/>
                <w:color w:val="auto"/>
              </w:rPr>
            </w:pPr>
          </w:p>
        </w:tc>
        <w:tc>
          <w:tcPr>
            <w:tcW w:w="320" w:type="dxa"/>
            <w:vAlign w:val="bottom"/>
            <w:tcBorders>
              <w:bottom w:val="single" w:sz="8" w:color="auto"/>
            </w:tcBorders>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165,895</w:t>
            </w:r>
          </w:p>
        </w:tc>
        <w:tc>
          <w:tcPr>
            <w:tcW w:w="100" w:type="dxa"/>
            <w:vAlign w:val="bottom"/>
            <w:tcBorders>
              <w:bottom w:val="single" w:sz="8" w:color="E0E7ED"/>
            </w:tcBorders>
            <w:shd w:val="clear" w:color="auto" w:fill="E0E7ED"/>
          </w:tcPr>
          <w:p>
            <w:pPr>
              <w:spacing w:after="0"/>
              <w:rPr>
                <w:sz w:val="16"/>
                <w:szCs w:val="16"/>
                <w:color w:val="auto"/>
              </w:rPr>
            </w:pPr>
          </w:p>
        </w:tc>
        <w:tc>
          <w:tcPr>
            <w:tcW w:w="340" w:type="dxa"/>
            <w:vAlign w:val="bottom"/>
            <w:tcBorders>
              <w:bottom w:val="single" w:sz="8" w:color="auto"/>
            </w:tcBorders>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162,012</w:t>
            </w:r>
          </w:p>
        </w:tc>
      </w:tr>
      <w:tr>
        <w:trPr>
          <w:trHeight w:val="20"/>
        </w:trPr>
        <w:tc>
          <w:tcPr>
            <w:tcW w:w="66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123"/>
        </w:trPr>
        <w:tc>
          <w:tcPr>
            <w:tcW w:w="6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75"/>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Cash flows provided by (used in) investing activities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Purchases of equity securities</w:t>
            </w: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spacing w:after="0"/>
              <w:rPr>
                <w:sz w:val="20"/>
                <w:szCs w:val="20"/>
                <w:color w:val="auto"/>
              </w:rPr>
            </w:pPr>
            <w:r>
              <w:rPr>
                <w:rFonts w:ascii="Verdana" w:cs="Verdana" w:eastAsia="Verdana" w:hAnsi="Verdana"/>
                <w:sz w:val="13"/>
                <w:szCs w:val="13"/>
                <w:color w:val="auto"/>
              </w:rPr>
              <w:t>(6,617)</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spacing w:after="0"/>
              <w:rPr>
                <w:sz w:val="20"/>
                <w:szCs w:val="20"/>
                <w:color w:val="auto"/>
              </w:rPr>
            </w:pPr>
            <w:r>
              <w:rPr>
                <w:rFonts w:ascii="Verdana" w:cs="Verdana" w:eastAsia="Verdana" w:hAnsi="Verdana"/>
                <w:sz w:val="13"/>
                <w:szCs w:val="13"/>
                <w:color w:val="auto"/>
              </w:rPr>
              <w:t>(14,820)</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Pr>
          <w:p>
            <w:pPr>
              <w:jc w:val="right"/>
              <w:spacing w:after="0"/>
              <w:rPr>
                <w:sz w:val="20"/>
                <w:szCs w:val="20"/>
                <w:color w:val="auto"/>
              </w:rPr>
            </w:pPr>
            <w:r>
              <w:rPr>
                <w:rFonts w:ascii="Verdana" w:cs="Verdana" w:eastAsia="Verdana" w:hAnsi="Verdana"/>
                <w:sz w:val="13"/>
                <w:szCs w:val="13"/>
                <w:color w:val="auto"/>
              </w:rPr>
              <w:t>(11,017)</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Purchases of debt securities available for sale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(10,436)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(280,083)</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(2,298,055)</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Proceeds from sales of equity securities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11,644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15,418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7,254</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sales of debt securities available for sale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105,044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2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290,955</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Proceeds from paydowns and maturities of debt securities held to maturity</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48,927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70,116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paydowns and maturities of debt securities available for sale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326,252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470,134</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868,083</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Purchases of FHLB and other bank stock</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(30,957)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(12,969)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the redemption of FHLB and other bank stock</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43,926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225</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Net cash received in (paid for) acquisitions</w:t>
            </w:r>
          </w:p>
        </w:tc>
        <w:tc>
          <w:tcPr>
            <w:tcW w:w="3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228,279</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(increase) decrease in loans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65,240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(541,713)</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76,826</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Cash paid for premiums on bank-owned life insurance</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(124)</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life insurance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2,292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219</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4,755</w:t>
            </w: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Purchases of premises and equipment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(9,533)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(4,989)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(5,042)</w:t>
            </w: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disposition of premises and equipment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4,425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4,528</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7,306</w:t>
            </w:r>
          </w:p>
        </w:tc>
      </w:tr>
      <w:tr>
        <w:trPr>
          <w:trHeight w:val="170"/>
        </w:trPr>
        <w:tc>
          <w:tcPr>
            <w:tcW w:w="660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Proceeds from sales of OREO and other repossessed assets, including cash payments collected</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860</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3,076</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1,590</w:t>
            </w:r>
          </w:p>
        </w:tc>
      </w:tr>
      <w:tr>
        <w:trPr>
          <w:trHeight w:val="199"/>
        </w:trPr>
        <w:tc>
          <w:tcPr>
            <w:tcW w:w="66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Net cash provided by (used in) investing activities</w:t>
            </w:r>
          </w:p>
        </w:tc>
        <w:tc>
          <w:tcPr>
            <w:tcW w:w="320" w:type="dxa"/>
            <w:vAlign w:val="bottom"/>
            <w:tcBorders>
              <w:bottom w:val="single" w:sz="8" w:color="auto"/>
            </w:tcBorders>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550,987</w:t>
            </w:r>
          </w:p>
        </w:tc>
        <w:tc>
          <w:tcPr>
            <w:tcW w:w="100" w:type="dxa"/>
            <w:vAlign w:val="bottom"/>
            <w:tcBorders>
              <w:bottom w:val="single" w:sz="8" w:color="E0E7ED"/>
            </w:tcBorders>
            <w:shd w:val="clear" w:color="auto" w:fill="E0E7ED"/>
          </w:tcPr>
          <w:p>
            <w:pPr>
              <w:spacing w:after="0"/>
              <w:rPr>
                <w:sz w:val="16"/>
                <w:szCs w:val="16"/>
                <w:color w:val="auto"/>
              </w:rPr>
            </w:pPr>
          </w:p>
        </w:tc>
        <w:tc>
          <w:tcPr>
            <w:tcW w:w="320" w:type="dxa"/>
            <w:vAlign w:val="bottom"/>
            <w:tcBorders>
              <w:bottom w:val="single" w:sz="8" w:color="auto"/>
            </w:tcBorders>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(290,964)</w:t>
            </w:r>
          </w:p>
        </w:tc>
        <w:tc>
          <w:tcPr>
            <w:tcW w:w="100" w:type="dxa"/>
            <w:vAlign w:val="bottom"/>
            <w:tcBorders>
              <w:bottom w:val="single" w:sz="8" w:color="E0E7ED"/>
            </w:tcBorders>
            <w:shd w:val="clear" w:color="auto" w:fill="E0E7ED"/>
          </w:tcPr>
          <w:p>
            <w:pPr>
              <w:spacing w:after="0"/>
              <w:rPr>
                <w:sz w:val="16"/>
                <w:szCs w:val="16"/>
                <w:color w:val="auto"/>
              </w:rPr>
            </w:pPr>
          </w:p>
        </w:tc>
        <w:tc>
          <w:tcPr>
            <w:tcW w:w="340" w:type="dxa"/>
            <w:vAlign w:val="bottom"/>
            <w:tcBorders>
              <w:bottom w:val="single" w:sz="8" w:color="auto"/>
            </w:tcBorders>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(829,190)</w:t>
            </w:r>
          </w:p>
        </w:tc>
      </w:tr>
      <w:tr>
        <w:trPr>
          <w:trHeight w:val="20"/>
        </w:trPr>
        <w:tc>
          <w:tcPr>
            <w:tcW w:w="66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(continued)</w:t>
      </w:r>
    </w:p>
    <w:p>
      <w:pPr>
        <w:spacing w:after="0" w:line="18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8" w:name="page99"/>
    <w:bookmarkEnd w:id="9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CASH FLOWS (Continued)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177"/>
              <w:spacing w:after="0"/>
              <w:rPr>
                <w:sz w:val="20"/>
                <w:szCs w:val="20"/>
                <w:color w:val="auto"/>
              </w:rPr>
            </w:pPr>
            <w:r>
              <w:rPr>
                <w:rFonts w:ascii="Verdana" w:cs="Verdana" w:eastAsia="Verdana" w:hAnsi="Verdana"/>
                <w:sz w:val="13"/>
                <w:szCs w:val="13"/>
                <w:b w:val="1"/>
                <w:bCs w:val="1"/>
                <w:color w:val="auto"/>
              </w:rPr>
              <w:t>Years Ended December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2021</w:t>
            </w:r>
          </w:p>
        </w:tc>
        <w:tc>
          <w:tcPr>
            <w:tcW w:w="0" w:type="dxa"/>
            <w:vAlign w:val="bottom"/>
          </w:tcPr>
          <w:p>
            <w:pPr>
              <w:spacing w:after="0"/>
              <w:rPr>
                <w:sz w:val="1"/>
                <w:szCs w:val="1"/>
                <w:color w:val="auto"/>
              </w:rPr>
            </w:pPr>
          </w:p>
        </w:tc>
      </w:tr>
      <w:tr>
        <w:trPr>
          <w:trHeight w:val="161"/>
        </w:trPr>
        <w:tc>
          <w:tcPr>
            <w:tcW w:w="6600" w:type="dxa"/>
            <w:vAlign w:val="bottom"/>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Cash flows provided by (used in) financing activities</w:t>
            </w: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Net increase (decrease) in deposits</w:t>
            </w: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220,146</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spacing w:after="0"/>
              <w:rPr>
                <w:sz w:val="20"/>
                <w:szCs w:val="20"/>
                <w:color w:val="auto"/>
              </w:rPr>
            </w:pPr>
            <w:r>
              <w:rPr>
                <w:rFonts w:ascii="Verdana" w:cs="Verdana" w:eastAsia="Verdana" w:hAnsi="Verdana"/>
                <w:sz w:val="13"/>
                <w:szCs w:val="13"/>
                <w:color w:val="auto"/>
              </w:rPr>
              <w:t>(696,894)</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767,474</w:t>
            </w:r>
          </w:p>
        </w:tc>
        <w:tc>
          <w:tcPr>
            <w:tcW w:w="0" w:type="dxa"/>
            <w:vAlign w:val="bottom"/>
          </w:tcPr>
          <w:p>
            <w:pPr>
              <w:spacing w:after="0"/>
              <w:rPr>
                <w:sz w:val="1"/>
                <w:szCs w:val="1"/>
                <w:color w:val="auto"/>
              </w:rPr>
            </w:pPr>
          </w:p>
        </w:tc>
      </w:tr>
      <w:tr>
        <w:trPr>
          <w:trHeight w:val="127"/>
        </w:trPr>
        <w:tc>
          <w:tcPr>
            <w:tcW w:w="660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Net increase (decrease) in federal funds purchased and securities sold under agreements to</w:t>
            </w: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(42,410)</w:t>
            </w: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(40,333)</w:t>
            </w:r>
          </w:p>
        </w:tc>
        <w:tc>
          <w:tcPr>
            <w:tcW w:w="10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77,874</w:t>
            </w:r>
          </w:p>
        </w:tc>
        <w:tc>
          <w:tcPr>
            <w:tcW w:w="0" w:type="dxa"/>
            <w:vAlign w:val="bottom"/>
          </w:tcPr>
          <w:p>
            <w:pPr>
              <w:spacing w:after="0"/>
              <w:rPr>
                <w:sz w:val="1"/>
                <w:szCs w:val="1"/>
                <w:color w:val="auto"/>
              </w:rPr>
            </w:pPr>
          </w:p>
        </w:tc>
      </w:tr>
      <w:tr>
        <w:trPr>
          <w:trHeight w:val="176"/>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repurchase</w:t>
            </w:r>
          </w:p>
        </w:tc>
        <w:tc>
          <w:tcPr>
            <w:tcW w:w="320" w:type="dxa"/>
            <w:vAlign w:val="bottom"/>
            <w:shd w:val="clear" w:color="auto" w:fill="E0E7ED"/>
          </w:tcPr>
          <w:p>
            <w:pPr>
              <w:spacing w:after="0"/>
              <w:rPr>
                <w:sz w:val="15"/>
                <w:szCs w:val="15"/>
                <w:color w:val="auto"/>
              </w:rPr>
            </w:pPr>
          </w:p>
        </w:tc>
        <w:tc>
          <w:tcPr>
            <w:tcW w:w="116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Net increase (decrease) in short-term borrowings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(335,000)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330,000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1,000</w:t>
            </w:r>
          </w:p>
        </w:tc>
        <w:tc>
          <w:tcPr>
            <w:tcW w:w="0" w:type="dxa"/>
            <w:vAlign w:val="bottom"/>
          </w:tcPr>
          <w:p>
            <w:pPr>
              <w:spacing w:after="0"/>
              <w:rPr>
                <w:sz w:val="1"/>
                <w:szCs w:val="1"/>
                <w:color w:val="auto"/>
              </w:rPr>
            </w:pP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other borrowings, net of debt issuance costs</w:t>
            </w:r>
          </w:p>
        </w:tc>
        <w:tc>
          <w:tcPr>
            <w:tcW w:w="320" w:type="dxa"/>
            <w:vAlign w:val="bottom"/>
            <w:shd w:val="clear" w:color="auto" w:fill="E0E7ED"/>
          </w:tcPr>
          <w:p>
            <w:pPr>
              <w:spacing w:after="0"/>
              <w:rPr>
                <w:sz w:val="15"/>
                <w:szCs w:val="15"/>
                <w:color w:val="auto"/>
              </w:rPr>
            </w:pPr>
          </w:p>
        </w:tc>
        <w:tc>
          <w:tcPr>
            <w:tcW w:w="12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98,094</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72,500</w:t>
            </w:r>
          </w:p>
        </w:tc>
        <w:tc>
          <w:tcPr>
            <w:tcW w:w="0" w:type="dxa"/>
            <w:vAlign w:val="bottom"/>
          </w:tcPr>
          <w:p>
            <w:pPr>
              <w:spacing w:after="0"/>
              <w:rPr>
                <w:sz w:val="1"/>
                <w:szCs w:val="1"/>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Repayment of other borrowings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(16,054)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(112,678)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(19,158)</w:t>
            </w:r>
          </w:p>
        </w:tc>
        <w:tc>
          <w:tcPr>
            <w:tcW w:w="0" w:type="dxa"/>
            <w:vAlign w:val="bottom"/>
          </w:tcPr>
          <w:p>
            <w:pPr>
              <w:spacing w:after="0"/>
              <w:rPr>
                <w:sz w:val="1"/>
                <w:szCs w:val="1"/>
                <w:color w:val="auto"/>
              </w:rPr>
            </w:pP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dividends paid</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(53,076)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(50,863)</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(50,764)</w:t>
            </w:r>
          </w:p>
        </w:tc>
        <w:tc>
          <w:tcPr>
            <w:tcW w:w="0" w:type="dxa"/>
            <w:vAlign w:val="bottom"/>
          </w:tcPr>
          <w:p>
            <w:pPr>
              <w:spacing w:after="0"/>
              <w:rPr>
                <w:sz w:val="1"/>
                <w:szCs w:val="1"/>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Purchase of treasury stock</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(4,482)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(9,912)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(33,043)</w:t>
            </w:r>
          </w:p>
        </w:tc>
        <w:tc>
          <w:tcPr>
            <w:tcW w:w="0" w:type="dxa"/>
            <w:vAlign w:val="bottom"/>
          </w:tcPr>
          <w:p>
            <w:pPr>
              <w:spacing w:after="0"/>
              <w:rPr>
                <w:sz w:val="1"/>
                <w:szCs w:val="1"/>
                <w:color w:val="auto"/>
              </w:rPr>
            </w:pP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paid for withholding taxes on stock-based payments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(1,093)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(1,276)</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(997)</w:t>
            </w:r>
          </w:p>
        </w:tc>
        <w:tc>
          <w:tcPr>
            <w:tcW w:w="0" w:type="dxa"/>
            <w:vAlign w:val="bottom"/>
          </w:tcPr>
          <w:p>
            <w:pPr>
              <w:spacing w:after="0"/>
              <w:rPr>
                <w:sz w:val="1"/>
                <w:szCs w:val="1"/>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Proceeds from stock warrants exercised</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6"/>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Common stock issuance costs</w:t>
            </w:r>
          </w:p>
        </w:tc>
        <w:tc>
          <w:tcPr>
            <w:tcW w:w="320" w:type="dxa"/>
            <w:vAlign w:val="bottom"/>
            <w:shd w:val="clear" w:color="auto" w:fill="E0E7ED"/>
          </w:tcPr>
          <w:p>
            <w:pPr>
              <w:spacing w:after="0"/>
              <w:rPr>
                <w:sz w:val="15"/>
                <w:szCs w:val="15"/>
                <w:color w:val="auto"/>
              </w:rPr>
            </w:pPr>
          </w:p>
        </w:tc>
        <w:tc>
          <w:tcPr>
            <w:tcW w:w="12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2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(150)</w:t>
            </w:r>
          </w:p>
        </w:tc>
        <w:tc>
          <w:tcPr>
            <w:tcW w:w="0" w:type="dxa"/>
            <w:vAlign w:val="bottom"/>
          </w:tcPr>
          <w:p>
            <w:pPr>
              <w:spacing w:after="0"/>
              <w:rPr>
                <w:sz w:val="1"/>
                <w:szCs w:val="1"/>
                <w:color w:val="auto"/>
              </w:rPr>
            </w:pPr>
          </w:p>
        </w:tc>
      </w:tr>
      <w:tr>
        <w:trPr>
          <w:trHeight w:val="174"/>
        </w:trPr>
        <w:tc>
          <w:tcPr>
            <w:tcW w:w="6600" w:type="dxa"/>
            <w:vAlign w:val="bottom"/>
          </w:tcPr>
          <w:p>
            <w:pPr>
              <w:ind w:left="20"/>
              <w:spacing w:after="0"/>
              <w:rPr>
                <w:sz w:val="20"/>
                <w:szCs w:val="20"/>
                <w:color w:val="auto"/>
              </w:rPr>
            </w:pPr>
            <w:r>
              <w:rPr>
                <w:rFonts w:ascii="Verdana" w:cs="Verdana" w:eastAsia="Verdana" w:hAnsi="Verdana"/>
                <w:sz w:val="13"/>
                <w:szCs w:val="13"/>
                <w:color w:val="auto"/>
              </w:rPr>
              <w:t>Net cash provided by (used in) financing activities</w:t>
            </w: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(231,960)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(483,862)</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814,736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600" w:type="dxa"/>
            <w:vAlign w:val="bottom"/>
          </w:tcPr>
          <w:p>
            <w:pPr>
              <w:ind w:left="20"/>
              <w:spacing w:after="0"/>
              <w:rPr>
                <w:sz w:val="20"/>
                <w:szCs w:val="20"/>
                <w:color w:val="auto"/>
              </w:rPr>
            </w:pPr>
            <w:r>
              <w:rPr>
                <w:rFonts w:ascii="Verdana" w:cs="Verdana" w:eastAsia="Verdana" w:hAnsi="Verdana"/>
                <w:sz w:val="13"/>
                <w:szCs w:val="13"/>
                <w:b w:val="1"/>
                <w:bCs w:val="1"/>
                <w:color w:val="auto"/>
              </w:rPr>
              <w:t>Net increase (decrease) in cash and cash equivalents</w:t>
            </w: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492,417</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spacing w:after="0"/>
              <w:rPr>
                <w:sz w:val="20"/>
                <w:szCs w:val="20"/>
                <w:color w:val="auto"/>
              </w:rPr>
            </w:pPr>
            <w:r>
              <w:rPr>
                <w:rFonts w:ascii="Verdana" w:cs="Verdana" w:eastAsia="Verdana" w:hAnsi="Verdana"/>
                <w:sz w:val="13"/>
                <w:szCs w:val="13"/>
                <w:color w:val="auto"/>
              </w:rPr>
              <w:t>(608,931)</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147,558</w:t>
            </w:r>
          </w:p>
        </w:tc>
        <w:tc>
          <w:tcPr>
            <w:tcW w:w="0" w:type="dxa"/>
            <w:vAlign w:val="bottom"/>
          </w:tcPr>
          <w:p>
            <w:pPr>
              <w:spacing w:after="0"/>
              <w:rPr>
                <w:sz w:val="1"/>
                <w:szCs w:val="1"/>
                <w:color w:val="auto"/>
              </w:rPr>
            </w:pPr>
          </w:p>
        </w:tc>
      </w:tr>
      <w:tr>
        <w:trPr>
          <w:trHeight w:val="175"/>
        </w:trPr>
        <w:tc>
          <w:tcPr>
            <w:tcW w:w="660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Cash and cash equivalents, beginning of period</w:t>
            </w: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227,164</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836,095</w:t>
            </w:r>
          </w:p>
        </w:tc>
        <w:tc>
          <w:tcPr>
            <w:tcW w:w="10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688,537</w:t>
            </w:r>
          </w:p>
        </w:tc>
        <w:tc>
          <w:tcPr>
            <w:tcW w:w="0" w:type="dxa"/>
            <w:vAlign w:val="bottom"/>
          </w:tcPr>
          <w:p>
            <w:pPr>
              <w:spacing w:after="0"/>
              <w:rPr>
                <w:sz w:val="1"/>
                <w:szCs w:val="1"/>
                <w:color w:val="auto"/>
              </w:rPr>
            </w:pPr>
          </w:p>
        </w:tc>
      </w:tr>
      <w:tr>
        <w:trPr>
          <w:trHeight w:val="174"/>
        </w:trPr>
        <w:tc>
          <w:tcPr>
            <w:tcW w:w="6600" w:type="dxa"/>
            <w:vAlign w:val="bottom"/>
          </w:tcPr>
          <w:p>
            <w:pPr>
              <w:ind w:left="20"/>
              <w:spacing w:after="0"/>
              <w:rPr>
                <w:sz w:val="20"/>
                <w:szCs w:val="20"/>
                <w:color w:val="auto"/>
              </w:rPr>
            </w:pPr>
            <w:r>
              <w:rPr>
                <w:rFonts w:ascii="Verdana" w:cs="Verdana" w:eastAsia="Verdana" w:hAnsi="Verdana"/>
                <w:sz w:val="13"/>
                <w:szCs w:val="13"/>
                <w:b w:val="1"/>
                <w:bCs w:val="1"/>
                <w:color w:val="auto"/>
              </w:rPr>
              <w:t>Cash and cash equivalents, ending of period</w:t>
            </w: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719,581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227,164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836,095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600" w:type="dxa"/>
            <w:vAlign w:val="bottom"/>
          </w:tcPr>
          <w:p>
            <w:pPr>
              <w:ind w:left="20"/>
              <w:spacing w:after="0"/>
              <w:rPr>
                <w:sz w:val="20"/>
                <w:szCs w:val="20"/>
                <w:color w:val="auto"/>
              </w:rPr>
            </w:pPr>
            <w:r>
              <w:rPr>
                <w:rFonts w:ascii="Verdana" w:cs="Verdana" w:eastAsia="Verdana" w:hAnsi="Verdana"/>
                <w:sz w:val="13"/>
                <w:szCs w:val="13"/>
                <w:b w:val="1"/>
                <w:bCs w:val="1"/>
                <w:color w:val="auto"/>
              </w:rPr>
              <w:t>SUPPLEMENTAL DISCLOSURES OF CASH FLOW INFORMATION</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00" w:type="dxa"/>
            <w:vAlign w:val="bottom"/>
          </w:tcPr>
          <w:p>
            <w:pPr>
              <w:ind w:left="20"/>
              <w:spacing w:after="0"/>
              <w:rPr>
                <w:sz w:val="20"/>
                <w:szCs w:val="20"/>
                <w:color w:val="auto"/>
              </w:rPr>
            </w:pPr>
            <w:r>
              <w:rPr>
                <w:rFonts w:ascii="Verdana" w:cs="Verdana" w:eastAsia="Verdana" w:hAnsi="Verdana"/>
                <w:sz w:val="13"/>
                <w:szCs w:val="13"/>
                <w:b w:val="1"/>
                <w:bCs w:val="1"/>
                <w:color w:val="auto"/>
              </w:rPr>
              <w:t>Cash payments for:</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Interest</w:t>
            </w: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135,482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35,297</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25,374</w:t>
            </w:r>
          </w:p>
        </w:tc>
        <w:tc>
          <w:tcPr>
            <w:tcW w:w="0" w:type="dxa"/>
            <w:vAlign w:val="bottom"/>
          </w:tcPr>
          <w:p>
            <w:pPr>
              <w:spacing w:after="0"/>
              <w:rPr>
                <w:sz w:val="1"/>
                <w:szCs w:val="1"/>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Income taxes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25,408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30,676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22,487</w:t>
            </w:r>
          </w:p>
        </w:tc>
        <w:tc>
          <w:tcPr>
            <w:tcW w:w="0" w:type="dxa"/>
            <w:vAlign w:val="bottom"/>
          </w:tcPr>
          <w:p>
            <w:pPr>
              <w:spacing w:after="0"/>
              <w:rPr>
                <w:sz w:val="1"/>
                <w:szCs w:val="1"/>
                <w:color w:val="auto"/>
              </w:rPr>
            </w:pPr>
          </w:p>
        </w:tc>
      </w:tr>
      <w:tr>
        <w:trPr>
          <w:trHeight w:val="275"/>
        </w:trPr>
        <w:tc>
          <w:tcPr>
            <w:tcW w:w="66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6600" w:type="dxa"/>
            <w:vAlign w:val="bottom"/>
          </w:tcPr>
          <w:p>
            <w:pPr>
              <w:ind w:left="20"/>
              <w:spacing w:after="0"/>
              <w:rPr>
                <w:sz w:val="20"/>
                <w:szCs w:val="20"/>
                <w:color w:val="auto"/>
              </w:rPr>
            </w:pPr>
            <w:r>
              <w:rPr>
                <w:rFonts w:ascii="Verdana" w:cs="Verdana" w:eastAsia="Verdana" w:hAnsi="Verdana"/>
                <w:sz w:val="13"/>
                <w:szCs w:val="13"/>
                <w:b w:val="1"/>
                <w:bCs w:val="1"/>
                <w:color w:val="auto"/>
              </w:rPr>
              <w:t>Non-cash investing and financing activities: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OREO acquired in settlement of loans</w:t>
            </w: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175</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1,610</w:t>
            </w:r>
          </w:p>
        </w:tc>
        <w:tc>
          <w:tcPr>
            <w:tcW w:w="0" w:type="dxa"/>
            <w:vAlign w:val="bottom"/>
          </w:tcPr>
          <w:p>
            <w:pPr>
              <w:spacing w:after="0"/>
              <w:rPr>
                <w:sz w:val="1"/>
                <w:szCs w:val="1"/>
                <w:color w:val="auto"/>
              </w:rPr>
            </w:pPr>
          </w:p>
        </w:tc>
      </w:tr>
      <w:tr>
        <w:trPr>
          <w:trHeight w:val="170"/>
        </w:trPr>
        <w:tc>
          <w:tcPr>
            <w:tcW w:w="6600" w:type="dxa"/>
            <w:vAlign w:val="bottom"/>
          </w:tcPr>
          <w:p>
            <w:pPr>
              <w:ind w:left="180"/>
              <w:spacing w:after="0"/>
              <w:rPr>
                <w:sz w:val="20"/>
                <w:szCs w:val="20"/>
                <w:color w:val="auto"/>
              </w:rPr>
            </w:pPr>
            <w:r>
              <w:rPr>
                <w:rFonts w:ascii="Verdana" w:cs="Verdana" w:eastAsia="Verdana" w:hAnsi="Verdana"/>
                <w:sz w:val="13"/>
                <w:szCs w:val="13"/>
                <w:color w:val="auto"/>
              </w:rPr>
              <w:t>Transfer of loans held for sale to portfolio loans</w:t>
            </w:r>
          </w:p>
        </w:tc>
        <w:tc>
          <w:tcPr>
            <w:tcW w:w="3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Verdana" w:cs="Verdana" w:eastAsia="Verdana" w:hAnsi="Verdana"/>
                <w:sz w:val="13"/>
                <w:szCs w:val="13"/>
                <w:color w:val="auto"/>
              </w:rPr>
              <w:t>(4,808)</w:t>
            </w:r>
          </w:p>
        </w:tc>
        <w:tc>
          <w:tcPr>
            <w:tcW w:w="0" w:type="dxa"/>
            <w:vAlign w:val="bottom"/>
          </w:tcPr>
          <w:p>
            <w:pPr>
              <w:spacing w:after="0"/>
              <w:rPr>
                <w:sz w:val="1"/>
                <w:szCs w:val="1"/>
                <w:color w:val="auto"/>
              </w:rPr>
            </w:pPr>
          </w:p>
        </w:tc>
      </w:tr>
      <w:tr>
        <w:trPr>
          <w:trHeight w:val="181"/>
        </w:trPr>
        <w:tc>
          <w:tcPr>
            <w:tcW w:w="660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Transfer of debt securities available for sale to held to maturity</w:t>
            </w:r>
          </w:p>
        </w:tc>
        <w:tc>
          <w:tcPr>
            <w:tcW w:w="320" w:type="dxa"/>
            <w:vAlign w:val="bottom"/>
            <w:shd w:val="clear" w:color="auto" w:fill="E0E7ED"/>
          </w:tcPr>
          <w:p>
            <w:pPr>
              <w:spacing w:after="0"/>
              <w:rPr>
                <w:sz w:val="15"/>
                <w:szCs w:val="15"/>
                <w:color w:val="auto"/>
              </w:rPr>
            </w:pPr>
          </w:p>
        </w:tc>
        <w:tc>
          <w:tcPr>
            <w:tcW w:w="12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985,199</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See accompanying Notes to Consolidated Financial Statements.</w:t>
      </w:r>
    </w:p>
    <w:p>
      <w:pPr>
        <w:spacing w:after="0" w:line="3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9" w:name="page100"/>
    <w:bookmarkEnd w:id="9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spacing w:after="0" w:line="254" w:lineRule="exact"/>
        <w:rPr>
          <w:sz w:val="20"/>
          <w:szCs w:val="20"/>
          <w:color w:val="auto"/>
        </w:rPr>
      </w:pPr>
    </w:p>
    <w:p>
      <w:pPr>
        <w:ind w:right="2980" w:firstLine="2972"/>
        <w:spacing w:after="0" w:line="434" w:lineRule="auto"/>
        <w:rPr>
          <w:sz w:val="20"/>
          <w:szCs w:val="20"/>
          <w:color w:val="auto"/>
        </w:rPr>
      </w:pPr>
      <w:r>
        <w:rPr>
          <w:rFonts w:ascii="Verdana" w:cs="Verdana" w:eastAsia="Verdana" w:hAnsi="Verdana"/>
          <w:sz w:val="18"/>
          <w:szCs w:val="18"/>
          <w:b w:val="1"/>
          <w:bCs w:val="1"/>
          <w:color w:val="auto"/>
        </w:rPr>
        <w:t xml:space="preserve">NOTES TO CONSOLIDATED FINANCIAL STATEMENTS NOTE 1. SIGNIFICANT ACCOUNTING POLICIES </w:t>
      </w:r>
      <w:r>
        <w:rPr>
          <w:rFonts w:ascii="Verdana" w:cs="Verdana" w:eastAsia="Verdana" w:hAnsi="Verdana"/>
          <w:sz w:val="18"/>
          <w:szCs w:val="18"/>
          <w:b w:val="1"/>
          <w:bCs w:val="1"/>
          <w:i w:val="1"/>
          <w:iCs w:val="1"/>
          <w:color w:val="auto"/>
        </w:rPr>
        <w:t>Nature of Operations</w:t>
      </w:r>
    </w:p>
    <w:p>
      <w:pPr>
        <w:spacing w:after="0" w:line="1"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First Busey Corporation is a financial holding company organized under the laws of Nevada. First Busey Corporation’s subsidiaries provide retail and commercial banking services and payment technology solutions, and offer a full range of financial products and services including depository, lending, security brokerage, investment management, and fiduciary services, to individual, corporate, institutional, and governmental customers through their locations in Illinois, Missouri, southwest Florida and Indianapolis, Indiana. First Busey Corporation and its subsidiaries are subject to the regulations of certain regulatory agencies and undergo periodic examinations by those regulatory agencies.</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color w:val="auto"/>
        </w:rPr>
        <w:t>Significant accounting and reporting policies for First Busey Corporation and its subsidiaries follow:</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Principles of Consolidation</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Busey’s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xml:space="preserve"> include the accounts of First Busey Corporation and its subsidiaries, which include First Busey Risk Management (dissolved December 18, 2023), Deed of Trust Services Corporation, and Busey Bank, including Busey Bank’s wholly-owned subsidiaries FirsTech, Pulaski Service Corporation, and Busey Capital Management, Inc. Operating results generated from acquired businesses are included with Busey’s results of operations starting from each date of acquisition. First Busey Corporation and its subsidiaries maintain various limited liability companies that hold specific assets for risk mitigation purposes and are consolidated into Busey’s </w:t>
      </w:r>
      <w:r>
        <w:rPr>
          <w:rFonts w:ascii="Verdana" w:cs="Verdana" w:eastAsia="Verdana" w:hAnsi="Verdana"/>
          <w:sz w:val="18"/>
          <w:szCs w:val="18"/>
          <w:u w:val="single" w:color="auto"/>
          <w:color w:val="0000FF"/>
        </w:rPr>
        <w:t>Consolidated Financial</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Statements</w:t>
      </w:r>
      <w:r>
        <w:rPr>
          <w:rFonts w:ascii="Verdana" w:cs="Verdana" w:eastAsia="Verdana" w:hAnsi="Verdana"/>
          <w:sz w:val="18"/>
          <w:szCs w:val="18"/>
          <w:color w:val="000000"/>
        </w:rPr>
        <w:t>. Intercompany balances and transactions have been eliminated in consolidation.</w:t>
      </w:r>
    </w:p>
    <w:p>
      <w:pPr>
        <w:spacing w:after="0" w:line="17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Because Busey is not the primary beneficiary, the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xml:space="preserve"> exclude the following wholly-owned variable interest entities: First Busey Statutory Trust II, First Busey Statutory Trust III, First Busey Statutory Trust IV, Pulaski Financial Statutory Trust I, and Pulaski Financial Statutory Trust II.</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Use of Estimates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In preparing the accompanying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xml:space="preserve"> in conformity with GAAP, Busey’s management is required to make estimates and assumptions that affect the amounts reported in the Consolidated Financial Statements and the disclosures provided. Actual results could differ from those estimates. Material estimates which are particularly susceptible to significant change in the near-term relate to the fair value of debt securities available for sale, fair value of assets acquired and liabilities assumed in business combinations, goodwill, income taxes, and the determination of the ACL.</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Comprehensive Income (Loss)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Accounting principles generally require that recognized revenue, expenses, gains, and losses be included in net income. Although certain changes in assets and liabilities, such as unrealized gains and losses on available for sale debt securities and unrealized gains and losses on cash flow hedges, are reported net of taxes as a separate component within the equity section of the balance sheet, such items, along with net income, are components of comprehensive income (loss).</w:t>
      </w:r>
    </w:p>
    <w:p>
      <w:pPr>
        <w:spacing w:after="0" w:line="211"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0" w:name="page101"/>
    <w:bookmarkEnd w:id="10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Trust Assets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Assets held for customers in a fiduciary or agency capacity, other than trust cash on deposit at Busey Bank, are not Busey’s assets and, accordingly, are not included in the accompanying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Busey had assets under care of $12.1 billion at December 31, 2023, and $11.1 billion at December 31, 2022.</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Cash and Cash Equivalents</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Cash and cash equivalents include cash on hand, cash items in process of collection, amounts due from other banks, interest-bearing deposits held with other financial institutions, and federal funds sold. The carrying amount of these instruments is considered a reasonable estimate of fair value.</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maintains its cash in deposit accounts, the balance of which, at times, may exceed federally insured limits. Busey has not experienced any losses in such accounts. Management believes Busey is not exposed to any significant credit risk on cash and cash equivalents.</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Securities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Debt Securities Available for Sale</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Debt securities classified as available for sale are those debt securities that Busey intends to hold for an indefinite period of time, but not necessarily to maturity. Any decision to sell a security classified as available for sale would be based on factors including significant movements in interest rates, changes in the maturity mix of Busey's assets and liabilities, liquidity needs, regulatory capital considerations, and other similar factors. Debt securities available for sale are carried at fair value, with unrealized gains and losses reported in OCI, net of taxes.</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Purchase premiums and discounts are recognized in interest income using the interest method over the terms of the securities. The amortization period for certain callable debt securities held at a premium are amortized to the earliest call date, while discounts on debt securities are amortized to maturity. Gains and losses on the sale of debt securities available for sale are recorded on the trade date and are determined using the specific identification method.</w:t>
      </w:r>
    </w:p>
    <w:p>
      <w:pPr>
        <w:spacing w:after="0" w:line="171"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 xml:space="preserve">Debt securities available for sale are not within the scope of the current expected credit losses methodology, however, the accounting for credit losses on these securities is affected by ASC Subtopic 326-30 </w:t>
      </w:r>
      <w:r>
        <w:rPr>
          <w:rFonts w:ascii="Verdana" w:cs="Verdana" w:eastAsia="Verdana" w:hAnsi="Verdana"/>
          <w:sz w:val="18"/>
          <w:szCs w:val="18"/>
          <w:i w:val="1"/>
          <w:iCs w:val="1"/>
          <w:color w:val="auto"/>
        </w:rPr>
        <w:t>“Financial Instruments-Credit Losses—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Available-for-Sale Debt Securities.” </w:t>
      </w:r>
      <w:r>
        <w:rPr>
          <w:rFonts w:ascii="Verdana" w:cs="Verdana" w:eastAsia="Verdana" w:hAnsi="Verdana"/>
          <w:sz w:val="18"/>
          <w:szCs w:val="18"/>
          <w:color w:val="auto"/>
        </w:rPr>
        <w:t>A debt security available for sale is impaired if the fair value of the security declines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below its amortized cost basis. To determine the appropriate accounting, Busey must first determine if it intends to sell the security or if it is more likely than not that it will be required to sell the security before the fair value increases to at least the amortized cost basis. If either of those selling events is expected, Busey will write down the amortized cost basis of the security to its fair value. This is achieved by writing off any previously recorded allowance, if applicable, and recognizing any incremental impairment through earnings. If Busey neither intends to sell the security nor believes it is more likely than not that the Company will be required to sell the security before the fair value recovers to the amortized cost basis, Busey must determine whether any of the decline in fair value has resulted from a credit loss, or if it is entirely the result of noncredit factors.</w:t>
      </w:r>
    </w:p>
    <w:p>
      <w:pPr>
        <w:spacing w:after="0" w:line="165" w:lineRule="exact"/>
        <w:rPr>
          <w:sz w:val="20"/>
          <w:szCs w:val="20"/>
          <w:color w:val="auto"/>
        </w:rPr>
      </w:pPr>
    </w:p>
    <w:p>
      <w:pPr>
        <w:spacing w:after="0"/>
        <w:rPr>
          <w:sz w:val="20"/>
          <w:szCs w:val="20"/>
          <w:color w:val="auto"/>
        </w:rPr>
      </w:pPr>
      <w:r>
        <w:rPr>
          <w:rFonts w:ascii="Verdana" w:cs="Verdana" w:eastAsia="Verdana" w:hAnsi="Verdana"/>
          <w:sz w:val="18"/>
          <w:szCs w:val="18"/>
          <w:color w:val="auto"/>
        </w:rPr>
        <w:t>Busey considers the following factors in assessing whether the decline is due to a credit loss:</w:t>
      </w:r>
    </w:p>
    <w:p>
      <w:pPr>
        <w:spacing w:after="0" w:line="173" w:lineRule="exact"/>
        <w:rPr>
          <w:sz w:val="20"/>
          <w:szCs w:val="20"/>
          <w:color w:val="auto"/>
        </w:rPr>
      </w:pPr>
    </w:p>
    <w:p>
      <w:pPr>
        <w:ind w:left="640" w:hanging="308"/>
        <w:spacing w:after="0"/>
        <w:tabs>
          <w:tab w:leader="none" w:pos="640" w:val="left"/>
        </w:tabs>
        <w:numPr>
          <w:ilvl w:val="0"/>
          <w:numId w:val="46"/>
        </w:numPr>
        <w:rPr>
          <w:rFonts w:ascii="Verdana" w:cs="Verdana" w:eastAsia="Verdana" w:hAnsi="Verdana"/>
          <w:sz w:val="18"/>
          <w:szCs w:val="18"/>
          <w:color w:val="auto"/>
        </w:rPr>
      </w:pPr>
      <w:r>
        <w:rPr>
          <w:rFonts w:ascii="Verdana" w:cs="Verdana" w:eastAsia="Verdana" w:hAnsi="Verdana"/>
          <w:sz w:val="18"/>
          <w:szCs w:val="18"/>
          <w:color w:val="auto"/>
        </w:rPr>
        <w:t>Extent to which the fair value is less than the amortized cost basis;</w:t>
      </w:r>
    </w:p>
    <w:p>
      <w:pPr>
        <w:spacing w:after="0" w:line="186"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46"/>
        </w:numPr>
        <w:rPr>
          <w:rFonts w:ascii="Verdana" w:cs="Verdana" w:eastAsia="Verdana" w:hAnsi="Verdana"/>
          <w:sz w:val="18"/>
          <w:szCs w:val="18"/>
          <w:color w:val="auto"/>
        </w:rPr>
      </w:pPr>
      <w:r>
        <w:rPr>
          <w:rFonts w:ascii="Verdana" w:cs="Verdana" w:eastAsia="Verdana" w:hAnsi="Verdana"/>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1" w:name="page102"/>
    <w:bookmarkEnd w:id="10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ind w:left="660" w:right="20" w:hanging="328"/>
        <w:spacing w:after="0" w:line="254" w:lineRule="auto"/>
        <w:tabs>
          <w:tab w:leader="none" w:pos="650" w:val="left"/>
        </w:tabs>
        <w:numPr>
          <w:ilvl w:val="0"/>
          <w:numId w:val="47"/>
        </w:numPr>
        <w:rPr>
          <w:rFonts w:ascii="Verdana" w:cs="Verdana" w:eastAsia="Verdana" w:hAnsi="Verdana"/>
          <w:sz w:val="18"/>
          <w:szCs w:val="18"/>
          <w:color w:val="auto"/>
        </w:rPr>
      </w:pPr>
      <w:r>
        <w:rPr>
          <w:rFonts w:ascii="Verdana" w:cs="Verdana" w:eastAsia="Verdana" w:hAnsi="Verdana"/>
          <w:sz w:val="18"/>
          <w:szCs w:val="18"/>
          <w:color w:val="auto"/>
        </w:rPr>
        <w:t>Payment structure of the debt security and the likelihood of the issuer being able to make payments that increase in the future;</w:t>
      </w:r>
    </w:p>
    <w:p>
      <w:pPr>
        <w:spacing w:after="0" w:line="144" w:lineRule="exact"/>
        <w:rPr>
          <w:rFonts w:ascii="Verdana" w:cs="Verdana" w:eastAsia="Verdana" w:hAnsi="Verdana"/>
          <w:sz w:val="18"/>
          <w:szCs w:val="18"/>
          <w:color w:val="auto"/>
        </w:rPr>
      </w:pPr>
    </w:p>
    <w:p>
      <w:pPr>
        <w:ind w:left="640" w:hanging="308"/>
        <w:spacing w:after="0"/>
        <w:tabs>
          <w:tab w:leader="none" w:pos="640" w:val="left"/>
        </w:tabs>
        <w:numPr>
          <w:ilvl w:val="0"/>
          <w:numId w:val="47"/>
        </w:numPr>
        <w:rPr>
          <w:rFonts w:ascii="Verdana" w:cs="Verdana" w:eastAsia="Verdana" w:hAnsi="Verdana"/>
          <w:sz w:val="18"/>
          <w:szCs w:val="18"/>
          <w:color w:val="auto"/>
        </w:rPr>
      </w:pPr>
      <w:r>
        <w:rPr>
          <w:rFonts w:ascii="Verdana" w:cs="Verdana" w:eastAsia="Verdana" w:hAnsi="Verdana"/>
          <w:sz w:val="18"/>
          <w:szCs w:val="18"/>
          <w:color w:val="auto"/>
        </w:rPr>
        <w:t>Failure of the issuer of the security to make scheduled interest or principal payments; and</w:t>
      </w:r>
    </w:p>
    <w:p>
      <w:pPr>
        <w:spacing w:after="0" w:line="186" w:lineRule="exact"/>
        <w:rPr>
          <w:rFonts w:ascii="Verdana" w:cs="Verdana" w:eastAsia="Verdana" w:hAnsi="Verdana"/>
          <w:sz w:val="18"/>
          <w:szCs w:val="18"/>
          <w:color w:val="auto"/>
        </w:rPr>
      </w:pPr>
    </w:p>
    <w:p>
      <w:pPr>
        <w:ind w:left="640" w:hanging="308"/>
        <w:spacing w:after="0"/>
        <w:tabs>
          <w:tab w:leader="none" w:pos="640" w:val="left"/>
        </w:tabs>
        <w:numPr>
          <w:ilvl w:val="0"/>
          <w:numId w:val="47"/>
        </w:numPr>
        <w:rPr>
          <w:rFonts w:ascii="Verdana" w:cs="Verdana" w:eastAsia="Verdana" w:hAnsi="Verdana"/>
          <w:sz w:val="18"/>
          <w:szCs w:val="18"/>
          <w:color w:val="auto"/>
        </w:rPr>
      </w:pPr>
      <w:r>
        <w:rPr>
          <w:rFonts w:ascii="Verdana" w:cs="Verdana" w:eastAsia="Verdana" w:hAnsi="Verdana"/>
          <w:sz w:val="18"/>
          <w:szCs w:val="18"/>
          <w:color w:val="auto"/>
        </w:rPr>
        <w:t>Any changes to the rating of the security by a rating agency.</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Impairment related to a credit loss must be measured using the discounted cash flow method. Credit loss recognition is limited to the fair value of the security. Impairment is recognized by establishing an allowance for the debt security through the provision for credit losses. Impairment related to noncredit factors is recognized in AOCI, net of applicable taxes. Busey did not recognize any credit impairment in 2023, 2022, or 2021.</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Debt Securities Held to Maturity</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Debt securities classified as held to maturity are those debt securities that Busey has the intent and ability to hold to maturity and are carried at amortized cost. In 2022, Busey elected to transfer a portion of the agency mortgage-backed securities portfolio from available for sale to held to maturity. While held to maturity securities are within the scope of CECL, the standard allows for an assumption of zero credit losses when the expectation of non-payment is zero. The risk related to mortgage-backed securities issued and/or guaranteed by U.S. government agencies or U.S. government-sponsored enterprises is considered low, therefore requiring no allowance to be recorded.</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Accrued interest receivable for debt securities totaled $13.6 million at December 31, 2023, and is excluded from the estimate of credit losses. Accrued interest receivable is reported in other assets on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Equity Securities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color w:val="auto"/>
        </w:rPr>
        <w:t>Equity securities are carried at fair value with changes in fair value recognized in earnings.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Loans Held for Sale</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Loans held for sale include mortgage loans which Busey intends to sell to investors and/or the secondary mortgage market.</w:t>
      </w:r>
    </w:p>
    <w:p>
      <w:pPr>
        <w:spacing w:after="0" w:line="15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accounts for loans held for sale at LOCOM. Loans held for sale are carried at amortized historical cost less loan write-offs and downward fair value adjustments, as may be applicable. Net unrealized losses, if any, are recognized through a valuation allowance by charges to income. Gains and losses on sales of loans are recognized at settlement dates and are determined by the difference between the sales proceeds and the carrying amount, net of the value of any servicing assets for loans that were sold with servicing rights retained.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 Servicing</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Servicing assets are recognized when servicing rights are acquired or retained through the sale of mortgage and government-guaranteed commercial loans. The unpaid principal balances of loans serviced by Busey for the benefit of others totaled $1.5 billion as of December 31, 2023, and $1.7 billion as of December 31, 2022, and are not included in the accompanying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Servicing rights are initially recorded at fair value, which is determined using a valuation model that calculates the present value of estimated future net servicing income. Capitalized servicing rights are reported in other assets and are amortized into noninterest income in proportion to, and over the period of, the estimated future net servicing income of the underlying financial assets. The amortization of mortgage servicing rights is included in mortgage revenue. The amortization of government-guaranteed commercial loans is included in other income.</w:t>
      </w:r>
    </w:p>
    <w:p>
      <w:pPr>
        <w:spacing w:after="0" w:line="22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2" w:name="page103"/>
    <w:bookmarkEnd w:id="10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Servicing rights are periodically evaluated for impairment based on the fair value of those rights as compared to book value. Fair values are estimated using discounted cash flows based on expected prepayment rates and other inputs. For purposes of measuring impairment, servicing rights are stratified by one or more predominant characteristics of the underlying loans. A valuation allowance is recognized in the amount by which the amortized cost of the rights for each stratum exceeds its fair value, if any. If Busey later determines that all or a portion of the impairment no longer exists for a particular group of loans, a reversal of the allowance may be recorded in current period earnings. Busey had an immaterial amount of impairment recorded at December 31, 2023 and 2022.</w:t>
      </w:r>
    </w:p>
    <w:p>
      <w:pPr>
        <w:spacing w:after="0" w:line="16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Servicing fee income is recorded for fees earned for servicing loans. The fees are based on a contractual percentage of the outstanding principal and are recorded as income when earned.</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Portfolio Loans</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Loans that management has the intent and ability to hold for the foreseeable future, or until maturity or pay-off, are reported at the principal balance outstanding, net of purchase premiums and discounts, deferred origination fees and costs, charge-offs, and the ACL.</w:t>
      </w:r>
    </w:p>
    <w:p>
      <w:pPr>
        <w:spacing w:after="0" w:line="15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Loan origination fees, net of certain direct loan origination costs, are deferred and the net amount is amortized as an adjustment of the related loan’s yield. Busey amortizes the net amount over the contractual life of the related loan.</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Interest income is accrued daily on outstanding loan balances.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Past due status is based on the contractual terms of the loan.</w:t>
      </w:r>
    </w:p>
    <w:p>
      <w:pPr>
        <w:spacing w:after="0" w:line="17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Interest accrued but not collected for loans that are charged-off or placed on non-accrual status is reversed against interest income. The interest on non-accrual loans is accounted for on the cost-recovery method, until returned to accrual status. Loans are returned to accrual status when all the principal and interest amounts contractually due are brought current and future payments are reasonably assured.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PPP Loans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had $0.3 million in PPP loans outstanding as of December 31, 2023. In comparison, Busey had $0.9 million in PPP loans outstanding as of December 31, 2022, with an amortized cost of $0.8 million. Busey received an immaterial amount of fees related to these loans for the year ended December 31, 2023, and received fees totaling $2.5 million and $20.1 million for the years ended December 31, 2022, and 2021, respectively. Incremental direct origination costs Busey incurred were immaterial for the year ended December 31, 2023, and were $0.6 million and $4.2 million for the years ended December 31, 2022, and 2021, respectively.</w:t>
      </w:r>
    </w:p>
    <w:p>
      <w:pPr>
        <w:spacing w:after="0" w:line="172"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Both the fees received and the origination costs were deferred and are amortized over the contractual life of these loans, subject to prepayment. Busey recognized an immaterial amount in net interest income for fees, net of deferred cost, during the year ended December 31, 2023, and recognized $1.9 million and $14.0 million during the years ended December 31, 2022, and 2021, respectively. As of December 31, 2023, the remaining amount of fees to be recognized, net of deferred costs, was immaterial. PPP loans contain a forgiveness feature for funds spent on covered expenses, including both principal and accrued interest. Any remaining balance after loan forgiveness maintains a 100% government guarantee for the remaining term of the loan.</w:t>
      </w:r>
    </w:p>
    <w:p>
      <w:pPr>
        <w:spacing w:after="0" w:line="21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3" w:name="page104"/>
    <w:bookmarkEnd w:id="10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 Modifications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On January 1, 2023, Busey adopted ASU 2022-02 </w:t>
      </w:r>
      <w:r>
        <w:rPr>
          <w:rFonts w:ascii="Verdana" w:cs="Verdana" w:eastAsia="Verdana" w:hAnsi="Verdana"/>
          <w:sz w:val="18"/>
          <w:szCs w:val="18"/>
          <w:i w:val="1"/>
          <w:iCs w:val="1"/>
          <w:color w:val="auto"/>
        </w:rPr>
        <w:t>“Financial Instruments—Credit Losses (Topic 326): Troubled Debt</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Restructurings and Vintage Disclosures,” </w:t>
      </w:r>
      <w:r>
        <w:rPr>
          <w:rFonts w:ascii="Verdana" w:cs="Verdana" w:eastAsia="Verdana" w:hAnsi="Verdana"/>
          <w:sz w:val="18"/>
          <w:szCs w:val="18"/>
          <w:color w:val="auto"/>
        </w:rPr>
        <w:t>which eliminated the TDR accounting model for creditors that have already</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 xml:space="preserve">adopted CECL. In lieu of the TDR accounting model, loan refinancing and restructuring guidance in ASC Subtopic 310-20-35-9 through 35-11 </w:t>
      </w:r>
      <w:r>
        <w:rPr>
          <w:rFonts w:ascii="Verdana" w:cs="Verdana" w:eastAsia="Verdana" w:hAnsi="Verdana"/>
          <w:sz w:val="18"/>
          <w:szCs w:val="18"/>
          <w:i w:val="1"/>
          <w:iCs w:val="1"/>
          <w:color w:val="auto"/>
        </w:rPr>
        <w:t>“Receivables—Nonrefundable Fees and Other Costs—Subsequent Measurement—Loan Refinancing or</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Restructuring” </w:t>
      </w:r>
      <w:r>
        <w:rPr>
          <w:rFonts w:ascii="Verdana" w:cs="Verdana" w:eastAsia="Verdana" w:hAnsi="Verdana"/>
          <w:sz w:val="18"/>
          <w:szCs w:val="18"/>
          <w:color w:val="auto"/>
        </w:rPr>
        <w:t>will apply to all loan modifications, including those made for borrowers experiencing financial difficulty. This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standard also enhances disclosure requirements related to certain loan modifications.</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Assets Purchased with Credit Deterioration</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On January 1, 2020, Busey adopted ASC Topic 326 </w:t>
      </w:r>
      <w:r>
        <w:rPr>
          <w:rFonts w:ascii="Verdana" w:cs="Verdana" w:eastAsia="Verdana" w:hAnsi="Verdana"/>
          <w:sz w:val="18"/>
          <w:szCs w:val="18"/>
          <w:i w:val="1"/>
          <w:iCs w:val="1"/>
          <w:color w:val="auto"/>
        </w:rPr>
        <w:t>“Financial Instruments-Credit Losses”</w:t>
      </w:r>
      <w:r>
        <w:rPr>
          <w:rFonts w:ascii="Verdana" w:cs="Verdana" w:eastAsia="Verdana" w:hAnsi="Verdana"/>
          <w:sz w:val="18"/>
          <w:szCs w:val="18"/>
          <w:color w:val="auto"/>
        </w:rPr>
        <w:t xml:space="preserve"> using the prospective transition approach for financial assets PCD that were previously classified as PCI and accounted for under ASC Subtopic 310-30 </w:t>
      </w:r>
      <w:r>
        <w:rPr>
          <w:rFonts w:ascii="Verdana" w:cs="Verdana" w:eastAsia="Verdana" w:hAnsi="Verdana"/>
          <w:sz w:val="18"/>
          <w:szCs w:val="18"/>
          <w:i w:val="1"/>
          <w:iCs w:val="1"/>
          <w:color w:val="auto"/>
        </w:rPr>
        <w:t xml:space="preserve">“Receivables—Loans and Debt Securities Acquired with Deteriorated Credit Quality.” </w:t>
      </w:r>
      <w:r>
        <w:rPr>
          <w:rFonts w:ascii="Verdana" w:cs="Verdana" w:eastAsia="Verdana" w:hAnsi="Verdana"/>
          <w:sz w:val="18"/>
          <w:szCs w:val="18"/>
          <w:color w:val="auto"/>
        </w:rPr>
        <w:t>In accordance with the standard,</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management did not reassess whether PCI assets met the criteria of PCD assets as of the date of adoption. In accordance with ASC Topic 326, the amortized cost basis of PCD assets were adjusted to reflect an ACL for any remaining credit discount. Subsequent changes in expected cash flows will be adjusted through the ACL. The noncredit discount will be accreted into interest income using the January 1, 2020, effective interest rate.</w:t>
      </w:r>
    </w:p>
    <w:p>
      <w:pPr>
        <w:spacing w:after="0" w:line="16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Subsequent to the adoption of ASC Topic 326, acquired loans are separated into two categories based on the credit risk characteristics of the underlying borrowers as either PCD, for loans which have experienced more than insignificant credit deterioration since origination, or all other loans. At the date of acquisition, an ACL on PCD loans is determined and netted against the amortized cost basis of the individual loans. The difference between the initial amortized cost basis and the par value of the loan is a noncredit discount or premium, which is amortized into interest income over the life of the loan. The ACL on PCD loans is recorded in the acquisition accounting and no provision for credit losses is recognized at the acquisition date. Subsequent changes to the ACL are recorded through provision expense. For all other loans, an ACL is established immediately after the acquisition through a charge to the provision for credit losses.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Allowance for Credit Losses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The ACL is a significant estimate in Busey’s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affecting both earnings and capital. The ACL is a valuation account that is deducted from the portfolio loans’ amortized cost bases to present the net amount expected to be collected on the portfolio loans. Portfolio loans are charged off against the ACL when management believes the uncollectibility of a loan balance is confirmed. Recoveries will be recognized up to the aggregate amount of previously charged-off balances. The ACL is established through the provision for credit loss charged to income.</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A loan’s amortized cost basis is comprised of the unpaid principal balance of the loan, accrued interest receivable, purchase premiums or discounts, and net deferred origination fees or costs. Busey has estimated its allowance on the amortized cost basis, exclusive of government guaranteed loans and accrued interest receivable. Busey writes-off uncollectible accrued interest receivable in a timely manner and has elected to not measure an allowance for accrued interest receivable. Busey presents the aggregate amount of accrued interest receivable for all financial instruments in other assets on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0000FF"/>
        </w:rPr>
        <w:t xml:space="preserve"> </w:t>
      </w:r>
      <w:r>
        <w:rPr>
          <w:rFonts w:ascii="Verdana" w:cs="Verdana" w:eastAsia="Verdana" w:hAnsi="Verdana"/>
          <w:sz w:val="18"/>
          <w:szCs w:val="18"/>
          <w:color w:val="000000"/>
        </w:rPr>
        <w:t>and the balance of accrued interest receivable is disclosed in</w:t>
      </w:r>
      <w:r>
        <w:rPr>
          <w:rFonts w:ascii="Verdana" w:cs="Verdana" w:eastAsia="Verdana" w:hAnsi="Verdana"/>
          <w:sz w:val="18"/>
          <w:szCs w:val="18"/>
          <w:color w:val="0000FF"/>
        </w:rPr>
        <w:t xml:space="preserve"> </w:t>
      </w:r>
      <w:r>
        <w:rPr>
          <w:rFonts w:ascii="Verdana" w:cs="Verdana" w:eastAsia="Verdana" w:hAnsi="Verdana"/>
          <w:sz w:val="18"/>
          <w:szCs w:val="18"/>
          <w:i w:val="1"/>
          <w:iCs w:val="1"/>
          <w:color w:val="000000"/>
        </w:rPr>
        <w:t>“</w:t>
      </w:r>
      <w:r>
        <w:rPr>
          <w:rFonts w:ascii="Verdana" w:cs="Verdana" w:eastAsia="Verdana" w:hAnsi="Verdana"/>
          <w:sz w:val="18"/>
          <w:szCs w:val="18"/>
          <w:i w:val="1"/>
          <w:iCs w:val="1"/>
          <w:u w:val="single" w:color="auto"/>
          <w:color w:val="0000FF"/>
        </w:rPr>
        <w:t>Note 18. Fair Value</w:t>
      </w:r>
      <w:r>
        <w:rPr>
          <w:rFonts w:ascii="Verdana" w:cs="Verdana" w:eastAsia="Verdana" w:hAnsi="Verdana"/>
          <w:sz w:val="18"/>
          <w:szCs w:val="18"/>
          <w:color w:val="0000FF"/>
        </w:rPr>
        <w:t xml:space="preserve"> </w:t>
      </w:r>
      <w:r>
        <w:rPr>
          <w:rFonts w:ascii="Verdana" w:cs="Verdana" w:eastAsia="Verdana" w:hAnsi="Verdana"/>
          <w:sz w:val="18"/>
          <w:szCs w:val="18"/>
          <w:i w:val="1"/>
          <w:iCs w:val="1"/>
          <w:u w:val="single" w:color="auto"/>
          <w:color w:val="0000FF"/>
        </w:rPr>
        <w:t>Measurements.</w:t>
      </w:r>
      <w:r>
        <w:rPr>
          <w:rFonts w:ascii="Verdana" w:cs="Verdana" w:eastAsia="Verdana" w:hAnsi="Verdana"/>
          <w:sz w:val="18"/>
          <w:szCs w:val="18"/>
          <w:i w:val="1"/>
          <w:iCs w:val="1"/>
          <w:color w:val="000000"/>
        </w:rPr>
        <w:t>”</w:t>
      </w:r>
    </w:p>
    <w:p>
      <w:pPr>
        <w:spacing w:after="0" w:line="21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4" w:name="page105"/>
    <w:bookmarkEnd w:id="10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Our methodology influences, and is influenced by, Busey’s overall credit risk management processes. The ACL is managed in accordance with GAAP to provide an adequate reserve for expected credit losses that is reflective of management’s best estimate of what is expected to be collected. The ACL must be determined on a collective (pool) basis when similar risk characteristics exist. On a case-by-case basis, we may conclude a loan should be evaluated on an individual basis based on disparate risk characteristics.</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measurement of expected credit losses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loan-specific risk characteristics such as differences in underwriting standards, portfolio mix, delinquency level, or term as well as for changes in environmental conditions such as changes in unemployment rates, property values, and other relevant factors. The calculation also contemplates that Busey may not be able to make or obtain such forecasts for the entire life of the financial assets and requires a reversion to historical credit loss information. Due to the continued economic uncertainty in the markets in which the Company operates, Busey will continue to utilize a forecast period of 12 months with an immediate reversion to historical loss rates beyond this forecast period in its ACL estimate.</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Ongoing impacts of CECL will be dependent upon changes in economic conditions and forecasts, originated and acquired loan portfolio composition, prepayment speeds, credit performance trends, portfolio duration, and other factors.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Premises and Equipment</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Land is carried at cost less accumulated depreciation of depreciable land improvements. Premises and equipment are stated at cost less accumulated depreciation. Depreciation is computed by the straight-line method over the estimated useful lives of the assets. The estimated useful lives for premises and equipment 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00" w:type="dxa"/>
            <w:vAlign w:val="bottom"/>
            <w:tcBorders>
              <w:bottom w:val="single" w:sz="8" w:color="auto"/>
            </w:tcBorders>
          </w:tcPr>
          <w:p>
            <w:pPr>
              <w:ind w:left="20"/>
              <w:spacing w:after="0"/>
              <w:rPr>
                <w:sz w:val="20"/>
                <w:szCs w:val="20"/>
                <w:color w:val="auto"/>
              </w:rPr>
            </w:pPr>
            <w:r>
              <w:rPr>
                <w:rFonts w:ascii="Verdana" w:cs="Verdana" w:eastAsia="Verdana" w:hAnsi="Verdana"/>
                <w:sz w:val="13"/>
                <w:szCs w:val="13"/>
                <w:b w:val="1"/>
                <w:bCs w:val="1"/>
                <w:color w:val="auto"/>
              </w:rPr>
              <w:t>Asset Description</w:t>
            </w:r>
          </w:p>
        </w:tc>
        <w:tc>
          <w:tcPr>
            <w:tcW w:w="120" w:type="dxa"/>
            <w:vAlign w:val="bottom"/>
            <w:tcBorders>
              <w:bottom w:val="single" w:sz="8" w:color="E0E7ED"/>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Estimated Useful Life</w:t>
            </w:r>
          </w:p>
        </w:tc>
      </w:tr>
      <w:tr>
        <w:trPr>
          <w:trHeight w:val="270"/>
        </w:trPr>
        <w:tc>
          <w:tcPr>
            <w:tcW w:w="94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Buildings and improvements</w:t>
            </w:r>
          </w:p>
        </w:tc>
        <w:tc>
          <w:tcPr>
            <w:tcW w:w="182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rPr>
              <w:t>3 — 40 years</w:t>
            </w:r>
          </w:p>
        </w:tc>
      </w:tr>
      <w:tr>
        <w:trPr>
          <w:trHeight w:val="257"/>
        </w:trPr>
        <w:tc>
          <w:tcPr>
            <w:tcW w:w="9420" w:type="dxa"/>
            <w:vAlign w:val="bottom"/>
            <w:gridSpan w:val="2"/>
          </w:tcPr>
          <w:p>
            <w:pPr>
              <w:ind w:left="20"/>
              <w:spacing w:after="0"/>
              <w:rPr>
                <w:sz w:val="20"/>
                <w:szCs w:val="20"/>
                <w:color w:val="auto"/>
              </w:rPr>
            </w:pPr>
            <w:r>
              <w:rPr>
                <w:rFonts w:ascii="Verdana" w:cs="Verdana" w:eastAsia="Verdana" w:hAnsi="Verdana"/>
                <w:sz w:val="18"/>
                <w:szCs w:val="18"/>
                <w:color w:val="auto"/>
              </w:rPr>
              <w:t>Furniture and equipment</w:t>
            </w:r>
          </w:p>
        </w:tc>
        <w:tc>
          <w:tcPr>
            <w:tcW w:w="1820" w:type="dxa"/>
            <w:vAlign w:val="bottom"/>
          </w:tcPr>
          <w:p>
            <w:pPr>
              <w:jc w:val="center"/>
              <w:spacing w:after="0"/>
              <w:rPr>
                <w:sz w:val="20"/>
                <w:szCs w:val="20"/>
                <w:color w:val="auto"/>
              </w:rPr>
            </w:pPr>
            <w:r>
              <w:rPr>
                <w:rFonts w:ascii="Verdana" w:cs="Verdana" w:eastAsia="Verdana" w:hAnsi="Verdana"/>
                <w:sz w:val="18"/>
                <w:szCs w:val="18"/>
                <w:color w:val="auto"/>
              </w:rPr>
              <w:t>3 — 10 years</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Leases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A determination is made at inception if an arrangement contains a lease. For arrangements containing leases, Busey recognizes leases on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xml:space="preserve"> as right of use assets and corresponding lease liabilities. Lease-related assets, or right of use assets, are recognized on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w:t>
      </w:r>
    </w:p>
    <w:p>
      <w:pPr>
        <w:spacing w:after="0" w:line="15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Busey’s lease agreements often include one or more options to renew at Busey’s discretion. When Busey considers the exercise of a renewal option to be reasonably certain, that renewal term is included in the calculation of the right of use asset and lease liability.</w:t>
      </w:r>
    </w:p>
    <w:p>
      <w:pPr>
        <w:spacing w:after="0" w:line="15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Operating lease expense is recognized on a straight-line basis over the lease term, including any renewal terms available through options to renew that Busey is reasonably certain to exercise. Variable lease payments are expensed as incurred.</w:t>
      </w:r>
    </w:p>
    <w:p>
      <w:pPr>
        <w:spacing w:after="0" w:line="21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5" w:name="page106"/>
    <w:bookmarkEnd w:id="10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ASC Topic 842 </w:t>
      </w:r>
      <w:r>
        <w:rPr>
          <w:rFonts w:ascii="Verdana" w:cs="Verdana" w:eastAsia="Verdana" w:hAnsi="Verdana"/>
          <w:sz w:val="18"/>
          <w:szCs w:val="18"/>
          <w:i w:val="1"/>
          <w:iCs w:val="1"/>
          <w:color w:val="auto"/>
        </w:rPr>
        <w:t>“Leases”</w:t>
      </w:r>
      <w:r>
        <w:rPr>
          <w:rFonts w:ascii="Verdana" w:cs="Verdana" w:eastAsia="Verdana" w:hAnsi="Verdana"/>
          <w:sz w:val="18"/>
          <w:szCs w:val="18"/>
          <w:color w:val="auto"/>
        </w:rPr>
        <w:t xml:space="preserve"> requires the use of the rate implicit in the lease whenever this rate is readily determinable. If not readily determinable, Busey uses its incremental borrowing rate at lease inception, on a collateralized basis, over a similar term. For operating leases existing prior to Busey’s adoption of ASC Topic 842 on January 1, 2019, Busey used a borrowing rate that corresponded to the lease term remaining as of the date of adoption of ASC Topic 842.</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Long-Lived Assets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Long-lived assets, including premises and equipment, right of use assets, and intangible assets, are reviewed for impairment whenever events or changes in circumstances indicate that the carrying amount of the asset may not be recoverable. An impairment loss is recognized when estimated undiscounted future cash flows from operations of the asset are less than the carrying value of the asset. Cash flows used for this analysis are those directly associated with, and that are expected to arise as a direct result of, the use and eventual disposition of the asset. Any impairment loss is measured as the amount by which the carrying value of the asset exceeds its fair value.</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Other Real Estate Owned and Other Repossessed Assets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OREO and other repossessed assets represent properties and other assets acquired through foreclosure or other proceedings in settlement of loans. OREO and other repossessed assets are recorded at the fair value of the property or asset, less estimated costs of disposal, which establishes a new cost basis. Any adjustment to fair value at the time of transfer to OREO or other repossessed assets is charged to the ACL. OREO property and other repossessed assets are evaluated regularly to ensure the recorded amount is supported by its current fair value; write downs or valuation allowances to reduce the carrying amount to fair value less estimated costs to dispose are recorded, as necessary. OREO and other repossessed assets are included in other assets on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Revenue, expense, gains, and losses from the operations of foreclosed assets are included in earnings.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Goodwill and Other Intangibles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Goodwill represents the excess of consideration transferred in a business combination over the fair value of the net assets acquired. Goodwill is not amortized but is subject to at least annual impairment assessments. Busey has established December 31 as the annual impairment assessment date. As part of this analysis, each reporting unit's carrying value is compared to its fair value.</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estimates the fair value of its reporting units as of the measurement date utilizing valuation methodologies including comparable company analysis and precedent transaction analysis. Goodwill is considered impaired if the carrying value of the reporting unit exceeds its fair value. There was no impairment as of December 31, 2023, or 2022. See “</w:t>
      </w:r>
      <w:r>
        <w:rPr>
          <w:rFonts w:ascii="Verdana" w:cs="Verdana" w:eastAsia="Verdana" w:hAnsi="Verdana"/>
          <w:sz w:val="18"/>
          <w:szCs w:val="18"/>
          <w:i w:val="1"/>
          <w:iCs w:val="1"/>
          <w:u w:val="single" w:color="auto"/>
          <w:color w:val="0000FF"/>
        </w:rPr>
        <w:t>Note 7.</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Goodwill and Other Intangible Assets</w:t>
      </w:r>
      <w:r>
        <w:rPr>
          <w:rFonts w:ascii="Verdana" w:cs="Verdana" w:eastAsia="Verdana" w:hAnsi="Verdana"/>
          <w:sz w:val="18"/>
          <w:szCs w:val="18"/>
          <w:color w:val="000000"/>
        </w:rPr>
        <w:t>” for further discussion.</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Other intangible assets consist of core deposit and acquired customer relationship intangible assets arising from acquisitions. Other intangible assets are amortized over their estimated useful lives.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Cash Surrender Value of Bank Owned Life Insurance</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has purchased, or acquired through acquisitions, life insurance policies on certain executives and senior officers. Life insurance is recorded at its cash surrender value, which approximates its fair value.</w:t>
      </w:r>
    </w:p>
    <w:p>
      <w:pPr>
        <w:spacing w:after="0" w:line="19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6" w:name="page107"/>
    <w:bookmarkEnd w:id="10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 maintains a liability for post-employment benefits related to split-dollar life insurance arrangements. In an endorsement split-dollar life insurance arrangement, the employer owns and controls the policy, and the employer and employee split the life insurance policy’s cash surrender value and/or death benefits. If the employer agrees to maintain a life insurance policy during the employee’s retirement, the present value of the cost of maintaining the insurance policy is accrued over the employee’s active service period. Similarly, if the employer agrees to provide the employee with a death benefit, the present value of the death benefit is accrued over the employee’s active service period. Busey accrued liabilities for these arrangements totaling $5.6 million as of both December 31, 2023, and 2022. Liabilities for post-employment benefits are included in other liabilities on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FHLB Stock</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Bank is a member of the FHLB system. FHLB members are required to own a certain amount of stock based on the level of borrowings and other factors, and may invest in additional amounts. FHLB stock is carried at cost in other assets in our </w:t>
      </w:r>
      <w:r>
        <w:rPr>
          <w:rFonts w:ascii="Verdana" w:cs="Verdana" w:eastAsia="Verdana" w:hAnsi="Verdana"/>
          <w:sz w:val="18"/>
          <w:szCs w:val="18"/>
          <w:u w:val="single" w:color="auto"/>
          <w:color w:val="0000FF"/>
        </w:rPr>
        <w:t>Consolidated Balance Sheet</w:t>
      </w:r>
      <w:r>
        <w:rPr>
          <w:rFonts w:ascii="Verdana" w:cs="Verdana" w:eastAsia="Verdana" w:hAnsi="Verdana"/>
          <w:sz w:val="18"/>
          <w:szCs w:val="18"/>
          <w:color w:val="auto"/>
        </w:rPr>
        <w:t>. Dividends are reported as income.</w:t>
      </w:r>
    </w:p>
    <w:p>
      <w:pPr>
        <w:spacing w:after="0" w:line="16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Bank's investment in FHLB stock was $6.0 million as of December 31, 2023, and $19.0 million as of December 31, 2022.</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Other Asset Investments</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Busey has invested in certain tax-advantaged projects promoting affordable housing, new markets, and historic rehabilitation. These investments are designed to generate returns primarily though the realization of federal and state income tax credits and other tax benefits, such as tax deductions from operating losses of the investments, over specified time periods. These investments are considered to be variable interest entities, and are accounted for under the equity, deferral, or proportional amortization practical expedient methods, as appropriate. Busey is not required to consolidate variable interest entities in which it has concluded it does not have a controlling financial interest, and is not the primary beneficiary. Busey’s maximum exposure to loss related to its investments in these unconsolidated variable interest entities is limited to the carrying amount of the investment, net of any unfunded capital commitments and previously recorded tax credits which remain subject to recapture by taxing authorities based on compliance features required to be met at the project level. Busey believes potential losses from these investments are remote. In addition, Busey has private equity investments, which are primarily in funds that invest in small businesses across diverse sectors including, but not limited to, financial technology, business services, manufacturing, agribusiness, healthcare, software as a service, and environmental, or supporting the preservation of affordable housing.</w:t>
      </w:r>
    </w:p>
    <w:p>
      <w:pPr>
        <w:spacing w:after="0" w:line="17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 summarizes the impact of Busey’s other asset investments on the Company’s </w:t>
      </w:r>
      <w:r>
        <w:rPr>
          <w:rFonts w:ascii="Verdana" w:cs="Verdana" w:eastAsia="Verdana" w:hAnsi="Verdana"/>
          <w:sz w:val="18"/>
          <w:szCs w:val="18"/>
          <w:u w:val="single" w:color="auto"/>
          <w:color w:val="0000FF"/>
        </w:rPr>
        <w:t>Consolidated Balance</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Sheets</w:t>
      </w:r>
      <w:r>
        <w:rPr>
          <w:rFonts w:ascii="Verdana" w:cs="Verdana" w:eastAsia="Verdana" w:hAnsi="Verdana"/>
          <w:sz w:val="18"/>
          <w:szCs w:val="18"/>
          <w:color w:val="0000FF"/>
        </w:rPr>
        <w:t xml:space="preserve"> </w:t>
      </w:r>
      <w:r>
        <w:rPr>
          <w:rFonts w:ascii="Verdana" w:cs="Verdana" w:eastAsia="Verdana" w:hAnsi="Verdana"/>
          <w:sz w:val="18"/>
          <w:szCs w:val="18"/>
          <w:color w:val="000000"/>
        </w:rPr>
        <w:t>for the periods indicated</w:t>
      </w:r>
      <w:r>
        <w:rPr>
          <w:rFonts w:ascii="Verdana" w:cs="Verdana" w:eastAsia="Verdana" w:hAnsi="Verdana"/>
          <w:sz w:val="18"/>
          <w:szCs w:val="18"/>
          <w:color w:val="0000FF"/>
        </w:rPr>
        <w:t xml:space="preserve"> </w:t>
      </w:r>
      <w:r>
        <w:rPr>
          <w:rFonts w:ascii="Verdana" w:cs="Verdana" w:eastAsia="Verdana" w:hAnsi="Verdana"/>
          <w:sz w:val="18"/>
          <w:szCs w:val="18"/>
          <w:i w:val="1"/>
          <w:iCs w:val="1"/>
          <w:color w:val="000000"/>
        </w:rPr>
        <w:t>(dollars in thousands)</w:t>
      </w:r>
      <w:r>
        <w:rPr>
          <w:rFonts w:ascii="Verdana" w:cs="Verdana" w:eastAsia="Verdana" w:hAnsi="Verdana"/>
          <w:sz w:val="18"/>
          <w:szCs w:val="18"/>
          <w:color w:val="000000"/>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875"/>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6260" w:type="dxa"/>
            <w:vAlign w:val="bottom"/>
          </w:tcPr>
          <w:p>
            <w:pPr>
              <w:spacing w:after="0"/>
              <w:rPr>
                <w:sz w:val="14"/>
                <w:szCs w:val="14"/>
                <w:color w:val="auto"/>
              </w:rPr>
            </w:pPr>
          </w:p>
        </w:tc>
        <w:tc>
          <w:tcPr>
            <w:tcW w:w="1680" w:type="dxa"/>
            <w:vAlign w:val="bottom"/>
            <w:gridSpan w:val="2"/>
          </w:tcPr>
          <w:p>
            <w:pPr>
              <w:ind w:left="480"/>
              <w:spacing w:after="0"/>
              <w:rPr>
                <w:sz w:val="20"/>
                <w:szCs w:val="20"/>
                <w:color w:val="auto"/>
              </w:rPr>
            </w:pPr>
            <w:r>
              <w:rPr>
                <w:rFonts w:ascii="Verdana" w:cs="Verdana" w:eastAsia="Verdana" w:hAnsi="Verdana"/>
                <w:sz w:val="13"/>
                <w:szCs w:val="13"/>
                <w:b w:val="1"/>
                <w:bCs w:val="1"/>
                <w:color w:val="auto"/>
              </w:rPr>
              <w:t>Location</w:t>
            </w:r>
          </w:p>
        </w:tc>
        <w:tc>
          <w:tcPr>
            <w:tcW w:w="380" w:type="dxa"/>
            <w:vAlign w:val="bottom"/>
          </w:tcPr>
          <w:p>
            <w:pPr>
              <w:spacing w:after="0"/>
              <w:rPr>
                <w:sz w:val="14"/>
                <w:szCs w:val="14"/>
                <w:color w:val="auto"/>
              </w:rPr>
            </w:pPr>
          </w:p>
        </w:tc>
        <w:tc>
          <w:tcPr>
            <w:tcW w:w="1220" w:type="dxa"/>
            <w:vAlign w:val="bottom"/>
          </w:tcPr>
          <w:p>
            <w:pPr>
              <w:jc w:val="right"/>
              <w:ind w:right="539"/>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35"/>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62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Other asset investments</w:t>
            </w:r>
          </w:p>
        </w:tc>
        <w:tc>
          <w:tcPr>
            <w:tcW w:w="15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r>
      <w:tr>
        <w:trPr>
          <w:trHeight w:val="263"/>
        </w:trPr>
        <w:tc>
          <w:tcPr>
            <w:tcW w:w="6260" w:type="dxa"/>
            <w:vAlign w:val="bottom"/>
          </w:tcPr>
          <w:p>
            <w:pPr>
              <w:ind w:left="180"/>
              <w:spacing w:after="0"/>
              <w:rPr>
                <w:sz w:val="20"/>
                <w:szCs w:val="20"/>
                <w:color w:val="auto"/>
              </w:rPr>
            </w:pPr>
            <w:r>
              <w:rPr>
                <w:rFonts w:ascii="Verdana" w:cs="Verdana" w:eastAsia="Verdana" w:hAnsi="Verdana"/>
                <w:sz w:val="18"/>
                <w:szCs w:val="18"/>
                <w:color w:val="auto"/>
              </w:rPr>
              <w:t>Funded investments</w:t>
            </w:r>
          </w:p>
        </w:tc>
        <w:tc>
          <w:tcPr>
            <w:tcW w:w="1680" w:type="dxa"/>
            <w:vAlign w:val="bottom"/>
            <w:gridSpan w:val="2"/>
          </w:tcPr>
          <w:p>
            <w:pPr>
              <w:ind w:left="20"/>
              <w:spacing w:after="0"/>
              <w:rPr>
                <w:sz w:val="20"/>
                <w:szCs w:val="20"/>
                <w:color w:val="auto"/>
              </w:rPr>
            </w:pPr>
            <w:r>
              <w:rPr>
                <w:rFonts w:ascii="Verdana" w:cs="Verdana" w:eastAsia="Verdana" w:hAnsi="Verdana"/>
                <w:sz w:val="18"/>
                <w:szCs w:val="18"/>
                <w:color w:val="auto"/>
              </w:rPr>
              <w:t>Other assets</w:t>
            </w: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9"/>
              <w:spacing w:after="0"/>
              <w:rPr>
                <w:sz w:val="20"/>
                <w:szCs w:val="20"/>
                <w:color w:val="auto"/>
              </w:rPr>
            </w:pPr>
            <w:r>
              <w:rPr>
                <w:rFonts w:ascii="Verdana" w:cs="Verdana" w:eastAsia="Verdana" w:hAnsi="Verdana"/>
                <w:sz w:val="18"/>
                <w:szCs w:val="18"/>
                <w:color w:val="auto"/>
              </w:rPr>
              <w:t>68,516</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58,912</w:t>
            </w:r>
          </w:p>
        </w:tc>
      </w:tr>
      <w:tr>
        <w:trPr>
          <w:trHeight w:val="277"/>
        </w:trPr>
        <w:tc>
          <w:tcPr>
            <w:tcW w:w="62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Unfunded investments</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assets</w:t>
            </w:r>
          </w:p>
        </w:tc>
        <w:tc>
          <w:tcPr>
            <w:tcW w:w="38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58,552</w:t>
            </w:r>
          </w:p>
        </w:tc>
        <w:tc>
          <w:tcPr>
            <w:tcW w:w="100" w:type="dxa"/>
            <w:vAlign w:val="bottom"/>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67,437</w:t>
            </w:r>
          </w:p>
        </w:tc>
      </w:tr>
      <w:tr>
        <w:trPr>
          <w:trHeight w:val="257"/>
        </w:trPr>
        <w:tc>
          <w:tcPr>
            <w:tcW w:w="6260" w:type="dxa"/>
            <w:vAlign w:val="bottom"/>
          </w:tcPr>
          <w:p>
            <w:pPr>
              <w:ind w:left="20"/>
              <w:spacing w:after="0"/>
              <w:rPr>
                <w:sz w:val="20"/>
                <w:szCs w:val="20"/>
                <w:color w:val="auto"/>
              </w:rPr>
            </w:pPr>
            <w:r>
              <w:rPr>
                <w:rFonts w:ascii="Verdana" w:cs="Verdana" w:eastAsia="Verdana" w:hAnsi="Verdana"/>
                <w:sz w:val="18"/>
                <w:szCs w:val="18"/>
                <w:color w:val="auto"/>
              </w:rPr>
              <w:t>Other asset investments</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127,068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126,349</w:t>
            </w:r>
          </w:p>
        </w:tc>
      </w:tr>
      <w:tr>
        <w:trPr>
          <w:trHeight w:val="20"/>
        </w:trPr>
        <w:tc>
          <w:tcPr>
            <w:tcW w:w="626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3"/>
        </w:trPr>
        <w:tc>
          <w:tcPr>
            <w:tcW w:w="6260" w:type="dxa"/>
            <w:vAlign w:val="bottom"/>
            <w:shd w:val="clear" w:color="auto" w:fill="E0E7ED"/>
          </w:tcPr>
          <w:p>
            <w:pPr>
              <w:spacing w:after="0"/>
              <w:rPr>
                <w:sz w:val="21"/>
                <w:szCs w:val="21"/>
                <w:color w:val="auto"/>
              </w:rPr>
            </w:pPr>
          </w:p>
        </w:tc>
        <w:tc>
          <w:tcPr>
            <w:tcW w:w="15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r>
      <w:tr>
        <w:trPr>
          <w:trHeight w:val="263"/>
        </w:trPr>
        <w:tc>
          <w:tcPr>
            <w:tcW w:w="6260" w:type="dxa"/>
            <w:vAlign w:val="bottom"/>
          </w:tcPr>
          <w:p>
            <w:pPr>
              <w:ind w:left="20"/>
              <w:spacing w:after="0"/>
              <w:rPr>
                <w:sz w:val="20"/>
                <w:szCs w:val="20"/>
                <w:color w:val="auto"/>
              </w:rPr>
            </w:pPr>
            <w:r>
              <w:rPr>
                <w:rFonts w:ascii="Verdana" w:cs="Verdana" w:eastAsia="Verdana" w:hAnsi="Verdana"/>
                <w:sz w:val="18"/>
                <w:szCs w:val="18"/>
                <w:color w:val="auto"/>
              </w:rPr>
              <w:t>Unfunded investment obligations</w:t>
            </w:r>
          </w:p>
        </w:tc>
        <w:tc>
          <w:tcPr>
            <w:tcW w:w="1680" w:type="dxa"/>
            <w:vAlign w:val="bottom"/>
            <w:gridSpan w:val="2"/>
          </w:tcPr>
          <w:p>
            <w:pPr>
              <w:ind w:left="20"/>
              <w:spacing w:after="0"/>
              <w:rPr>
                <w:sz w:val="20"/>
                <w:szCs w:val="20"/>
                <w:color w:val="auto"/>
              </w:rPr>
            </w:pPr>
            <w:r>
              <w:rPr>
                <w:rFonts w:ascii="Verdana" w:cs="Verdana" w:eastAsia="Verdana" w:hAnsi="Verdana"/>
                <w:sz w:val="18"/>
                <w:szCs w:val="18"/>
                <w:color w:val="auto"/>
              </w:rPr>
              <w:t>Other liabilities</w:t>
            </w: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58,552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67,437</w:t>
            </w:r>
          </w:p>
        </w:tc>
      </w:tr>
      <w:tr>
        <w:trPr>
          <w:trHeight w:val="27"/>
        </w:trPr>
        <w:tc>
          <w:tcPr>
            <w:tcW w:w="6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During 2023, Busey sold all 16,878 shares of Visa Class B common shares it previously held for a pre-tax gain of approximately $5.5 million.</w:t>
      </w:r>
    </w:p>
    <w:p>
      <w:pPr>
        <w:spacing w:after="0" w:line="19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7" w:name="page108"/>
    <w:bookmarkEnd w:id="10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Transfers of Financial Assets</w:t>
      </w:r>
    </w:p>
    <w:p>
      <w:pPr>
        <w:spacing w:after="0" w:line="17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Transfers of financial assets are accounted for as sales only when control over the assets has been surrendered. Control over transferred assets is deemed to be surrendered when: (1) the assets have been isolated from Busey’s assets, (2) the transferee obtains the right to pledge or exchange the assets it receives, and no condition both constrains the transferee from taking advantage of its right to pledge or exchange and provides more than a trivial benefit to the transferor, and</w:t>
      </w:r>
    </w:p>
    <w:p>
      <w:pPr>
        <w:spacing w:after="0" w:line="4" w:lineRule="exact"/>
        <w:rPr>
          <w:sz w:val="20"/>
          <w:szCs w:val="20"/>
          <w:color w:val="auto"/>
        </w:rPr>
      </w:pPr>
    </w:p>
    <w:p>
      <w:pPr>
        <w:ind w:firstLine="8"/>
        <w:spacing w:after="0" w:line="254" w:lineRule="auto"/>
        <w:tabs>
          <w:tab w:leader="none" w:pos="343" w:val="left"/>
        </w:tabs>
        <w:numPr>
          <w:ilvl w:val="0"/>
          <w:numId w:val="48"/>
        </w:numPr>
        <w:rPr>
          <w:rFonts w:ascii="Verdana" w:cs="Verdana" w:eastAsia="Verdana" w:hAnsi="Verdana"/>
          <w:sz w:val="18"/>
          <w:szCs w:val="18"/>
          <w:color w:val="auto"/>
        </w:rPr>
      </w:pPr>
      <w:r>
        <w:rPr>
          <w:rFonts w:ascii="Verdana" w:cs="Verdana" w:eastAsia="Verdana" w:hAnsi="Verdana"/>
          <w:sz w:val="18"/>
          <w:szCs w:val="18"/>
          <w:color w:val="auto"/>
        </w:rPr>
        <w:t>Busey does not maintain effective control over the transferred assets through an agreement to repurchase them before their maturity or the ability to unilaterally cause the holder to return specific assets.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Income Taxes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is subject to income taxes in U.S. federal and various state jurisdictions. First Busey Corporation and its subsidiaries file consolidated federal and state income tax returns with each subsidiary computing its taxes on a separate entity basis. Tax regulations within each jurisdiction are subject to the interpretation of the related tax laws and regulations and require significant judgment to apply. Busey is no longer subject to U.S. federal, state, or local income tax examinations by tax authorities for the years before 2020.</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Under GAAP, a valuation allowance is required to be recognized if it is more likely than not that the deferred tax assets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current and future economic and business conditions.</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Management believes that it is more likely than not that the deferred tax assets included in the accompanying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0000FF"/>
        </w:rPr>
        <w:t xml:space="preserve"> </w:t>
      </w:r>
      <w:r>
        <w:rPr>
          <w:rFonts w:ascii="Verdana" w:cs="Verdana" w:eastAsia="Verdana" w:hAnsi="Verdana"/>
          <w:sz w:val="18"/>
          <w:szCs w:val="18"/>
          <w:color w:val="000000"/>
        </w:rPr>
        <w:t>will be fully realized. Busey determined that no valuation allowance was required as of</w:t>
      </w:r>
      <w:r>
        <w:rPr>
          <w:rFonts w:ascii="Verdana" w:cs="Verdana" w:eastAsia="Verdana" w:hAnsi="Verdana"/>
          <w:sz w:val="18"/>
          <w:szCs w:val="18"/>
          <w:color w:val="0000FF"/>
        </w:rPr>
        <w:t xml:space="preserve"> </w:t>
      </w:r>
      <w:r>
        <w:rPr>
          <w:rFonts w:ascii="Verdana" w:cs="Verdana" w:eastAsia="Verdana" w:hAnsi="Verdana"/>
          <w:sz w:val="18"/>
          <w:szCs w:val="18"/>
          <w:color w:val="000000"/>
        </w:rPr>
        <w:t>December 31, 2023, or 2022.</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Positions taken in tax returns may be subject to challenge upon examination by the taxing authorities. Uncertain tax positions are initially recognized in the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xml:space="preserve"> when it is more likely than not the position will not be sustained upon examination by the tax authorities. Such tax positions are both initially and subsequently measured as the largest amount of tax benefit that has a greater than 50% likelihood of being realized upon settlement with the tax authority, assuming full knowledge of the position and all relevant facts. When applicable, Busey recognizes interest accrued related to unrecognized tax benefits and penalties in operating expenses. Busey had no accruals for payments of interest and penalties at December 31, 2023, or 2022.</w:t>
      </w:r>
    </w:p>
    <w:p>
      <w:pPr>
        <w:spacing w:after="0" w:line="163" w:lineRule="exact"/>
        <w:rPr>
          <w:sz w:val="20"/>
          <w:szCs w:val="20"/>
          <w:color w:val="auto"/>
        </w:rPr>
      </w:pPr>
    </w:p>
    <w:p>
      <w:pPr>
        <w:ind w:right="1860"/>
        <w:spacing w:after="0" w:line="436" w:lineRule="auto"/>
        <w:rPr>
          <w:sz w:val="20"/>
          <w:szCs w:val="20"/>
          <w:color w:val="auto"/>
        </w:rPr>
      </w:pPr>
      <w:r>
        <w:rPr>
          <w:rFonts w:ascii="Verdana" w:cs="Verdana" w:eastAsia="Verdana" w:hAnsi="Verdana"/>
          <w:sz w:val="18"/>
          <w:szCs w:val="18"/>
          <w:color w:val="auto"/>
        </w:rPr>
        <w:t xml:space="preserve">At December 31, 2023, Busey was not under any income tax examination by any income tax authority. </w:t>
      </w:r>
      <w:r>
        <w:rPr>
          <w:rFonts w:ascii="Verdana" w:cs="Verdana" w:eastAsia="Verdana" w:hAnsi="Verdana"/>
          <w:sz w:val="18"/>
          <w:szCs w:val="18"/>
          <w:b w:val="1"/>
          <w:bCs w:val="1"/>
          <w:i w:val="1"/>
          <w:iCs w:val="1"/>
          <w:color w:val="auto"/>
        </w:rPr>
        <w:t>Treasury Stock</w:t>
      </w:r>
    </w:p>
    <w:p>
      <w:pPr>
        <w:spacing w:after="0" w:line="2"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Treasury stock acquired is recorded at cost. Treasury stock issued is valued based on the “first-in, first-out” method. Gains and losses on issuance are recorded as increases or decreases to additional paid-in capital.</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Stock-Based Employee Compensation</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Busey’s equity incentive plans are designed to encourage ownership of its common stock by its employees and directors, to provide additional incentive for them to promote the success of Busey’s business, and to attract and retain talented personnel. All of Busey’s employees and directors and those of its subsidiaries are eligible to receive awards under the plans.</w:t>
      </w:r>
    </w:p>
    <w:p>
      <w:pPr>
        <w:spacing w:after="0" w:line="22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8" w:name="page109"/>
    <w:bookmarkEnd w:id="10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2020 Equity Plan</w:t>
      </w:r>
    </w:p>
    <w:p>
      <w:pPr>
        <w:spacing w:after="0" w:line="173" w:lineRule="exact"/>
        <w:rPr>
          <w:sz w:val="20"/>
          <w:szCs w:val="20"/>
          <w:color w:val="auto"/>
        </w:rPr>
      </w:pPr>
    </w:p>
    <w:p>
      <w:pPr>
        <w:jc w:val="both"/>
        <w:spacing w:after="0"/>
        <w:rPr>
          <w:rFonts w:ascii="Verdana" w:cs="Verdana" w:eastAsia="Verdana" w:hAnsi="Verdana"/>
          <w:sz w:val="18"/>
          <w:szCs w:val="18"/>
          <w:color w:val="0000FF"/>
        </w:rPr>
      </w:pPr>
      <w:r>
        <w:rPr>
          <w:rFonts w:ascii="Verdana" w:cs="Verdana" w:eastAsia="Verdana" w:hAnsi="Verdana"/>
          <w:sz w:val="18"/>
          <w:szCs w:val="18"/>
          <w:color w:val="auto"/>
        </w:rPr>
        <w:t xml:space="preserve">The 2020 Equity Plan was originally approved by stockholders at the 2020 Annual Meeting of Stockholders. A description of </w:t>
      </w:r>
      <w:hyperlink r:id="rId150">
        <w:r>
          <w:rPr>
            <w:rFonts w:ascii="Verdana" w:cs="Verdana" w:eastAsia="Verdana" w:hAnsi="Verdana"/>
            <w:sz w:val="18"/>
            <w:szCs w:val="18"/>
            <w:color w:val="auto"/>
          </w:rPr>
          <w:t xml:space="preserve">the 2020 Equity Plan, as originally approved, can be found in </w:t>
        </w:r>
        <w:r>
          <w:rPr>
            <w:rFonts w:ascii="Verdana" w:cs="Verdana" w:eastAsia="Verdana" w:hAnsi="Verdana"/>
            <w:sz w:val="18"/>
            <w:szCs w:val="18"/>
            <w:u w:val="single" w:color="auto"/>
            <w:color w:val="0000FF"/>
          </w:rPr>
          <w:t>Appendix A</w:t>
        </w:r>
        <w:r>
          <w:rPr>
            <w:rFonts w:ascii="Verdana" w:cs="Verdana" w:eastAsia="Verdana" w:hAnsi="Verdana"/>
            <w:sz w:val="18"/>
            <w:szCs w:val="18"/>
            <w:color w:val="auto"/>
          </w:rPr>
          <w:t xml:space="preserve"> within </w:t>
        </w:r>
        <w:r>
          <w:rPr>
            <w:rFonts w:ascii="Verdana" w:cs="Verdana" w:eastAsia="Verdana" w:hAnsi="Verdana"/>
            <w:sz w:val="18"/>
            <w:szCs w:val="18"/>
            <w:u w:val="single" w:color="auto"/>
            <w:color w:val="0000FF"/>
          </w:rPr>
          <w:t>Busey’s Proxy Statement for the 2020</w:t>
        </w:r>
      </w:hyperlink>
      <w:r>
        <w:rPr>
          <w:rFonts w:ascii="Verdana" w:cs="Verdana" w:eastAsia="Verdana" w:hAnsi="Verdana"/>
          <w:sz w:val="18"/>
          <w:szCs w:val="18"/>
          <w:color w:val="auto"/>
        </w:rPr>
        <w:t xml:space="preserve"> </w:t>
      </w:r>
      <w:hyperlink r:id="rId150">
        <w:r>
          <w:rPr>
            <w:rFonts w:ascii="Verdana" w:cs="Verdana" w:eastAsia="Verdana" w:hAnsi="Verdana"/>
            <w:sz w:val="18"/>
            <w:szCs w:val="18"/>
            <w:u w:val="single" w:color="auto"/>
            <w:color w:val="0000FF"/>
          </w:rPr>
          <w:t>Annual Meeting of Stockholders filed on April 9, 2020</w:t>
        </w:r>
        <w:r>
          <w:rPr>
            <w:rFonts w:ascii="Verdana" w:cs="Verdana" w:eastAsia="Verdana" w:hAnsi="Verdana"/>
            <w:sz w:val="18"/>
            <w:szCs w:val="18"/>
            <w:color w:val="000000"/>
          </w:rPr>
          <w:t>. Upon the 2020 Equity Plan’s original approval, it replaced the 2010</w:t>
        </w:r>
      </w:hyperlink>
      <w:r>
        <w:rPr>
          <w:rFonts w:ascii="Verdana" w:cs="Verdana" w:eastAsia="Verdana" w:hAnsi="Verdana"/>
          <w:sz w:val="18"/>
          <w:szCs w:val="18"/>
          <w:color w:val="0000FF"/>
        </w:rPr>
        <w:t xml:space="preserve"> </w:t>
      </w:r>
      <w:r>
        <w:rPr>
          <w:rFonts w:ascii="Verdana" w:cs="Verdana" w:eastAsia="Verdana" w:hAnsi="Verdana"/>
          <w:sz w:val="18"/>
          <w:szCs w:val="18"/>
          <w:color w:val="000000"/>
        </w:rPr>
        <w:t>Equity Incentive Plan and the First Community 2016 Equity Incentive Plan, which, from time to time, Busey used to grant equity awards to legacy employees of First Community. Under the terms of the 2020 Equity Plan, Busey has granted RSU, DSU, and PSU awards.</w:t>
      </w:r>
    </w:p>
    <w:p>
      <w:pPr>
        <w:spacing w:after="0" w:line="159" w:lineRule="exact"/>
        <w:rPr>
          <w:sz w:val="20"/>
          <w:szCs w:val="20"/>
          <w:color w:val="auto"/>
        </w:rPr>
      </w:pPr>
    </w:p>
    <w:p>
      <w:pPr>
        <w:jc w:val="both"/>
        <w:spacing w:after="0" w:line="241" w:lineRule="auto"/>
        <w:rPr>
          <w:rFonts w:ascii="Verdana" w:cs="Verdana" w:eastAsia="Verdana" w:hAnsi="Verdana"/>
          <w:sz w:val="18"/>
          <w:szCs w:val="18"/>
          <w:color w:val="0000FF"/>
        </w:rPr>
      </w:pPr>
      <w:r>
        <w:rPr>
          <w:rFonts w:ascii="Verdana" w:cs="Verdana" w:eastAsia="Verdana" w:hAnsi="Verdana"/>
          <w:sz w:val="18"/>
          <w:szCs w:val="18"/>
          <w:color w:val="auto"/>
        </w:rPr>
        <w:t xml:space="preserve">An amendment to and restatement of the 2020 Equity Plan was approved by stockholders at the 2023 Annual Meeting of Stockholders. The terms of the amended and restated 2020 Equity Plan are substantially identical to those of the originally approved 2020 Equity Plan, other than a 1,350,000 increase in the number of shares authorized for issuance under the </w:t>
      </w:r>
      <w:hyperlink r:id="rId151">
        <w:r>
          <w:rPr>
            <w:rFonts w:ascii="Verdana" w:cs="Verdana" w:eastAsia="Verdana" w:hAnsi="Verdana"/>
            <w:sz w:val="18"/>
            <w:szCs w:val="18"/>
            <w:color w:val="auto"/>
          </w:rPr>
          <w:t xml:space="preserve">plan. More information can be found in </w:t>
        </w:r>
        <w:r>
          <w:rPr>
            <w:rFonts w:ascii="Verdana" w:cs="Verdana" w:eastAsia="Verdana" w:hAnsi="Verdana"/>
            <w:sz w:val="18"/>
            <w:szCs w:val="18"/>
            <w:u w:val="single" w:color="auto"/>
            <w:color w:val="0000FF"/>
          </w:rPr>
          <w:t>Appendix A</w:t>
        </w:r>
        <w:r>
          <w:rPr>
            <w:rFonts w:ascii="Verdana" w:cs="Verdana" w:eastAsia="Verdana" w:hAnsi="Verdana"/>
            <w:sz w:val="18"/>
            <w:szCs w:val="18"/>
            <w:color w:val="auto"/>
          </w:rPr>
          <w:t xml:space="preserve"> within </w:t>
        </w:r>
        <w:r>
          <w:rPr>
            <w:rFonts w:ascii="Verdana" w:cs="Verdana" w:eastAsia="Verdana" w:hAnsi="Verdana"/>
            <w:sz w:val="18"/>
            <w:szCs w:val="18"/>
            <w:u w:val="single" w:color="auto"/>
            <w:color w:val="0000FF"/>
          </w:rPr>
          <w:t>Busey’s Proxy Statement for the 2023 Annual Meeting of</w:t>
        </w:r>
      </w:hyperlink>
      <w:r>
        <w:rPr>
          <w:rFonts w:ascii="Verdana" w:cs="Verdana" w:eastAsia="Verdana" w:hAnsi="Verdana"/>
          <w:sz w:val="18"/>
          <w:szCs w:val="18"/>
          <w:color w:val="auto"/>
        </w:rPr>
        <w:t xml:space="preserve"> </w:t>
      </w:r>
      <w:hyperlink r:id="rId151">
        <w:r>
          <w:rPr>
            <w:rFonts w:ascii="Verdana" w:cs="Verdana" w:eastAsia="Verdana" w:hAnsi="Verdana"/>
            <w:sz w:val="18"/>
            <w:szCs w:val="18"/>
            <w:u w:val="single" w:color="auto"/>
            <w:color w:val="0000FF"/>
          </w:rPr>
          <w:t>Stockholders filed on April 14, 2023</w:t>
        </w:r>
        <w:r>
          <w:rPr>
            <w:rFonts w:ascii="Verdana" w:cs="Verdana" w:eastAsia="Verdana" w:hAnsi="Verdana"/>
            <w:sz w:val="18"/>
            <w:szCs w:val="18"/>
            <w:color w:val="000000"/>
          </w:rPr>
          <w:t>.</w:t>
        </w:r>
      </w:hyperlink>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RSU Awards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grants RSU awards to members of management periodically throughout the year. RSU awards are stock-based awards for which vesting is conditional upon meeting established service criteria. Each RSU is equivalent to one share of Busey’s common stock. Busey’s RSUs have requisite service periods ranging from one year to five years, and are subject to accelerated vesting upon eligible retirement from Busey. Recipients earn quarterly dividend equivalents on their respective RSUs, which entitle the recipients to additional units. Therefore, dividends earned each quarter compound based upon the updated unit balances.</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PSU Awards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grants PSU awards to members of management periodically throughout the year. PSU awards are stock-based awards for which vesting is conditional upon meeting established performance criteria. Each PSU is equivalent to one share of Busey’s common stock. The number of PSUs that ultimately vest will be determined based on the extent to which market or other performance goals are achieved. Busey’s PSUs are subject to accelerated service-based vesting conditions upon eligible retirement from Busey. After performance determination, dividend equivalents are compounded based upon the updated PSU balances at each dividend date during the performance period.</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DSU Awards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grants DSU awards to its directors and advisory directors. DSU awards are stock-based awards with a deferred settlement date. Each DSU is equivalent to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After vesting and prior to delivery, DSUs will continue to earn dividend equivalents.</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Stock Options</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Busey has outstanding stock options assumed from acquisitions. All stock options that remained outstanding as of December 31, 2023, were fully vested.</w:t>
      </w:r>
    </w:p>
    <w:p>
      <w:pPr>
        <w:spacing w:after="0" w:line="19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9" w:name="page110"/>
    <w:bookmarkEnd w:id="10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2021 Employee Stock Purchase Plan</w:t>
      </w:r>
    </w:p>
    <w:p>
      <w:pPr>
        <w:spacing w:after="0" w:line="173" w:lineRule="exact"/>
        <w:rPr>
          <w:sz w:val="20"/>
          <w:szCs w:val="20"/>
          <w:color w:val="auto"/>
        </w:rPr>
      </w:pPr>
    </w:p>
    <w:p>
      <w:pPr>
        <w:jc w:val="both"/>
        <w:spacing w:after="0" w:line="241" w:lineRule="auto"/>
        <w:rPr>
          <w:rFonts w:ascii="Verdana" w:cs="Verdana" w:eastAsia="Verdana" w:hAnsi="Verdana"/>
          <w:sz w:val="18"/>
          <w:szCs w:val="18"/>
          <w:color w:val="auto"/>
        </w:rPr>
      </w:pPr>
      <w:r>
        <w:rPr>
          <w:rFonts w:ascii="Verdana" w:cs="Verdana" w:eastAsia="Verdana" w:hAnsi="Verdana"/>
          <w:sz w:val="18"/>
          <w:szCs w:val="18"/>
          <w:color w:val="auto"/>
        </w:rPr>
        <w:t xml:space="preserve">The 2021 ESPP was approved at Busey’s 2021 Annual Meeting of Stockholders and details can be found in </w:t>
      </w:r>
      <w:hyperlink r:id="rId153">
        <w:r>
          <w:rPr>
            <w:rFonts w:ascii="Verdana" w:cs="Verdana" w:eastAsia="Verdana" w:hAnsi="Verdana"/>
            <w:sz w:val="18"/>
            <w:szCs w:val="18"/>
            <w:u w:val="single" w:color="auto"/>
            <w:color w:val="0000FF"/>
          </w:rPr>
          <w:t>Appendix A</w:t>
        </w:r>
      </w:hyperlink>
      <w:r>
        <w:rPr>
          <w:rFonts w:ascii="Verdana" w:cs="Verdana" w:eastAsia="Verdana" w:hAnsi="Verdana"/>
          <w:sz w:val="18"/>
          <w:szCs w:val="18"/>
          <w:color w:val="auto"/>
        </w:rPr>
        <w:t xml:space="preserve"> within </w:t>
      </w:r>
      <w:hyperlink r:id="rId154">
        <w:r>
          <w:rPr>
            <w:rFonts w:ascii="Verdana" w:cs="Verdana" w:eastAsia="Verdana" w:hAnsi="Verdana"/>
            <w:sz w:val="18"/>
            <w:szCs w:val="18"/>
            <w:u w:val="single" w:color="auto"/>
            <w:color w:val="0000FF"/>
          </w:rPr>
          <w:t>First Busey’s Definitive Proxy Statement filed with the SEC on April 8, 2021</w:t>
        </w:r>
      </w:hyperlink>
      <w:r>
        <w:rPr>
          <w:rFonts w:ascii="Verdana" w:cs="Verdana" w:eastAsia="Verdana" w:hAnsi="Verdana"/>
          <w:sz w:val="18"/>
          <w:szCs w:val="18"/>
          <w:color w:val="auto"/>
        </w:rPr>
        <w:t>. One of the primary purposes of the 2021 ESPP is to provide a means through which our associates may acquire a proprietary interest in Busey by purchasing shares of our common stock at a discounted price through voluntary payroll deductions, further incentivizing Busey associates to exert maximum effort toward Busey’s success.</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Because the 2021 ESPP provides opportunity for Busey associates to purchase Busey’s common stock at a 15% discount from the market price, the plan is considered to be a compensatory plan under current accounting guidance. Therefore, the entire amount of the discount is recognized in salaries, wages, and employee benefits on the </w:t>
      </w:r>
      <w:r>
        <w:rPr>
          <w:rFonts w:ascii="Verdana" w:cs="Verdana" w:eastAsia="Verdana" w:hAnsi="Verdana"/>
          <w:sz w:val="18"/>
          <w:szCs w:val="18"/>
          <w:u w:val="single" w:color="auto"/>
          <w:color w:val="0000FF"/>
        </w:rPr>
        <w:t>Consolidated Statements of</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Income</w:t>
      </w:r>
      <w:r>
        <w:rPr>
          <w:rFonts w:ascii="Verdana" w:cs="Verdana" w:eastAsia="Verdana" w:hAnsi="Verdana"/>
          <w:sz w:val="18"/>
          <w:szCs w:val="18"/>
          <w:color w:val="000000"/>
        </w:rPr>
        <w:t>.</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14. Stock-based Compensation</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for further discussion.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Segment Disclosure</w:t>
      </w:r>
    </w:p>
    <w:p>
      <w:pPr>
        <w:spacing w:after="0" w:line="17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Operating segments are components of a business that (1) engage in business activities from which the component may earn revenues and incur expenses; (2) have operating results that are reviewed regularly by the entity’s chief operating decision maker to make decisions about resources to be allocated to the segments and assess their performance; and</w:t>
      </w:r>
    </w:p>
    <w:p>
      <w:pPr>
        <w:spacing w:after="0" w:line="3" w:lineRule="exact"/>
        <w:rPr>
          <w:sz w:val="20"/>
          <w:szCs w:val="20"/>
          <w:color w:val="auto"/>
        </w:rPr>
      </w:pPr>
    </w:p>
    <w:p>
      <w:pPr>
        <w:jc w:val="both"/>
        <w:ind w:firstLine="8"/>
        <w:spacing w:after="0" w:line="245" w:lineRule="auto"/>
        <w:tabs>
          <w:tab w:leader="none" w:pos="359" w:val="left"/>
        </w:tabs>
        <w:numPr>
          <w:ilvl w:val="0"/>
          <w:numId w:val="49"/>
        </w:numPr>
        <w:rPr>
          <w:rFonts w:ascii="Verdana" w:cs="Verdana" w:eastAsia="Verdana" w:hAnsi="Verdana"/>
          <w:sz w:val="18"/>
          <w:szCs w:val="18"/>
          <w:color w:val="auto"/>
        </w:rPr>
      </w:pPr>
      <w:r>
        <w:rPr>
          <w:rFonts w:ascii="Verdana" w:cs="Verdana" w:eastAsia="Verdana" w:hAnsi="Verdana"/>
          <w:sz w:val="18"/>
          <w:szCs w:val="18"/>
          <w:color w:val="auto"/>
        </w:rPr>
        <w:t xml:space="preserve">for which discrete financial information is available. Busey’s operations are managed along three operating segments consisting of Banking, Wealth Management, and FirsTech.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21. Operating Segments and Related Information</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for further discussion.</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Business Combinations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Business combinations are accounted for under ASC Topic 805 </w:t>
      </w:r>
      <w:r>
        <w:rPr>
          <w:rFonts w:ascii="Verdana" w:cs="Verdana" w:eastAsia="Verdana" w:hAnsi="Verdana"/>
          <w:sz w:val="18"/>
          <w:szCs w:val="18"/>
          <w:i w:val="1"/>
          <w:iCs w:val="1"/>
          <w:color w:val="auto"/>
        </w:rPr>
        <w:t>“Business Combinations”</w:t>
      </w:r>
      <w:r>
        <w:rPr>
          <w:rFonts w:ascii="Verdana" w:cs="Verdana" w:eastAsia="Verdana" w:hAnsi="Verdana"/>
          <w:sz w:val="18"/>
          <w:szCs w:val="18"/>
          <w:color w:val="auto"/>
        </w:rPr>
        <w:t xml:space="preserve"> using the acquisition method of accounting. The acquisition method of accounting requires that the assets acquired and the liabilities assumed are recognized, measured at their estimated fair values, as of the date Busey obtains control of the acquiree (the acquisition date). To estimate fair values of assets acquired and liabilities assumed, Busey may utilize third-party valuations, such as appraisals, or internal valuations based on discounted cash flow analyses or other valuation techniques.</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Operating results generated from acquired businesses are included with Busey’s results of operations starting from each acquisition date. Acquisition related costs are costs that Busey incurs to effect a business combination, and may include legal, accounting, valuation, other professional or consulting fees, system conversions, and marketing costs. Busey accounts for acquisition related costs by recording them as expenses in the periods in which the costs are incurred and the services are received. Costs that Busey expects, but is not obligated to incur in the future, to effect its plan to exit an activity of an acquiree or to terminate the employment of an acquiree’s employees are not liabilities at the acquisition date. Instead, Busey recognizes these costs in its post-combination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xml:space="preserve"> in accordance with other applicable accounting guidance.</w:t>
      </w:r>
    </w:p>
    <w:p>
      <w:pPr>
        <w:spacing w:after="0" w:line="17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Derivative Financial Instruments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w:t>
      </w:r>
    </w:p>
    <w:p>
      <w:pPr>
        <w:spacing w:after="0" w:line="211"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0" w:name="page111"/>
    <w:bookmarkEnd w:id="11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Swaps Designated as Cash Flow Hedges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entered into derivative instruments designated as cash flow hedges. For a derivative instrument that qualifies and is designated as a cash flow hedge, the change in fair value of the derivative instrument is reported as a component of other comprehensive income (loss) and reclassified into earnings in the same period or periods during which the hedged transaction affects earnings. Changes in fair value of components excluded from the assessment of effectiveness are recognized in current earnings.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Swaps Not Designated as Hedges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may offer derivative contracts to its customers in connection with their risk management needs. Busey manages the risk associated with these contracts by entering into equal and offsetting derivatives with third-party dealers. Generally, these derivatives have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Lock Commitments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Interest rate lock commitments that meet the definition of derivative financial instruments under ASC Topic 815 </w:t>
      </w:r>
      <w:r>
        <w:rPr>
          <w:rFonts w:ascii="Verdana" w:cs="Verdana" w:eastAsia="Verdana" w:hAnsi="Verdana"/>
          <w:sz w:val="18"/>
          <w:szCs w:val="18"/>
          <w:i w:val="1"/>
          <w:iCs w:val="1"/>
          <w:color w:val="auto"/>
        </w:rPr>
        <w:t xml:space="preserve">“Derivatives and Hedging” </w:t>
      </w:r>
      <w:r>
        <w:rPr>
          <w:rFonts w:ascii="Verdana" w:cs="Verdana" w:eastAsia="Verdana" w:hAnsi="Verdana"/>
          <w:sz w:val="18"/>
          <w:szCs w:val="18"/>
          <w:color w:val="auto"/>
        </w:rPr>
        <w:t>are carried at their fair values in other assets or other liabilities in the</w:t>
      </w:r>
      <w:r>
        <w:rPr>
          <w:rFonts w:ascii="Verdana" w:cs="Verdana" w:eastAsia="Verdana" w:hAnsi="Verdana"/>
          <w:sz w:val="18"/>
          <w:szCs w:val="18"/>
          <w:i w:val="1"/>
          <w:iCs w:val="1"/>
          <w:color w:val="auto"/>
        </w:rPr>
        <w:t xml:space="preserve"> </w:t>
      </w:r>
      <w:r>
        <w:rPr>
          <w:rFonts w:ascii="Verdana" w:cs="Verdana" w:eastAsia="Verdana" w:hAnsi="Verdana"/>
          <w:sz w:val="18"/>
          <w:szCs w:val="18"/>
          <w:u w:val="single" w:color="auto"/>
          <w:color w:val="0000FF"/>
        </w:rPr>
        <w:t>Consolidated Financial</w:t>
      </w:r>
      <w:r>
        <w:rPr>
          <w:rFonts w:ascii="Verdana" w:cs="Verdana" w:eastAsia="Verdana" w:hAnsi="Verdana"/>
          <w:sz w:val="18"/>
          <w:szCs w:val="18"/>
          <w:i w:val="1"/>
          <w:iCs w:val="1"/>
          <w:color w:val="auto"/>
        </w:rPr>
        <w:t xml:space="preserve"> </w:t>
      </w:r>
      <w:r>
        <w:rPr>
          <w:rFonts w:ascii="Verdana" w:cs="Verdana" w:eastAsia="Verdana" w:hAnsi="Verdana"/>
          <w:sz w:val="18"/>
          <w:szCs w:val="18"/>
          <w:u w:val="single" w:color="auto"/>
          <w:color w:val="0000FF"/>
        </w:rPr>
        <w:t>Statements</w:t>
      </w:r>
      <w:r>
        <w:rPr>
          <w:rFonts w:ascii="Verdana" w:cs="Verdana" w:eastAsia="Verdana" w:hAnsi="Verdana"/>
          <w:sz w:val="18"/>
          <w:szCs w:val="18"/>
          <w:color w:val="000000"/>
        </w:rPr>
        <w:t>, with changes in the fair values of the corresponding derivative financial assets or liabilities recorded as either</w:t>
      </w:r>
      <w:r>
        <w:rPr>
          <w:rFonts w:ascii="Verdana" w:cs="Verdana" w:eastAsia="Verdana" w:hAnsi="Verdana"/>
          <w:sz w:val="18"/>
          <w:szCs w:val="18"/>
          <w:color w:val="0000FF"/>
        </w:rPr>
        <w:t xml:space="preserve"> </w:t>
      </w:r>
      <w:r>
        <w:rPr>
          <w:rFonts w:ascii="Verdana" w:cs="Verdana" w:eastAsia="Verdana" w:hAnsi="Verdana"/>
          <w:sz w:val="18"/>
          <w:szCs w:val="18"/>
          <w:color w:val="000000"/>
        </w:rPr>
        <w:t>a charge or credit to current earnings during the period in which the changes occurred.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Forward Sales Commitments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Verdana" w:cs="Verdana" w:eastAsia="Verdana" w:hAnsi="Verdana"/>
          <w:sz w:val="18"/>
          <w:szCs w:val="18"/>
          <w:i w:val="1"/>
          <w:iCs w:val="1"/>
          <w:color w:val="auto"/>
        </w:rPr>
        <w:t>“Derivatives and</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Hedging” </w:t>
      </w:r>
      <w:r>
        <w:rPr>
          <w:rFonts w:ascii="Verdana" w:cs="Verdana" w:eastAsia="Verdana" w:hAnsi="Verdana"/>
          <w:sz w:val="18"/>
          <w:szCs w:val="18"/>
          <w:color w:val="auto"/>
        </w:rPr>
        <w:t>are carried at their fair values in other assets or other liabilities in the</w:t>
      </w:r>
      <w:r>
        <w:rPr>
          <w:rFonts w:ascii="Verdana" w:cs="Verdana" w:eastAsia="Verdana" w:hAnsi="Verdana"/>
          <w:sz w:val="18"/>
          <w:szCs w:val="18"/>
          <w:i w:val="1"/>
          <w:iCs w:val="1"/>
          <w:color w:val="auto"/>
        </w:rPr>
        <w:t xml:space="preserve">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While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such 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Risk Participation Agreements</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has entered into risk participation agreements to manage the credit risk of its derivative position. These agreements transfer credit risk related to an interest rate swap to another financial institution. Risk participation agreements that Busey has entered into are structured as follows:</w:t>
      </w:r>
    </w:p>
    <w:p>
      <w:pPr>
        <w:spacing w:after="0" w:line="154" w:lineRule="exact"/>
        <w:rPr>
          <w:sz w:val="20"/>
          <w:szCs w:val="20"/>
          <w:color w:val="auto"/>
        </w:rPr>
      </w:pPr>
    </w:p>
    <w:p>
      <w:pPr>
        <w:jc w:val="both"/>
        <w:ind w:left="660" w:hanging="328"/>
        <w:spacing w:after="0" w:line="239" w:lineRule="auto"/>
        <w:tabs>
          <w:tab w:leader="none" w:pos="650" w:val="left"/>
        </w:tabs>
        <w:numPr>
          <w:ilvl w:val="0"/>
          <w:numId w:val="50"/>
        </w:numPr>
        <w:rPr>
          <w:rFonts w:ascii="Verdana" w:cs="Verdana" w:eastAsia="Verdana" w:hAnsi="Verdana"/>
          <w:sz w:val="18"/>
          <w:szCs w:val="18"/>
          <w:color w:val="auto"/>
        </w:rPr>
      </w:pPr>
      <w:r>
        <w:rPr>
          <w:rFonts w:ascii="Verdana" w:cs="Verdana" w:eastAsia="Verdana" w:hAnsi="Verdana"/>
          <w:sz w:val="18"/>
          <w:szCs w:val="18"/>
          <w:color w:val="auto"/>
        </w:rPr>
        <w:t>Busey has a swap agreement with a customer. Busey (purchaser) entered into a risk participation agreement with a counterparty (seller), under which the counterparty receives a fee to accept a portion of the credit risk. If Busey’s customer defaults on the swap contract, the counterparty to the risk participation agreement must reimburse Busey for the counterparty's percentage of the positive fair value of the customer swap as of the default date. If the customer swap has a negative fair value, the counterparty has no reimbursement requirements. If Busey’s customer defaults on the swap contract and the counterparty (seller) fulfills its payment obligations under the risk participation agreement, the counterparty (seller) is entitled to a pro rata share of Busey’s claim against the customer under the terms of the swap agreement.</w:t>
      </w:r>
    </w:p>
    <w:p>
      <w:pPr>
        <w:spacing w:after="0" w:line="21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1" w:name="page112"/>
    <w:bookmarkEnd w:id="11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ind w:left="660" w:hanging="328"/>
        <w:spacing w:after="0" w:line="239" w:lineRule="auto"/>
        <w:tabs>
          <w:tab w:leader="none" w:pos="650" w:val="left"/>
        </w:tabs>
        <w:numPr>
          <w:ilvl w:val="0"/>
          <w:numId w:val="51"/>
        </w:numPr>
        <w:rPr>
          <w:rFonts w:ascii="Verdana" w:cs="Verdana" w:eastAsia="Verdana" w:hAnsi="Verdana"/>
          <w:sz w:val="18"/>
          <w:szCs w:val="18"/>
          <w:color w:val="auto"/>
        </w:rPr>
      </w:pPr>
      <w:r>
        <w:rPr>
          <w:rFonts w:ascii="Verdana" w:cs="Verdana" w:eastAsia="Verdana" w:hAnsi="Verdana"/>
          <w:sz w:val="18"/>
          <w:szCs w:val="18"/>
          <w:color w:val="auto"/>
        </w:rPr>
        <w:t>A counterparty has a swap agreement with a customer. Busey (seller) entered into a risk participation with a counterparty (purchaser), under which Busey receives a fee to accept a portion of the credit risk. If the counterparty’s customer defaults on the swap contract, Busey must reimburse the counterparty (purchaser) for Busey's percentage of the positive fair value of the customer swap as of the default date. If the customer swap has a negative fair value, Busey has no reimbursement requirements. If the counterparty’s customer defaults on the swap contract and Busey (seller) fulfills its payment obligations under the risk participation agreement, Busey (seller) is entitled to a pro rata share of the counterparty’s claim against the customer under the terms of the swap agreement.</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Foreign Currency Forward Contracts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entered into foreign currency exchange contracts to support the business requirements of its customers. Foreign currency contracts involve the exchange of one currency for another on a specified date and at a specified rate. These contracts are executed on behalf of Busey's customers and are used by customers to manage fluctuations in foreign exchange rates. Busey minimizes its exposure by entering into similar offsetting positions with other financial institutions. Busey is subject to the credit risk that another party will fail to perform.</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Off-Balance Sheet Arrangements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In the normal course of business, to meet the financing needs of its customers, Busey is a party to credit-related financial instruments with off-balance-sheet risk, including commitments to extend credit and standby letters of credit. These instruments involve, to varying degrees, elements of credit and interest rate risk in excess of the amount recognized in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000000"/>
        </w:rPr>
        <w:t>. Busey’s exposure to credit loss is represented by the contractual amount of the</w:t>
      </w:r>
      <w:r>
        <w:rPr>
          <w:rFonts w:ascii="Verdana" w:cs="Verdana" w:eastAsia="Verdana" w:hAnsi="Verdana"/>
          <w:sz w:val="18"/>
          <w:szCs w:val="18"/>
          <w:color w:val="0000FF"/>
        </w:rPr>
        <w:t xml:space="preserve"> </w:t>
      </w:r>
      <w:r>
        <w:rPr>
          <w:rFonts w:ascii="Verdana" w:cs="Verdana" w:eastAsia="Verdana" w:hAnsi="Verdana"/>
          <w:sz w:val="18"/>
          <w:szCs w:val="18"/>
          <w:color w:val="000000"/>
        </w:rPr>
        <w:t>commitments. Busey uses the same credit policies in making commitments and conditional obligations as it does for on-balance-sheet instruments.</w:t>
      </w:r>
    </w:p>
    <w:p>
      <w:pPr>
        <w:spacing w:after="0" w:line="15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Commitments to extend credit are agreements to lend to a customer as long as no condition established in the contract has been violated. These commitments are generally at variable interest rates, they generally have fixed expiration dates or other termination clauses, and they may require the customer to pay a fee. Commitments for equity lines of credit may expire without being drawn upon; therefore, the total commitment amounts do not necessarily represent future cash requirements. These commitments may be secured based on management’s credit evaluation of the borrower.</w:t>
      </w:r>
    </w:p>
    <w:p>
      <w:pPr>
        <w:spacing w:after="0" w:line="17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Standby letters of credit are conditional commitments Busey has issued to guarantee the performance of a customer’s obligation to a third-party. Those guarantees are primarily issued to support public and private borrowing arrangements, including bond financing and similar transactions. The credit risk involved in issuing letters of credit is essentially the same as that involved in extending loan facilities to customers. Busey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Busey would be required to fund the commitment. If the commitment is funded, Busey would be entitled to seek recovery from the customer.</w:t>
      </w:r>
    </w:p>
    <w:p>
      <w:pPr>
        <w:spacing w:after="0" w:line="21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2" w:name="page113"/>
    <w:bookmarkEnd w:id="11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 xml:space="preserve">Busey estimates expected credit losses for off-balance sheet arrangements over the contractual period during which it is exposed to credit risk via a present contractual obligation to extend credit, unless that obligation is unconditionally cancellable by the issuer. To be considered unconditionally cancellable for accounting purposes, Busey must have the ability to, at any time, with or without cause, refuse to extend credit under the commitment. Off-balance-sheet credit exposure segments share the same risk characteristics as portfolio loans. Busey incorporates a probability of funding and utilizes the ACL loss rates to calculate a reserve for off-balance-sheet credit exposure, which is carried on the </w:t>
      </w:r>
      <w:r>
        <w:rPr>
          <w:rFonts w:ascii="Verdana" w:cs="Verdana" w:eastAsia="Verdana" w:hAnsi="Verdana"/>
          <w:sz w:val="18"/>
          <w:szCs w:val="18"/>
          <w:u w:val="single" w:color="auto"/>
          <w:color w:val="0000FF"/>
        </w:rPr>
        <w:t>Consolidated Balance</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Sheets</w:t>
      </w:r>
      <w:r>
        <w:rPr>
          <w:rFonts w:ascii="Verdana" w:cs="Verdana" w:eastAsia="Verdana" w:hAnsi="Verdana"/>
          <w:sz w:val="18"/>
          <w:szCs w:val="18"/>
          <w:color w:val="0000FF"/>
        </w:rPr>
        <w:t xml:space="preserve"> </w:t>
      </w:r>
      <w:r>
        <w:rPr>
          <w:rFonts w:ascii="Verdana" w:cs="Verdana" w:eastAsia="Verdana" w:hAnsi="Verdana"/>
          <w:sz w:val="18"/>
          <w:szCs w:val="18"/>
          <w:color w:val="000000"/>
        </w:rPr>
        <w:t>in other liabilities rather than as a component of the ACL. The reserve for off-balance-sheet credit exposure is</w:t>
      </w:r>
      <w:r>
        <w:rPr>
          <w:rFonts w:ascii="Verdana" w:cs="Verdana" w:eastAsia="Verdana" w:hAnsi="Verdana"/>
          <w:sz w:val="18"/>
          <w:szCs w:val="18"/>
          <w:color w:val="0000FF"/>
        </w:rPr>
        <w:t xml:space="preserve"> </w:t>
      </w:r>
      <w:r>
        <w:rPr>
          <w:rFonts w:ascii="Verdana" w:cs="Verdana" w:eastAsia="Verdana" w:hAnsi="Verdana"/>
          <w:sz w:val="18"/>
          <w:szCs w:val="18"/>
          <w:color w:val="000000"/>
        </w:rPr>
        <w:t xml:space="preserve">adjusted as a provision for off-balance-sheet credit exposure and is reported as a component of noninterest expense in the accompanying </w:t>
      </w:r>
      <w:r>
        <w:rPr>
          <w:rFonts w:ascii="Verdana" w:cs="Verdana" w:eastAsia="Verdana" w:hAnsi="Verdana"/>
          <w:sz w:val="18"/>
          <w:szCs w:val="18"/>
          <w:u w:val="single" w:color="auto"/>
          <w:color w:val="0000FF"/>
        </w:rPr>
        <w:t>Consolidated Statements of Income</w:t>
      </w:r>
      <w:r>
        <w:rPr>
          <w:rFonts w:ascii="Verdana" w:cs="Verdana" w:eastAsia="Verdana" w:hAnsi="Verdana"/>
          <w:sz w:val="18"/>
          <w:szCs w:val="18"/>
          <w:color w:val="000000"/>
        </w:rPr>
        <w:t>. Liabilities recorded as reserves for Busey’s off-balance sheet credit exposure under these commitments totaled $7.1 million as of December 31, 2023, and $6.6 million as of December 31, 2022.</w:t>
      </w:r>
    </w:p>
    <w:p>
      <w:pPr>
        <w:spacing w:after="0" w:line="1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Fair Value of Financial Instruments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Fair values of financial instruments are estimated using relevant market information and other assumptions, as more fully disclosed in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18. Fair Value Measurements</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Revenue</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ASC Topic 606 </w:t>
      </w:r>
      <w:r>
        <w:rPr>
          <w:rFonts w:ascii="Verdana" w:cs="Verdana" w:eastAsia="Verdana" w:hAnsi="Verdana"/>
          <w:sz w:val="18"/>
          <w:szCs w:val="18"/>
          <w:i w:val="1"/>
          <w:iCs w:val="1"/>
          <w:color w:val="auto"/>
        </w:rPr>
        <w:t>“Revenue from Contracts with Customers”</w:t>
      </w:r>
      <w:r>
        <w:rPr>
          <w:rFonts w:ascii="Verdana" w:cs="Verdana" w:eastAsia="Verdana" w:hAnsi="Verdana"/>
          <w:sz w:val="18"/>
          <w:szCs w:val="18"/>
          <w:color w:val="auto"/>
        </w:rPr>
        <w:t xml:space="preserve"> outlines a single model for companies to use in accounting for revenue arising from contracts with customers and supersedes most prior revenue recognition guidance, including industry- specific guidance. ASC Topic 606 requires that companies recognize revenue based on the value of transferred goods or services as they occur in the contract and establishes additional disclosures. Busey’s revenue is comprised of net interest income, which is explicitly excluded from the scope of ASC Topic 606, and noninterest income. Busey has evaluated its noninterest income and the nature of its contracts with customers and determined that further disaggregation of revenue beyond what is presented in the accompanying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xml:space="preserve"> is not necessary. Busey satisfies its performance obligations on its contracts with customers as services are rendered, so there is limited judgment involved in applying ASC Topic 606 that affects the determination of the timing and amount of revenue from contracts with customers.</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Descriptions of Busey’s primary revenue generating activities that are within the scope of ASC Topic 606, and are presented in the accompanying </w:t>
      </w:r>
      <w:r>
        <w:rPr>
          <w:rFonts w:ascii="Verdana" w:cs="Verdana" w:eastAsia="Verdana" w:hAnsi="Verdana"/>
          <w:sz w:val="18"/>
          <w:szCs w:val="18"/>
          <w:u w:val="single" w:color="auto"/>
          <w:color w:val="0000FF"/>
        </w:rPr>
        <w:t>Consolidated Statements of Income</w:t>
      </w:r>
      <w:r>
        <w:rPr>
          <w:rFonts w:ascii="Verdana" w:cs="Verdana" w:eastAsia="Verdana" w:hAnsi="Verdana"/>
          <w:sz w:val="18"/>
          <w:szCs w:val="18"/>
          <w:color w:val="auto"/>
        </w:rPr>
        <w:t xml:space="preserve"> as components of noninterest income, include wealth management fees, payment technology solutions, and fees for customer services.</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Wealth Management Fees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Wealth management fees represent fees due from wealth management customers as consideration for managing the customers' assets. Wealth management and trust services include custody of assets, investment management, fees for trust services, and other fiduciary activities. Also included are fees received from a third-party broker-dealer as part of a revenue sharing agreement for fees earned from customers that Busey refers to the third party. Revenue is recognized when the performance obligation is completed, which is generally monthly.</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Payment Technology Solutions</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Payment technology solutions revenue represents transaction-based fees for technology-driven payment solutions primarily for walk-in, lockbox, interactive voice recognition, and online bill payments through Busey Bank’s subsidiary, FirsTech. Revenue is recognized when the performance obligation is completed, which is generally monthly.</w:t>
      </w:r>
    </w:p>
    <w:p>
      <w:pPr>
        <w:spacing w:after="0" w:line="208"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3" w:name="page114"/>
    <w:bookmarkEnd w:id="11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Fees for Customer Services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Fees for customer services consist of time-based revenue from service fees for account maintenance, item-based revenue from fee-based activity, and transaction-based fee revenue. Revenue is recognized when the performance obligation is completed, which is generally monthly for account maintenance services, or when a transaction has been completed. Payments for such performance obligations are generally received at the time the performance obligations are satisfied.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Reclassifications</w:t>
      </w:r>
    </w:p>
    <w:p>
      <w:pPr>
        <w:spacing w:after="0" w:line="18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Reclassifications have been made to certain prior year account balances, with no effect on net income or stockholders’ equity, to be consistent with the classifications adopted as of and for the year ended December 31, 2023.</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Impact of Recently Adopted Accounting Standards</w:t>
      </w:r>
    </w:p>
    <w:p>
      <w:pPr>
        <w:spacing w:after="0" w:line="133" w:lineRule="exact"/>
        <w:rPr>
          <w:sz w:val="20"/>
          <w:szCs w:val="20"/>
          <w:color w:val="auto"/>
        </w:rPr>
      </w:pPr>
    </w:p>
    <w:p>
      <w:pPr>
        <w:jc w:val="both"/>
        <w:spacing w:after="0" w:line="222" w:lineRule="exact"/>
        <w:rPr>
          <w:sz w:val="20"/>
          <w:szCs w:val="20"/>
          <w:color w:val="auto"/>
        </w:rPr>
      </w:pPr>
      <w:r>
        <w:rPr>
          <w:rFonts w:ascii="Verdana" w:cs="Verdana" w:eastAsia="Verdana" w:hAnsi="Verdana"/>
          <w:sz w:val="18"/>
          <w:szCs w:val="18"/>
          <w:color w:val="auto"/>
        </w:rPr>
        <w:t>In July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03 </w:t>
      </w:r>
      <w:r>
        <w:rPr>
          <w:rFonts w:ascii="Verdana" w:cs="Verdana" w:eastAsia="Verdana" w:hAnsi="Verdana"/>
          <w:sz w:val="18"/>
          <w:szCs w:val="18"/>
          <w:i w:val="1"/>
          <w:iCs w:val="1"/>
          <w:color w:val="auto"/>
        </w:rPr>
        <w:t>“Presentation of Financial Statements (Topic 205), Income Statement—</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Reporting Comprehensive Income (Topic 220), Distinguishing Liabilities from Equity (Topic 480), Equity (Topic 505), and Compensation—Stock Compensation (Topic 718)” </w:t>
      </w:r>
      <w:r>
        <w:rPr>
          <w:rFonts w:ascii="Verdana" w:cs="Verdana" w:eastAsia="Verdana" w:hAnsi="Verdana"/>
          <w:sz w:val="18"/>
          <w:szCs w:val="18"/>
          <w:color w:val="auto"/>
        </w:rPr>
        <w:t>pursuant to: (1) SEC Staff Accounting Bulletin No. 120, which provided</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interpretive guidance related to estimating the fair value of share-based payment transactions while in possession of material non-public information; (2) an SEC Staff Announcement at the March 24, 2022, Emerging Issues Task Force Meeting, which provided interpretive guidance on accounting for share-based payments to employees and non-employees; and (3) Staff Accounting Bulletin Topic 6.B, Accounting Series Release 280—General Revision of Regulation S-X: Income or Loss Applicable to Common Stock, which provided interpretive guidance on the reporting of income or loss applicable to common stock. This update was reflected in the Accounting Standards Codification upon issuance. Adoption of this standard did not have a material impact on Busey’s financial position or results of operations.</w:t>
      </w:r>
    </w:p>
    <w:p>
      <w:pPr>
        <w:spacing w:after="0" w:line="134" w:lineRule="exact"/>
        <w:rPr>
          <w:sz w:val="20"/>
          <w:szCs w:val="20"/>
          <w:color w:val="auto"/>
        </w:rPr>
      </w:pPr>
    </w:p>
    <w:p>
      <w:pPr>
        <w:jc w:val="both"/>
        <w:spacing w:after="0" w:line="221" w:lineRule="exact"/>
        <w:rPr>
          <w:sz w:val="20"/>
          <w:szCs w:val="20"/>
          <w:color w:val="auto"/>
        </w:rPr>
      </w:pPr>
      <w:r>
        <w:rPr>
          <w:rFonts w:ascii="Verdana" w:cs="Verdana" w:eastAsia="Verdana" w:hAnsi="Verdana"/>
          <w:sz w:val="18"/>
          <w:szCs w:val="18"/>
          <w:color w:val="auto"/>
        </w:rPr>
        <w:t>In March 2022, the FASB issued ASU 2022</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02 </w:t>
      </w:r>
      <w:r>
        <w:rPr>
          <w:rFonts w:ascii="Verdana" w:cs="Verdana" w:eastAsia="Verdana" w:hAnsi="Verdana"/>
          <w:sz w:val="18"/>
          <w:szCs w:val="18"/>
          <w:i w:val="1"/>
          <w:iCs w:val="1"/>
          <w:color w:val="auto"/>
        </w:rPr>
        <w:t>“Financial Instruments—Credit Losses (Topic 326): Troubled Debt</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Restructurings and Vintage Disclosures,” </w:t>
      </w:r>
      <w:r>
        <w:rPr>
          <w:rFonts w:ascii="Verdana" w:cs="Verdana" w:eastAsia="Verdana" w:hAnsi="Verdana"/>
          <w:sz w:val="18"/>
          <w:szCs w:val="18"/>
          <w:color w:val="auto"/>
        </w:rPr>
        <w:t>which eliminates the TDR accounting model for creditors that have already</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 xml:space="preserve">adopted CECL. In lieu of the TDR accounting model, loan refinancing and restructuring guidance in ASC Subtopic 310-20-35-9 through 35-11 </w:t>
      </w:r>
      <w:r>
        <w:rPr>
          <w:rFonts w:ascii="Verdana" w:cs="Verdana" w:eastAsia="Verdana" w:hAnsi="Verdana"/>
          <w:sz w:val="18"/>
          <w:szCs w:val="18"/>
          <w:i w:val="1"/>
          <w:iCs w:val="1"/>
          <w:color w:val="auto"/>
        </w:rPr>
        <w:t>“Receivables—Nonrefundable Fees and Other Costs—Subsequent Measurement—Loan Refinancing or</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Restructuring” </w:t>
      </w:r>
      <w:r>
        <w:rPr>
          <w:rFonts w:ascii="Verdana" w:cs="Verdana" w:eastAsia="Verdana" w:hAnsi="Verdana"/>
          <w:sz w:val="18"/>
          <w:szCs w:val="18"/>
          <w:color w:val="auto"/>
        </w:rPr>
        <w:t>will apply to all loan modifications, including those made for borrowers experiencing financial difficulty. This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standard also enhances disclosure requirements related to certain loan modifications. Additionally, this standard introduces new requirements to disclose gross write-off information in the vintage disclosures of financing receivables by credit quality indicator and class of financing receivable by year of origination. This standard applies prospectively. For the transition method related to the recognition and measurement of TDRs, there is an option to apply a modified retrospective transition method, resulting in a cumulative-effect adjustment to retained earnings in the period of adoption. This standard became effective for Busey beginning January 1, 2023. Adoption of this standard did not have a material impact on Busey’s financial position or results of operations.</w:t>
      </w:r>
    </w:p>
    <w:p>
      <w:pPr>
        <w:spacing w:after="0" w:line="21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4" w:name="page115"/>
    <w:bookmarkEnd w:id="11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51" w:lineRule="exact"/>
        <w:rPr>
          <w:sz w:val="20"/>
          <w:szCs w:val="20"/>
          <w:color w:val="auto"/>
        </w:rPr>
      </w:pPr>
    </w:p>
    <w:p>
      <w:pPr>
        <w:jc w:val="both"/>
        <w:spacing w:after="0" w:line="220" w:lineRule="exact"/>
        <w:rPr>
          <w:sz w:val="20"/>
          <w:szCs w:val="20"/>
          <w:color w:val="auto"/>
        </w:rPr>
      </w:pPr>
      <w:r>
        <w:rPr>
          <w:rFonts w:ascii="Verdana" w:cs="Verdana" w:eastAsia="Verdana" w:hAnsi="Verdana"/>
          <w:sz w:val="18"/>
          <w:szCs w:val="18"/>
          <w:color w:val="auto"/>
        </w:rPr>
        <w:t>In March 2022, the FASB issued ASU 2022</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01 </w:t>
      </w:r>
      <w:r>
        <w:rPr>
          <w:rFonts w:ascii="Verdana" w:cs="Verdana" w:eastAsia="Verdana" w:hAnsi="Verdana"/>
          <w:sz w:val="18"/>
          <w:szCs w:val="18"/>
          <w:i w:val="1"/>
          <w:iCs w:val="1"/>
          <w:color w:val="auto"/>
        </w:rPr>
        <w:t>“Derivatives and Hedging (Topic 815): Fair Value Hedging—Portfolio Layer</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Method,” </w:t>
      </w:r>
      <w:r>
        <w:rPr>
          <w:rFonts w:ascii="Verdana" w:cs="Verdana" w:eastAsia="Verdana" w:hAnsi="Verdana"/>
          <w:sz w:val="18"/>
          <w:szCs w:val="18"/>
          <w:color w:val="auto"/>
        </w:rPr>
        <w:t>which replaces the current last-of-layer hedge accounting method with an expanded portfolio layer method that</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 xml:space="preserve">permits multiple hedged layers of a single closed portfolio. The scope of the portfolio layer method is also expanded to include non-prepayable financial assets. This update also provides additional guidance on the accounting for and disclosure of hedge basis adjustments that are applicable to the portfolio layer method, and specifies how hedge basis adjustments should be considered when determining credit losses for the assets included in the closed portfolio. Amendments related to hedge basis adjustments which are included in this standard apply on a modified retrospective basis by means of a cumulative-effect adjustment to the opening balance of retained earnings on the initial application date. Amendments related to disclosure which are included in this standard may be applied on a prospective basis from the initial application date, or on a retrospective basis to each prior period presented after the date of adoption of the amendments in ASU 2017-12 </w:t>
      </w:r>
      <w:r>
        <w:rPr>
          <w:rFonts w:ascii="Verdana" w:cs="Verdana" w:eastAsia="Verdana" w:hAnsi="Verdana"/>
          <w:sz w:val="18"/>
          <w:szCs w:val="18"/>
          <w:i w:val="1"/>
          <w:iCs w:val="1"/>
          <w:color w:val="auto"/>
        </w:rPr>
        <w:t>“Derivatives and Hedging (Topic 815): Targeted Improvements to Accounting for Hedging Activities.”</w:t>
      </w:r>
      <w:r>
        <w:rPr>
          <w:rFonts w:ascii="Verdana" w:cs="Verdana" w:eastAsia="Verdana" w:hAnsi="Verdana"/>
          <w:sz w:val="18"/>
          <w:szCs w:val="18"/>
          <w:color w:val="auto"/>
        </w:rPr>
        <w:t xml:space="preserve"> This standard became effective for Busey beginning January 1, 2023. Adoption of this standard did not have a material impact on Busey’s financial position or results of operations.</w:t>
      </w:r>
    </w:p>
    <w:p>
      <w:pPr>
        <w:spacing w:after="0" w:line="128" w:lineRule="exact"/>
        <w:rPr>
          <w:sz w:val="20"/>
          <w:szCs w:val="20"/>
          <w:color w:val="auto"/>
        </w:rPr>
      </w:pPr>
    </w:p>
    <w:p>
      <w:pPr>
        <w:jc w:val="both"/>
        <w:spacing w:after="0" w:line="226" w:lineRule="exact"/>
        <w:rPr>
          <w:sz w:val="20"/>
          <w:szCs w:val="20"/>
          <w:color w:val="auto"/>
        </w:rPr>
      </w:pPr>
      <w:r>
        <w:rPr>
          <w:rFonts w:ascii="Verdana" w:cs="Verdana" w:eastAsia="Verdana" w:hAnsi="Verdana"/>
          <w:sz w:val="18"/>
          <w:szCs w:val="18"/>
          <w:color w:val="auto"/>
        </w:rPr>
        <w:t>ASU 2021</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08 </w:t>
      </w:r>
      <w:r>
        <w:rPr>
          <w:rFonts w:ascii="Verdana" w:cs="Verdana" w:eastAsia="Verdana" w:hAnsi="Verdana"/>
          <w:sz w:val="18"/>
          <w:szCs w:val="18"/>
          <w:i w:val="1"/>
          <w:iCs w:val="1"/>
          <w:color w:val="auto"/>
        </w:rPr>
        <w:t>“Business Combinations (Topic 805): Accounting for Contract Assets and Contract Liabilities from Contracts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with Customers” </w:t>
      </w:r>
      <w:r>
        <w:rPr>
          <w:rFonts w:ascii="Verdana" w:cs="Verdana" w:eastAsia="Verdana" w:hAnsi="Verdana"/>
          <w:sz w:val="18"/>
          <w:szCs w:val="18"/>
          <w:color w:val="auto"/>
        </w:rPr>
        <w:t>requires measurement and recognition in accordance with ASC Topic 606</w:t>
      </w:r>
      <w:r>
        <w:rPr>
          <w:rFonts w:ascii="Verdana" w:cs="Verdana" w:eastAsia="Verdana" w:hAnsi="Verdana"/>
          <w:sz w:val="18"/>
          <w:szCs w:val="18"/>
          <w:i w:val="1"/>
          <w:iCs w:val="1"/>
          <w:color w:val="auto"/>
        </w:rPr>
        <w:t xml:space="preserve"> “Revenue from Contracts with Customers” </w:t>
      </w:r>
      <w:r>
        <w:rPr>
          <w:rFonts w:ascii="Verdana" w:cs="Verdana" w:eastAsia="Verdana" w:hAnsi="Verdana"/>
          <w:sz w:val="18"/>
          <w:szCs w:val="18"/>
          <w:color w:val="auto"/>
        </w:rPr>
        <w:t>for contract assets and contract liabilities acquired in a business combination. This update became effective for</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Busey beginning January 1, 2023. This standard applied prospectively to all business combinations that occurred on or after the date of adoption. Adoption of this standard did not have an impact on Busey’s financial position or results of operations.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Recently Issued Accounting Standards Not Yet Adopted</w:t>
      </w:r>
    </w:p>
    <w:p>
      <w:pPr>
        <w:spacing w:after="0" w:line="146" w:lineRule="exact"/>
        <w:rPr>
          <w:sz w:val="20"/>
          <w:szCs w:val="20"/>
          <w:color w:val="auto"/>
        </w:rPr>
      </w:pPr>
    </w:p>
    <w:p>
      <w:pPr>
        <w:jc w:val="both"/>
        <w:spacing w:after="0" w:line="226" w:lineRule="exact"/>
        <w:rPr>
          <w:sz w:val="20"/>
          <w:szCs w:val="20"/>
          <w:color w:val="auto"/>
        </w:rPr>
      </w:pPr>
      <w:r>
        <w:rPr>
          <w:rFonts w:ascii="Verdana" w:cs="Verdana" w:eastAsia="Verdana" w:hAnsi="Verdana"/>
          <w:sz w:val="18"/>
          <w:szCs w:val="18"/>
          <w:color w:val="auto"/>
        </w:rPr>
        <w:t>In December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09 </w:t>
      </w:r>
      <w:r>
        <w:rPr>
          <w:rFonts w:ascii="Verdana" w:cs="Verdana" w:eastAsia="Verdana" w:hAnsi="Verdana"/>
          <w:sz w:val="18"/>
          <w:szCs w:val="18"/>
          <w:i w:val="1"/>
          <w:iCs w:val="1"/>
          <w:color w:val="auto"/>
        </w:rPr>
        <w:t>“Income Taxes (Topic 740): Improvements to Income Tax Disclosures,”</w:t>
      </w:r>
      <w:r>
        <w:rPr>
          <w:rFonts w:ascii="Verdana" w:cs="Verdana" w:eastAsia="Verdana" w:hAnsi="Verdana"/>
          <w:sz w:val="18"/>
          <w:szCs w:val="18"/>
          <w:color w:val="auto"/>
        </w:rPr>
        <w:t xml:space="preserve"> which requires more detailed disclosures of income taxes paid net of refunds received, income from continuing operations before income tax expense or benefit, and income tax expense from continuing operations. This standard is to be applied on a prospective basis, with retrospective application permitted, and will be effective for Busey for annual periods beginning on January 1, 2025. Busey does not expect adoption of this standard to have a material impact on the Company’s financial position or results of operations.</w:t>
      </w:r>
    </w:p>
    <w:p>
      <w:pPr>
        <w:spacing w:after="0" w:line="121" w:lineRule="exact"/>
        <w:rPr>
          <w:sz w:val="20"/>
          <w:szCs w:val="20"/>
          <w:color w:val="auto"/>
        </w:rPr>
      </w:pPr>
    </w:p>
    <w:p>
      <w:pPr>
        <w:jc w:val="both"/>
        <w:spacing w:after="0" w:line="227" w:lineRule="exact"/>
        <w:rPr>
          <w:sz w:val="20"/>
          <w:szCs w:val="20"/>
          <w:color w:val="auto"/>
        </w:rPr>
      </w:pPr>
      <w:r>
        <w:rPr>
          <w:rFonts w:ascii="Verdana" w:cs="Verdana" w:eastAsia="Verdana" w:hAnsi="Verdana"/>
          <w:sz w:val="18"/>
          <w:szCs w:val="18"/>
          <w:color w:val="auto"/>
        </w:rPr>
        <w:t>In November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07 </w:t>
      </w:r>
      <w:r>
        <w:rPr>
          <w:rFonts w:ascii="Verdana" w:cs="Verdana" w:eastAsia="Verdana" w:hAnsi="Verdana"/>
          <w:sz w:val="18"/>
          <w:szCs w:val="18"/>
          <w:i w:val="1"/>
          <w:iCs w:val="1"/>
          <w:color w:val="auto"/>
        </w:rPr>
        <w:t>“Segment Reporting Topic 820): Improvements to Reportable Segment</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Disclosures” </w:t>
      </w:r>
      <w:r>
        <w:rPr>
          <w:rFonts w:ascii="Verdana" w:cs="Verdana" w:eastAsia="Verdana" w:hAnsi="Verdana"/>
          <w:sz w:val="18"/>
          <w:szCs w:val="18"/>
          <w:color w:val="auto"/>
        </w:rPr>
        <w:t>requiring enhanced disclosures related to significant segment expenses. This standard is to be applied on a</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retrospective basis, and is effective for Busey beginning with its fiscal year starting on January 1, 2024, and for interim reporting periods within fiscal years starting January 1, 2025. Busey does not expect adoption of this standard to have a material impact on the Company’s financial position or results of operations.</w:t>
      </w:r>
    </w:p>
    <w:p>
      <w:pPr>
        <w:spacing w:after="0" w:line="121" w:lineRule="exact"/>
        <w:rPr>
          <w:sz w:val="20"/>
          <w:szCs w:val="20"/>
          <w:color w:val="auto"/>
        </w:rPr>
      </w:pPr>
    </w:p>
    <w:p>
      <w:pPr>
        <w:jc w:val="both"/>
        <w:spacing w:after="0" w:line="224" w:lineRule="exact"/>
        <w:rPr>
          <w:sz w:val="20"/>
          <w:szCs w:val="20"/>
          <w:color w:val="auto"/>
        </w:rPr>
      </w:pPr>
      <w:r>
        <w:rPr>
          <w:rFonts w:ascii="Verdana" w:cs="Verdana" w:eastAsia="Verdana" w:hAnsi="Verdana"/>
          <w:sz w:val="18"/>
          <w:szCs w:val="18"/>
          <w:color w:val="auto"/>
        </w:rPr>
        <w:t>In October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06 </w:t>
      </w:r>
      <w:r>
        <w:rPr>
          <w:rFonts w:ascii="Verdana" w:cs="Verdana" w:eastAsia="Verdana" w:hAnsi="Verdana"/>
          <w:sz w:val="18"/>
          <w:szCs w:val="18"/>
          <w:i w:val="1"/>
          <w:iCs w:val="1"/>
          <w:color w:val="auto"/>
        </w:rPr>
        <w:t>“Disclosure Improvements: Codification Amendments in Response to the</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SEC’s Disclosure Update and Simplification Initiative” </w:t>
      </w:r>
      <w:r>
        <w:rPr>
          <w:rFonts w:ascii="Verdana" w:cs="Verdana" w:eastAsia="Verdana" w:hAnsi="Verdana"/>
          <w:sz w:val="18"/>
          <w:szCs w:val="18"/>
          <w:color w:val="auto"/>
        </w:rPr>
        <w:t>which aligns certain GAAP disclosure requirements with the SEC’s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disclosure requirements, in order to better facilitate comparisons between entities that are subject to the SEC’s existing disclosures with entities that were not previously subject to the SEC’s requirements. Amendments in this update should be applied prospectively, and the effective date for Busey for each amendment in this accounting standards update will be the date on which the SEC removes the related disclosure from Regulation S</w:t>
      </w:r>
      <w:r>
        <w:rPr>
          <w:rFonts w:ascii="MS PGothic" w:cs="MS PGothic" w:eastAsia="MS PGothic" w:hAnsi="MS PGothic"/>
          <w:sz w:val="18"/>
          <w:szCs w:val="18"/>
          <w:color w:val="auto"/>
        </w:rPr>
        <w:t>‑</w:t>
      </w:r>
      <w:r>
        <w:rPr>
          <w:rFonts w:ascii="Verdana" w:cs="Verdana" w:eastAsia="Verdana" w:hAnsi="Verdana"/>
          <w:sz w:val="18"/>
          <w:szCs w:val="18"/>
          <w:color w:val="auto"/>
        </w:rPr>
        <w:t>X or Regulation S</w:t>
      </w:r>
      <w:r>
        <w:rPr>
          <w:rFonts w:ascii="MS PGothic" w:cs="MS PGothic" w:eastAsia="MS PGothic" w:hAnsi="MS PGothic"/>
          <w:sz w:val="18"/>
          <w:szCs w:val="18"/>
          <w:color w:val="auto"/>
        </w:rPr>
        <w:t>‑</w:t>
      </w:r>
      <w:r>
        <w:rPr>
          <w:rFonts w:ascii="Verdana" w:cs="Verdana" w:eastAsia="Verdana" w:hAnsi="Verdana"/>
          <w:sz w:val="18"/>
          <w:szCs w:val="18"/>
          <w:color w:val="auto"/>
        </w:rPr>
        <w:t>K. Early adoption is prohibited. Busey does not expect adoption of this standard to have a material impact on the Company’s financial position or results of operations.</w:t>
      </w:r>
    </w:p>
    <w:p>
      <w:pPr>
        <w:spacing w:after="0" w:line="225"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5" w:name="page116"/>
    <w:bookmarkEnd w:id="11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51" w:lineRule="exact"/>
        <w:rPr>
          <w:sz w:val="20"/>
          <w:szCs w:val="20"/>
          <w:color w:val="auto"/>
        </w:rPr>
      </w:pPr>
    </w:p>
    <w:p>
      <w:pPr>
        <w:jc w:val="both"/>
        <w:spacing w:after="0" w:line="221" w:lineRule="exact"/>
        <w:rPr>
          <w:sz w:val="20"/>
          <w:szCs w:val="20"/>
          <w:color w:val="auto"/>
        </w:rPr>
      </w:pPr>
      <w:r>
        <w:rPr>
          <w:rFonts w:ascii="Verdana" w:cs="Verdana" w:eastAsia="Verdana" w:hAnsi="Verdana"/>
          <w:sz w:val="18"/>
          <w:szCs w:val="18"/>
          <w:color w:val="auto"/>
        </w:rPr>
        <w:t>In March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02 </w:t>
      </w:r>
      <w:r>
        <w:rPr>
          <w:rFonts w:ascii="Verdana" w:cs="Verdana" w:eastAsia="Verdana" w:hAnsi="Verdana"/>
          <w:sz w:val="18"/>
          <w:szCs w:val="18"/>
          <w:i w:val="1"/>
          <w:iCs w:val="1"/>
          <w:color w:val="auto"/>
        </w:rPr>
        <w:t>“Investments—Equity Method and Joint Ventures (Topic 323),”</w:t>
      </w:r>
      <w:r>
        <w:rPr>
          <w:rFonts w:ascii="Verdana" w:cs="Verdana" w:eastAsia="Verdana" w:hAnsi="Verdana"/>
          <w:sz w:val="18"/>
          <w:szCs w:val="18"/>
          <w:color w:val="auto"/>
        </w:rPr>
        <w:t xml:space="preserve"> permitting an election to use the proportional amortization method to account for equity investments made primarily for the purpose of receiving income tax credits and other income tax benefits, regardless of the tax credit program from which the income tax credits are received, provided that certain conditions are met. The proportional amortization method results in the cost of the investment being amortized in proportion to the income tax credits and other income tax benefits received, with the amortization of the investment and the income tax credits being presented net in the income statement as a component of income tax expense. This standard must be applied on a retrospective or modified retrospective basis, and became effective for Busey beginning on January 1, 2024. Busey recorded an after-tax decrease to retained earnings of $1.4 million as of January 1, 2024, for the cumulative effect of adopting ASU 2023</w:t>
      </w:r>
      <w:r>
        <w:rPr>
          <w:rFonts w:ascii="MS PGothic" w:cs="MS PGothic" w:eastAsia="MS PGothic" w:hAnsi="MS PGothic"/>
          <w:sz w:val="18"/>
          <w:szCs w:val="18"/>
          <w:color w:val="auto"/>
        </w:rPr>
        <w:t>‑</w:t>
      </w:r>
      <w:r>
        <w:rPr>
          <w:rFonts w:ascii="Verdana" w:cs="Verdana" w:eastAsia="Verdana" w:hAnsi="Verdana"/>
          <w:sz w:val="18"/>
          <w:szCs w:val="18"/>
          <w:color w:val="auto"/>
        </w:rPr>
        <w:t>02. This transition adjustment included a $2.4 million decrease in other assets, a $0.5 million decrease in other liabilities, and a $0.5 million increase in deferred tax assets.</w:t>
      </w:r>
    </w:p>
    <w:p>
      <w:pPr>
        <w:spacing w:after="0" w:line="125" w:lineRule="exact"/>
        <w:rPr>
          <w:sz w:val="20"/>
          <w:szCs w:val="20"/>
          <w:color w:val="auto"/>
        </w:rPr>
      </w:pPr>
    </w:p>
    <w:p>
      <w:pPr>
        <w:jc w:val="both"/>
        <w:spacing w:after="0" w:line="226" w:lineRule="exact"/>
        <w:rPr>
          <w:sz w:val="20"/>
          <w:szCs w:val="20"/>
          <w:color w:val="auto"/>
        </w:rPr>
      </w:pPr>
      <w:r>
        <w:rPr>
          <w:rFonts w:ascii="Verdana" w:cs="Verdana" w:eastAsia="Verdana" w:hAnsi="Verdana"/>
          <w:sz w:val="18"/>
          <w:szCs w:val="18"/>
          <w:color w:val="auto"/>
        </w:rPr>
        <w:t>In March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01 </w:t>
      </w:r>
      <w:r>
        <w:rPr>
          <w:rFonts w:ascii="Verdana" w:cs="Verdana" w:eastAsia="Verdana" w:hAnsi="Verdana"/>
          <w:sz w:val="18"/>
          <w:szCs w:val="18"/>
          <w:i w:val="1"/>
          <w:iCs w:val="1"/>
          <w:color w:val="auto"/>
        </w:rPr>
        <w:t>“Leases (Topic 842): Common Control Arrangements,”</w:t>
      </w:r>
      <w:r>
        <w:rPr>
          <w:rFonts w:ascii="Verdana" w:cs="Verdana" w:eastAsia="Verdana" w:hAnsi="Verdana"/>
          <w:sz w:val="18"/>
          <w:szCs w:val="18"/>
          <w:color w:val="auto"/>
        </w:rPr>
        <w:t xml:space="preserve"> which requires amortization over the useful life of leasehold improvements (not the lease term) when the lease is between entities under common control, and any value of such leasehold improvements remaining at the end of the lease term is to be accounted for as a transfer between entities under common control. This standard may be adopted either prospectively, or retrospectively, and became effective for Busey beginning January 1, 2024. Busey does not expect adoption of this standard to have a material impact on the Company’s financial position or results of operations.</w:t>
      </w:r>
    </w:p>
    <w:p>
      <w:pPr>
        <w:spacing w:after="0" w:line="121" w:lineRule="exact"/>
        <w:rPr>
          <w:sz w:val="20"/>
          <w:szCs w:val="20"/>
          <w:color w:val="auto"/>
        </w:rPr>
      </w:pPr>
    </w:p>
    <w:p>
      <w:pPr>
        <w:jc w:val="both"/>
        <w:spacing w:after="0" w:line="226" w:lineRule="exact"/>
        <w:rPr>
          <w:sz w:val="20"/>
          <w:szCs w:val="20"/>
          <w:color w:val="auto"/>
        </w:rPr>
      </w:pPr>
      <w:r>
        <w:rPr>
          <w:rFonts w:ascii="Verdana" w:cs="Verdana" w:eastAsia="Verdana" w:hAnsi="Verdana"/>
          <w:sz w:val="18"/>
          <w:szCs w:val="18"/>
          <w:color w:val="auto"/>
        </w:rPr>
        <w:t>In June 2022, the FASB issued ASU 2022</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03 </w:t>
      </w:r>
      <w:r>
        <w:rPr>
          <w:rFonts w:ascii="Verdana" w:cs="Verdana" w:eastAsia="Verdana" w:hAnsi="Verdana"/>
          <w:sz w:val="18"/>
          <w:szCs w:val="18"/>
          <w:i w:val="1"/>
          <w:iCs w:val="1"/>
          <w:color w:val="auto"/>
        </w:rPr>
        <w:t>“Fair Value Measurements (Topic 820): Fair Value Measurement of Equity</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Securities Subject to Contractual Sale Restrictions,” </w:t>
      </w:r>
      <w:r>
        <w:rPr>
          <w:rFonts w:ascii="Verdana" w:cs="Verdana" w:eastAsia="Verdana" w:hAnsi="Verdana"/>
          <w:sz w:val="18"/>
          <w:szCs w:val="18"/>
          <w:color w:val="auto"/>
        </w:rPr>
        <w:t>which clarifies that contractual restrictions on the sale of equity</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securities are not considered in measuring the fair value of those equity securities, and further that contractual sale restrictions cannot be recognized and measured as a separate unit of account. This standard applies prospectively, and became effective for Busey beginning January 1, 2024. Busey does not expect adoption of this standard to have a material impact on the Company’s financial position or results of operations.</w:t>
      </w:r>
    </w:p>
    <w:p>
      <w:pPr>
        <w:spacing w:after="0" w:line="17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Subsequent Events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has evaluated subsequent events for potential recognition and/or disclosure through the date the </w:t>
      </w:r>
      <w:r>
        <w:rPr>
          <w:rFonts w:ascii="Verdana" w:cs="Verdana" w:eastAsia="Verdana" w:hAnsi="Verdana"/>
          <w:sz w:val="18"/>
          <w:szCs w:val="18"/>
          <w:u w:val="single" w:color="auto"/>
          <w:color w:val="0000FF"/>
        </w:rPr>
        <w:t>Consolidated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Financial Statements</w:t>
      </w:r>
      <w:r>
        <w:rPr>
          <w:rFonts w:ascii="Verdana" w:cs="Verdana" w:eastAsia="Verdana" w:hAnsi="Verdana"/>
          <w:sz w:val="18"/>
          <w:szCs w:val="18"/>
          <w:color w:val="0000FF"/>
        </w:rPr>
        <w:t xml:space="preserve"> </w:t>
      </w:r>
      <w:r>
        <w:rPr>
          <w:rFonts w:ascii="Verdana" w:cs="Verdana" w:eastAsia="Verdana" w:hAnsi="Verdana"/>
          <w:sz w:val="18"/>
          <w:szCs w:val="18"/>
          <w:color w:val="000000"/>
        </w:rPr>
        <w:t>included in this Annual Report on Form 10-K were issued. There were no significant subsequent</w:t>
      </w:r>
      <w:r>
        <w:rPr>
          <w:rFonts w:ascii="Verdana" w:cs="Verdana" w:eastAsia="Verdana" w:hAnsi="Verdana"/>
          <w:sz w:val="18"/>
          <w:szCs w:val="18"/>
          <w:color w:val="0000FF"/>
        </w:rPr>
        <w:t xml:space="preserve"> </w:t>
      </w:r>
      <w:r>
        <w:rPr>
          <w:rFonts w:ascii="Verdana" w:cs="Verdana" w:eastAsia="Verdana" w:hAnsi="Verdana"/>
          <w:sz w:val="18"/>
          <w:szCs w:val="18"/>
          <w:color w:val="000000"/>
        </w:rPr>
        <w:t xml:space="preserve">events for the year ended December 31, 2023, through the filing date of these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000000"/>
        </w:rPr>
        <w:t>.</w:t>
      </w:r>
    </w:p>
    <w:p>
      <w:pPr>
        <w:spacing w:after="0" w:line="2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6" w:name="page117"/>
    <w:bookmarkEnd w:id="11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2. DEBT SECURITIES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Busey's portfolio of debt securities includes both available for sale and held to maturity securities.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tables below provides the amortized cost, unrealized and unrecognized gains and losses, and fair values of debt securities, summarized by major category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5"/>
          </w:tcPr>
          <w:p>
            <w:pPr>
              <w:jc w:val="center"/>
              <w:ind w:right="380"/>
              <w:spacing w:after="0"/>
              <w:rPr>
                <w:sz w:val="20"/>
                <w:szCs w:val="20"/>
                <w:color w:val="auto"/>
              </w:rPr>
            </w:pPr>
            <w:r>
              <w:rPr>
                <w:rFonts w:ascii="Verdana" w:cs="Verdana" w:eastAsia="Verdana" w:hAnsi="Verdana"/>
                <w:sz w:val="13"/>
                <w:szCs w:val="13"/>
                <w:b w:val="1"/>
                <w:bCs w:val="1"/>
                <w:color w:val="auto"/>
                <w:w w:val="96"/>
              </w:rPr>
              <w:t>As of December 31, 2023</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restart"/>
          </w:tcPr>
          <w:p>
            <w:pPr>
              <w:jc w:val="center"/>
              <w:ind w:right="380"/>
              <w:spacing w:after="0"/>
              <w:rPr>
                <w:sz w:val="20"/>
                <w:szCs w:val="20"/>
                <w:color w:val="auto"/>
              </w:rPr>
            </w:pPr>
            <w:r>
              <w:rPr>
                <w:rFonts w:ascii="Verdana" w:cs="Verdana" w:eastAsia="Verdana" w:hAnsi="Verdana"/>
                <w:sz w:val="13"/>
                <w:szCs w:val="13"/>
                <w:b w:val="1"/>
                <w:bCs w:val="1"/>
                <w:color w:val="auto"/>
                <w:w w:val="95"/>
              </w:rPr>
              <w:t>Amortized</w:t>
            </w: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918"/>
              <w:spacing w:after="0"/>
              <w:rPr>
                <w:sz w:val="20"/>
                <w:szCs w:val="20"/>
                <w:color w:val="auto"/>
              </w:rPr>
            </w:pPr>
            <w:r>
              <w:rPr>
                <w:rFonts w:ascii="Verdana" w:cs="Verdana" w:eastAsia="Verdana" w:hAnsi="Verdana"/>
                <w:sz w:val="13"/>
                <w:szCs w:val="13"/>
                <w:b w:val="1"/>
                <w:bCs w:val="1"/>
                <w:color w:val="auto"/>
                <w:w w:val="97"/>
              </w:rPr>
              <w:t>Unrealized</w:t>
            </w: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vMerge w:val="restart"/>
          </w:tcPr>
          <w:p>
            <w:pPr>
              <w:jc w:val="center"/>
              <w:ind w:right="277"/>
              <w:spacing w:after="0"/>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Gross Gains</w:t>
            </w:r>
          </w:p>
        </w:tc>
        <w:tc>
          <w:tcPr>
            <w:tcW w:w="340" w:type="dxa"/>
            <w:vAlign w:val="bottom"/>
          </w:tcPr>
          <w:p>
            <w:pPr>
              <w:spacing w:after="0"/>
              <w:rPr>
                <w:sz w:val="2"/>
                <w:szCs w:val="2"/>
                <w:color w:val="auto"/>
              </w:rPr>
            </w:pPr>
          </w:p>
        </w:tc>
        <w:tc>
          <w:tcPr>
            <w:tcW w:w="1360" w:type="dxa"/>
            <w:vAlign w:val="bottom"/>
            <w:gridSpan w:val="2"/>
            <w:vMerge w:val="restart"/>
          </w:tcPr>
          <w:p>
            <w:pPr>
              <w:spacing w:after="0"/>
              <w:rPr>
                <w:sz w:val="20"/>
                <w:szCs w:val="20"/>
                <w:color w:val="auto"/>
              </w:rPr>
            </w:pPr>
            <w:r>
              <w:rPr>
                <w:rFonts w:ascii="Verdana" w:cs="Verdana" w:eastAsia="Verdana" w:hAnsi="Verdana"/>
                <w:sz w:val="13"/>
                <w:szCs w:val="13"/>
                <w:b w:val="1"/>
                <w:bCs w:val="1"/>
                <w:color w:val="auto"/>
              </w:rPr>
              <w:t>Gross Losses</w:t>
            </w: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9"/>
              </w:rPr>
              <w:t>Cost</w:t>
            </w:r>
          </w:p>
        </w:tc>
        <w:tc>
          <w:tcPr>
            <w:tcW w:w="2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center"/>
              <w:ind w:right="277"/>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55"/>
        </w:trPr>
        <w:tc>
          <w:tcPr>
            <w:tcW w:w="4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8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6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16,031</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4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15,946</w:t>
            </w:r>
          </w:p>
        </w:tc>
        <w:tc>
          <w:tcPr>
            <w:tcW w:w="0" w:type="dxa"/>
            <w:vAlign w:val="bottom"/>
          </w:tcPr>
          <w:p>
            <w:pPr>
              <w:spacing w:after="0"/>
              <w:rPr>
                <w:sz w:val="1"/>
                <w:szCs w:val="1"/>
                <w:color w:val="auto"/>
              </w:rPr>
            </w:pPr>
          </w:p>
        </w:tc>
      </w:tr>
      <w:tr>
        <w:trPr>
          <w:trHeight w:val="244"/>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w:t>
            </w: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and agencies</w:t>
            </w: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5,889</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3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1</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5,832</w:t>
            </w:r>
          </w:p>
        </w:tc>
        <w:tc>
          <w:tcPr>
            <w:tcW w:w="0" w:type="dxa"/>
            <w:vAlign w:val="bottom"/>
          </w:tcPr>
          <w:p>
            <w:pPr>
              <w:spacing w:after="0"/>
              <w:rPr>
                <w:sz w:val="1"/>
                <w:szCs w:val="1"/>
                <w:color w:val="auto"/>
              </w:rPr>
            </w:pPr>
          </w:p>
        </w:tc>
      </w:tr>
      <w:tr>
        <w:trPr>
          <w:trHeight w:val="270"/>
        </w:trPr>
        <w:tc>
          <w:tcPr>
            <w:tcW w:w="4560" w:type="dxa"/>
            <w:vAlign w:val="bottom"/>
          </w:tcPr>
          <w:p>
            <w:pPr>
              <w:ind w:left="180"/>
              <w:spacing w:after="0" w:line="270" w:lineRule="exact"/>
              <w:rPr>
                <w:sz w:val="20"/>
                <w:szCs w:val="20"/>
                <w:color w:val="auto"/>
              </w:rPr>
            </w:pPr>
            <w:r>
              <w:rPr>
                <w:rFonts w:ascii="Verdana" w:cs="Verdana" w:eastAsia="Verdana" w:hAnsi="Verdana"/>
                <w:sz w:val="18"/>
                <w:szCs w:val="18"/>
                <w:color w:val="auto"/>
              </w:rPr>
              <w:t>Obligations of states and political subdivisions</w:t>
            </w:r>
            <w:r>
              <w:rPr>
                <w:rFonts w:ascii="Verdana" w:cs="Verdana" w:eastAsia="Verdana" w:hAnsi="Verdana"/>
                <w:sz w:val="23"/>
                <w:szCs w:val="23"/>
                <w:color w:val="auto"/>
                <w:vertAlign w:val="superscript"/>
              </w:rPr>
              <w:t>1</w:t>
            </w: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190,819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18"/>
              <w:spacing w:after="0"/>
              <w:rPr>
                <w:sz w:val="20"/>
                <w:szCs w:val="20"/>
                <w:color w:val="auto"/>
              </w:rPr>
            </w:pPr>
            <w:r>
              <w:rPr>
                <w:rFonts w:ascii="Verdana" w:cs="Verdana" w:eastAsia="Verdana" w:hAnsi="Verdana"/>
                <w:sz w:val="18"/>
                <w:szCs w:val="18"/>
                <w:color w:val="auto"/>
              </w:rPr>
              <w:t>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(18,026)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172,845</w:t>
            </w:r>
          </w:p>
        </w:tc>
        <w:tc>
          <w:tcPr>
            <w:tcW w:w="0" w:type="dxa"/>
            <w:vAlign w:val="bottom"/>
          </w:tcPr>
          <w:p>
            <w:pPr>
              <w:spacing w:after="0"/>
              <w:rPr>
                <w:sz w:val="1"/>
                <w:szCs w:val="1"/>
                <w:color w:val="auto"/>
              </w:rPr>
            </w:pPr>
          </w:p>
        </w:tc>
      </w:tr>
      <w:tr>
        <w:trPr>
          <w:trHeight w:val="270"/>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8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470,046</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2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c>
          <w:tcPr>
            <w:tcW w:w="0" w:type="dxa"/>
            <w:vAlign w:val="bottom"/>
          </w:tcPr>
          <w:p>
            <w:pPr>
              <w:spacing w:after="0"/>
              <w:rPr>
                <w:sz w:val="1"/>
                <w:szCs w:val="1"/>
                <w:color w:val="auto"/>
              </w:rPr>
            </w:pPr>
          </w:p>
        </w:tc>
      </w:tr>
      <w:tr>
        <w:trPr>
          <w:trHeight w:val="263"/>
        </w:trPr>
        <w:tc>
          <w:tcPr>
            <w:tcW w:w="45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119,044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103,509</w:t>
            </w:r>
          </w:p>
        </w:tc>
        <w:tc>
          <w:tcPr>
            <w:tcW w:w="0" w:type="dxa"/>
            <w:vAlign w:val="bottom"/>
          </w:tcPr>
          <w:p>
            <w:pPr>
              <w:spacing w:after="0"/>
              <w:rPr>
                <w:sz w:val="1"/>
                <w:szCs w:val="1"/>
                <w:color w:val="auto"/>
              </w:rPr>
            </w:pPr>
          </w:p>
        </w:tc>
      </w:tr>
      <w:tr>
        <w:trPr>
          <w:trHeight w:val="277"/>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1,306,854</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5</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(195,547)</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c>
          <w:tcPr>
            <w:tcW w:w="0" w:type="dxa"/>
            <w:vAlign w:val="bottom"/>
          </w:tcPr>
          <w:p>
            <w:pPr>
              <w:spacing w:after="0"/>
              <w:rPr>
                <w:sz w:val="1"/>
                <w:szCs w:val="1"/>
                <w:color w:val="auto"/>
              </w:rPr>
            </w:pPr>
          </w:p>
        </w:tc>
      </w:tr>
      <w:tr>
        <w:trPr>
          <w:trHeight w:val="263"/>
        </w:trPr>
        <w:tc>
          <w:tcPr>
            <w:tcW w:w="45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225,947</w:t>
            </w:r>
          </w:p>
        </w:tc>
        <w:tc>
          <w:tcPr>
            <w:tcW w:w="10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128</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(16,171)</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209,904</w:t>
            </w:r>
          </w:p>
        </w:tc>
        <w:tc>
          <w:tcPr>
            <w:tcW w:w="0" w:type="dxa"/>
            <w:vAlign w:val="bottom"/>
          </w:tcPr>
          <w:p>
            <w:pPr>
              <w:spacing w:after="0"/>
              <w:rPr>
                <w:sz w:val="1"/>
                <w:szCs w:val="1"/>
                <w:color w:val="auto"/>
              </w:rPr>
            </w:pPr>
          </w:p>
        </w:tc>
      </w:tr>
      <w:tr>
        <w:trPr>
          <w:trHeight w:val="295"/>
        </w:trPr>
        <w:tc>
          <w:tcPr>
            <w:tcW w:w="45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debt securities available for sale</w:t>
            </w: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2,334,630</w:t>
            </w:r>
          </w:p>
        </w:tc>
        <w:tc>
          <w:tcPr>
            <w:tcW w:w="10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186</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(247,245)</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2,087,571</w:t>
            </w:r>
          </w:p>
        </w:tc>
        <w:tc>
          <w:tcPr>
            <w:tcW w:w="0" w:type="dxa"/>
            <w:vAlign w:val="bottom"/>
          </w:tcPr>
          <w:p>
            <w:pPr>
              <w:spacing w:after="0"/>
              <w:rPr>
                <w:sz w:val="1"/>
                <w:szCs w:val="1"/>
                <w:color w:val="auto"/>
              </w:rPr>
            </w:pPr>
          </w:p>
        </w:tc>
      </w:tr>
      <w:tr>
        <w:trPr>
          <w:trHeight w:val="20"/>
        </w:trPr>
        <w:tc>
          <w:tcPr>
            <w:tcW w:w="456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vMerge w:val="restart"/>
          </w:tcPr>
          <w:p>
            <w:pPr>
              <w:jc w:val="center"/>
              <w:ind w:right="380"/>
              <w:spacing w:after="0"/>
              <w:rPr>
                <w:sz w:val="20"/>
                <w:szCs w:val="20"/>
                <w:color w:val="auto"/>
              </w:rPr>
            </w:pPr>
            <w:r>
              <w:rPr>
                <w:rFonts w:ascii="Verdana" w:cs="Verdana" w:eastAsia="Verdana" w:hAnsi="Verdana"/>
                <w:sz w:val="13"/>
                <w:szCs w:val="13"/>
                <w:b w:val="1"/>
                <w:bCs w:val="1"/>
                <w:color w:val="auto"/>
                <w:w w:val="95"/>
              </w:rPr>
              <w:t>Amortized</w:t>
            </w: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center"/>
              <w:ind w:right="174"/>
              <w:spacing w:after="0"/>
              <w:rPr>
                <w:sz w:val="20"/>
                <w:szCs w:val="20"/>
                <w:color w:val="auto"/>
              </w:rPr>
            </w:pPr>
            <w:r>
              <w:rPr>
                <w:rFonts w:ascii="Verdana" w:cs="Verdana" w:eastAsia="Verdana" w:hAnsi="Verdana"/>
                <w:sz w:val="13"/>
                <w:szCs w:val="13"/>
                <w:b w:val="1"/>
                <w:bCs w:val="1"/>
                <w:color w:val="auto"/>
                <w:w w:val="96"/>
              </w:rPr>
              <w:t>Unrecognized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vMerge w:val="restart"/>
          </w:tcPr>
          <w:p>
            <w:pPr>
              <w:jc w:val="center"/>
              <w:ind w:right="277"/>
              <w:spacing w:after="0"/>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Gross Gains</w:t>
            </w:r>
          </w:p>
        </w:tc>
        <w:tc>
          <w:tcPr>
            <w:tcW w:w="340" w:type="dxa"/>
            <w:vAlign w:val="bottom"/>
          </w:tcPr>
          <w:p>
            <w:pPr>
              <w:spacing w:after="0"/>
              <w:rPr>
                <w:sz w:val="2"/>
                <w:szCs w:val="2"/>
                <w:color w:val="auto"/>
              </w:rPr>
            </w:pPr>
          </w:p>
        </w:tc>
        <w:tc>
          <w:tcPr>
            <w:tcW w:w="1360" w:type="dxa"/>
            <w:vAlign w:val="bottom"/>
            <w:gridSpan w:val="2"/>
            <w:vMerge w:val="restart"/>
          </w:tcPr>
          <w:p>
            <w:pPr>
              <w:spacing w:after="0"/>
              <w:rPr>
                <w:sz w:val="20"/>
                <w:szCs w:val="20"/>
                <w:color w:val="auto"/>
              </w:rPr>
            </w:pPr>
            <w:r>
              <w:rPr>
                <w:rFonts w:ascii="Verdana" w:cs="Verdana" w:eastAsia="Verdana" w:hAnsi="Verdana"/>
                <w:sz w:val="13"/>
                <w:szCs w:val="13"/>
                <w:b w:val="1"/>
                <w:bCs w:val="1"/>
                <w:color w:val="auto"/>
              </w:rPr>
              <w:t>Gross Losses</w:t>
            </w: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9"/>
              </w:rPr>
              <w:t>Cost</w:t>
            </w:r>
          </w:p>
        </w:tc>
        <w:tc>
          <w:tcPr>
            <w:tcW w:w="2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center"/>
              <w:ind w:right="277"/>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55"/>
        </w:trPr>
        <w:tc>
          <w:tcPr>
            <w:tcW w:w="4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8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428,526</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4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(71,000)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357,526</w:t>
            </w:r>
          </w:p>
        </w:tc>
        <w:tc>
          <w:tcPr>
            <w:tcW w:w="0" w:type="dxa"/>
            <w:vAlign w:val="bottom"/>
          </w:tcPr>
          <w:p>
            <w:pPr>
              <w:spacing w:after="0"/>
              <w:rPr>
                <w:sz w:val="1"/>
                <w:szCs w:val="1"/>
                <w:color w:val="auto"/>
              </w:rPr>
            </w:pPr>
          </w:p>
        </w:tc>
      </w:tr>
      <w:tr>
        <w:trPr>
          <w:trHeight w:val="270"/>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444,102</w:t>
            </w:r>
          </w:p>
        </w:tc>
        <w:tc>
          <w:tcPr>
            <w:tcW w:w="100" w:type="dxa"/>
            <w:vAlign w:val="bottom"/>
            <w:shd w:val="clear" w:color="auto" w:fill="E0E7ED"/>
          </w:tcPr>
          <w:p>
            <w:pPr>
              <w:spacing w:after="0"/>
              <w:rPr>
                <w:sz w:val="23"/>
                <w:szCs w:val="23"/>
                <w:color w:val="auto"/>
              </w:rPr>
            </w:pPr>
          </w:p>
        </w:tc>
        <w:tc>
          <w:tcPr>
            <w:tcW w:w="26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(71,231)</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372,871</w:t>
            </w:r>
          </w:p>
        </w:tc>
        <w:tc>
          <w:tcPr>
            <w:tcW w:w="0" w:type="dxa"/>
            <w:vAlign w:val="bottom"/>
          </w:tcPr>
          <w:p>
            <w:pPr>
              <w:spacing w:after="0"/>
              <w:rPr>
                <w:sz w:val="1"/>
                <w:szCs w:val="1"/>
                <w:color w:val="auto"/>
              </w:rPr>
            </w:pPr>
          </w:p>
        </w:tc>
      </w:tr>
      <w:tr>
        <w:trPr>
          <w:trHeight w:val="270"/>
        </w:trPr>
        <w:tc>
          <w:tcPr>
            <w:tcW w:w="4560" w:type="dxa"/>
            <w:vAlign w:val="bottom"/>
          </w:tcPr>
          <w:p>
            <w:pPr>
              <w:ind w:left="20"/>
              <w:spacing w:after="0"/>
              <w:rPr>
                <w:sz w:val="20"/>
                <w:szCs w:val="20"/>
                <w:color w:val="auto"/>
              </w:rPr>
            </w:pPr>
            <w:r>
              <w:rPr>
                <w:rFonts w:ascii="Verdana" w:cs="Verdana" w:eastAsia="Verdana" w:hAnsi="Verdana"/>
                <w:sz w:val="18"/>
                <w:szCs w:val="18"/>
                <w:color w:val="auto"/>
              </w:rPr>
              <w:t>Total debt securities held to maturity</w:t>
            </w: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872,628</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4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(142,231)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730,397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52"/>
        </w:numPr>
        <w:rPr>
          <w:rFonts w:ascii="Verdana" w:cs="Verdana" w:eastAsia="Verdana" w:hAnsi="Verdana"/>
          <w:sz w:val="13"/>
          <w:szCs w:val="13"/>
          <w:color w:val="auto"/>
        </w:rPr>
      </w:pPr>
      <w:r>
        <w:rPr>
          <w:rFonts w:ascii="Verdana" w:cs="Verdana" w:eastAsia="Verdana" w:hAnsi="Verdana"/>
          <w:sz w:val="13"/>
          <w:szCs w:val="13"/>
          <w:color w:val="auto"/>
        </w:rPr>
        <w:t>Includes securities marked at par, with no gain or loss to report.</w:t>
      </w:r>
    </w:p>
    <w:p>
      <w:pPr>
        <w:spacing w:after="0" w:line="5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7" w:name="page118"/>
    <w:bookmarkEnd w:id="11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5"/>
          </w:tcPr>
          <w:p>
            <w:pPr>
              <w:jc w:val="center"/>
              <w:ind w:right="380"/>
              <w:spacing w:after="0"/>
              <w:rPr>
                <w:sz w:val="20"/>
                <w:szCs w:val="20"/>
                <w:color w:val="auto"/>
              </w:rPr>
            </w:pPr>
            <w:r>
              <w:rPr>
                <w:rFonts w:ascii="Verdana" w:cs="Verdana" w:eastAsia="Verdana" w:hAnsi="Verdana"/>
                <w:sz w:val="13"/>
                <w:szCs w:val="13"/>
                <w:b w:val="1"/>
                <w:bCs w:val="1"/>
                <w:color w:val="auto"/>
                <w:w w:val="96"/>
              </w:rPr>
              <w:t>As of December 31, 2022</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restart"/>
          </w:tcPr>
          <w:p>
            <w:pPr>
              <w:jc w:val="center"/>
              <w:ind w:right="380"/>
              <w:spacing w:after="0"/>
              <w:rPr>
                <w:sz w:val="20"/>
                <w:szCs w:val="20"/>
                <w:color w:val="auto"/>
              </w:rPr>
            </w:pPr>
            <w:r>
              <w:rPr>
                <w:rFonts w:ascii="Verdana" w:cs="Verdana" w:eastAsia="Verdana" w:hAnsi="Verdana"/>
                <w:sz w:val="13"/>
                <w:szCs w:val="13"/>
                <w:b w:val="1"/>
                <w:bCs w:val="1"/>
                <w:color w:val="auto"/>
                <w:w w:val="95"/>
              </w:rPr>
              <w:t>Amortized</w:t>
            </w: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918"/>
              <w:spacing w:after="0"/>
              <w:rPr>
                <w:sz w:val="20"/>
                <w:szCs w:val="20"/>
                <w:color w:val="auto"/>
              </w:rPr>
            </w:pPr>
            <w:r>
              <w:rPr>
                <w:rFonts w:ascii="Verdana" w:cs="Verdana" w:eastAsia="Verdana" w:hAnsi="Verdana"/>
                <w:sz w:val="13"/>
                <w:szCs w:val="13"/>
                <w:b w:val="1"/>
                <w:bCs w:val="1"/>
                <w:color w:val="auto"/>
                <w:w w:val="97"/>
              </w:rPr>
              <w:t>Unrealized</w:t>
            </w: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vMerge w:val="restart"/>
          </w:tcPr>
          <w:p>
            <w:pPr>
              <w:jc w:val="center"/>
              <w:ind w:right="277"/>
              <w:spacing w:after="0"/>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Gross Gains</w:t>
            </w:r>
          </w:p>
        </w:tc>
        <w:tc>
          <w:tcPr>
            <w:tcW w:w="340" w:type="dxa"/>
            <w:vAlign w:val="bottom"/>
          </w:tcPr>
          <w:p>
            <w:pPr>
              <w:spacing w:after="0"/>
              <w:rPr>
                <w:sz w:val="2"/>
                <w:szCs w:val="2"/>
                <w:color w:val="auto"/>
              </w:rPr>
            </w:pPr>
          </w:p>
        </w:tc>
        <w:tc>
          <w:tcPr>
            <w:tcW w:w="1360" w:type="dxa"/>
            <w:vAlign w:val="bottom"/>
            <w:gridSpan w:val="2"/>
            <w:vMerge w:val="restart"/>
          </w:tcPr>
          <w:p>
            <w:pPr>
              <w:spacing w:after="0"/>
              <w:rPr>
                <w:sz w:val="20"/>
                <w:szCs w:val="20"/>
                <w:color w:val="auto"/>
              </w:rPr>
            </w:pPr>
            <w:r>
              <w:rPr>
                <w:rFonts w:ascii="Verdana" w:cs="Verdana" w:eastAsia="Verdana" w:hAnsi="Verdana"/>
                <w:sz w:val="13"/>
                <w:szCs w:val="13"/>
                <w:b w:val="1"/>
                <w:bCs w:val="1"/>
                <w:color w:val="auto"/>
              </w:rPr>
              <w:t>Gross Losses</w:t>
            </w: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9"/>
              </w:rPr>
              <w:t>Cost</w:t>
            </w:r>
          </w:p>
        </w:tc>
        <w:tc>
          <w:tcPr>
            <w:tcW w:w="2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center"/>
              <w:ind w:right="277"/>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55"/>
        </w:trPr>
        <w:tc>
          <w:tcPr>
            <w:tcW w:w="4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8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6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117,805</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4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(3,744)</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114,061</w:t>
            </w:r>
          </w:p>
        </w:tc>
        <w:tc>
          <w:tcPr>
            <w:tcW w:w="0" w:type="dxa"/>
            <w:vAlign w:val="bottom"/>
          </w:tcPr>
          <w:p>
            <w:pPr>
              <w:spacing w:after="0"/>
              <w:rPr>
                <w:sz w:val="1"/>
                <w:szCs w:val="1"/>
                <w:color w:val="auto"/>
              </w:rPr>
            </w:pPr>
          </w:p>
        </w:tc>
      </w:tr>
      <w:tr>
        <w:trPr>
          <w:trHeight w:val="244"/>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w:t>
            </w: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and agencies</w:t>
            </w: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20,097</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3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(321)</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19,779</w:t>
            </w:r>
          </w:p>
        </w:tc>
        <w:tc>
          <w:tcPr>
            <w:tcW w:w="0" w:type="dxa"/>
            <w:vAlign w:val="bottom"/>
          </w:tcPr>
          <w:p>
            <w:pPr>
              <w:spacing w:after="0"/>
              <w:rPr>
                <w:sz w:val="1"/>
                <w:szCs w:val="1"/>
                <w:color w:val="auto"/>
              </w:rPr>
            </w:pPr>
          </w:p>
        </w:tc>
      </w:tr>
      <w:tr>
        <w:trPr>
          <w:trHeight w:val="263"/>
        </w:trPr>
        <w:tc>
          <w:tcPr>
            <w:tcW w:w="456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283,481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Verdana" w:cs="Verdana" w:eastAsia="Verdana" w:hAnsi="Verdana"/>
                <w:sz w:val="18"/>
                <w:szCs w:val="18"/>
                <w:color w:val="auto"/>
              </w:rPr>
              <w:t>106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(26,075)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257,512</w:t>
            </w:r>
          </w:p>
        </w:tc>
        <w:tc>
          <w:tcPr>
            <w:tcW w:w="0" w:type="dxa"/>
            <w:vAlign w:val="bottom"/>
          </w:tcPr>
          <w:p>
            <w:pPr>
              <w:spacing w:after="0"/>
              <w:rPr>
                <w:sz w:val="1"/>
                <w:szCs w:val="1"/>
                <w:color w:val="auto"/>
              </w:rPr>
            </w:pPr>
          </w:p>
        </w:tc>
      </w:tr>
      <w:tr>
        <w:trPr>
          <w:trHeight w:val="277"/>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489,558</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2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(19,683)</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469,875</w:t>
            </w:r>
          </w:p>
        </w:tc>
        <w:tc>
          <w:tcPr>
            <w:tcW w:w="0" w:type="dxa"/>
            <w:vAlign w:val="bottom"/>
          </w:tcPr>
          <w:p>
            <w:pPr>
              <w:spacing w:after="0"/>
              <w:rPr>
                <w:sz w:val="1"/>
                <w:szCs w:val="1"/>
                <w:color w:val="auto"/>
              </w:rPr>
            </w:pPr>
          </w:p>
        </w:tc>
      </w:tr>
      <w:tr>
        <w:trPr>
          <w:trHeight w:val="263"/>
        </w:trPr>
        <w:tc>
          <w:tcPr>
            <w:tcW w:w="45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124,423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(16,029)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108,394</w:t>
            </w:r>
          </w:p>
        </w:tc>
        <w:tc>
          <w:tcPr>
            <w:tcW w:w="0" w:type="dxa"/>
            <w:vAlign w:val="bottom"/>
          </w:tcPr>
          <w:p>
            <w:pPr>
              <w:spacing w:after="0"/>
              <w:rPr>
                <w:sz w:val="1"/>
                <w:szCs w:val="1"/>
                <w:color w:val="auto"/>
              </w:rPr>
            </w:pPr>
          </w:p>
        </w:tc>
      </w:tr>
      <w:tr>
        <w:trPr>
          <w:trHeight w:val="277"/>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1,463,971</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(220,717)</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1,243,256</w:t>
            </w:r>
          </w:p>
        </w:tc>
        <w:tc>
          <w:tcPr>
            <w:tcW w:w="0" w:type="dxa"/>
            <w:vAlign w:val="bottom"/>
          </w:tcPr>
          <w:p>
            <w:pPr>
              <w:spacing w:after="0"/>
              <w:rPr>
                <w:sz w:val="1"/>
                <w:szCs w:val="1"/>
                <w:color w:val="auto"/>
              </w:rPr>
            </w:pPr>
          </w:p>
        </w:tc>
      </w:tr>
      <w:tr>
        <w:trPr>
          <w:trHeight w:val="263"/>
        </w:trPr>
        <w:tc>
          <w:tcPr>
            <w:tcW w:w="45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273,118</w:t>
            </w:r>
          </w:p>
        </w:tc>
        <w:tc>
          <w:tcPr>
            <w:tcW w:w="10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33</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(24,635)</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248,516</w:t>
            </w:r>
          </w:p>
        </w:tc>
        <w:tc>
          <w:tcPr>
            <w:tcW w:w="0" w:type="dxa"/>
            <w:vAlign w:val="bottom"/>
          </w:tcPr>
          <w:p>
            <w:pPr>
              <w:spacing w:after="0"/>
              <w:rPr>
                <w:sz w:val="1"/>
                <w:szCs w:val="1"/>
                <w:color w:val="auto"/>
              </w:rPr>
            </w:pPr>
          </w:p>
        </w:tc>
      </w:tr>
      <w:tr>
        <w:trPr>
          <w:trHeight w:val="295"/>
        </w:trPr>
        <w:tc>
          <w:tcPr>
            <w:tcW w:w="45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debt securities available for sale</w:t>
            </w: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2,772,453</w:t>
            </w:r>
          </w:p>
        </w:tc>
        <w:tc>
          <w:tcPr>
            <w:tcW w:w="10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144</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(311,204)</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2,461,393</w:t>
            </w:r>
          </w:p>
        </w:tc>
        <w:tc>
          <w:tcPr>
            <w:tcW w:w="0" w:type="dxa"/>
            <w:vAlign w:val="bottom"/>
          </w:tcPr>
          <w:p>
            <w:pPr>
              <w:spacing w:after="0"/>
              <w:rPr>
                <w:sz w:val="1"/>
                <w:szCs w:val="1"/>
                <w:color w:val="auto"/>
              </w:rPr>
            </w:pPr>
          </w:p>
        </w:tc>
      </w:tr>
      <w:tr>
        <w:trPr>
          <w:trHeight w:val="20"/>
        </w:trPr>
        <w:tc>
          <w:tcPr>
            <w:tcW w:w="456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vMerge w:val="restart"/>
          </w:tcPr>
          <w:p>
            <w:pPr>
              <w:jc w:val="center"/>
              <w:ind w:right="380"/>
              <w:spacing w:after="0"/>
              <w:rPr>
                <w:sz w:val="20"/>
                <w:szCs w:val="20"/>
                <w:color w:val="auto"/>
              </w:rPr>
            </w:pPr>
            <w:r>
              <w:rPr>
                <w:rFonts w:ascii="Verdana" w:cs="Verdana" w:eastAsia="Verdana" w:hAnsi="Verdana"/>
                <w:sz w:val="13"/>
                <w:szCs w:val="13"/>
                <w:b w:val="1"/>
                <w:bCs w:val="1"/>
                <w:color w:val="auto"/>
                <w:w w:val="95"/>
              </w:rPr>
              <w:t>Amortized</w:t>
            </w: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center"/>
              <w:ind w:right="174"/>
              <w:spacing w:after="0"/>
              <w:rPr>
                <w:sz w:val="20"/>
                <w:szCs w:val="20"/>
                <w:color w:val="auto"/>
              </w:rPr>
            </w:pPr>
            <w:r>
              <w:rPr>
                <w:rFonts w:ascii="Verdana" w:cs="Verdana" w:eastAsia="Verdana" w:hAnsi="Verdana"/>
                <w:sz w:val="13"/>
                <w:szCs w:val="13"/>
                <w:b w:val="1"/>
                <w:bCs w:val="1"/>
                <w:color w:val="auto"/>
                <w:w w:val="96"/>
              </w:rPr>
              <w:t>Unrecognized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vMerge w:val="restart"/>
          </w:tcPr>
          <w:p>
            <w:pPr>
              <w:jc w:val="center"/>
              <w:ind w:right="277"/>
              <w:spacing w:after="0"/>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Gross Gains</w:t>
            </w:r>
          </w:p>
        </w:tc>
        <w:tc>
          <w:tcPr>
            <w:tcW w:w="340" w:type="dxa"/>
            <w:vAlign w:val="bottom"/>
          </w:tcPr>
          <w:p>
            <w:pPr>
              <w:spacing w:after="0"/>
              <w:rPr>
                <w:sz w:val="2"/>
                <w:szCs w:val="2"/>
                <w:color w:val="auto"/>
              </w:rPr>
            </w:pPr>
          </w:p>
        </w:tc>
        <w:tc>
          <w:tcPr>
            <w:tcW w:w="1360" w:type="dxa"/>
            <w:vAlign w:val="bottom"/>
            <w:gridSpan w:val="2"/>
            <w:vMerge w:val="restart"/>
          </w:tcPr>
          <w:p>
            <w:pPr>
              <w:spacing w:after="0"/>
              <w:rPr>
                <w:sz w:val="20"/>
                <w:szCs w:val="20"/>
                <w:color w:val="auto"/>
              </w:rPr>
            </w:pPr>
            <w:r>
              <w:rPr>
                <w:rFonts w:ascii="Verdana" w:cs="Verdana" w:eastAsia="Verdana" w:hAnsi="Verdana"/>
                <w:sz w:val="13"/>
                <w:szCs w:val="13"/>
                <w:b w:val="1"/>
                <w:bCs w:val="1"/>
                <w:color w:val="auto"/>
              </w:rPr>
              <w:t>Gross Losses</w:t>
            </w: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9"/>
              </w:rPr>
              <w:t>Cost</w:t>
            </w:r>
          </w:p>
        </w:tc>
        <w:tc>
          <w:tcPr>
            <w:tcW w:w="2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center"/>
              <w:ind w:right="277"/>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55"/>
        </w:trPr>
        <w:tc>
          <w:tcPr>
            <w:tcW w:w="4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8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474,820</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4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(63,738)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411,082</w:t>
            </w:r>
          </w:p>
        </w:tc>
        <w:tc>
          <w:tcPr>
            <w:tcW w:w="0" w:type="dxa"/>
            <w:vAlign w:val="bottom"/>
          </w:tcPr>
          <w:p>
            <w:pPr>
              <w:spacing w:after="0"/>
              <w:rPr>
                <w:sz w:val="1"/>
                <w:szCs w:val="1"/>
                <w:color w:val="auto"/>
              </w:rPr>
            </w:pPr>
          </w:p>
        </w:tc>
      </w:tr>
      <w:tr>
        <w:trPr>
          <w:trHeight w:val="270"/>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443,492</w:t>
            </w:r>
          </w:p>
        </w:tc>
        <w:tc>
          <w:tcPr>
            <w:tcW w:w="100" w:type="dxa"/>
            <w:vAlign w:val="bottom"/>
            <w:shd w:val="clear" w:color="auto" w:fill="E0E7ED"/>
          </w:tcPr>
          <w:p>
            <w:pPr>
              <w:spacing w:after="0"/>
              <w:rPr>
                <w:sz w:val="23"/>
                <w:szCs w:val="23"/>
                <w:color w:val="auto"/>
              </w:rPr>
            </w:pPr>
          </w:p>
        </w:tc>
        <w:tc>
          <w:tcPr>
            <w:tcW w:w="26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(69,279)</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374,213</w:t>
            </w:r>
          </w:p>
        </w:tc>
        <w:tc>
          <w:tcPr>
            <w:tcW w:w="0" w:type="dxa"/>
            <w:vAlign w:val="bottom"/>
          </w:tcPr>
          <w:p>
            <w:pPr>
              <w:spacing w:after="0"/>
              <w:rPr>
                <w:sz w:val="1"/>
                <w:szCs w:val="1"/>
                <w:color w:val="auto"/>
              </w:rPr>
            </w:pPr>
          </w:p>
        </w:tc>
      </w:tr>
      <w:tr>
        <w:trPr>
          <w:trHeight w:val="270"/>
        </w:trPr>
        <w:tc>
          <w:tcPr>
            <w:tcW w:w="4560" w:type="dxa"/>
            <w:vAlign w:val="bottom"/>
          </w:tcPr>
          <w:p>
            <w:pPr>
              <w:ind w:left="20"/>
              <w:spacing w:after="0"/>
              <w:rPr>
                <w:sz w:val="20"/>
                <w:szCs w:val="20"/>
                <w:color w:val="auto"/>
              </w:rPr>
            </w:pPr>
            <w:r>
              <w:rPr>
                <w:rFonts w:ascii="Verdana" w:cs="Verdana" w:eastAsia="Verdana" w:hAnsi="Verdana"/>
                <w:sz w:val="18"/>
                <w:szCs w:val="18"/>
                <w:color w:val="auto"/>
              </w:rPr>
              <w:t>Total debt securities held to maturity</w:t>
            </w: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918,312</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4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(133,017)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785,295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695"/>
              <w:spacing w:after="0"/>
              <w:rPr>
                <w:sz w:val="20"/>
                <w:szCs w:val="20"/>
                <w:color w:val="auto"/>
              </w:rPr>
            </w:pPr>
            <w:r>
              <w:rPr>
                <w:rFonts w:ascii="Verdana" w:cs="Verdana" w:eastAsia="Verdana" w:hAnsi="Verdana"/>
                <w:sz w:val="13"/>
                <w:szCs w:val="13"/>
                <w:b w:val="1"/>
                <w:bCs w:val="1"/>
                <w:color w:val="auto"/>
              </w:rPr>
              <w:t>As of December 31, 2023</w:t>
            </w:r>
          </w:p>
        </w:tc>
      </w:tr>
      <w:tr>
        <w:trPr>
          <w:trHeight w:val="122"/>
        </w:trPr>
        <w:tc>
          <w:tcPr>
            <w:tcW w:w="7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2"/>
          </w:tcPr>
          <w:p>
            <w:pPr>
              <w:jc w:val="center"/>
              <w:ind w:right="380"/>
              <w:spacing w:after="0" w:line="122" w:lineRule="exact"/>
              <w:rPr>
                <w:sz w:val="20"/>
                <w:szCs w:val="20"/>
                <w:color w:val="auto"/>
              </w:rPr>
            </w:pPr>
            <w:r>
              <w:rPr>
                <w:rFonts w:ascii="Verdana" w:cs="Verdana" w:eastAsia="Verdana" w:hAnsi="Verdana"/>
                <w:sz w:val="13"/>
                <w:szCs w:val="13"/>
                <w:b w:val="1"/>
                <w:bCs w:val="1"/>
                <w:color w:val="auto"/>
                <w:w w:val="95"/>
              </w:rPr>
              <w:t>Amortized</w:t>
            </w:r>
          </w:p>
        </w:tc>
        <w:tc>
          <w:tcPr>
            <w:tcW w:w="360" w:type="dxa"/>
            <w:vAlign w:val="bottom"/>
          </w:tcPr>
          <w:p>
            <w:pPr>
              <w:spacing w:after="0"/>
              <w:rPr>
                <w:sz w:val="10"/>
                <w:szCs w:val="10"/>
                <w:color w:val="auto"/>
              </w:rPr>
            </w:pPr>
          </w:p>
        </w:tc>
        <w:tc>
          <w:tcPr>
            <w:tcW w:w="1260" w:type="dxa"/>
            <w:vAlign w:val="bottom"/>
          </w:tcPr>
          <w:p>
            <w:pPr>
              <w:jc w:val="right"/>
              <w:ind w:right="595"/>
              <w:spacing w:after="0" w:line="122" w:lineRule="exact"/>
              <w:rPr>
                <w:sz w:val="20"/>
                <w:szCs w:val="20"/>
                <w:color w:val="auto"/>
              </w:rPr>
            </w:pPr>
            <w:r>
              <w:rPr>
                <w:rFonts w:ascii="Verdana" w:cs="Verdana" w:eastAsia="Verdana" w:hAnsi="Verdana"/>
                <w:sz w:val="13"/>
                <w:szCs w:val="13"/>
                <w:b w:val="1"/>
                <w:bCs w:val="1"/>
                <w:color w:val="auto"/>
              </w:rPr>
              <w:t>Fair</w:t>
            </w:r>
          </w:p>
        </w:tc>
      </w:tr>
      <w:tr>
        <w:trPr>
          <w:trHeight w:val="170"/>
        </w:trPr>
        <w:tc>
          <w:tcPr>
            <w:tcW w:w="7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9"/>
              </w:rPr>
              <w:t>Cost</w:t>
            </w:r>
          </w:p>
        </w:tc>
        <w:tc>
          <w:tcPr>
            <w:tcW w:w="360" w:type="dxa"/>
            <w:vAlign w:val="bottom"/>
          </w:tcPr>
          <w:p>
            <w:pPr>
              <w:spacing w:after="0"/>
              <w:rPr>
                <w:sz w:val="14"/>
                <w:szCs w:val="14"/>
                <w:color w:val="auto"/>
              </w:rPr>
            </w:pPr>
          </w:p>
        </w:tc>
        <w:tc>
          <w:tcPr>
            <w:tcW w:w="1260" w:type="dxa"/>
            <w:vAlign w:val="bottom"/>
          </w:tcPr>
          <w:p>
            <w:pPr>
              <w:jc w:val="right"/>
              <w:ind w:right="535"/>
              <w:spacing w:after="0"/>
              <w:rPr>
                <w:sz w:val="20"/>
                <w:szCs w:val="20"/>
                <w:color w:val="auto"/>
              </w:rPr>
            </w:pPr>
            <w:r>
              <w:rPr>
                <w:rFonts w:ascii="Verdana" w:cs="Verdana" w:eastAsia="Verdana" w:hAnsi="Verdana"/>
                <w:sz w:val="13"/>
                <w:szCs w:val="13"/>
                <w:b w:val="1"/>
                <w:bCs w:val="1"/>
                <w:color w:val="auto"/>
              </w:rPr>
              <w:t>Value</w:t>
            </w:r>
          </w:p>
        </w:tc>
      </w:tr>
      <w:tr>
        <w:trPr>
          <w:trHeight w:val="255"/>
        </w:trPr>
        <w:tc>
          <w:tcPr>
            <w:tcW w:w="79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30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Due in one year or less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71,960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71,429</w:t>
            </w: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one year through five years</w:t>
            </w:r>
          </w:p>
        </w:tc>
        <w:tc>
          <w:tcPr>
            <w:tcW w:w="3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244,231</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230,299</w:t>
            </w: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Due after five years through ten years</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418,655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388,864</w:t>
            </w:r>
          </w:p>
        </w:tc>
      </w:tr>
      <w:tr>
        <w:trPr>
          <w:trHeight w:val="270"/>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ten years</w:t>
            </w:r>
          </w:p>
        </w:tc>
        <w:tc>
          <w:tcPr>
            <w:tcW w:w="3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1,599,784</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1,396,979</w:t>
            </w:r>
          </w:p>
        </w:tc>
      </w:tr>
      <w:tr>
        <w:trPr>
          <w:trHeight w:val="270"/>
        </w:trPr>
        <w:tc>
          <w:tcPr>
            <w:tcW w:w="7900" w:type="dxa"/>
            <w:vAlign w:val="bottom"/>
          </w:tcPr>
          <w:p>
            <w:pPr>
              <w:ind w:left="20"/>
              <w:spacing w:after="0"/>
              <w:rPr>
                <w:sz w:val="20"/>
                <w:szCs w:val="20"/>
                <w:color w:val="auto"/>
              </w:rPr>
            </w:pPr>
            <w:r>
              <w:rPr>
                <w:rFonts w:ascii="Verdana" w:cs="Verdana" w:eastAsia="Verdana" w:hAnsi="Verdana"/>
                <w:sz w:val="18"/>
                <w:szCs w:val="18"/>
                <w:color w:val="auto"/>
              </w:rPr>
              <w:t>Debt securities available for sale</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2,334,630</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2,087,571</w:t>
            </w:r>
          </w:p>
        </w:tc>
      </w:tr>
      <w:tr>
        <w:trPr>
          <w:trHeight w:val="20"/>
        </w:trPr>
        <w:tc>
          <w:tcPr>
            <w:tcW w:w="79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r>
      <w:tr>
        <w:trPr>
          <w:trHeight w:val="263"/>
        </w:trPr>
        <w:tc>
          <w:tcPr>
            <w:tcW w:w="7900" w:type="dxa"/>
            <w:vAlign w:val="bottom"/>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one year through five years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73,943</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69,373</w:t>
            </w: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Due after five years through ten years</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28,489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25,824</w:t>
            </w:r>
          </w:p>
        </w:tc>
      </w:tr>
      <w:tr>
        <w:trPr>
          <w:trHeight w:val="270"/>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ten years</w:t>
            </w:r>
          </w:p>
        </w:tc>
        <w:tc>
          <w:tcPr>
            <w:tcW w:w="3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770,196</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635,200</w:t>
            </w:r>
          </w:p>
        </w:tc>
      </w:tr>
      <w:tr>
        <w:trPr>
          <w:trHeight w:val="270"/>
        </w:trPr>
        <w:tc>
          <w:tcPr>
            <w:tcW w:w="7900" w:type="dxa"/>
            <w:vAlign w:val="bottom"/>
          </w:tcPr>
          <w:p>
            <w:pPr>
              <w:ind w:left="20"/>
              <w:spacing w:after="0"/>
              <w:rPr>
                <w:sz w:val="20"/>
                <w:szCs w:val="20"/>
                <w:color w:val="auto"/>
              </w:rPr>
            </w:pPr>
            <w:r>
              <w:rPr>
                <w:rFonts w:ascii="Verdana" w:cs="Verdana" w:eastAsia="Verdana" w:hAnsi="Verdana"/>
                <w:sz w:val="18"/>
                <w:szCs w:val="18"/>
                <w:color w:val="auto"/>
              </w:rPr>
              <w:t>Debt securities held to maturity</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872,628</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730,397</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8" w:name="page119"/>
    <w:bookmarkEnd w:id="11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ind w:right="20"/>
        <w:spacing w:after="0" w:line="254" w:lineRule="auto"/>
        <w:rPr>
          <w:sz w:val="20"/>
          <w:szCs w:val="20"/>
          <w:color w:val="auto"/>
        </w:rPr>
      </w:pPr>
      <w:r>
        <w:rPr>
          <w:rFonts w:ascii="Verdana" w:cs="Verdana" w:eastAsia="Verdana" w:hAnsi="Verdana"/>
          <w:sz w:val="18"/>
          <w:szCs w:val="18"/>
          <w:color w:val="auto"/>
        </w:rPr>
        <w:t xml:space="preserve">Realized gains and losses related to sales and calls of debt securities available for sale are summarized as follows </w:t>
      </w:r>
      <w:r>
        <w:rPr>
          <w:rFonts w:ascii="Verdana" w:cs="Verdana" w:eastAsia="Verdana" w:hAnsi="Verdana"/>
          <w:sz w:val="18"/>
          <w:szCs w:val="18"/>
          <w:i w:val="1"/>
          <w:iCs w:val="1"/>
          <w:color w:val="auto"/>
        </w:rPr>
        <w:t>(dollars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1"/>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Realized gains and losses on debt securities</w:t>
            </w:r>
          </w:p>
        </w:tc>
        <w:tc>
          <w:tcPr>
            <w:tcW w:w="3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Gross gains on debt securities</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21"/>
              <w:spacing w:after="0"/>
              <w:rPr>
                <w:sz w:val="20"/>
                <w:szCs w:val="20"/>
                <w:color w:val="auto"/>
              </w:rPr>
            </w:pPr>
            <w:r>
              <w:rPr>
                <w:rFonts w:ascii="Verdana" w:cs="Verdana" w:eastAsia="Verdana" w:hAnsi="Verdana"/>
                <w:sz w:val="18"/>
                <w:szCs w:val="18"/>
                <w:color w:val="auto"/>
              </w:rPr>
              <w:t>20</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115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543</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Gross (losses) on debt securities</w:t>
            </w: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(5,523)</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(89)</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(514)</w:t>
            </w:r>
          </w:p>
        </w:tc>
      </w:tr>
      <w:tr>
        <w:trPr>
          <w:trHeight w:val="270"/>
        </w:trPr>
        <w:tc>
          <w:tcPr>
            <w:tcW w:w="6240" w:type="dxa"/>
            <w:vAlign w:val="bottom"/>
          </w:tcPr>
          <w:p>
            <w:pPr>
              <w:ind w:left="20"/>
              <w:spacing w:after="0" w:line="270" w:lineRule="exact"/>
              <w:rPr>
                <w:sz w:val="20"/>
                <w:szCs w:val="20"/>
                <w:color w:val="auto"/>
              </w:rPr>
            </w:pPr>
            <w:r>
              <w:rPr>
                <w:rFonts w:ascii="Verdana" w:cs="Verdana" w:eastAsia="Verdana" w:hAnsi="Verdana"/>
                <w:sz w:val="18"/>
                <w:szCs w:val="18"/>
                <w:color w:val="auto"/>
              </w:rPr>
              <w:t>Realized net gains (losses) on debt securities</w:t>
            </w:r>
            <w:r>
              <w:rPr>
                <w:rFonts w:ascii="Verdana" w:cs="Verdana" w:eastAsia="Verdana" w:hAnsi="Verdana"/>
                <w:sz w:val="23"/>
                <w:szCs w:val="23"/>
                <w:color w:val="auto"/>
                <w:vertAlign w:val="superscript"/>
              </w:rPr>
              <w:t>1</w:t>
            </w:r>
          </w:p>
        </w:tc>
        <w:tc>
          <w:tcPr>
            <w:tcW w:w="36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(5,503)</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26</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w:t>
            </w:r>
          </w:p>
        </w:tc>
      </w:tr>
      <w:tr>
        <w:trPr>
          <w:trHeight w:val="21"/>
        </w:trPr>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53"/>
        </w:numPr>
        <w:rPr>
          <w:rFonts w:ascii="Verdana" w:cs="Verdana" w:eastAsia="Verdana" w:hAnsi="Verdana"/>
          <w:sz w:val="13"/>
          <w:szCs w:val="13"/>
          <w:color w:val="auto"/>
        </w:rPr>
      </w:pPr>
      <w:r>
        <w:rPr>
          <w:rFonts w:ascii="Verdana" w:cs="Verdana" w:eastAsia="Verdana" w:hAnsi="Verdana"/>
          <w:sz w:val="13"/>
          <w:szCs w:val="13"/>
          <w:color w:val="auto"/>
        </w:rPr>
        <w:t xml:space="preserve">Net gains (losses) on sales of securities reported on the </w:t>
      </w:r>
      <w:r>
        <w:rPr>
          <w:rFonts w:ascii="Verdana" w:cs="Verdana" w:eastAsia="Verdana" w:hAnsi="Verdana"/>
          <w:sz w:val="13"/>
          <w:szCs w:val="13"/>
          <w:u w:val="single" w:color="auto"/>
          <w:color w:val="0000FF"/>
        </w:rPr>
        <w:t>Consolidated Statements of Income</w:t>
      </w:r>
      <w:r>
        <w:rPr>
          <w:rFonts w:ascii="Verdana" w:cs="Verdana" w:eastAsia="Verdana" w:hAnsi="Verdana"/>
          <w:sz w:val="13"/>
          <w:szCs w:val="13"/>
          <w:color w:val="auto"/>
        </w:rPr>
        <w:t xml:space="preserve"> include the sale of equity securities, excluded in this table.</w:t>
      </w:r>
    </w:p>
    <w:p>
      <w:pPr>
        <w:spacing w:after="0" w:line="16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Debt securities with carrying amounts of $837.4 million on December 31, 2023, and $746.7 million on December 31, 2022, were pledged as collateral for public deposits, securities sold under agreements to repurchase, and for other purposes as required.</w:t>
      </w:r>
    </w:p>
    <w:p>
      <w:pPr>
        <w:spacing w:after="0" w:line="22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9" w:name="page120"/>
    <w:bookmarkEnd w:id="11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 xml:space="preserve">The following information pertains to debt securities with gross unrealized or unrecognized losses, aggregated by investment category and the length of time that individual securities have been in a continuous loss position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220"/>
              <w:spacing w:after="0"/>
              <w:rPr>
                <w:sz w:val="20"/>
                <w:szCs w:val="20"/>
                <w:color w:val="auto"/>
              </w:rPr>
            </w:pPr>
            <w:r>
              <w:rPr>
                <w:rFonts w:ascii="Verdana" w:cs="Verdana" w:eastAsia="Verdana" w:hAnsi="Verdana"/>
                <w:sz w:val="13"/>
                <w:szCs w:val="13"/>
                <w:b w:val="1"/>
                <w:bCs w:val="1"/>
                <w:color w:val="auto"/>
              </w:rPr>
              <w:t>As of December 31, 2023</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00"/>
              <w:spacing w:after="0"/>
              <w:rPr>
                <w:sz w:val="20"/>
                <w:szCs w:val="20"/>
                <w:color w:val="auto"/>
              </w:rPr>
            </w:pPr>
            <w:r>
              <w:rPr>
                <w:rFonts w:ascii="Verdana" w:cs="Verdana" w:eastAsia="Verdana" w:hAnsi="Verdana"/>
                <w:sz w:val="13"/>
                <w:szCs w:val="13"/>
                <w:b w:val="1"/>
                <w:bCs w:val="1"/>
                <w:color w:val="auto"/>
              </w:rPr>
              <w:t>Less than 12 months</w:t>
            </w:r>
          </w:p>
        </w:tc>
        <w:tc>
          <w:tcPr>
            <w:tcW w:w="160" w:type="dxa"/>
            <w:vAlign w:val="bottom"/>
          </w:tcPr>
          <w:p>
            <w:pPr>
              <w:spacing w:after="0"/>
              <w:rPr>
                <w:sz w:val="14"/>
                <w:szCs w:val="14"/>
                <w:color w:val="auto"/>
              </w:rPr>
            </w:pPr>
          </w:p>
        </w:tc>
        <w:tc>
          <w:tcPr>
            <w:tcW w:w="2380" w:type="dxa"/>
            <w:vAlign w:val="bottom"/>
            <w:gridSpan w:val="5"/>
          </w:tcPr>
          <w:p>
            <w:pPr>
              <w:ind w:left="400"/>
              <w:spacing w:after="0"/>
              <w:rPr>
                <w:sz w:val="20"/>
                <w:szCs w:val="20"/>
                <w:color w:val="auto"/>
              </w:rPr>
            </w:pPr>
            <w:r>
              <w:rPr>
                <w:rFonts w:ascii="Verdana" w:cs="Verdana" w:eastAsia="Verdana" w:hAnsi="Verdana"/>
                <w:sz w:val="13"/>
                <w:szCs w:val="13"/>
                <w:b w:val="1"/>
                <w:bCs w:val="1"/>
                <w:color w:val="auto"/>
              </w:rPr>
              <w:t>12 months or more</w:t>
            </w:r>
          </w:p>
        </w:tc>
        <w:tc>
          <w:tcPr>
            <w:tcW w:w="1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7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20"/>
              <w:spacing w:after="0" w:line="120" w:lineRule="exact"/>
              <w:rPr>
                <w:sz w:val="20"/>
                <w:szCs w:val="20"/>
                <w:color w:val="auto"/>
              </w:rPr>
            </w:pPr>
            <w:r>
              <w:rPr>
                <w:rFonts w:ascii="Verdana" w:cs="Verdana" w:eastAsia="Verdana" w:hAnsi="Verdana"/>
                <w:sz w:val="13"/>
                <w:szCs w:val="13"/>
                <w:b w:val="1"/>
                <w:bCs w:val="1"/>
                <w:color w:val="auto"/>
              </w:rPr>
              <w:t>Unrealized</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76"/>
              <w:spacing w:after="0" w:line="120" w:lineRule="exact"/>
              <w:rPr>
                <w:sz w:val="20"/>
                <w:szCs w:val="20"/>
                <w:color w:val="auto"/>
              </w:rPr>
            </w:pPr>
            <w:r>
              <w:rPr>
                <w:rFonts w:ascii="Verdana" w:cs="Verdana" w:eastAsia="Verdana" w:hAnsi="Verdana"/>
                <w:sz w:val="13"/>
                <w:szCs w:val="13"/>
                <w:b w:val="1"/>
                <w:bCs w:val="1"/>
                <w:color w:val="auto"/>
                <w:w w:val="94"/>
              </w:rPr>
              <w:t>Unrealized</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96"/>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0" w:type="dxa"/>
            <w:vAlign w:val="bottom"/>
          </w:tcPr>
          <w:p>
            <w:pPr>
              <w:spacing w:after="0"/>
              <w:rPr>
                <w:sz w:val="1"/>
                <w:szCs w:val="1"/>
                <w:color w:val="auto"/>
              </w:rPr>
            </w:pPr>
          </w:p>
        </w:tc>
      </w:tr>
      <w:tr>
        <w:trPr>
          <w:trHeight w:val="170"/>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Value</w:t>
            </w:r>
          </w:p>
        </w:tc>
        <w:tc>
          <w:tcPr>
            <w:tcW w:w="18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Verdana" w:cs="Verdana" w:eastAsia="Verdana" w:hAnsi="Verdana"/>
                <w:sz w:val="13"/>
                <w:szCs w:val="13"/>
                <w:b w:val="1"/>
                <w:bCs w:val="1"/>
                <w:color w:val="auto"/>
              </w:rPr>
              <w:t>Losses</w:t>
            </w: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3"/>
              </w:rPr>
              <w:t>Losses</w:t>
            </w: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1020" w:type="dxa"/>
            <w:vAlign w:val="bottom"/>
          </w:tcPr>
          <w:p>
            <w:pPr>
              <w:jc w:val="center"/>
              <w:ind w:right="96"/>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37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6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6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98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60" w:type="dxa"/>
            <w:vAlign w:val="bottom"/>
            <w:gridSpan w:val="2"/>
          </w:tcPr>
          <w:p>
            <w:pPr>
              <w:ind w:left="720"/>
              <w:spacing w:after="0"/>
              <w:rPr>
                <w:sz w:val="20"/>
                <w:szCs w:val="20"/>
                <w:color w:val="auto"/>
              </w:rPr>
            </w:pPr>
            <w:r>
              <w:rPr>
                <w:rFonts w:ascii="Verdana" w:cs="Verdana" w:eastAsia="Verdana" w:hAnsi="Verdana"/>
                <w:sz w:val="18"/>
                <w:szCs w:val="18"/>
                <w:color w:val="auto"/>
              </w:rPr>
              <w:t>—</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21"/>
              <w:spacing w:after="0"/>
              <w:rPr>
                <w:sz w:val="20"/>
                <w:szCs w:val="20"/>
                <w:color w:val="auto"/>
              </w:rPr>
            </w:pPr>
            <w:r>
              <w:rPr>
                <w:rFonts w:ascii="Verdana" w:cs="Verdana" w:eastAsia="Verdana" w:hAnsi="Verdana"/>
                <w:sz w:val="18"/>
                <w:szCs w:val="18"/>
                <w:color w:val="auto"/>
              </w:rPr>
              <w:t>15,946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20"/>
              <w:spacing w:after="0"/>
              <w:rPr>
                <w:sz w:val="20"/>
                <w:szCs w:val="20"/>
                <w:color w:val="auto"/>
              </w:rPr>
            </w:pPr>
            <w:r>
              <w:rPr>
                <w:rFonts w:ascii="Verdana" w:cs="Verdana" w:eastAsia="Verdana" w:hAnsi="Verdana"/>
                <w:sz w:val="18"/>
                <w:szCs w:val="18"/>
                <w:color w:val="auto"/>
              </w:rPr>
              <w:t>15,946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0" w:type="dxa"/>
            <w:vAlign w:val="bottom"/>
          </w:tcPr>
          <w:p>
            <w:pPr>
              <w:spacing w:after="0"/>
              <w:rPr>
                <w:sz w:val="1"/>
                <w:szCs w:val="1"/>
                <w:color w:val="auto"/>
              </w:rPr>
            </w:pPr>
          </w:p>
        </w:tc>
      </w:tr>
      <w:tr>
        <w:trPr>
          <w:trHeight w:val="244"/>
        </w:trPr>
        <w:tc>
          <w:tcPr>
            <w:tcW w:w="37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w:t>
            </w:r>
          </w:p>
        </w:tc>
        <w:tc>
          <w:tcPr>
            <w:tcW w:w="26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7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corporations and agencies</w:t>
            </w:r>
          </w:p>
        </w:tc>
        <w:tc>
          <w:tcPr>
            <w:tcW w:w="260" w:type="dxa"/>
            <w:vAlign w:val="bottom"/>
            <w:shd w:val="clear" w:color="auto" w:fill="E0E7ED"/>
          </w:tcPr>
          <w:p>
            <w:pPr>
              <w:spacing w:after="0"/>
              <w:rPr>
                <w:sz w:val="21"/>
                <w:szCs w:val="21"/>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80" w:type="dxa"/>
            <w:vAlign w:val="bottom"/>
            <w:shd w:val="clear" w:color="auto" w:fill="E0E7ED"/>
          </w:tcPr>
          <w:p>
            <w:pPr>
              <w:spacing w:after="0"/>
              <w:rPr>
                <w:sz w:val="21"/>
                <w:szCs w:val="21"/>
                <w:color w:val="auto"/>
              </w:rPr>
            </w:pPr>
          </w:p>
        </w:tc>
        <w:tc>
          <w:tcPr>
            <w:tcW w:w="1060" w:type="dxa"/>
            <w:vAlign w:val="bottom"/>
            <w:gridSpan w:val="2"/>
            <w:shd w:val="clear" w:color="auto" w:fill="E0E7ED"/>
          </w:tcPr>
          <w:p>
            <w:pPr>
              <w:ind w:left="72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1"/>
                <w:szCs w:val="21"/>
                <w:color w:val="auto"/>
              </w:rPr>
            </w:pPr>
          </w:p>
        </w:tc>
        <w:tc>
          <w:tcPr>
            <w:tcW w:w="10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5,709</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5,709</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0" w:type="dxa"/>
            <w:vAlign w:val="bottom"/>
          </w:tcPr>
          <w:p>
            <w:pPr>
              <w:spacing w:after="0"/>
              <w:rPr>
                <w:sz w:val="1"/>
                <w:szCs w:val="1"/>
                <w:color w:val="auto"/>
              </w:rPr>
            </w:pPr>
          </w:p>
        </w:tc>
      </w:tr>
      <w:tr>
        <w:trPr>
          <w:trHeight w:val="238"/>
        </w:trPr>
        <w:tc>
          <w:tcPr>
            <w:tcW w:w="376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60" w:type="dxa"/>
            <w:vAlign w:val="bottom"/>
          </w:tcPr>
          <w:p>
            <w:pPr>
              <w:ind w:left="180"/>
              <w:spacing w:after="0"/>
              <w:rPr>
                <w:sz w:val="20"/>
                <w:szCs w:val="20"/>
                <w:color w:val="auto"/>
              </w:rPr>
            </w:pPr>
            <w:r>
              <w:rPr>
                <w:rFonts w:ascii="Verdana" w:cs="Verdana" w:eastAsia="Verdana" w:hAnsi="Verdana"/>
                <w:sz w:val="18"/>
                <w:szCs w:val="18"/>
                <w:color w:val="auto"/>
              </w:rPr>
              <w:t>subdivisions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Verdana" w:cs="Verdana" w:eastAsia="Verdana" w:hAnsi="Verdana"/>
                <w:sz w:val="18"/>
                <w:szCs w:val="18"/>
                <w:color w:val="auto"/>
              </w:rPr>
              <w:t>11,442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Verdana" w:cs="Verdana" w:eastAsia="Verdana" w:hAnsi="Verdana"/>
                <w:sz w:val="18"/>
                <w:szCs w:val="18"/>
                <w:color w:val="auto"/>
              </w:rPr>
              <w:t>146,797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(17,972)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Verdana" w:cs="Verdana" w:eastAsia="Verdana" w:hAnsi="Verdana"/>
                <w:sz w:val="18"/>
                <w:szCs w:val="18"/>
                <w:color w:val="auto"/>
              </w:rPr>
              <w:t>158,239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(18,026)</w:t>
            </w:r>
          </w:p>
        </w:tc>
        <w:tc>
          <w:tcPr>
            <w:tcW w:w="0" w:type="dxa"/>
            <w:vAlign w:val="bottom"/>
          </w:tcPr>
          <w:p>
            <w:pPr>
              <w:spacing w:after="0"/>
              <w:rPr>
                <w:sz w:val="1"/>
                <w:szCs w:val="1"/>
                <w:color w:val="auto"/>
              </w:rPr>
            </w:pPr>
          </w:p>
        </w:tc>
      </w:tr>
      <w:tr>
        <w:trPr>
          <w:trHeight w:val="277"/>
        </w:trPr>
        <w:tc>
          <w:tcPr>
            <w:tcW w:w="37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60" w:type="dxa"/>
            <w:vAlign w:val="bottom"/>
            <w:shd w:val="clear" w:color="auto" w:fill="E0E7ED"/>
          </w:tcPr>
          <w:p>
            <w:pPr>
              <w:spacing w:after="0"/>
              <w:rPr>
                <w:sz w:val="24"/>
                <w:szCs w:val="24"/>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80" w:type="dxa"/>
            <w:vAlign w:val="bottom"/>
            <w:shd w:val="clear" w:color="auto" w:fill="E0E7ED"/>
          </w:tcPr>
          <w:p>
            <w:pPr>
              <w:spacing w:after="0"/>
              <w:rPr>
                <w:sz w:val="24"/>
                <w:szCs w:val="24"/>
                <w:color w:val="auto"/>
              </w:rPr>
            </w:pPr>
          </w:p>
        </w:tc>
        <w:tc>
          <w:tcPr>
            <w:tcW w:w="1060" w:type="dxa"/>
            <w:vAlign w:val="bottom"/>
            <w:gridSpan w:val="2"/>
            <w:shd w:val="clear" w:color="auto" w:fill="E0E7ED"/>
          </w:tcPr>
          <w:p>
            <w:pPr>
              <w:ind w:left="72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468,223</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468,223</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0" w:type="dxa"/>
            <w:vAlign w:val="bottom"/>
          </w:tcPr>
          <w:p>
            <w:pPr>
              <w:spacing w:after="0"/>
              <w:rPr>
                <w:sz w:val="1"/>
                <w:szCs w:val="1"/>
                <w:color w:val="auto"/>
              </w:rPr>
            </w:pPr>
          </w:p>
        </w:tc>
      </w:tr>
      <w:tr>
        <w:trPr>
          <w:trHeight w:val="238"/>
        </w:trPr>
        <w:tc>
          <w:tcPr>
            <w:tcW w:w="3760" w:type="dxa"/>
            <w:vAlign w:val="bottom"/>
          </w:tcPr>
          <w:p>
            <w:pPr>
              <w:ind w:left="180"/>
              <w:spacing w:after="0"/>
              <w:rPr>
                <w:sz w:val="20"/>
                <w:szCs w:val="20"/>
                <w:color w:val="auto"/>
              </w:rPr>
            </w:pPr>
            <w:r>
              <w:rPr>
                <w:rFonts w:ascii="Verdana" w:cs="Verdana" w:eastAsia="Verdana" w:hAnsi="Verdana"/>
                <w:sz w:val="18"/>
                <w:szCs w:val="18"/>
                <w:color w:val="auto"/>
              </w:rPr>
              <w:t>Commercial mortgage-backed</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60" w:type="dxa"/>
            <w:vAlign w:val="bottom"/>
          </w:tcPr>
          <w:p>
            <w:pPr>
              <w:ind w:left="180"/>
              <w:spacing w:after="0"/>
              <w:rPr>
                <w:sz w:val="20"/>
                <w:szCs w:val="20"/>
                <w:color w:val="auto"/>
              </w:rPr>
            </w:pPr>
            <w:r>
              <w:rPr>
                <w:rFonts w:ascii="Verdana" w:cs="Verdana" w:eastAsia="Verdana" w:hAnsi="Verdana"/>
                <w:sz w:val="18"/>
                <w:szCs w:val="18"/>
                <w:color w:val="auto"/>
              </w:rPr>
              <w:t>securities</w:t>
            </w:r>
          </w:p>
        </w:tc>
        <w:tc>
          <w:tcPr>
            <w:tcW w:w="2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Verdana" w:cs="Verdana" w:eastAsia="Verdana" w:hAnsi="Verdana"/>
                <w:sz w:val="18"/>
                <w:szCs w:val="18"/>
                <w:color w:val="auto"/>
              </w:rPr>
              <w:t>103,509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Verdana" w:cs="Verdana" w:eastAsia="Verdana" w:hAnsi="Verdana"/>
                <w:sz w:val="18"/>
                <w:szCs w:val="18"/>
                <w:color w:val="auto"/>
              </w:rPr>
              <w:t>103,509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0" w:type="dxa"/>
            <w:vAlign w:val="bottom"/>
          </w:tcPr>
          <w:p>
            <w:pPr>
              <w:spacing w:after="0"/>
              <w:rPr>
                <w:sz w:val="1"/>
                <w:szCs w:val="1"/>
                <w:color w:val="auto"/>
              </w:rPr>
            </w:pPr>
          </w:p>
        </w:tc>
      </w:tr>
      <w:tr>
        <w:trPr>
          <w:trHeight w:val="277"/>
        </w:trPr>
        <w:tc>
          <w:tcPr>
            <w:tcW w:w="37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w w:val="99"/>
              </w:rPr>
              <w:t>Residential mortgage-backed securities</w:t>
            </w:r>
          </w:p>
        </w:tc>
        <w:tc>
          <w:tcPr>
            <w:tcW w:w="260" w:type="dxa"/>
            <w:vAlign w:val="bottom"/>
            <w:shd w:val="clear" w:color="auto" w:fill="E0E7ED"/>
          </w:tcPr>
          <w:p>
            <w:pPr>
              <w:spacing w:after="0"/>
              <w:rPr>
                <w:sz w:val="24"/>
                <w:szCs w:val="24"/>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141</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w w:val="98"/>
              </w:rPr>
              <w:t>1,110,906</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(195,546)</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w w:val="98"/>
              </w:rPr>
              <w:t>1,111,047</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(195,547)</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1,450</w:t>
            </w:r>
          </w:p>
        </w:tc>
        <w:tc>
          <w:tcPr>
            <w:tcW w:w="8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198,694</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(16,161)</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200,144</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(16,171)</w:t>
            </w:r>
          </w:p>
        </w:tc>
        <w:tc>
          <w:tcPr>
            <w:tcW w:w="0" w:type="dxa"/>
            <w:vAlign w:val="bottom"/>
          </w:tcPr>
          <w:p>
            <w:pPr>
              <w:spacing w:after="0"/>
              <w:rPr>
                <w:sz w:val="1"/>
                <w:szCs w:val="1"/>
                <w:color w:val="auto"/>
              </w:rPr>
            </w:pPr>
          </w:p>
        </w:tc>
      </w:tr>
      <w:tr>
        <w:trPr>
          <w:trHeight w:val="224"/>
        </w:trPr>
        <w:tc>
          <w:tcPr>
            <w:tcW w:w="37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 with</w:t>
            </w:r>
          </w:p>
        </w:tc>
        <w:tc>
          <w:tcPr>
            <w:tcW w:w="260" w:type="dxa"/>
            <w:vAlign w:val="bottom"/>
            <w:vMerge w:val="restart"/>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9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13,033</w:t>
            </w:r>
          </w:p>
        </w:tc>
        <w:tc>
          <w:tcPr>
            <w:tcW w:w="80" w:type="dxa"/>
            <w:vAlign w:val="bottom"/>
            <w:shd w:val="clear" w:color="auto" w:fill="E0E7ED"/>
          </w:tcPr>
          <w:p>
            <w:pPr>
              <w:spacing w:after="0"/>
              <w:rPr>
                <w:sz w:val="19"/>
                <w:szCs w:val="19"/>
                <w:color w:val="auto"/>
              </w:rPr>
            </w:pPr>
          </w:p>
        </w:tc>
        <w:tc>
          <w:tcPr>
            <w:tcW w:w="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(65)</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vMerge w:val="restart"/>
            <w:shd w:val="clear" w:color="auto" w:fill="E0E7ED"/>
          </w:tcPr>
          <w:p>
            <w:pPr>
              <w:jc w:val="right"/>
              <w:ind w:right="21"/>
              <w:spacing w:after="0"/>
              <w:rPr>
                <w:sz w:val="20"/>
                <w:szCs w:val="20"/>
                <w:color w:val="auto"/>
              </w:rPr>
            </w:pPr>
            <w:r>
              <w:rPr>
                <w:rFonts w:ascii="Verdana" w:cs="Verdana" w:eastAsia="Verdana" w:hAnsi="Verdana"/>
                <w:sz w:val="18"/>
                <w:szCs w:val="18"/>
                <w:color w:val="auto"/>
                <w:w w:val="98"/>
              </w:rPr>
              <w:t>2,049,784</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(247,180)</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vMerge w:val="restart"/>
            <w:shd w:val="clear" w:color="auto" w:fill="E0E7ED"/>
          </w:tcPr>
          <w:p>
            <w:pPr>
              <w:jc w:val="right"/>
              <w:ind w:right="20"/>
              <w:spacing w:after="0"/>
              <w:rPr>
                <w:sz w:val="20"/>
                <w:szCs w:val="20"/>
                <w:color w:val="auto"/>
              </w:rPr>
            </w:pPr>
            <w:r>
              <w:rPr>
                <w:rFonts w:ascii="Verdana" w:cs="Verdana" w:eastAsia="Verdana" w:hAnsi="Verdana"/>
                <w:sz w:val="18"/>
                <w:szCs w:val="18"/>
                <w:color w:val="auto"/>
                <w:w w:val="98"/>
              </w:rPr>
              <w:t>2,062,817</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(247,245)</w:t>
            </w:r>
          </w:p>
        </w:tc>
        <w:tc>
          <w:tcPr>
            <w:tcW w:w="0" w:type="dxa"/>
            <w:vAlign w:val="bottom"/>
          </w:tcPr>
          <w:p>
            <w:pPr>
              <w:spacing w:after="0"/>
              <w:rPr>
                <w:sz w:val="1"/>
                <w:szCs w:val="1"/>
                <w:color w:val="auto"/>
              </w:rPr>
            </w:pPr>
          </w:p>
        </w:tc>
      </w:tr>
      <w:tr>
        <w:trPr>
          <w:trHeight w:val="241"/>
        </w:trPr>
        <w:tc>
          <w:tcPr>
            <w:tcW w:w="37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gross unrealized losses</w:t>
            </w:r>
          </w:p>
        </w:tc>
        <w:tc>
          <w:tcPr>
            <w:tcW w:w="260" w:type="dxa"/>
            <w:vAlign w:val="bottom"/>
            <w:tcBorders>
              <w:bottom w:val="single" w:sz="8" w:color="auto"/>
            </w:tcBorders>
            <w:vMerge w:val="continue"/>
            <w:shd w:val="clear" w:color="auto" w:fill="E0E7ED"/>
          </w:tcPr>
          <w:p>
            <w:pPr>
              <w:spacing w:after="0"/>
              <w:rPr>
                <w:sz w:val="20"/>
                <w:szCs w:val="20"/>
                <w:color w:val="auto"/>
              </w:rPr>
            </w:pPr>
          </w:p>
        </w:tc>
        <w:tc>
          <w:tcPr>
            <w:tcW w:w="9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80" w:type="dxa"/>
            <w:vAlign w:val="bottom"/>
            <w:tcBorders>
              <w:bottom w:val="single" w:sz="8" w:color="auto"/>
            </w:tcBorders>
            <w:vMerge w:val="continue"/>
            <w:shd w:val="clear" w:color="auto" w:fill="E0E7ED"/>
          </w:tcPr>
          <w:p>
            <w:pPr>
              <w:spacing w:after="0"/>
              <w:rPr>
                <w:sz w:val="20"/>
                <w:szCs w:val="20"/>
                <w:color w:val="auto"/>
              </w:rPr>
            </w:pPr>
          </w:p>
        </w:tc>
        <w:tc>
          <w:tcPr>
            <w:tcW w:w="98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10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102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10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10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400"/>
              <w:spacing w:after="0"/>
              <w:rPr>
                <w:sz w:val="20"/>
                <w:szCs w:val="20"/>
                <w:color w:val="auto"/>
              </w:rPr>
            </w:pPr>
            <w:r>
              <w:rPr>
                <w:rFonts w:ascii="Verdana" w:cs="Verdana" w:eastAsia="Verdana" w:hAnsi="Verdana"/>
                <w:sz w:val="13"/>
                <w:szCs w:val="13"/>
                <w:b w:val="1"/>
                <w:bCs w:val="1"/>
                <w:color w:val="auto"/>
              </w:rPr>
              <w:t>12 months or more</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260" w:type="dxa"/>
            <w:vAlign w:val="bottom"/>
            <w:gridSpan w:val="3"/>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8"/>
              </w:rPr>
              <w:t>Unrecognized</w:t>
            </w:r>
          </w:p>
        </w:tc>
        <w:tc>
          <w:tcPr>
            <w:tcW w:w="16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18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0" w:type="dxa"/>
            <w:vAlign w:val="bottom"/>
          </w:tcPr>
          <w:p>
            <w:pPr>
              <w:spacing w:after="0"/>
              <w:rPr>
                <w:sz w:val="1"/>
                <w:szCs w:val="1"/>
                <w:color w:val="auto"/>
              </w:rPr>
            </w:pPr>
          </w:p>
        </w:tc>
      </w:tr>
      <w:tr>
        <w:trPr>
          <w:trHeight w:val="170"/>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3"/>
              </w:rPr>
              <w:t>Losses</w:t>
            </w: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1020" w:type="dxa"/>
            <w:vAlign w:val="bottom"/>
          </w:tcPr>
          <w:p>
            <w:pPr>
              <w:jc w:val="center"/>
              <w:ind w:right="96"/>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37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60" w:type="dxa"/>
            <w:vAlign w:val="bottom"/>
            <w:tcBorders>
              <w:top w:val="single" w:sz="8" w:color="E0E7ED"/>
            </w:tcBorders>
            <w:shd w:val="clear" w:color="auto" w:fill="E0E7ED"/>
          </w:tcPr>
          <w:p>
            <w:pPr>
              <w:spacing w:after="0"/>
              <w:rPr>
                <w:sz w:val="22"/>
                <w:szCs w:val="22"/>
                <w:color w:val="auto"/>
              </w:rPr>
            </w:pPr>
          </w:p>
        </w:tc>
        <w:tc>
          <w:tcPr>
            <w:tcW w:w="90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E0E7ED"/>
            </w:tcBorders>
            <w:shd w:val="clear" w:color="auto" w:fill="E0E7ED"/>
          </w:tcPr>
          <w:p>
            <w:pPr>
              <w:spacing w:after="0"/>
              <w:rPr>
                <w:sz w:val="22"/>
                <w:szCs w:val="22"/>
                <w:color w:val="auto"/>
              </w:rPr>
            </w:pPr>
          </w:p>
        </w:tc>
        <w:tc>
          <w:tcPr>
            <w:tcW w:w="9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21"/>
              <w:spacing w:after="0"/>
              <w:rPr>
                <w:sz w:val="20"/>
                <w:szCs w:val="20"/>
                <w:color w:val="auto"/>
              </w:rPr>
            </w:pPr>
            <w:r>
              <w:rPr>
                <w:rFonts w:ascii="Verdana" w:cs="Verdana" w:eastAsia="Verdana" w:hAnsi="Verdana"/>
                <w:sz w:val="18"/>
                <w:szCs w:val="18"/>
                <w:color w:val="auto"/>
              </w:rPr>
              <w:t>357,526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tcPr>
          <w:p>
            <w:pPr>
              <w:jc w:val="right"/>
              <w:spacing w:after="0"/>
              <w:rPr>
                <w:sz w:val="20"/>
                <w:szCs w:val="20"/>
                <w:color w:val="auto"/>
              </w:rPr>
            </w:pPr>
            <w:r>
              <w:rPr>
                <w:rFonts w:ascii="Verdana" w:cs="Verdana" w:eastAsia="Verdana" w:hAnsi="Verdana"/>
                <w:sz w:val="18"/>
                <w:szCs w:val="18"/>
                <w:color w:val="auto"/>
              </w:rPr>
              <w:t>(71,000)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20"/>
              <w:spacing w:after="0"/>
              <w:rPr>
                <w:sz w:val="20"/>
                <w:szCs w:val="20"/>
                <w:color w:val="auto"/>
              </w:rPr>
            </w:pPr>
            <w:r>
              <w:rPr>
                <w:rFonts w:ascii="Verdana" w:cs="Verdana" w:eastAsia="Verdana" w:hAnsi="Verdana"/>
                <w:sz w:val="18"/>
                <w:szCs w:val="18"/>
                <w:color w:val="auto"/>
              </w:rPr>
              <w:t>357,526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tcPr>
          <w:p>
            <w:pPr>
              <w:jc w:val="right"/>
              <w:spacing w:after="0"/>
              <w:rPr>
                <w:sz w:val="20"/>
                <w:szCs w:val="20"/>
                <w:color w:val="auto"/>
              </w:rPr>
            </w:pPr>
            <w:r>
              <w:rPr>
                <w:rFonts w:ascii="Verdana" w:cs="Verdana" w:eastAsia="Verdana" w:hAnsi="Verdana"/>
                <w:sz w:val="18"/>
                <w:szCs w:val="18"/>
                <w:color w:val="auto"/>
              </w:rPr>
              <w:t>(71,000)</w:t>
            </w:r>
          </w:p>
        </w:tc>
        <w:tc>
          <w:tcPr>
            <w:tcW w:w="0" w:type="dxa"/>
            <w:vAlign w:val="bottom"/>
          </w:tcPr>
          <w:p>
            <w:pPr>
              <w:spacing w:after="0"/>
              <w:rPr>
                <w:sz w:val="1"/>
                <w:szCs w:val="1"/>
                <w:color w:val="auto"/>
              </w:rPr>
            </w:pPr>
          </w:p>
        </w:tc>
      </w:tr>
      <w:tr>
        <w:trPr>
          <w:trHeight w:val="270"/>
        </w:trPr>
        <w:tc>
          <w:tcPr>
            <w:tcW w:w="37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w w:val="99"/>
              </w:rPr>
              <w:t>Residential mortgage-backed securities</w:t>
            </w:r>
          </w:p>
        </w:tc>
        <w:tc>
          <w:tcPr>
            <w:tcW w:w="260" w:type="dxa"/>
            <w:vAlign w:val="bottom"/>
            <w:shd w:val="clear" w:color="auto" w:fill="E0E7ED"/>
          </w:tcPr>
          <w:p>
            <w:pPr>
              <w:spacing w:after="0"/>
              <w:rPr>
                <w:sz w:val="23"/>
                <w:szCs w:val="23"/>
                <w:color w:val="auto"/>
              </w:rPr>
            </w:pPr>
          </w:p>
        </w:tc>
        <w:tc>
          <w:tcPr>
            <w:tcW w:w="90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9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372,871</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(71,231)</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jc w:val="right"/>
              <w:ind w:right="20"/>
              <w:spacing w:after="0"/>
              <w:rPr>
                <w:sz w:val="20"/>
                <w:szCs w:val="20"/>
                <w:color w:val="auto"/>
              </w:rPr>
            </w:pPr>
            <w:r>
              <w:rPr>
                <w:rFonts w:ascii="Verdana" w:cs="Verdana" w:eastAsia="Verdana" w:hAnsi="Verdana"/>
                <w:sz w:val="18"/>
                <w:szCs w:val="18"/>
                <w:color w:val="auto"/>
              </w:rPr>
              <w:t>372,871</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(71,231)</w:t>
            </w:r>
          </w:p>
        </w:tc>
        <w:tc>
          <w:tcPr>
            <w:tcW w:w="0" w:type="dxa"/>
            <w:vAlign w:val="bottom"/>
          </w:tcPr>
          <w:p>
            <w:pPr>
              <w:spacing w:after="0"/>
              <w:rPr>
                <w:sz w:val="1"/>
                <w:szCs w:val="1"/>
                <w:color w:val="auto"/>
              </w:rPr>
            </w:pPr>
          </w:p>
        </w:tc>
      </w:tr>
      <w:tr>
        <w:trPr>
          <w:trHeight w:val="270"/>
        </w:trPr>
        <w:tc>
          <w:tcPr>
            <w:tcW w:w="6240" w:type="dxa"/>
            <w:vAlign w:val="bottom"/>
            <w:gridSpan w:val="7"/>
          </w:tcPr>
          <w:p>
            <w:pPr>
              <w:ind w:left="20"/>
              <w:spacing w:after="0"/>
              <w:rPr>
                <w:sz w:val="20"/>
                <w:szCs w:val="20"/>
                <w:color w:val="auto"/>
              </w:rPr>
            </w:pPr>
            <w:r>
              <w:rPr>
                <w:rFonts w:ascii="Verdana" w:cs="Verdana" w:eastAsia="Verdana" w:hAnsi="Verdana"/>
                <w:sz w:val="18"/>
                <w:szCs w:val="18"/>
                <w:color w:val="auto"/>
              </w:rPr>
              <w:t>Debt securities held to maturity with gross unrecognized losses</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730,397</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(142,231)</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730,397</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(142,231)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0" w:name="page121"/>
    <w:bookmarkEnd w:id="12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center"/>
              <w:ind w:right="200"/>
              <w:spacing w:after="0"/>
              <w:rPr>
                <w:sz w:val="20"/>
                <w:szCs w:val="20"/>
                <w:color w:val="auto"/>
              </w:rPr>
            </w:pPr>
            <w:r>
              <w:rPr>
                <w:rFonts w:ascii="Verdana" w:cs="Verdana" w:eastAsia="Verdana" w:hAnsi="Verdana"/>
                <w:sz w:val="13"/>
                <w:szCs w:val="13"/>
                <w:b w:val="1"/>
                <w:bCs w:val="1"/>
                <w:color w:val="auto"/>
                <w:w w:val="96"/>
              </w:rPr>
              <w:t>As of December 31, 2022</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8"/>
          </w:tcPr>
          <w:p>
            <w:pPr>
              <w:ind w:left="220"/>
              <w:spacing w:after="0"/>
              <w:rPr>
                <w:sz w:val="20"/>
                <w:szCs w:val="20"/>
                <w:color w:val="auto"/>
              </w:rPr>
            </w:pPr>
            <w:r>
              <w:rPr>
                <w:rFonts w:ascii="Verdana" w:cs="Verdana" w:eastAsia="Verdana" w:hAnsi="Verdana"/>
                <w:sz w:val="13"/>
                <w:szCs w:val="13"/>
                <w:b w:val="1"/>
                <w:bCs w:val="1"/>
                <w:color w:val="auto"/>
              </w:rPr>
              <w:t>Less than 12 months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6"/>
          </w:tcPr>
          <w:p>
            <w:pPr>
              <w:jc w:val="center"/>
              <w:ind w:right="220"/>
              <w:spacing w:after="0"/>
              <w:rPr>
                <w:sz w:val="20"/>
                <w:szCs w:val="20"/>
                <w:color w:val="auto"/>
              </w:rPr>
            </w:pPr>
            <w:r>
              <w:rPr>
                <w:rFonts w:ascii="Verdana" w:cs="Verdana" w:eastAsia="Verdana" w:hAnsi="Verdana"/>
                <w:sz w:val="13"/>
                <w:szCs w:val="13"/>
                <w:b w:val="1"/>
                <w:bCs w:val="1"/>
                <w:color w:val="auto"/>
                <w:w w:val="97"/>
              </w:rPr>
              <w:t>12 months or more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7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ind w:left="200"/>
              <w:spacing w:after="0" w:line="120" w:lineRule="exact"/>
              <w:rPr>
                <w:sz w:val="20"/>
                <w:szCs w:val="20"/>
                <w:color w:val="auto"/>
              </w:rPr>
            </w:pPr>
            <w:r>
              <w:rPr>
                <w:rFonts w:ascii="Verdana" w:cs="Verdana" w:eastAsia="Verdana" w:hAnsi="Verdana"/>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6"/>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96"/>
              <w:spacing w:after="0" w:line="120" w:lineRule="exact"/>
              <w:rPr>
                <w:sz w:val="20"/>
                <w:szCs w:val="20"/>
                <w:color w:val="auto"/>
              </w:rPr>
            </w:pPr>
            <w:r>
              <w:rPr>
                <w:rFonts w:ascii="Verdana" w:cs="Verdana" w:eastAsia="Verdana" w:hAnsi="Verdana"/>
                <w:sz w:val="13"/>
                <w:szCs w:val="13"/>
                <w:b w:val="1"/>
                <w:bCs w:val="1"/>
                <w:color w:val="auto"/>
                <w:w w:val="94"/>
              </w:rPr>
              <w:t>Unrealized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116"/>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0" w:type="dxa"/>
            <w:vAlign w:val="bottom"/>
          </w:tcPr>
          <w:p>
            <w:pPr>
              <w:spacing w:after="0"/>
              <w:rPr>
                <w:sz w:val="1"/>
                <w:szCs w:val="1"/>
                <w:color w:val="auto"/>
              </w:rPr>
            </w:pPr>
          </w:p>
        </w:tc>
      </w:tr>
      <w:tr>
        <w:trPr>
          <w:trHeight w:val="170"/>
        </w:trPr>
        <w:tc>
          <w:tcPr>
            <w:tcW w:w="3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ind w:left="140"/>
              <w:spacing w:after="0"/>
              <w:rPr>
                <w:sz w:val="20"/>
                <w:szCs w:val="20"/>
                <w:color w:val="auto"/>
              </w:rPr>
            </w:pPr>
            <w:r>
              <w:rPr>
                <w:rFonts w:ascii="Verdana" w:cs="Verdana" w:eastAsia="Verdana" w:hAnsi="Verdana"/>
                <w:sz w:val="13"/>
                <w:szCs w:val="13"/>
                <w:b w:val="1"/>
                <w:bCs w:val="1"/>
                <w:color w:val="auto"/>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7"/>
              </w:rPr>
              <w:t>Value</w:t>
            </w:r>
          </w:p>
        </w:tc>
        <w:tc>
          <w:tcPr>
            <w:tcW w:w="18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Verdana" w:cs="Verdana" w:eastAsia="Verdana" w:hAnsi="Verdana"/>
                <w:sz w:val="13"/>
                <w:szCs w:val="13"/>
                <w:b w:val="1"/>
                <w:bCs w:val="1"/>
                <w:color w:val="auto"/>
                <w:w w:val="93"/>
              </w:rPr>
              <w:t>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7"/>
              </w:rPr>
              <w:t>Value</w:t>
            </w:r>
          </w:p>
        </w:tc>
        <w:tc>
          <w:tcPr>
            <w:tcW w:w="180" w:type="dxa"/>
            <w:vAlign w:val="bottom"/>
          </w:tcPr>
          <w:p>
            <w:pPr>
              <w:spacing w:after="0"/>
              <w:rPr>
                <w:sz w:val="14"/>
                <w:szCs w:val="14"/>
                <w:color w:val="auto"/>
              </w:rPr>
            </w:pPr>
          </w:p>
        </w:tc>
        <w:tc>
          <w:tcPr>
            <w:tcW w:w="1000" w:type="dxa"/>
            <w:vAlign w:val="bottom"/>
          </w:tcPr>
          <w:p>
            <w:pPr>
              <w:jc w:val="center"/>
              <w:ind w:right="116"/>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37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40" w:type="dxa"/>
            <w:vAlign w:val="bottom"/>
            <w:tcBorders>
              <w:top w:val="single" w:sz="8" w:color="auto"/>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6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12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6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20" w:type="dxa"/>
            <w:vAlign w:val="bottom"/>
          </w:tcPr>
          <w:p>
            <w:pPr>
              <w:ind w:left="180"/>
              <w:spacing w:after="0"/>
              <w:rPr>
                <w:sz w:val="20"/>
                <w:szCs w:val="20"/>
                <w:color w:val="auto"/>
              </w:rPr>
            </w:pPr>
            <w:r>
              <w:rPr>
                <w:rFonts w:ascii="Verdana" w:cs="Verdana" w:eastAsia="Verdana" w:hAnsi="Verdana"/>
                <w:sz w:val="18"/>
                <w:szCs w:val="18"/>
                <w:color w:val="auto"/>
              </w:rPr>
              <w:t>U.S. Treasury securities</w:t>
            </w:r>
            <w:r>
              <w:rPr>
                <w:rFonts w:ascii="Verdana" w:cs="Verdana" w:eastAsia="Verdana" w:hAnsi="Verdana"/>
                <w:sz w:val="11"/>
                <w:szCs w:val="11"/>
                <w:color w:val="auto"/>
              </w:rPr>
              <w:t>1</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74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1080" w:type="dxa"/>
            <w:vAlign w:val="bottom"/>
            <w:gridSpan w:val="3"/>
          </w:tcPr>
          <w:p>
            <w:pPr>
              <w:ind w:left="740"/>
              <w:spacing w:after="0"/>
              <w:rPr>
                <w:sz w:val="20"/>
                <w:szCs w:val="20"/>
                <w:color w:val="auto"/>
              </w:rPr>
            </w:pPr>
            <w:r>
              <w:rPr>
                <w:rFonts w:ascii="Verdana" w:cs="Verdana" w:eastAsia="Verdana" w:hAnsi="Verdana"/>
                <w:sz w:val="18"/>
                <w:szCs w:val="18"/>
                <w:color w:val="auto"/>
              </w:rPr>
              <w:t>—</w:t>
            </w:r>
          </w:p>
        </w:tc>
        <w:tc>
          <w:tcPr>
            <w:tcW w:w="16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21"/>
              <w:spacing w:after="0"/>
              <w:rPr>
                <w:sz w:val="20"/>
                <w:szCs w:val="20"/>
                <w:color w:val="auto"/>
              </w:rPr>
            </w:pPr>
            <w:r>
              <w:rPr>
                <w:rFonts w:ascii="Verdana" w:cs="Verdana" w:eastAsia="Verdana" w:hAnsi="Verdana"/>
                <w:sz w:val="18"/>
                <w:szCs w:val="18"/>
                <w:color w:val="auto"/>
              </w:rPr>
              <w:t>113,987</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tcPr>
          <w:p>
            <w:pPr>
              <w:jc w:val="right"/>
              <w:spacing w:after="0"/>
              <w:rPr>
                <w:sz w:val="20"/>
                <w:szCs w:val="20"/>
                <w:color w:val="auto"/>
              </w:rPr>
            </w:pPr>
            <w:r>
              <w:rPr>
                <w:rFonts w:ascii="Verdana" w:cs="Verdana" w:eastAsia="Verdana" w:hAnsi="Verdana"/>
                <w:sz w:val="18"/>
                <w:szCs w:val="18"/>
                <w:color w:val="auto"/>
              </w:rPr>
              <w:t>(3,744)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20"/>
              <w:spacing w:after="0"/>
              <w:rPr>
                <w:sz w:val="20"/>
                <w:szCs w:val="20"/>
                <w:color w:val="auto"/>
              </w:rPr>
            </w:pPr>
            <w:r>
              <w:rPr>
                <w:rFonts w:ascii="Verdana" w:cs="Verdana" w:eastAsia="Verdana" w:hAnsi="Verdana"/>
                <w:sz w:val="18"/>
                <w:szCs w:val="18"/>
                <w:color w:val="auto"/>
              </w:rPr>
              <w:t>114,061</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tcPr>
          <w:p>
            <w:pPr>
              <w:jc w:val="right"/>
              <w:spacing w:after="0"/>
              <w:rPr>
                <w:sz w:val="20"/>
                <w:szCs w:val="20"/>
                <w:color w:val="auto"/>
              </w:rPr>
            </w:pPr>
            <w:r>
              <w:rPr>
                <w:rFonts w:ascii="Verdana" w:cs="Verdana" w:eastAsia="Verdana" w:hAnsi="Verdana"/>
                <w:sz w:val="18"/>
                <w:szCs w:val="18"/>
                <w:color w:val="auto"/>
              </w:rPr>
              <w:t>(3,744)</w:t>
            </w:r>
          </w:p>
        </w:tc>
        <w:tc>
          <w:tcPr>
            <w:tcW w:w="0" w:type="dxa"/>
            <w:vAlign w:val="bottom"/>
          </w:tcPr>
          <w:p>
            <w:pPr>
              <w:spacing w:after="0"/>
              <w:rPr>
                <w:sz w:val="1"/>
                <w:szCs w:val="1"/>
                <w:color w:val="auto"/>
              </w:rPr>
            </w:pPr>
          </w:p>
        </w:tc>
      </w:tr>
      <w:tr>
        <w:trPr>
          <w:trHeight w:val="244"/>
        </w:trPr>
        <w:tc>
          <w:tcPr>
            <w:tcW w:w="3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w:t>
            </w:r>
          </w:p>
        </w:tc>
        <w:tc>
          <w:tcPr>
            <w:tcW w:w="4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6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0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00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6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0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corporations and agencies</w:t>
            </w:r>
          </w:p>
        </w:tc>
        <w:tc>
          <w:tcPr>
            <w:tcW w:w="4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19,603</w:t>
            </w:r>
          </w:p>
        </w:tc>
        <w:tc>
          <w:tcPr>
            <w:tcW w:w="20" w:type="dxa"/>
            <w:vAlign w:val="bottom"/>
            <w:shd w:val="clear" w:color="auto" w:fill="E0E7ED"/>
          </w:tcPr>
          <w:p>
            <w:pPr>
              <w:spacing w:after="0"/>
              <w:rPr>
                <w:sz w:val="21"/>
                <w:szCs w:val="21"/>
                <w:color w:val="auto"/>
              </w:rPr>
            </w:pPr>
          </w:p>
        </w:tc>
        <w:tc>
          <w:tcPr>
            <w:tcW w:w="6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(321)</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20" w:type="dxa"/>
            <w:vAlign w:val="bottom"/>
            <w:shd w:val="clear" w:color="auto" w:fill="E0E7ED"/>
          </w:tcPr>
          <w:p>
            <w:pPr>
              <w:spacing w:after="0"/>
              <w:rPr>
                <w:sz w:val="21"/>
                <w:szCs w:val="21"/>
                <w:color w:val="auto"/>
              </w:rPr>
            </w:pPr>
          </w:p>
        </w:tc>
        <w:tc>
          <w:tcPr>
            <w:tcW w:w="11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80" w:type="dxa"/>
            <w:vAlign w:val="bottom"/>
            <w:shd w:val="clear" w:color="auto" w:fill="E0E7ED"/>
          </w:tcPr>
          <w:p>
            <w:pPr>
              <w:spacing w:after="0"/>
              <w:rPr>
                <w:sz w:val="21"/>
                <w:szCs w:val="21"/>
                <w:color w:val="auto"/>
              </w:rPr>
            </w:pPr>
          </w:p>
        </w:tc>
        <w:tc>
          <w:tcPr>
            <w:tcW w:w="1080" w:type="dxa"/>
            <w:vAlign w:val="bottom"/>
            <w:gridSpan w:val="3"/>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2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0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19,603</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(321)</w:t>
            </w:r>
          </w:p>
        </w:tc>
        <w:tc>
          <w:tcPr>
            <w:tcW w:w="0" w:type="dxa"/>
            <w:vAlign w:val="bottom"/>
          </w:tcPr>
          <w:p>
            <w:pPr>
              <w:spacing w:after="0"/>
              <w:rPr>
                <w:sz w:val="1"/>
                <w:szCs w:val="1"/>
                <w:color w:val="auto"/>
              </w:rPr>
            </w:pPr>
          </w:p>
        </w:tc>
      </w:tr>
      <w:tr>
        <w:trPr>
          <w:trHeight w:val="238"/>
        </w:trPr>
        <w:tc>
          <w:tcPr>
            <w:tcW w:w="372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20" w:type="dxa"/>
            <w:vAlign w:val="bottom"/>
          </w:tcPr>
          <w:p>
            <w:pPr>
              <w:ind w:left="180"/>
              <w:spacing w:after="0"/>
              <w:rPr>
                <w:sz w:val="20"/>
                <w:szCs w:val="20"/>
                <w:color w:val="auto"/>
              </w:rPr>
            </w:pPr>
            <w:r>
              <w:rPr>
                <w:rFonts w:ascii="Verdana" w:cs="Verdana" w:eastAsia="Verdana" w:hAnsi="Verdana"/>
                <w:sz w:val="18"/>
                <w:szCs w:val="18"/>
                <w:color w:val="auto"/>
              </w:rPr>
              <w:t>subdivisions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166,147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(10,059)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Verdana" w:cs="Verdana" w:eastAsia="Verdana" w:hAnsi="Verdana"/>
                <w:sz w:val="18"/>
                <w:szCs w:val="18"/>
                <w:color w:val="auto"/>
              </w:rPr>
              <w:t>75,217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(16,016)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Verdana" w:cs="Verdana" w:eastAsia="Verdana" w:hAnsi="Verdana"/>
                <w:sz w:val="18"/>
                <w:szCs w:val="18"/>
                <w:color w:val="auto"/>
              </w:rPr>
              <w:t>241,364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(26,075)</w:t>
            </w:r>
          </w:p>
        </w:tc>
        <w:tc>
          <w:tcPr>
            <w:tcW w:w="0" w:type="dxa"/>
            <w:vAlign w:val="bottom"/>
          </w:tcPr>
          <w:p>
            <w:pPr>
              <w:spacing w:after="0"/>
              <w:rPr>
                <w:sz w:val="1"/>
                <w:szCs w:val="1"/>
                <w:color w:val="auto"/>
              </w:rPr>
            </w:pPr>
          </w:p>
        </w:tc>
      </w:tr>
      <w:tr>
        <w:trPr>
          <w:trHeight w:val="277"/>
        </w:trPr>
        <w:tc>
          <w:tcPr>
            <w:tcW w:w="3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4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390,164</w:t>
            </w:r>
          </w:p>
        </w:tc>
        <w:tc>
          <w:tcPr>
            <w:tcW w:w="20" w:type="dxa"/>
            <w:vAlign w:val="bottom"/>
            <w:shd w:val="clear" w:color="auto" w:fill="E0E7ED"/>
          </w:tcPr>
          <w:p>
            <w:pPr>
              <w:spacing w:after="0"/>
              <w:rPr>
                <w:sz w:val="24"/>
                <w:szCs w:val="24"/>
                <w:color w:val="auto"/>
              </w:rPr>
            </w:pPr>
          </w:p>
        </w:tc>
        <w:tc>
          <w:tcPr>
            <w:tcW w:w="6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(15,648)</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2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79,711</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(4,035)</w:t>
            </w:r>
          </w:p>
        </w:tc>
        <w:tc>
          <w:tcPr>
            <w:tcW w:w="20" w:type="dxa"/>
            <w:vAlign w:val="bottom"/>
            <w:shd w:val="clear" w:color="auto" w:fill="E0E7ED"/>
          </w:tcPr>
          <w:p>
            <w:pPr>
              <w:spacing w:after="0"/>
              <w:rPr>
                <w:sz w:val="24"/>
                <w:szCs w:val="24"/>
                <w:color w:val="auto"/>
              </w:rPr>
            </w:pPr>
          </w:p>
        </w:tc>
        <w:tc>
          <w:tcPr>
            <w:tcW w:w="6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469,875</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(19,683)</w:t>
            </w:r>
          </w:p>
        </w:tc>
        <w:tc>
          <w:tcPr>
            <w:tcW w:w="0" w:type="dxa"/>
            <w:vAlign w:val="bottom"/>
          </w:tcPr>
          <w:p>
            <w:pPr>
              <w:spacing w:after="0"/>
              <w:rPr>
                <w:sz w:val="1"/>
                <w:szCs w:val="1"/>
                <w:color w:val="auto"/>
              </w:rPr>
            </w:pPr>
          </w:p>
        </w:tc>
      </w:tr>
      <w:tr>
        <w:trPr>
          <w:trHeight w:val="238"/>
        </w:trPr>
        <w:tc>
          <w:tcPr>
            <w:tcW w:w="3720" w:type="dxa"/>
            <w:vAlign w:val="bottom"/>
          </w:tcPr>
          <w:p>
            <w:pPr>
              <w:ind w:left="180"/>
              <w:spacing w:after="0"/>
              <w:rPr>
                <w:sz w:val="20"/>
                <w:szCs w:val="20"/>
                <w:color w:val="auto"/>
              </w:rPr>
            </w:pPr>
            <w:r>
              <w:rPr>
                <w:rFonts w:ascii="Verdana" w:cs="Verdana" w:eastAsia="Verdana" w:hAnsi="Verdana"/>
                <w:sz w:val="18"/>
                <w:szCs w:val="18"/>
                <w:color w:val="auto"/>
              </w:rPr>
              <w:t>Commercial mortgage-backed</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20" w:type="dxa"/>
            <w:vAlign w:val="bottom"/>
          </w:tcPr>
          <w:p>
            <w:pPr>
              <w:ind w:left="180"/>
              <w:spacing w:after="0"/>
              <w:rPr>
                <w:sz w:val="20"/>
                <w:szCs w:val="20"/>
                <w:color w:val="auto"/>
              </w:rPr>
            </w:pPr>
            <w:r>
              <w:rPr>
                <w:rFonts w:ascii="Verdana" w:cs="Verdana" w:eastAsia="Verdana" w:hAnsi="Verdana"/>
                <w:sz w:val="18"/>
                <w:szCs w:val="18"/>
                <w:color w:val="auto"/>
              </w:rPr>
              <w:t>securities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89,428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(12,623)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Verdana" w:cs="Verdana" w:eastAsia="Verdana" w:hAnsi="Verdana"/>
                <w:sz w:val="18"/>
                <w:szCs w:val="18"/>
                <w:color w:val="auto"/>
              </w:rPr>
              <w:t>18,966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(3,406)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Verdana" w:cs="Verdana" w:eastAsia="Verdana" w:hAnsi="Verdana"/>
                <w:sz w:val="18"/>
                <w:szCs w:val="18"/>
                <w:color w:val="auto"/>
              </w:rPr>
              <w:t>108,394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(16,029)</w:t>
            </w:r>
          </w:p>
        </w:tc>
        <w:tc>
          <w:tcPr>
            <w:tcW w:w="0" w:type="dxa"/>
            <w:vAlign w:val="bottom"/>
          </w:tcPr>
          <w:p>
            <w:pPr>
              <w:spacing w:after="0"/>
              <w:rPr>
                <w:sz w:val="1"/>
                <w:szCs w:val="1"/>
                <w:color w:val="auto"/>
              </w:rPr>
            </w:pPr>
          </w:p>
        </w:tc>
      </w:tr>
      <w:tr>
        <w:trPr>
          <w:trHeight w:val="244"/>
        </w:trPr>
        <w:tc>
          <w:tcPr>
            <w:tcW w:w="3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w:t>
            </w:r>
          </w:p>
        </w:tc>
        <w:tc>
          <w:tcPr>
            <w:tcW w:w="4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6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0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00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6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0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w:t>
            </w:r>
          </w:p>
        </w:tc>
        <w:tc>
          <w:tcPr>
            <w:tcW w:w="4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366,221</w:t>
            </w:r>
          </w:p>
        </w:tc>
        <w:tc>
          <w:tcPr>
            <w:tcW w:w="20" w:type="dxa"/>
            <w:vAlign w:val="bottom"/>
            <w:shd w:val="clear" w:color="auto" w:fill="E0E7ED"/>
          </w:tcPr>
          <w:p>
            <w:pPr>
              <w:spacing w:after="0"/>
              <w:rPr>
                <w:sz w:val="21"/>
                <w:szCs w:val="21"/>
                <w:color w:val="auto"/>
              </w:rPr>
            </w:pPr>
          </w:p>
        </w:tc>
        <w:tc>
          <w:tcPr>
            <w:tcW w:w="6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(38,111)</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20" w:type="dxa"/>
            <w:vAlign w:val="bottom"/>
            <w:shd w:val="clear" w:color="auto" w:fill="E0E7ED"/>
          </w:tcPr>
          <w:p>
            <w:pPr>
              <w:spacing w:after="0"/>
              <w:rPr>
                <w:sz w:val="21"/>
                <w:szCs w:val="21"/>
                <w:color w:val="auto"/>
              </w:rPr>
            </w:pPr>
          </w:p>
        </w:tc>
        <w:tc>
          <w:tcPr>
            <w:tcW w:w="10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876,668</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(182,606)</w:t>
            </w:r>
          </w:p>
        </w:tc>
        <w:tc>
          <w:tcPr>
            <w:tcW w:w="20" w:type="dxa"/>
            <w:vAlign w:val="bottom"/>
            <w:shd w:val="clear" w:color="auto" w:fill="E0E7ED"/>
          </w:tcPr>
          <w:p>
            <w:pPr>
              <w:spacing w:after="0"/>
              <w:rPr>
                <w:sz w:val="21"/>
                <w:szCs w:val="21"/>
                <w:color w:val="auto"/>
              </w:rPr>
            </w:pPr>
          </w:p>
        </w:tc>
        <w:tc>
          <w:tcPr>
            <w:tcW w:w="6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0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w w:val="98"/>
              </w:rPr>
              <w:t>1,242,889</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(220,717)</w:t>
            </w:r>
          </w:p>
        </w:tc>
        <w:tc>
          <w:tcPr>
            <w:tcW w:w="0" w:type="dxa"/>
            <w:vAlign w:val="bottom"/>
          </w:tcPr>
          <w:p>
            <w:pPr>
              <w:spacing w:after="0"/>
              <w:rPr>
                <w:sz w:val="1"/>
                <w:szCs w:val="1"/>
                <w:color w:val="auto"/>
              </w:rPr>
            </w:pPr>
          </w:p>
        </w:tc>
      </w:tr>
      <w:tr>
        <w:trPr>
          <w:trHeight w:val="264"/>
        </w:trPr>
        <w:tc>
          <w:tcPr>
            <w:tcW w:w="37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39,037</w:t>
            </w:r>
          </w:p>
        </w:tc>
        <w:tc>
          <w:tcPr>
            <w:tcW w:w="20" w:type="dxa"/>
            <w:vAlign w:val="bottom"/>
            <w:tcBorders>
              <w:bottom w:val="single" w:sz="8" w:color="E0E7ED"/>
            </w:tcBorders>
          </w:tcPr>
          <w:p>
            <w:pPr>
              <w:spacing w:after="0"/>
              <w:rPr>
                <w:sz w:val="22"/>
                <w:szCs w:val="22"/>
                <w:color w:val="auto"/>
              </w:rPr>
            </w:pPr>
          </w:p>
        </w:tc>
        <w:tc>
          <w:tcPr>
            <w:tcW w:w="60" w:type="dxa"/>
            <w:vAlign w:val="bottom"/>
            <w:tcBorders>
              <w:bottom w:val="single" w:sz="8" w:color="E0E7E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(5,079)</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204,310</w:t>
            </w:r>
          </w:p>
        </w:tc>
        <w:tc>
          <w:tcPr>
            <w:tcW w:w="8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(19,556)</w:t>
            </w:r>
          </w:p>
        </w:tc>
        <w:tc>
          <w:tcPr>
            <w:tcW w:w="20" w:type="dxa"/>
            <w:vAlign w:val="bottom"/>
            <w:tcBorders>
              <w:bottom w:val="single" w:sz="8" w:color="E0E7ED"/>
            </w:tcBorders>
          </w:tcPr>
          <w:p>
            <w:pPr>
              <w:spacing w:after="0"/>
              <w:rPr>
                <w:sz w:val="22"/>
                <w:szCs w:val="22"/>
                <w:color w:val="auto"/>
              </w:rPr>
            </w:pPr>
          </w:p>
        </w:tc>
        <w:tc>
          <w:tcPr>
            <w:tcW w:w="60" w:type="dxa"/>
            <w:vAlign w:val="bottom"/>
            <w:tcBorders>
              <w:bottom w:val="single" w:sz="8" w:color="E0E7E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243,347</w:t>
            </w:r>
          </w:p>
        </w:tc>
        <w:tc>
          <w:tcPr>
            <w:tcW w:w="8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(24,635)</w:t>
            </w:r>
          </w:p>
        </w:tc>
        <w:tc>
          <w:tcPr>
            <w:tcW w:w="0" w:type="dxa"/>
            <w:vAlign w:val="bottom"/>
          </w:tcPr>
          <w:p>
            <w:pPr>
              <w:spacing w:after="0"/>
              <w:rPr>
                <w:sz w:val="1"/>
                <w:szCs w:val="1"/>
                <w:color w:val="auto"/>
              </w:rPr>
            </w:pPr>
          </w:p>
        </w:tc>
      </w:tr>
      <w:tr>
        <w:trPr>
          <w:trHeight w:val="224"/>
        </w:trPr>
        <w:tc>
          <w:tcPr>
            <w:tcW w:w="37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 with</w:t>
            </w:r>
          </w:p>
        </w:tc>
        <w:tc>
          <w:tcPr>
            <w:tcW w:w="1180" w:type="dxa"/>
            <w:vAlign w:val="bottom"/>
            <w:gridSpan w:val="3"/>
            <w:vMerge w:val="restart"/>
            <w:shd w:val="clear" w:color="auto" w:fill="E0E7ED"/>
          </w:tcPr>
          <w:p>
            <w:pPr>
              <w:jc w:val="right"/>
              <w:spacing w:after="0"/>
              <w:rPr>
                <w:sz w:val="20"/>
                <w:szCs w:val="20"/>
                <w:color w:val="auto"/>
              </w:rPr>
            </w:pPr>
            <w:r>
              <w:rPr>
                <w:rFonts w:ascii="Verdana" w:cs="Verdana" w:eastAsia="Verdana" w:hAnsi="Verdana"/>
                <w:sz w:val="18"/>
                <w:szCs w:val="18"/>
                <w:color w:val="auto"/>
                <w:w w:val="97"/>
              </w:rPr>
              <w:t>$ 1,070,674</w:t>
            </w:r>
          </w:p>
        </w:tc>
        <w:tc>
          <w:tcPr>
            <w:tcW w:w="20" w:type="dxa"/>
            <w:vAlign w:val="bottom"/>
            <w:shd w:val="clear" w:color="auto" w:fill="E0E7ED"/>
          </w:tcPr>
          <w:p>
            <w:pPr>
              <w:spacing w:after="0"/>
              <w:rPr>
                <w:sz w:val="19"/>
                <w:szCs w:val="19"/>
                <w:color w:val="auto"/>
              </w:rPr>
            </w:pPr>
          </w:p>
        </w:tc>
        <w:tc>
          <w:tcPr>
            <w:tcW w:w="60" w:type="dxa"/>
            <w:vAlign w:val="bottom"/>
            <w:shd w:val="clear" w:color="auto" w:fill="E0E7ED"/>
          </w:tcPr>
          <w:p>
            <w:pPr>
              <w:spacing w:after="0"/>
              <w:rPr>
                <w:sz w:val="19"/>
                <w:szCs w:val="19"/>
                <w:color w:val="auto"/>
              </w:rPr>
            </w:pPr>
          </w:p>
        </w:tc>
        <w:tc>
          <w:tcPr>
            <w:tcW w:w="180" w:type="dxa"/>
            <w:vAlign w:val="bottom"/>
            <w:gridSpan w:val="2"/>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(81,841)</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60" w:type="dxa"/>
            <w:vAlign w:val="bottom"/>
            <w:gridSpan w:val="2"/>
            <w:vMerge w:val="restart"/>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040" w:type="dxa"/>
            <w:vAlign w:val="bottom"/>
            <w:vMerge w:val="restart"/>
            <w:shd w:val="clear" w:color="auto" w:fill="E0E7ED"/>
          </w:tcPr>
          <w:p>
            <w:pPr>
              <w:jc w:val="right"/>
              <w:ind w:right="21"/>
              <w:spacing w:after="0"/>
              <w:rPr>
                <w:sz w:val="20"/>
                <w:szCs w:val="20"/>
                <w:color w:val="auto"/>
              </w:rPr>
            </w:pPr>
            <w:r>
              <w:rPr>
                <w:rFonts w:ascii="Verdana" w:cs="Verdana" w:eastAsia="Verdana" w:hAnsi="Verdana"/>
                <w:sz w:val="18"/>
                <w:szCs w:val="18"/>
                <w:color w:val="auto"/>
                <w:w w:val="98"/>
              </w:rPr>
              <w:t>1,368,859</w:t>
            </w:r>
          </w:p>
        </w:tc>
        <w:tc>
          <w:tcPr>
            <w:tcW w:w="80" w:type="dxa"/>
            <w:vAlign w:val="bottom"/>
            <w:shd w:val="clear" w:color="auto" w:fill="E0E7ED"/>
          </w:tcPr>
          <w:p>
            <w:pPr>
              <w:spacing w:after="0"/>
              <w:rPr>
                <w:sz w:val="19"/>
                <w:szCs w:val="19"/>
                <w:color w:val="auto"/>
              </w:rPr>
            </w:pPr>
          </w:p>
        </w:tc>
        <w:tc>
          <w:tcPr>
            <w:tcW w:w="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(229,363)</w:t>
            </w:r>
          </w:p>
        </w:tc>
        <w:tc>
          <w:tcPr>
            <w:tcW w:w="20" w:type="dxa"/>
            <w:vAlign w:val="bottom"/>
            <w:shd w:val="clear" w:color="auto" w:fill="E0E7ED"/>
          </w:tcPr>
          <w:p>
            <w:pPr>
              <w:spacing w:after="0"/>
              <w:rPr>
                <w:sz w:val="19"/>
                <w:szCs w:val="19"/>
                <w:color w:val="auto"/>
              </w:rPr>
            </w:pPr>
          </w:p>
        </w:tc>
        <w:tc>
          <w:tcPr>
            <w:tcW w:w="60" w:type="dxa"/>
            <w:vAlign w:val="bottom"/>
            <w:shd w:val="clear" w:color="auto" w:fill="E0E7ED"/>
          </w:tcPr>
          <w:p>
            <w:pPr>
              <w:spacing w:after="0"/>
              <w:rPr>
                <w:sz w:val="19"/>
                <w:szCs w:val="19"/>
                <w:color w:val="auto"/>
              </w:rPr>
            </w:pPr>
          </w:p>
        </w:tc>
        <w:tc>
          <w:tcPr>
            <w:tcW w:w="160" w:type="dxa"/>
            <w:vAlign w:val="bottom"/>
            <w:gridSpan w:val="2"/>
            <w:vMerge w:val="restart"/>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040" w:type="dxa"/>
            <w:vAlign w:val="bottom"/>
            <w:vMerge w:val="restart"/>
            <w:shd w:val="clear" w:color="auto" w:fill="E0E7ED"/>
          </w:tcPr>
          <w:p>
            <w:pPr>
              <w:jc w:val="right"/>
              <w:ind w:right="20"/>
              <w:spacing w:after="0"/>
              <w:rPr>
                <w:sz w:val="20"/>
                <w:szCs w:val="20"/>
                <w:color w:val="auto"/>
              </w:rPr>
            </w:pPr>
            <w:r>
              <w:rPr>
                <w:rFonts w:ascii="Verdana" w:cs="Verdana" w:eastAsia="Verdana" w:hAnsi="Verdana"/>
                <w:sz w:val="18"/>
                <w:szCs w:val="18"/>
                <w:color w:val="auto"/>
                <w:w w:val="98"/>
              </w:rPr>
              <w:t>2,439,533</w:t>
            </w:r>
          </w:p>
        </w:tc>
        <w:tc>
          <w:tcPr>
            <w:tcW w:w="80" w:type="dxa"/>
            <w:vAlign w:val="bottom"/>
            <w:shd w:val="clear" w:color="auto" w:fill="E0E7ED"/>
          </w:tcPr>
          <w:p>
            <w:pPr>
              <w:spacing w:after="0"/>
              <w:rPr>
                <w:sz w:val="19"/>
                <w:szCs w:val="19"/>
                <w:color w:val="auto"/>
              </w:rPr>
            </w:pPr>
          </w:p>
        </w:tc>
        <w:tc>
          <w:tcPr>
            <w:tcW w:w="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(311,204)</w:t>
            </w:r>
          </w:p>
        </w:tc>
        <w:tc>
          <w:tcPr>
            <w:tcW w:w="0" w:type="dxa"/>
            <w:vAlign w:val="bottom"/>
          </w:tcPr>
          <w:p>
            <w:pPr>
              <w:spacing w:after="0"/>
              <w:rPr>
                <w:sz w:val="1"/>
                <w:szCs w:val="1"/>
                <w:color w:val="auto"/>
              </w:rPr>
            </w:pPr>
          </w:p>
        </w:tc>
      </w:tr>
      <w:tr>
        <w:trPr>
          <w:trHeight w:val="241"/>
        </w:trPr>
        <w:tc>
          <w:tcPr>
            <w:tcW w:w="37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gross unrealized losses</w:t>
            </w:r>
          </w:p>
        </w:tc>
        <w:tc>
          <w:tcPr>
            <w:tcW w:w="1180" w:type="dxa"/>
            <w:vAlign w:val="bottom"/>
            <w:tcBorders>
              <w:bottom w:val="single" w:sz="8" w:color="auto"/>
            </w:tcBorders>
            <w:gridSpan w:val="3"/>
            <w:vMerge w:val="continue"/>
            <w:shd w:val="clear" w:color="auto" w:fill="E0E7ED"/>
          </w:tcPr>
          <w:p>
            <w:pPr>
              <w:spacing w:after="0"/>
              <w:rPr>
                <w:sz w:val="20"/>
                <w:szCs w:val="20"/>
                <w:color w:val="auto"/>
              </w:rPr>
            </w:pPr>
          </w:p>
        </w:tc>
        <w:tc>
          <w:tcPr>
            <w:tcW w:w="20" w:type="dxa"/>
            <w:vAlign w:val="bottom"/>
            <w:tcBorders>
              <w:bottom w:val="single" w:sz="8" w:color="E0E7ED"/>
            </w:tcBorders>
            <w:shd w:val="clear" w:color="auto" w:fill="E0E7ED"/>
          </w:tcPr>
          <w:p>
            <w:pPr>
              <w:spacing w:after="0"/>
              <w:rPr>
                <w:sz w:val="20"/>
                <w:szCs w:val="20"/>
                <w:color w:val="auto"/>
              </w:rPr>
            </w:pPr>
          </w:p>
        </w:tc>
        <w:tc>
          <w:tcPr>
            <w:tcW w:w="60" w:type="dxa"/>
            <w:vAlign w:val="bottom"/>
            <w:tcBorders>
              <w:bottom w:val="single" w:sz="8" w:color="E0E7ED"/>
            </w:tcBorders>
            <w:shd w:val="clear" w:color="auto" w:fill="E0E7ED"/>
          </w:tcPr>
          <w:p>
            <w:pPr>
              <w:spacing w:after="0"/>
              <w:rPr>
                <w:sz w:val="20"/>
                <w:szCs w:val="20"/>
                <w:color w:val="auto"/>
              </w:rPr>
            </w:pPr>
          </w:p>
        </w:tc>
        <w:tc>
          <w:tcPr>
            <w:tcW w:w="180" w:type="dxa"/>
            <w:vAlign w:val="bottom"/>
            <w:tcBorders>
              <w:bottom w:val="single" w:sz="8" w:color="auto"/>
            </w:tcBorders>
            <w:gridSpan w:val="2"/>
            <w:vMerge w:val="continue"/>
            <w:shd w:val="clear" w:color="auto" w:fill="E0E7ED"/>
          </w:tcPr>
          <w:p>
            <w:pPr>
              <w:spacing w:after="0"/>
              <w:rPr>
                <w:sz w:val="20"/>
                <w:szCs w:val="20"/>
                <w:color w:val="auto"/>
              </w:rPr>
            </w:pPr>
          </w:p>
        </w:tc>
        <w:tc>
          <w:tcPr>
            <w:tcW w:w="1000" w:type="dxa"/>
            <w:vAlign w:val="bottom"/>
            <w:tcBorders>
              <w:bottom w:val="single" w:sz="8" w:color="auto"/>
            </w:tcBorders>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gridSpan w:val="2"/>
            <w:vMerge w:val="continue"/>
            <w:shd w:val="clear" w:color="auto" w:fill="E0E7ED"/>
          </w:tcPr>
          <w:p>
            <w:pPr>
              <w:spacing w:after="0"/>
              <w:rPr>
                <w:sz w:val="20"/>
                <w:szCs w:val="20"/>
                <w:color w:val="auto"/>
              </w:rPr>
            </w:pPr>
          </w:p>
        </w:tc>
        <w:tc>
          <w:tcPr>
            <w:tcW w:w="10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80" w:type="dxa"/>
            <w:vAlign w:val="bottom"/>
            <w:tcBorders>
              <w:bottom w:val="single" w:sz="8" w:color="auto"/>
            </w:tcBorders>
            <w:vMerge w:val="continue"/>
            <w:shd w:val="clear" w:color="auto" w:fill="E0E7ED"/>
          </w:tcPr>
          <w:p>
            <w:pPr>
              <w:spacing w:after="0"/>
              <w:rPr>
                <w:sz w:val="20"/>
                <w:szCs w:val="20"/>
                <w:color w:val="auto"/>
              </w:rPr>
            </w:pPr>
          </w:p>
        </w:tc>
        <w:tc>
          <w:tcPr>
            <w:tcW w:w="1000" w:type="dxa"/>
            <w:vAlign w:val="bottom"/>
            <w:tcBorders>
              <w:bottom w:val="single" w:sz="8" w:color="auto"/>
            </w:tcBorders>
            <w:vMerge w:val="continue"/>
            <w:shd w:val="clear" w:color="auto" w:fill="E0E7ED"/>
          </w:tcPr>
          <w:p>
            <w:pPr>
              <w:spacing w:after="0"/>
              <w:rPr>
                <w:sz w:val="20"/>
                <w:szCs w:val="20"/>
                <w:color w:val="auto"/>
              </w:rPr>
            </w:pPr>
          </w:p>
        </w:tc>
        <w:tc>
          <w:tcPr>
            <w:tcW w:w="20" w:type="dxa"/>
            <w:vAlign w:val="bottom"/>
            <w:tcBorders>
              <w:bottom w:val="single" w:sz="8" w:color="E0E7ED"/>
            </w:tcBorders>
            <w:shd w:val="clear" w:color="auto" w:fill="E0E7ED"/>
          </w:tcPr>
          <w:p>
            <w:pPr>
              <w:spacing w:after="0"/>
              <w:rPr>
                <w:sz w:val="20"/>
                <w:szCs w:val="20"/>
                <w:color w:val="auto"/>
              </w:rPr>
            </w:pPr>
          </w:p>
        </w:tc>
        <w:tc>
          <w:tcPr>
            <w:tcW w:w="6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gridSpan w:val="2"/>
            <w:vMerge w:val="continue"/>
            <w:shd w:val="clear" w:color="auto" w:fill="E0E7ED"/>
          </w:tcPr>
          <w:p>
            <w:pPr>
              <w:spacing w:after="0"/>
              <w:rPr>
                <w:sz w:val="20"/>
                <w:szCs w:val="20"/>
                <w:color w:val="auto"/>
              </w:rPr>
            </w:pPr>
          </w:p>
        </w:tc>
        <w:tc>
          <w:tcPr>
            <w:tcW w:w="10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80" w:type="dxa"/>
            <w:vAlign w:val="bottom"/>
            <w:tcBorders>
              <w:bottom w:val="single" w:sz="8" w:color="auto"/>
            </w:tcBorders>
            <w:vMerge w:val="continue"/>
            <w:shd w:val="clear" w:color="auto" w:fill="E0E7ED"/>
          </w:tcPr>
          <w:p>
            <w:pPr>
              <w:spacing w:after="0"/>
              <w:rPr>
                <w:sz w:val="20"/>
                <w:szCs w:val="20"/>
                <w:color w:val="auto"/>
              </w:rPr>
            </w:pPr>
          </w:p>
        </w:tc>
        <w:tc>
          <w:tcPr>
            <w:tcW w:w="100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gridSpan w:val="2"/>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E0E7ED"/>
              <w:bottom w:val="single" w:sz="8" w:color="auto"/>
            </w:tcBorders>
            <w:gridSpan w:val="2"/>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0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8"/>
          </w:tcPr>
          <w:p>
            <w:pPr>
              <w:ind w:left="260"/>
              <w:spacing w:after="0"/>
              <w:rPr>
                <w:sz w:val="20"/>
                <w:szCs w:val="20"/>
                <w:color w:val="auto"/>
              </w:rPr>
            </w:pPr>
            <w:r>
              <w:rPr>
                <w:rFonts w:ascii="Verdana" w:cs="Verdana" w:eastAsia="Verdana" w:hAnsi="Verdana"/>
                <w:sz w:val="13"/>
                <w:szCs w:val="13"/>
                <w:b w:val="1"/>
                <w:bCs w:val="1"/>
                <w:color w:val="auto"/>
              </w:rPr>
              <w:t>Less than 12 months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6"/>
          </w:tcPr>
          <w:p>
            <w:pPr>
              <w:jc w:val="center"/>
              <w:ind w:right="180"/>
              <w:spacing w:after="0"/>
              <w:rPr>
                <w:sz w:val="20"/>
                <w:szCs w:val="20"/>
                <w:color w:val="auto"/>
              </w:rPr>
            </w:pPr>
            <w:r>
              <w:rPr>
                <w:rFonts w:ascii="Verdana" w:cs="Verdana" w:eastAsia="Verdana" w:hAnsi="Verdana"/>
                <w:sz w:val="13"/>
                <w:szCs w:val="13"/>
                <w:b w:val="1"/>
                <w:bCs w:val="1"/>
                <w:color w:val="auto"/>
                <w:w w:val="97"/>
              </w:rPr>
              <w:t>12 months or more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ind w:left="220"/>
              <w:spacing w:after="0" w:line="122" w:lineRule="exact"/>
              <w:rPr>
                <w:sz w:val="20"/>
                <w:szCs w:val="20"/>
                <w:color w:val="auto"/>
              </w:rPr>
            </w:pPr>
            <w:r>
              <w:rPr>
                <w:rFonts w:ascii="Verdana" w:cs="Verdana" w:eastAsia="Verdana" w:hAnsi="Verdana"/>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200" w:type="dxa"/>
            <w:vAlign w:val="bottom"/>
            <w:tcBorders>
              <w:top w:val="single" w:sz="8" w:color="auto"/>
            </w:tcBorders>
            <w:gridSpan w:val="3"/>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180" w:type="dxa"/>
            <w:vAlign w:val="bottom"/>
            <w:tcBorders>
              <w:top w:val="single" w:sz="8" w:color="auto"/>
            </w:tcBorders>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0" w:type="dxa"/>
            <w:vAlign w:val="bottom"/>
          </w:tcPr>
          <w:p>
            <w:pPr>
              <w:spacing w:after="0"/>
              <w:rPr>
                <w:sz w:val="1"/>
                <w:szCs w:val="1"/>
                <w:color w:val="auto"/>
              </w:rPr>
            </w:pPr>
          </w:p>
        </w:tc>
      </w:tr>
      <w:tr>
        <w:trPr>
          <w:trHeight w:val="170"/>
        </w:trPr>
        <w:tc>
          <w:tcPr>
            <w:tcW w:w="3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ind w:left="160"/>
              <w:spacing w:after="0"/>
              <w:rPr>
                <w:sz w:val="20"/>
                <w:szCs w:val="20"/>
                <w:color w:val="auto"/>
              </w:rPr>
            </w:pPr>
            <w:r>
              <w:rPr>
                <w:rFonts w:ascii="Verdana" w:cs="Verdana" w:eastAsia="Verdana" w:hAnsi="Verdana"/>
                <w:sz w:val="13"/>
                <w:szCs w:val="13"/>
                <w:b w:val="1"/>
                <w:bCs w:val="1"/>
                <w:color w:val="auto"/>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Value</w:t>
            </w:r>
          </w:p>
        </w:tc>
        <w:tc>
          <w:tcPr>
            <w:tcW w:w="18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Verdana" w:cs="Verdana" w:eastAsia="Verdana" w:hAnsi="Verdana"/>
                <w:sz w:val="13"/>
                <w:szCs w:val="13"/>
                <w:b w:val="1"/>
                <w:bCs w:val="1"/>
                <w:color w:val="auto"/>
                <w:w w:val="97"/>
              </w:rPr>
              <w:t>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7"/>
              </w:rPr>
              <w:t>Value</w:t>
            </w:r>
          </w:p>
        </w:tc>
        <w:tc>
          <w:tcPr>
            <w:tcW w:w="180" w:type="dxa"/>
            <w:vAlign w:val="bottom"/>
          </w:tcPr>
          <w:p>
            <w:pPr>
              <w:spacing w:after="0"/>
              <w:rPr>
                <w:sz w:val="14"/>
                <w:szCs w:val="14"/>
                <w:color w:val="auto"/>
              </w:rPr>
            </w:pPr>
          </w:p>
        </w:tc>
        <w:tc>
          <w:tcPr>
            <w:tcW w:w="1000" w:type="dxa"/>
            <w:vAlign w:val="bottom"/>
          </w:tcPr>
          <w:p>
            <w:pPr>
              <w:jc w:val="center"/>
              <w:ind w:right="116"/>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37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4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6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12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6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720" w:type="dxa"/>
            <w:vAlign w:val="bottom"/>
          </w:tcPr>
          <w:p>
            <w:pPr>
              <w:ind w:left="180"/>
              <w:spacing w:after="0"/>
              <w:rPr>
                <w:sz w:val="20"/>
                <w:szCs w:val="20"/>
                <w:color w:val="auto"/>
              </w:rPr>
            </w:pPr>
            <w:r>
              <w:rPr>
                <w:rFonts w:ascii="Verdana" w:cs="Verdana" w:eastAsia="Verdana" w:hAnsi="Verdana"/>
                <w:sz w:val="18"/>
                <w:szCs w:val="18"/>
                <w:color w:val="auto"/>
              </w:rPr>
              <w:t>Commercial mortgage-backed</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20" w:type="dxa"/>
            <w:vAlign w:val="bottom"/>
          </w:tcPr>
          <w:p>
            <w:pPr>
              <w:ind w:left="180"/>
              <w:spacing w:after="0"/>
              <w:rPr>
                <w:sz w:val="20"/>
                <w:szCs w:val="20"/>
                <w:color w:val="auto"/>
              </w:rPr>
            </w:pPr>
            <w:r>
              <w:rPr>
                <w:rFonts w:ascii="Verdana" w:cs="Verdana" w:eastAsia="Verdana" w:hAnsi="Verdana"/>
                <w:sz w:val="18"/>
                <w:szCs w:val="18"/>
                <w:color w:val="auto"/>
              </w:rPr>
              <w:t>securities</w:t>
            </w:r>
          </w:p>
        </w:tc>
        <w:tc>
          <w:tcPr>
            <w:tcW w:w="260" w:type="dxa"/>
            <w:vAlign w:val="bottom"/>
            <w:gridSpan w:val="2"/>
          </w:tcPr>
          <w:p>
            <w:pPr>
              <w:jc w:val="right"/>
              <w:ind w:right="8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58,065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gridSpan w:val="2"/>
          </w:tcPr>
          <w:p>
            <w:pPr>
              <w:jc w:val="right"/>
              <w:ind w:right="40"/>
              <w:spacing w:after="0"/>
              <w:rPr>
                <w:sz w:val="20"/>
                <w:szCs w:val="20"/>
                <w:color w:val="auto"/>
              </w:rPr>
            </w:pPr>
            <w:r>
              <w:rPr>
                <w:rFonts w:ascii="Verdana" w:cs="Verdana" w:eastAsia="Verdana" w:hAnsi="Verdana"/>
                <w:sz w:val="18"/>
                <w:szCs w:val="18"/>
                <w:color w:val="auto"/>
              </w:rPr>
              <w:t>(8,009)</w:t>
            </w:r>
          </w:p>
        </w:tc>
        <w:tc>
          <w:tcPr>
            <w:tcW w:w="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1"/>
              <w:spacing w:after="0"/>
              <w:rPr>
                <w:sz w:val="20"/>
                <w:szCs w:val="20"/>
                <w:color w:val="auto"/>
              </w:rPr>
            </w:pPr>
            <w:r>
              <w:rPr>
                <w:rFonts w:ascii="Verdana" w:cs="Verdana" w:eastAsia="Verdana" w:hAnsi="Verdana"/>
                <w:sz w:val="18"/>
                <w:szCs w:val="18"/>
                <w:color w:val="auto"/>
              </w:rPr>
              <w:t>353,017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00" w:type="dxa"/>
            <w:vAlign w:val="bottom"/>
          </w:tcPr>
          <w:p>
            <w:pPr>
              <w:jc w:val="right"/>
              <w:spacing w:after="0"/>
              <w:rPr>
                <w:sz w:val="20"/>
                <w:szCs w:val="20"/>
                <w:color w:val="auto"/>
              </w:rPr>
            </w:pPr>
            <w:r>
              <w:rPr>
                <w:rFonts w:ascii="Verdana" w:cs="Verdana" w:eastAsia="Verdana" w:hAnsi="Verdana"/>
                <w:sz w:val="18"/>
                <w:szCs w:val="18"/>
                <w:color w:val="auto"/>
              </w:rPr>
              <w:t>(55,729)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20"/>
              <w:spacing w:after="0"/>
              <w:rPr>
                <w:sz w:val="20"/>
                <w:szCs w:val="20"/>
                <w:color w:val="auto"/>
              </w:rPr>
            </w:pPr>
            <w:r>
              <w:rPr>
                <w:rFonts w:ascii="Verdana" w:cs="Verdana" w:eastAsia="Verdana" w:hAnsi="Verdana"/>
                <w:sz w:val="18"/>
                <w:szCs w:val="18"/>
                <w:color w:val="auto"/>
              </w:rPr>
              <w:t>411,082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tcPr>
          <w:p>
            <w:pPr>
              <w:jc w:val="right"/>
              <w:spacing w:after="0"/>
              <w:rPr>
                <w:sz w:val="20"/>
                <w:szCs w:val="20"/>
                <w:color w:val="auto"/>
              </w:rPr>
            </w:pPr>
            <w:r>
              <w:rPr>
                <w:rFonts w:ascii="Verdana" w:cs="Verdana" w:eastAsia="Verdana" w:hAnsi="Verdana"/>
                <w:sz w:val="18"/>
                <w:szCs w:val="18"/>
                <w:color w:val="auto"/>
              </w:rPr>
              <w:t>(63,738)</w:t>
            </w:r>
          </w:p>
        </w:tc>
        <w:tc>
          <w:tcPr>
            <w:tcW w:w="0" w:type="dxa"/>
            <w:vAlign w:val="bottom"/>
          </w:tcPr>
          <w:p>
            <w:pPr>
              <w:spacing w:after="0"/>
              <w:rPr>
                <w:sz w:val="1"/>
                <w:szCs w:val="1"/>
                <w:color w:val="auto"/>
              </w:rPr>
            </w:pPr>
          </w:p>
        </w:tc>
      </w:tr>
      <w:tr>
        <w:trPr>
          <w:trHeight w:val="277"/>
        </w:trPr>
        <w:tc>
          <w:tcPr>
            <w:tcW w:w="376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w w:val="99"/>
              </w:rPr>
              <w:t>Residential mortgage-backed securities</w:t>
            </w:r>
          </w:p>
        </w:tc>
        <w:tc>
          <w:tcPr>
            <w:tcW w:w="220" w:type="dxa"/>
            <w:vAlign w:val="bottom"/>
            <w:tcBorders>
              <w:bottom w:val="single" w:sz="8" w:color="auto"/>
            </w:tcBorders>
            <w:shd w:val="clear" w:color="auto" w:fill="E0E7ED"/>
          </w:tcPr>
          <w:p>
            <w:pPr>
              <w:spacing w:after="0"/>
              <w:rPr>
                <w:sz w:val="24"/>
                <w:szCs w:val="24"/>
                <w:color w:val="auto"/>
              </w:rPr>
            </w:pPr>
          </w:p>
        </w:tc>
        <w:tc>
          <w:tcPr>
            <w:tcW w:w="940" w:type="dxa"/>
            <w:vAlign w:val="bottom"/>
            <w:tcBorders>
              <w:bottom w:val="single" w:sz="8" w:color="auto"/>
            </w:tcBorders>
            <w:gridSpan w:val="2"/>
            <w:shd w:val="clear" w:color="auto" w:fill="E0E7ED"/>
          </w:tcPr>
          <w:p>
            <w:pPr>
              <w:jc w:val="right"/>
              <w:ind w:right="80"/>
              <w:spacing w:after="0"/>
              <w:rPr>
                <w:sz w:val="20"/>
                <w:szCs w:val="20"/>
                <w:color w:val="auto"/>
              </w:rPr>
            </w:pPr>
            <w:r>
              <w:rPr>
                <w:rFonts w:ascii="Verdana" w:cs="Verdana" w:eastAsia="Verdana" w:hAnsi="Verdana"/>
                <w:sz w:val="18"/>
                <w:szCs w:val="18"/>
                <w:color w:val="auto"/>
              </w:rPr>
              <w:t>—</w:t>
            </w:r>
          </w:p>
        </w:tc>
        <w:tc>
          <w:tcPr>
            <w:tcW w:w="6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spacing w:after="0"/>
              <w:rPr>
                <w:sz w:val="24"/>
                <w:szCs w:val="24"/>
                <w:color w:val="auto"/>
              </w:rPr>
            </w:pPr>
          </w:p>
        </w:tc>
        <w:tc>
          <w:tcPr>
            <w:tcW w:w="1040" w:type="dxa"/>
            <w:vAlign w:val="bottom"/>
            <w:tcBorders>
              <w:bottom w:val="single" w:sz="8" w:color="auto"/>
            </w:tcBorders>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20" w:type="dxa"/>
            <w:vAlign w:val="bottom"/>
            <w:tcBorders>
              <w:bottom w:val="single" w:sz="8" w:color="auto"/>
            </w:tcBorders>
            <w:shd w:val="clear" w:color="auto" w:fill="E0E7ED"/>
          </w:tcPr>
          <w:p>
            <w:pPr>
              <w:spacing w:after="0"/>
              <w:rPr>
                <w:sz w:val="24"/>
                <w:szCs w:val="24"/>
                <w:color w:val="auto"/>
              </w:rPr>
            </w:pPr>
          </w:p>
        </w:tc>
        <w:tc>
          <w:tcPr>
            <w:tcW w:w="104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374,213</w:t>
            </w:r>
          </w:p>
        </w:tc>
        <w:tc>
          <w:tcPr>
            <w:tcW w:w="80" w:type="dxa"/>
            <w:vAlign w:val="bottom"/>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spacing w:after="0"/>
              <w:rPr>
                <w:sz w:val="24"/>
                <w:szCs w:val="24"/>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(69,279)</w:t>
            </w:r>
          </w:p>
        </w:tc>
        <w:tc>
          <w:tcPr>
            <w:tcW w:w="20" w:type="dxa"/>
            <w:vAlign w:val="bottom"/>
            <w:tcBorders>
              <w:bottom w:val="single" w:sz="8" w:color="auto"/>
            </w:tcBorders>
            <w:shd w:val="clear" w:color="auto" w:fill="E0E7ED"/>
          </w:tcPr>
          <w:p>
            <w:pPr>
              <w:spacing w:after="0"/>
              <w:rPr>
                <w:sz w:val="24"/>
                <w:szCs w:val="24"/>
                <w:color w:val="auto"/>
              </w:rPr>
            </w:pPr>
          </w:p>
        </w:tc>
        <w:tc>
          <w:tcPr>
            <w:tcW w:w="6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40" w:type="dxa"/>
            <w:vAlign w:val="bottom"/>
            <w:tcBorders>
              <w:bottom w:val="single" w:sz="8" w:color="auto"/>
            </w:tcBorders>
            <w:shd w:val="clear" w:color="auto" w:fill="E0E7ED"/>
          </w:tcPr>
          <w:p>
            <w:pPr>
              <w:spacing w:after="0"/>
              <w:rPr>
                <w:sz w:val="24"/>
                <w:szCs w:val="24"/>
                <w:color w:val="auto"/>
              </w:rPr>
            </w:pPr>
          </w:p>
        </w:tc>
        <w:tc>
          <w:tcPr>
            <w:tcW w:w="1040" w:type="dxa"/>
            <w:vAlign w:val="bottom"/>
            <w:tcBorders>
              <w:bottom w:val="single" w:sz="8" w:color="auto"/>
            </w:tcBorders>
            <w:shd w:val="clear" w:color="auto" w:fill="E0E7ED"/>
          </w:tcPr>
          <w:p>
            <w:pPr>
              <w:jc w:val="right"/>
              <w:ind w:right="20"/>
              <w:spacing w:after="0"/>
              <w:rPr>
                <w:sz w:val="20"/>
                <w:szCs w:val="20"/>
                <w:color w:val="auto"/>
              </w:rPr>
            </w:pPr>
            <w:r>
              <w:rPr>
                <w:rFonts w:ascii="Verdana" w:cs="Verdana" w:eastAsia="Verdana" w:hAnsi="Verdana"/>
                <w:sz w:val="18"/>
                <w:szCs w:val="18"/>
                <w:color w:val="auto"/>
              </w:rPr>
              <w:t>374,213</w:t>
            </w:r>
          </w:p>
        </w:tc>
        <w:tc>
          <w:tcPr>
            <w:tcW w:w="80" w:type="dxa"/>
            <w:vAlign w:val="bottom"/>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spacing w:after="0"/>
              <w:rPr>
                <w:sz w:val="24"/>
                <w:szCs w:val="24"/>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(69,279)</w:t>
            </w:r>
          </w:p>
        </w:tc>
        <w:tc>
          <w:tcPr>
            <w:tcW w:w="0" w:type="dxa"/>
            <w:vAlign w:val="bottom"/>
          </w:tcPr>
          <w:p>
            <w:pPr>
              <w:spacing w:after="0"/>
              <w:rPr>
                <w:sz w:val="1"/>
                <w:szCs w:val="1"/>
                <w:color w:val="auto"/>
              </w:rPr>
            </w:pPr>
          </w:p>
        </w:tc>
      </w:tr>
      <w:tr>
        <w:trPr>
          <w:trHeight w:val="218"/>
        </w:trPr>
        <w:tc>
          <w:tcPr>
            <w:tcW w:w="3720" w:type="dxa"/>
            <w:vAlign w:val="bottom"/>
          </w:tcPr>
          <w:p>
            <w:pPr>
              <w:ind w:left="20"/>
              <w:spacing w:after="0" w:line="217" w:lineRule="exact"/>
              <w:rPr>
                <w:sz w:val="20"/>
                <w:szCs w:val="20"/>
                <w:color w:val="auto"/>
              </w:rPr>
            </w:pPr>
            <w:r>
              <w:rPr>
                <w:rFonts w:ascii="Verdana" w:cs="Verdana" w:eastAsia="Verdana" w:hAnsi="Verdana"/>
                <w:sz w:val="18"/>
                <w:szCs w:val="18"/>
                <w:color w:val="auto"/>
              </w:rPr>
              <w:t>Debt securities held to maturity with</w:t>
            </w:r>
          </w:p>
        </w:tc>
        <w:tc>
          <w:tcPr>
            <w:tcW w:w="260" w:type="dxa"/>
            <w:vAlign w:val="bottom"/>
            <w:gridSpan w:val="2"/>
            <w:vMerge w:val="restart"/>
          </w:tcPr>
          <w:p>
            <w:pPr>
              <w:jc w:val="right"/>
              <w:ind w:right="80"/>
              <w:spacing w:after="0"/>
              <w:rPr>
                <w:sz w:val="20"/>
                <w:szCs w:val="20"/>
                <w:color w:val="auto"/>
              </w:rPr>
            </w:pPr>
            <w:r>
              <w:rPr>
                <w:rFonts w:ascii="Verdana" w:cs="Verdana" w:eastAsia="Verdana" w:hAnsi="Verdana"/>
                <w:sz w:val="18"/>
                <w:szCs w:val="18"/>
                <w:color w:val="auto"/>
              </w:rPr>
              <w:t>$</w:t>
            </w:r>
          </w:p>
        </w:tc>
        <w:tc>
          <w:tcPr>
            <w:tcW w:w="920" w:type="dxa"/>
            <w:vAlign w:val="bottom"/>
            <w:vMerge w:val="restart"/>
          </w:tcPr>
          <w:p>
            <w:pPr>
              <w:jc w:val="right"/>
              <w:spacing w:after="0"/>
              <w:rPr>
                <w:sz w:val="20"/>
                <w:szCs w:val="20"/>
                <w:color w:val="auto"/>
              </w:rPr>
            </w:pPr>
            <w:r>
              <w:rPr>
                <w:rFonts w:ascii="Verdana" w:cs="Verdana" w:eastAsia="Verdana" w:hAnsi="Verdana"/>
                <w:sz w:val="18"/>
                <w:szCs w:val="18"/>
                <w:color w:val="auto"/>
              </w:rPr>
              <w:t>58,065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gridSpan w:val="2"/>
            <w:vMerge w:val="restart"/>
          </w:tcPr>
          <w:p>
            <w:pPr>
              <w:jc w:val="right"/>
              <w:ind w:right="40"/>
              <w:spacing w:after="0"/>
              <w:rPr>
                <w:sz w:val="20"/>
                <w:szCs w:val="20"/>
                <w:color w:val="auto"/>
              </w:rPr>
            </w:pPr>
            <w:r>
              <w:rPr>
                <w:rFonts w:ascii="Verdana" w:cs="Verdana" w:eastAsia="Verdana" w:hAnsi="Verdana"/>
                <w:sz w:val="18"/>
                <w:szCs w:val="18"/>
                <w:color w:val="auto"/>
              </w:rPr>
              <w:t>(8,009)</w:t>
            </w:r>
          </w:p>
        </w:tc>
        <w:tc>
          <w:tcPr>
            <w:tcW w:w="40" w:type="dxa"/>
            <w:vAlign w:val="bottom"/>
          </w:tcPr>
          <w:p>
            <w:pPr>
              <w:spacing w:after="0"/>
              <w:rPr>
                <w:sz w:val="18"/>
                <w:szCs w:val="18"/>
                <w:color w:val="auto"/>
              </w:rPr>
            </w:pPr>
          </w:p>
        </w:tc>
        <w:tc>
          <w:tcPr>
            <w:tcW w:w="160" w:type="dxa"/>
            <w:vAlign w:val="bottom"/>
            <w:gridSpan w:val="2"/>
            <w:vMerge w:val="restart"/>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vMerge w:val="restart"/>
          </w:tcPr>
          <w:p>
            <w:pPr>
              <w:jc w:val="right"/>
              <w:ind w:right="1"/>
              <w:spacing w:after="0"/>
              <w:rPr>
                <w:sz w:val="20"/>
                <w:szCs w:val="20"/>
                <w:color w:val="auto"/>
              </w:rPr>
            </w:pPr>
            <w:r>
              <w:rPr>
                <w:rFonts w:ascii="Verdana" w:cs="Verdana" w:eastAsia="Verdana" w:hAnsi="Verdana"/>
                <w:sz w:val="18"/>
                <w:szCs w:val="18"/>
                <w:color w:val="auto"/>
              </w:rPr>
              <w:t>727,230</w:t>
            </w:r>
          </w:p>
        </w:tc>
        <w:tc>
          <w:tcPr>
            <w:tcW w:w="8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000" w:type="dxa"/>
            <w:vAlign w:val="bottom"/>
            <w:vMerge w:val="restart"/>
          </w:tcPr>
          <w:p>
            <w:pPr>
              <w:jc w:val="right"/>
              <w:spacing w:after="0"/>
              <w:rPr>
                <w:sz w:val="20"/>
                <w:szCs w:val="20"/>
                <w:color w:val="auto"/>
              </w:rPr>
            </w:pPr>
            <w:r>
              <w:rPr>
                <w:rFonts w:ascii="Verdana" w:cs="Verdana" w:eastAsia="Verdana" w:hAnsi="Verdana"/>
                <w:sz w:val="18"/>
                <w:szCs w:val="18"/>
                <w:color w:val="auto"/>
              </w:rPr>
              <w:t>(125,008)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vMerge w:val="restart"/>
          </w:tcPr>
          <w:p>
            <w:pPr>
              <w:jc w:val="right"/>
              <w:ind w:right="20"/>
              <w:spacing w:after="0"/>
              <w:rPr>
                <w:sz w:val="20"/>
                <w:szCs w:val="20"/>
                <w:color w:val="auto"/>
              </w:rPr>
            </w:pPr>
            <w:r>
              <w:rPr>
                <w:rFonts w:ascii="Verdana" w:cs="Verdana" w:eastAsia="Verdana" w:hAnsi="Verdana"/>
                <w:sz w:val="18"/>
                <w:szCs w:val="18"/>
                <w:color w:val="auto"/>
              </w:rPr>
              <w:t>$</w:t>
            </w:r>
          </w:p>
        </w:tc>
        <w:tc>
          <w:tcPr>
            <w:tcW w:w="1040" w:type="dxa"/>
            <w:vAlign w:val="bottom"/>
            <w:vMerge w:val="restart"/>
          </w:tcPr>
          <w:p>
            <w:pPr>
              <w:jc w:val="right"/>
              <w:ind w:right="20"/>
              <w:spacing w:after="0"/>
              <w:rPr>
                <w:sz w:val="20"/>
                <w:szCs w:val="20"/>
                <w:color w:val="auto"/>
              </w:rPr>
            </w:pPr>
            <w:r>
              <w:rPr>
                <w:rFonts w:ascii="Verdana" w:cs="Verdana" w:eastAsia="Verdana" w:hAnsi="Verdana"/>
                <w:sz w:val="18"/>
                <w:szCs w:val="18"/>
                <w:color w:val="auto"/>
              </w:rPr>
              <w:t>785,295</w:t>
            </w:r>
          </w:p>
        </w:tc>
        <w:tc>
          <w:tcPr>
            <w:tcW w:w="8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vMerge w:val="restart"/>
          </w:tcPr>
          <w:p>
            <w:pPr>
              <w:jc w:val="right"/>
              <w:spacing w:after="0"/>
              <w:rPr>
                <w:sz w:val="20"/>
                <w:szCs w:val="20"/>
                <w:color w:val="auto"/>
              </w:rPr>
            </w:pPr>
            <w:r>
              <w:rPr>
                <w:rFonts w:ascii="Verdana" w:cs="Verdana" w:eastAsia="Verdana" w:hAnsi="Verdana"/>
                <w:sz w:val="18"/>
                <w:szCs w:val="18"/>
                <w:color w:val="auto"/>
              </w:rPr>
              <w:t>(133,017)</w:t>
            </w:r>
          </w:p>
        </w:tc>
        <w:tc>
          <w:tcPr>
            <w:tcW w:w="0" w:type="dxa"/>
            <w:vAlign w:val="bottom"/>
          </w:tcPr>
          <w:p>
            <w:pPr>
              <w:spacing w:after="0"/>
              <w:rPr>
                <w:sz w:val="1"/>
                <w:szCs w:val="1"/>
                <w:color w:val="auto"/>
              </w:rPr>
            </w:pPr>
          </w:p>
        </w:tc>
      </w:tr>
      <w:tr>
        <w:trPr>
          <w:trHeight w:val="221"/>
        </w:trPr>
        <w:tc>
          <w:tcPr>
            <w:tcW w:w="3720" w:type="dxa"/>
            <w:vAlign w:val="bottom"/>
          </w:tcPr>
          <w:p>
            <w:pPr>
              <w:ind w:left="20"/>
              <w:spacing w:after="0"/>
              <w:rPr>
                <w:sz w:val="20"/>
                <w:szCs w:val="20"/>
                <w:color w:val="auto"/>
              </w:rPr>
            </w:pPr>
            <w:r>
              <w:rPr>
                <w:rFonts w:ascii="Verdana" w:cs="Verdana" w:eastAsia="Verdana" w:hAnsi="Verdana"/>
                <w:sz w:val="18"/>
                <w:szCs w:val="18"/>
                <w:color w:val="auto"/>
              </w:rPr>
              <w:t>gross unrecognized losses</w:t>
            </w:r>
          </w:p>
        </w:tc>
        <w:tc>
          <w:tcPr>
            <w:tcW w:w="2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54"/>
        </w:numPr>
        <w:rPr>
          <w:rFonts w:ascii="Verdana" w:cs="Verdana" w:eastAsia="Verdana" w:hAnsi="Verdana"/>
          <w:sz w:val="13"/>
          <w:szCs w:val="13"/>
          <w:color w:val="auto"/>
        </w:rPr>
      </w:pPr>
      <w:r>
        <w:rPr>
          <w:rFonts w:ascii="Verdana" w:cs="Verdana" w:eastAsia="Verdana" w:hAnsi="Verdana"/>
          <w:sz w:val="13"/>
          <w:szCs w:val="13"/>
          <w:color w:val="auto"/>
        </w:rPr>
        <w:t>Unrealized losses for U.S. Treasury securities that have been in a continuous loss position for less than 12 months were insignificant, rounding to zero thousand.</w:t>
      </w:r>
    </w:p>
    <w:p>
      <w:pPr>
        <w:spacing w:after="0" w:line="4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1" w:name="page122"/>
    <w:bookmarkEnd w:id="12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Additional information about debt securities in an unrealized or unrecognized loss position is presented in the tables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8"/>
          </w:tcPr>
          <w:p>
            <w:pPr>
              <w:jc w:val="center"/>
              <w:spacing w:after="0"/>
              <w:rPr>
                <w:sz w:val="20"/>
                <w:szCs w:val="20"/>
                <w:color w:val="auto"/>
              </w:rPr>
            </w:pPr>
            <w:r>
              <w:rPr>
                <w:rFonts w:ascii="Verdana" w:cs="Verdana" w:eastAsia="Verdana" w:hAnsi="Verdana"/>
                <w:sz w:val="13"/>
                <w:szCs w:val="13"/>
                <w:b w:val="1"/>
                <w:bCs w:val="1"/>
                <w:color w:val="auto"/>
                <w:w w:val="96"/>
              </w:rPr>
              <w:t>As of December 31, 2023</w:t>
            </w: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70"/>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175"/>
              <w:spacing w:after="0"/>
              <w:rPr>
                <w:sz w:val="20"/>
                <w:szCs w:val="20"/>
                <w:color w:val="auto"/>
              </w:rPr>
            </w:pPr>
            <w:r>
              <w:rPr>
                <w:rFonts w:ascii="Verdana" w:cs="Verdana" w:eastAsia="Verdana" w:hAnsi="Verdana"/>
                <w:sz w:val="13"/>
                <w:szCs w:val="13"/>
                <w:b w:val="1"/>
                <w:bCs w:val="1"/>
                <w:color w:val="auto"/>
                <w:w w:val="95"/>
              </w:rPr>
              <w:t>Available for Sale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Verdana" w:cs="Verdana" w:eastAsia="Verdana" w:hAnsi="Verdana"/>
                <w:sz w:val="13"/>
                <w:szCs w:val="13"/>
                <w:b w:val="1"/>
                <w:bCs w:val="1"/>
                <w:color w:val="auto"/>
                <w:w w:val="96"/>
              </w:rPr>
              <w:t>Held to Maturity</w:t>
            </w:r>
          </w:p>
        </w:tc>
        <w:tc>
          <w:tcPr>
            <w:tcW w:w="340" w:type="dxa"/>
            <w:vAlign w:val="bottom"/>
          </w:tcPr>
          <w:p>
            <w:pPr>
              <w:spacing w:after="0"/>
              <w:rPr>
                <w:sz w:val="14"/>
                <w:szCs w:val="14"/>
                <w:color w:val="auto"/>
              </w:rPr>
            </w:pPr>
          </w:p>
        </w:tc>
        <w:tc>
          <w:tcPr>
            <w:tcW w:w="1420" w:type="dxa"/>
            <w:vAlign w:val="bottom"/>
          </w:tcPr>
          <w:p>
            <w:pPr>
              <w:jc w:val="right"/>
              <w:ind w:right="615"/>
              <w:spacing w:after="0"/>
              <w:rPr>
                <w:sz w:val="20"/>
                <w:szCs w:val="20"/>
                <w:color w:val="auto"/>
              </w:rPr>
            </w:pPr>
            <w:r>
              <w:rPr>
                <w:rFonts w:ascii="Verdana" w:cs="Verdana" w:eastAsia="Verdana" w:hAnsi="Verdana"/>
                <w:sz w:val="13"/>
                <w:szCs w:val="13"/>
                <w:b w:val="1"/>
                <w:bCs w:val="1"/>
                <w:color w:val="auto"/>
              </w:rPr>
              <w:t>Total</w:t>
            </w:r>
          </w:p>
        </w:tc>
      </w:tr>
      <w:tr>
        <w:trPr>
          <w:trHeight w:val="223"/>
        </w:trPr>
        <w:tc>
          <w:tcPr>
            <w:tcW w:w="5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with gross unrealized or unrecognized losses,</w:t>
            </w:r>
          </w:p>
        </w:tc>
        <w:tc>
          <w:tcPr>
            <w:tcW w:w="120" w:type="dxa"/>
            <w:vAlign w:val="bottom"/>
            <w:tcBorders>
              <w:top w:val="single" w:sz="8" w:color="auto"/>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15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auto"/>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1440" w:type="dxa"/>
            <w:vAlign w:val="bottom"/>
            <w:tcBorders>
              <w:top w:val="single" w:sz="8" w:color="auto"/>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420" w:type="dxa"/>
            <w:vAlign w:val="bottom"/>
            <w:tcBorders>
              <w:top w:val="single" w:sz="8" w:color="auto"/>
            </w:tcBorders>
            <w:shd w:val="clear" w:color="auto" w:fill="E0E7ED"/>
          </w:tcPr>
          <w:p>
            <w:pPr>
              <w:spacing w:after="0"/>
              <w:rPr>
                <w:sz w:val="19"/>
                <w:szCs w:val="19"/>
                <w:color w:val="auto"/>
              </w:rPr>
            </w:pPr>
          </w:p>
        </w:tc>
      </w:tr>
      <w:tr>
        <w:trPr>
          <w:trHeight w:val="248"/>
        </w:trPr>
        <w:tc>
          <w:tcPr>
            <w:tcW w:w="57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fair value</w:t>
            </w:r>
          </w:p>
        </w:tc>
        <w:tc>
          <w:tcPr>
            <w:tcW w:w="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 w:type="dxa"/>
            <w:vAlign w:val="bottom"/>
            <w:shd w:val="clear" w:color="auto" w:fill="E0E7ED"/>
          </w:tcPr>
          <w:p>
            <w:pPr>
              <w:spacing w:after="0"/>
              <w:rPr>
                <w:sz w:val="21"/>
                <w:szCs w:val="21"/>
                <w:color w:val="auto"/>
              </w:rPr>
            </w:pPr>
          </w:p>
        </w:tc>
        <w:tc>
          <w:tcPr>
            <w:tcW w:w="15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2,062,817</w:t>
            </w:r>
          </w:p>
        </w:tc>
        <w:tc>
          <w:tcPr>
            <w:tcW w:w="240" w:type="dxa"/>
            <w:vAlign w:val="bottom"/>
            <w:gridSpan w:val="3"/>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40" w:type="dxa"/>
            <w:vAlign w:val="bottom"/>
            <w:shd w:val="clear" w:color="auto" w:fill="E0E7ED"/>
          </w:tcPr>
          <w:p>
            <w:pPr>
              <w:spacing w:after="0"/>
              <w:rPr>
                <w:sz w:val="21"/>
                <w:szCs w:val="21"/>
                <w:color w:val="auto"/>
              </w:rPr>
            </w:pPr>
          </w:p>
        </w:tc>
        <w:tc>
          <w:tcPr>
            <w:tcW w:w="144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730,397</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42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2,793,214</w:t>
            </w:r>
          </w:p>
        </w:tc>
      </w:tr>
      <w:tr>
        <w:trPr>
          <w:trHeight w:val="263"/>
        </w:trPr>
        <w:tc>
          <w:tcPr>
            <w:tcW w:w="5780" w:type="dxa"/>
            <w:vAlign w:val="bottom"/>
          </w:tcPr>
          <w:p>
            <w:pPr>
              <w:ind w:left="20"/>
              <w:spacing w:after="0"/>
              <w:rPr>
                <w:sz w:val="20"/>
                <w:szCs w:val="20"/>
                <w:color w:val="auto"/>
              </w:rPr>
            </w:pPr>
            <w:r>
              <w:rPr>
                <w:rFonts w:ascii="Verdana" w:cs="Verdana" w:eastAsia="Verdana" w:hAnsi="Verdana"/>
                <w:sz w:val="18"/>
                <w:szCs w:val="18"/>
                <w:color w:val="auto"/>
              </w:rPr>
              <w:t>Gross unrealized or unrecognized losses on debt securities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jc w:val="right"/>
              <w:ind w:right="195"/>
              <w:spacing w:after="0"/>
              <w:rPr>
                <w:sz w:val="20"/>
                <w:szCs w:val="20"/>
                <w:color w:val="auto"/>
              </w:rPr>
            </w:pPr>
            <w:r>
              <w:rPr>
                <w:rFonts w:ascii="Verdana" w:cs="Verdana" w:eastAsia="Verdana" w:hAnsi="Verdana"/>
                <w:sz w:val="18"/>
                <w:szCs w:val="18"/>
                <w:color w:val="auto"/>
              </w:rPr>
              <w:t>247,245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175"/>
              <w:spacing w:after="0"/>
              <w:rPr>
                <w:sz w:val="20"/>
                <w:szCs w:val="20"/>
                <w:color w:val="auto"/>
              </w:rPr>
            </w:pPr>
            <w:r>
              <w:rPr>
                <w:rFonts w:ascii="Verdana" w:cs="Verdana" w:eastAsia="Verdana" w:hAnsi="Verdana"/>
                <w:sz w:val="18"/>
                <w:szCs w:val="18"/>
                <w:color w:val="auto"/>
              </w:rPr>
              <w:t>142,231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Verdana" w:cs="Verdana" w:eastAsia="Verdana" w:hAnsi="Verdana"/>
                <w:sz w:val="18"/>
                <w:szCs w:val="18"/>
                <w:color w:val="auto"/>
              </w:rPr>
              <w:t>389,476</w:t>
            </w:r>
          </w:p>
        </w:tc>
      </w:tr>
      <w:tr>
        <w:trPr>
          <w:trHeight w:val="244"/>
        </w:trPr>
        <w:tc>
          <w:tcPr>
            <w:tcW w:w="57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Ratio of gross unrealized or unrecognized losses to debt</w:t>
            </w:r>
          </w:p>
        </w:tc>
        <w:tc>
          <w:tcPr>
            <w:tcW w:w="12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5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4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r>
      <w:tr>
        <w:trPr>
          <w:trHeight w:val="248"/>
        </w:trPr>
        <w:tc>
          <w:tcPr>
            <w:tcW w:w="57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securities with gross unrealized or unrecognized losses</w:t>
            </w:r>
          </w:p>
        </w:tc>
        <w:tc>
          <w:tcPr>
            <w:tcW w:w="12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12.0 %</w:t>
            </w:r>
          </w:p>
        </w:tc>
        <w:tc>
          <w:tcPr>
            <w:tcW w:w="10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19.5 %</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13.9 %</w:t>
            </w:r>
          </w:p>
        </w:tc>
      </w:tr>
      <w:tr>
        <w:trPr>
          <w:trHeight w:val="270"/>
        </w:trPr>
        <w:tc>
          <w:tcPr>
            <w:tcW w:w="5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57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Count of debt securities</w:t>
            </w:r>
          </w:p>
        </w:tc>
        <w:tc>
          <w:tcPr>
            <w:tcW w:w="120" w:type="dxa"/>
            <w:vAlign w:val="bottom"/>
            <w:shd w:val="clear" w:color="auto" w:fill="E0E7ED"/>
          </w:tcPr>
          <w:p>
            <w:pPr>
              <w:spacing w:after="0"/>
              <w:rPr>
                <w:sz w:val="23"/>
                <w:szCs w:val="23"/>
                <w:color w:val="auto"/>
              </w:rPr>
            </w:pPr>
          </w:p>
        </w:tc>
        <w:tc>
          <w:tcPr>
            <w:tcW w:w="140" w:type="dxa"/>
            <w:vAlign w:val="bottom"/>
            <w:shd w:val="clear" w:color="auto" w:fill="E0E7ED"/>
          </w:tcPr>
          <w:p>
            <w:pPr>
              <w:spacing w:after="0"/>
              <w:rPr>
                <w:sz w:val="23"/>
                <w:szCs w:val="23"/>
                <w:color w:val="auto"/>
              </w:rPr>
            </w:pPr>
          </w:p>
        </w:tc>
        <w:tc>
          <w:tcPr>
            <w:tcW w:w="15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835</w:t>
            </w:r>
          </w:p>
        </w:tc>
        <w:tc>
          <w:tcPr>
            <w:tcW w:w="10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40" w:type="dxa"/>
            <w:vAlign w:val="bottom"/>
            <w:shd w:val="clear" w:color="auto" w:fill="E0E7ED"/>
          </w:tcPr>
          <w:p>
            <w:pPr>
              <w:spacing w:after="0"/>
              <w:rPr>
                <w:sz w:val="23"/>
                <w:szCs w:val="23"/>
                <w:color w:val="auto"/>
              </w:rPr>
            </w:pPr>
          </w:p>
        </w:tc>
        <w:tc>
          <w:tcPr>
            <w:tcW w:w="144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55</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42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890</w:t>
            </w:r>
          </w:p>
        </w:tc>
      </w:tr>
      <w:tr>
        <w:trPr>
          <w:trHeight w:val="238"/>
        </w:trPr>
        <w:tc>
          <w:tcPr>
            <w:tcW w:w="5780" w:type="dxa"/>
            <w:vAlign w:val="bottom"/>
          </w:tcPr>
          <w:p>
            <w:pPr>
              <w:ind w:left="20"/>
              <w:spacing w:after="0"/>
              <w:rPr>
                <w:sz w:val="20"/>
                <w:szCs w:val="20"/>
                <w:color w:val="auto"/>
              </w:rPr>
            </w:pPr>
            <w:r>
              <w:rPr>
                <w:rFonts w:ascii="Verdana" w:cs="Verdana" w:eastAsia="Verdana" w:hAnsi="Verdana"/>
                <w:sz w:val="18"/>
                <w:szCs w:val="18"/>
                <w:color w:val="auto"/>
              </w:rPr>
              <w:t>Count of debt securities in an unrealized or unrecognized loss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5"/>
        </w:trPr>
        <w:tc>
          <w:tcPr>
            <w:tcW w:w="5780" w:type="dxa"/>
            <w:vAlign w:val="bottom"/>
          </w:tcPr>
          <w:p>
            <w:pPr>
              <w:ind w:left="20"/>
              <w:spacing w:after="0"/>
              <w:rPr>
                <w:sz w:val="20"/>
                <w:szCs w:val="20"/>
                <w:color w:val="auto"/>
              </w:rPr>
            </w:pPr>
            <w:r>
              <w:rPr>
                <w:rFonts w:ascii="Verdana" w:cs="Verdana" w:eastAsia="Verdana" w:hAnsi="Verdana"/>
                <w:sz w:val="18"/>
                <w:szCs w:val="18"/>
                <w:color w:val="auto"/>
              </w:rPr>
              <w:t>position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195"/>
              <w:spacing w:after="0"/>
              <w:rPr>
                <w:sz w:val="20"/>
                <w:szCs w:val="20"/>
                <w:color w:val="auto"/>
              </w:rPr>
            </w:pPr>
            <w:r>
              <w:rPr>
                <w:rFonts w:ascii="Verdana" w:cs="Verdana" w:eastAsia="Verdana" w:hAnsi="Verdana"/>
                <w:sz w:val="18"/>
                <w:szCs w:val="18"/>
                <w:color w:val="auto"/>
              </w:rPr>
              <w:t>779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75"/>
              <w:spacing w:after="0"/>
              <w:rPr>
                <w:sz w:val="20"/>
                <w:szCs w:val="20"/>
                <w:color w:val="auto"/>
              </w:rPr>
            </w:pPr>
            <w:r>
              <w:rPr>
                <w:rFonts w:ascii="Verdana" w:cs="Verdana" w:eastAsia="Verdana" w:hAnsi="Verdana"/>
                <w:sz w:val="18"/>
                <w:szCs w:val="18"/>
                <w:color w:val="auto"/>
              </w:rPr>
              <w:t>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ind w:right="195"/>
              <w:spacing w:after="0"/>
              <w:rPr>
                <w:sz w:val="20"/>
                <w:szCs w:val="20"/>
                <w:color w:val="auto"/>
              </w:rPr>
            </w:pPr>
            <w:r>
              <w:rPr>
                <w:rFonts w:ascii="Verdana" w:cs="Verdana" w:eastAsia="Verdana" w:hAnsi="Verdana"/>
                <w:sz w:val="18"/>
                <w:szCs w:val="18"/>
                <w:color w:val="auto"/>
              </w:rPr>
              <w:t>834</w:t>
            </w:r>
          </w:p>
        </w:tc>
      </w:tr>
      <w:tr>
        <w:trPr>
          <w:trHeight w:val="480"/>
        </w:trPr>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center"/>
              <w:spacing w:after="0"/>
              <w:rPr>
                <w:sz w:val="20"/>
                <w:szCs w:val="20"/>
                <w:color w:val="auto"/>
              </w:rPr>
            </w:pPr>
            <w:r>
              <w:rPr>
                <w:rFonts w:ascii="Verdana" w:cs="Verdana" w:eastAsia="Verdana" w:hAnsi="Verdana"/>
                <w:sz w:val="13"/>
                <w:szCs w:val="13"/>
                <w:b w:val="1"/>
                <w:bCs w:val="1"/>
                <w:color w:val="auto"/>
                <w:w w:val="96"/>
              </w:rPr>
              <w:t>As of December 31, 2022</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70"/>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35"/>
              <w:spacing w:after="0"/>
              <w:rPr>
                <w:sz w:val="20"/>
                <w:szCs w:val="20"/>
                <w:color w:val="auto"/>
              </w:rPr>
            </w:pPr>
            <w:r>
              <w:rPr>
                <w:rFonts w:ascii="Verdana" w:cs="Verdana" w:eastAsia="Verdana" w:hAnsi="Verdana"/>
                <w:sz w:val="13"/>
                <w:szCs w:val="13"/>
                <w:b w:val="1"/>
                <w:bCs w:val="1"/>
                <w:color w:val="auto"/>
              </w:rPr>
              <w:t>Available for Sale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260"/>
              <w:spacing w:after="0"/>
              <w:rPr>
                <w:sz w:val="20"/>
                <w:szCs w:val="20"/>
                <w:color w:val="auto"/>
              </w:rPr>
            </w:pPr>
            <w:r>
              <w:rPr>
                <w:rFonts w:ascii="Verdana" w:cs="Verdana" w:eastAsia="Verdana" w:hAnsi="Verdana"/>
                <w:sz w:val="13"/>
                <w:szCs w:val="13"/>
                <w:b w:val="1"/>
                <w:bCs w:val="1"/>
                <w:color w:val="auto"/>
                <w:w w:val="96"/>
              </w:rPr>
              <w:t>Held to Maturity</w:t>
            </w:r>
          </w:p>
        </w:tc>
        <w:tc>
          <w:tcPr>
            <w:tcW w:w="340" w:type="dxa"/>
            <w:vAlign w:val="bottom"/>
          </w:tcPr>
          <w:p>
            <w:pPr>
              <w:spacing w:after="0"/>
              <w:rPr>
                <w:sz w:val="14"/>
                <w:szCs w:val="14"/>
                <w:color w:val="auto"/>
              </w:rPr>
            </w:pPr>
          </w:p>
        </w:tc>
        <w:tc>
          <w:tcPr>
            <w:tcW w:w="1420" w:type="dxa"/>
            <w:vAlign w:val="bottom"/>
          </w:tcPr>
          <w:p>
            <w:pPr>
              <w:jc w:val="right"/>
              <w:ind w:right="635"/>
              <w:spacing w:after="0"/>
              <w:rPr>
                <w:sz w:val="20"/>
                <w:szCs w:val="20"/>
                <w:color w:val="auto"/>
              </w:rPr>
            </w:pPr>
            <w:r>
              <w:rPr>
                <w:rFonts w:ascii="Verdana" w:cs="Verdana" w:eastAsia="Verdana" w:hAnsi="Verdana"/>
                <w:sz w:val="13"/>
                <w:szCs w:val="13"/>
                <w:b w:val="1"/>
                <w:bCs w:val="1"/>
                <w:color w:val="auto"/>
              </w:rPr>
              <w:t>Total</w:t>
            </w:r>
          </w:p>
        </w:tc>
      </w:tr>
      <w:tr>
        <w:trPr>
          <w:trHeight w:val="223"/>
        </w:trPr>
        <w:tc>
          <w:tcPr>
            <w:tcW w:w="5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with gross unrealized or unrecognized losses,</w:t>
            </w:r>
          </w:p>
        </w:tc>
        <w:tc>
          <w:tcPr>
            <w:tcW w:w="12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15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auto"/>
            </w:tcBorders>
            <w:shd w:val="clear" w:color="auto" w:fill="E0E7ED"/>
          </w:tcPr>
          <w:p>
            <w:pPr>
              <w:spacing w:after="0"/>
              <w:rPr>
                <w:sz w:val="19"/>
                <w:szCs w:val="19"/>
                <w:color w:val="auto"/>
              </w:rPr>
            </w:pPr>
          </w:p>
        </w:tc>
        <w:tc>
          <w:tcPr>
            <w:tcW w:w="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1440" w:type="dxa"/>
            <w:vAlign w:val="bottom"/>
            <w:tcBorders>
              <w:top w:val="single" w:sz="8" w:color="auto"/>
            </w:tcBorders>
            <w:shd w:val="clear" w:color="auto" w:fill="E0E7ED"/>
          </w:tcPr>
          <w:p>
            <w:pPr>
              <w:spacing w:after="0"/>
              <w:rPr>
                <w:sz w:val="19"/>
                <w:szCs w:val="19"/>
                <w:color w:val="auto"/>
              </w:rPr>
            </w:pPr>
          </w:p>
        </w:tc>
        <w:tc>
          <w:tcPr>
            <w:tcW w:w="20" w:type="dxa"/>
            <w:vAlign w:val="bottom"/>
            <w:tcBorders>
              <w:top w:val="single" w:sz="8" w:color="E0E7ED"/>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420" w:type="dxa"/>
            <w:vAlign w:val="bottom"/>
            <w:tcBorders>
              <w:top w:val="single" w:sz="8" w:color="auto"/>
            </w:tcBorders>
            <w:shd w:val="clear" w:color="auto" w:fill="E0E7ED"/>
          </w:tcPr>
          <w:p>
            <w:pPr>
              <w:spacing w:after="0"/>
              <w:rPr>
                <w:sz w:val="19"/>
                <w:szCs w:val="19"/>
                <w:color w:val="auto"/>
              </w:rPr>
            </w:pPr>
          </w:p>
        </w:tc>
      </w:tr>
      <w:tr>
        <w:trPr>
          <w:trHeight w:val="248"/>
        </w:trPr>
        <w:tc>
          <w:tcPr>
            <w:tcW w:w="57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fair value</w:t>
            </w:r>
          </w:p>
        </w:tc>
        <w:tc>
          <w:tcPr>
            <w:tcW w:w="2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500" w:type="dxa"/>
            <w:vAlign w:val="bottom"/>
            <w:shd w:val="clear" w:color="auto" w:fill="E0E7ED"/>
          </w:tcPr>
          <w:p>
            <w:pPr>
              <w:jc w:val="right"/>
              <w:ind w:right="35"/>
              <w:spacing w:after="0"/>
              <w:rPr>
                <w:sz w:val="20"/>
                <w:szCs w:val="20"/>
                <w:color w:val="auto"/>
              </w:rPr>
            </w:pPr>
            <w:r>
              <w:rPr>
                <w:rFonts w:ascii="Verdana" w:cs="Verdana" w:eastAsia="Verdana" w:hAnsi="Verdana"/>
                <w:sz w:val="18"/>
                <w:szCs w:val="18"/>
                <w:color w:val="auto"/>
              </w:rPr>
              <w:t>2,439,533</w:t>
            </w:r>
          </w:p>
        </w:tc>
        <w:tc>
          <w:tcPr>
            <w:tcW w:w="380" w:type="dxa"/>
            <w:vAlign w:val="bottom"/>
            <w:gridSpan w:val="4"/>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785,295</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42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3,224,828</w:t>
            </w:r>
          </w:p>
        </w:tc>
      </w:tr>
      <w:tr>
        <w:trPr>
          <w:trHeight w:val="263"/>
        </w:trPr>
        <w:tc>
          <w:tcPr>
            <w:tcW w:w="5780" w:type="dxa"/>
            <w:vAlign w:val="bottom"/>
          </w:tcPr>
          <w:p>
            <w:pPr>
              <w:ind w:left="20"/>
              <w:spacing w:after="0"/>
              <w:rPr>
                <w:sz w:val="20"/>
                <w:szCs w:val="20"/>
                <w:color w:val="auto"/>
              </w:rPr>
            </w:pPr>
            <w:r>
              <w:rPr>
                <w:rFonts w:ascii="Verdana" w:cs="Verdana" w:eastAsia="Verdana" w:hAnsi="Verdana"/>
                <w:sz w:val="18"/>
                <w:szCs w:val="18"/>
                <w:color w:val="auto"/>
              </w:rPr>
              <w:t>Gross unrealized or unrecognized losses on debt securities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Verdana" w:cs="Verdana" w:eastAsia="Verdana" w:hAnsi="Verdana"/>
                <w:sz w:val="18"/>
                <w:szCs w:val="18"/>
                <w:color w:val="auto"/>
              </w:rPr>
              <w:t>311,204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133,017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Verdana" w:cs="Verdana" w:eastAsia="Verdana" w:hAnsi="Verdana"/>
                <w:sz w:val="18"/>
                <w:szCs w:val="18"/>
                <w:color w:val="auto"/>
              </w:rPr>
              <w:t>444,221</w:t>
            </w:r>
          </w:p>
        </w:tc>
      </w:tr>
      <w:tr>
        <w:trPr>
          <w:trHeight w:val="244"/>
        </w:trPr>
        <w:tc>
          <w:tcPr>
            <w:tcW w:w="57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Ratio of gross unrealized or unrecognized losses to debt</w:t>
            </w:r>
          </w:p>
        </w:tc>
        <w:tc>
          <w:tcPr>
            <w:tcW w:w="12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5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4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r>
      <w:tr>
        <w:trPr>
          <w:trHeight w:val="248"/>
        </w:trPr>
        <w:tc>
          <w:tcPr>
            <w:tcW w:w="57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securities with gross unrealized or unrecognized losses</w:t>
            </w:r>
          </w:p>
        </w:tc>
        <w:tc>
          <w:tcPr>
            <w:tcW w:w="12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64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12.8 %</w:t>
            </w:r>
          </w:p>
        </w:tc>
        <w:tc>
          <w:tcPr>
            <w:tcW w:w="10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16.9</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13.8 %</w:t>
            </w:r>
          </w:p>
        </w:tc>
      </w:tr>
      <w:tr>
        <w:trPr>
          <w:trHeight w:val="270"/>
        </w:trPr>
        <w:tc>
          <w:tcPr>
            <w:tcW w:w="5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57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Count of debt securities</w:t>
            </w:r>
          </w:p>
        </w:tc>
        <w:tc>
          <w:tcPr>
            <w:tcW w:w="120" w:type="dxa"/>
            <w:vAlign w:val="bottom"/>
            <w:shd w:val="clear" w:color="auto" w:fill="E0E7ED"/>
          </w:tcPr>
          <w:p>
            <w:pPr>
              <w:spacing w:after="0"/>
              <w:rPr>
                <w:sz w:val="23"/>
                <w:szCs w:val="23"/>
                <w:color w:val="auto"/>
              </w:rPr>
            </w:pPr>
          </w:p>
        </w:tc>
        <w:tc>
          <w:tcPr>
            <w:tcW w:w="140" w:type="dxa"/>
            <w:vAlign w:val="bottom"/>
            <w:shd w:val="clear" w:color="auto" w:fill="E0E7ED"/>
          </w:tcPr>
          <w:p>
            <w:pPr>
              <w:spacing w:after="0"/>
              <w:rPr>
                <w:sz w:val="23"/>
                <w:szCs w:val="23"/>
                <w:color w:val="auto"/>
              </w:rPr>
            </w:pPr>
          </w:p>
        </w:tc>
        <w:tc>
          <w:tcPr>
            <w:tcW w:w="1500" w:type="dxa"/>
            <w:vAlign w:val="bottom"/>
            <w:shd w:val="clear" w:color="auto" w:fill="E0E7ED"/>
          </w:tcPr>
          <w:p>
            <w:pPr>
              <w:jc w:val="right"/>
              <w:ind w:right="35"/>
              <w:spacing w:after="0"/>
              <w:rPr>
                <w:sz w:val="20"/>
                <w:szCs w:val="20"/>
                <w:color w:val="auto"/>
              </w:rPr>
            </w:pPr>
            <w:r>
              <w:rPr>
                <w:rFonts w:ascii="Verdana" w:cs="Verdana" w:eastAsia="Verdana" w:hAnsi="Verdana"/>
                <w:sz w:val="18"/>
                <w:szCs w:val="18"/>
                <w:color w:val="auto"/>
              </w:rPr>
              <w:t>1,091</w:t>
            </w:r>
          </w:p>
        </w:tc>
        <w:tc>
          <w:tcPr>
            <w:tcW w:w="10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40" w:type="dxa"/>
            <w:vAlign w:val="bottom"/>
            <w:shd w:val="clear" w:color="auto" w:fill="E0E7ED"/>
          </w:tcPr>
          <w:p>
            <w:pPr>
              <w:spacing w:after="0"/>
              <w:rPr>
                <w:sz w:val="23"/>
                <w:szCs w:val="23"/>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42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1,146</w:t>
            </w:r>
          </w:p>
        </w:tc>
      </w:tr>
      <w:tr>
        <w:trPr>
          <w:trHeight w:val="238"/>
        </w:trPr>
        <w:tc>
          <w:tcPr>
            <w:tcW w:w="5780" w:type="dxa"/>
            <w:vAlign w:val="bottom"/>
          </w:tcPr>
          <w:p>
            <w:pPr>
              <w:ind w:left="20"/>
              <w:spacing w:after="0"/>
              <w:rPr>
                <w:sz w:val="20"/>
                <w:szCs w:val="20"/>
                <w:color w:val="auto"/>
              </w:rPr>
            </w:pPr>
            <w:r>
              <w:rPr>
                <w:rFonts w:ascii="Verdana" w:cs="Verdana" w:eastAsia="Verdana" w:hAnsi="Verdana"/>
                <w:sz w:val="18"/>
                <w:szCs w:val="18"/>
                <w:color w:val="auto"/>
              </w:rPr>
              <w:t>Count of debt securities in an unrealized or unrecognized loss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5"/>
        </w:trPr>
        <w:tc>
          <w:tcPr>
            <w:tcW w:w="5780" w:type="dxa"/>
            <w:vAlign w:val="bottom"/>
          </w:tcPr>
          <w:p>
            <w:pPr>
              <w:ind w:left="20"/>
              <w:spacing w:after="0"/>
              <w:rPr>
                <w:sz w:val="20"/>
                <w:szCs w:val="20"/>
                <w:color w:val="auto"/>
              </w:rPr>
            </w:pPr>
            <w:r>
              <w:rPr>
                <w:rFonts w:ascii="Verdana" w:cs="Verdana" w:eastAsia="Verdana" w:hAnsi="Verdana"/>
                <w:sz w:val="18"/>
                <w:szCs w:val="18"/>
                <w:color w:val="auto"/>
              </w:rPr>
              <w:t>position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Verdana" w:cs="Verdana" w:eastAsia="Verdana" w:hAnsi="Verdana"/>
                <w:sz w:val="18"/>
                <w:szCs w:val="18"/>
                <w:color w:val="auto"/>
              </w:rPr>
              <w:t>1,032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ind w:right="195"/>
              <w:spacing w:after="0"/>
              <w:rPr>
                <w:sz w:val="20"/>
                <w:szCs w:val="20"/>
                <w:color w:val="auto"/>
              </w:rPr>
            </w:pPr>
            <w:r>
              <w:rPr>
                <w:rFonts w:ascii="Verdana" w:cs="Verdana" w:eastAsia="Verdana" w:hAnsi="Verdana"/>
                <w:sz w:val="18"/>
                <w:szCs w:val="18"/>
                <w:color w:val="auto"/>
              </w:rPr>
              <w:t>1,087</w:t>
            </w:r>
          </w:p>
        </w:tc>
      </w:tr>
    </w:tbl>
    <w:p>
      <w:pPr>
        <w:spacing w:after="0" w:line="278"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Unrealized and unrecognized losses were related to changes in market interest rates and market conditions that do not represent credit-related impairments. Unless part of a corporate strategy or restructuring plan, Busey does not intend to sell securities that are in an unrealized or unrecognized loss position, and it is more likely than not that Busey will recover the amortized cost prior to being required to sell the debt securities. Full collection of the amounts due according to the contractual terms of the debt securities is expected; therefore, no ACL was recorded in relation to debt securities, and the impairment related to noncredit factors on debt securities available for sale is recognized in AOCI, net of applicable taxes. As of December 31, 2023, Busey did not hold general obligation bonds of any single issuer, the aggregate of which exceeded 10% of the Company’s stockholders’ equity.</w:t>
      </w:r>
    </w:p>
    <w:p>
      <w:pPr>
        <w:spacing w:after="0" w:line="21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2" w:name="page123"/>
    <w:bookmarkEnd w:id="12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3. PORTFOLIO LOANS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 Categories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Busey’s lending can be summarized into two primary categories: commercial and retail. Lending is further disaggregated into five primary classes of loans: commercial loans, commercial real estate loans, real estate construction loans in the commercial category, and retail real estate loans and retail other loans in the retail category. Distributions of the loan portfolio by loan category and class is presented in the following table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2"/>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1,835,994</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1,974,154</w:t>
            </w: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3,261,873</w:t>
            </w:r>
          </w:p>
        </w:tc>
      </w:tr>
      <w:tr>
        <w:trPr>
          <w:trHeight w:val="263"/>
        </w:trPr>
        <w:tc>
          <w:tcPr>
            <w:tcW w:w="7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530,469</w:t>
            </w:r>
          </w:p>
        </w:tc>
      </w:tr>
      <w:tr>
        <w:trPr>
          <w:trHeight w:val="270"/>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5,766,496</w:t>
            </w:r>
          </w:p>
        </w:tc>
      </w:tr>
      <w:tr>
        <w:trPr>
          <w:trHeight w:val="243"/>
        </w:trPr>
        <w:tc>
          <w:tcPr>
            <w:tcW w:w="790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1,657,082</w:t>
            </w:r>
          </w:p>
        </w:tc>
      </w:tr>
      <w:tr>
        <w:trPr>
          <w:trHeight w:val="263"/>
        </w:trPr>
        <w:tc>
          <w:tcPr>
            <w:tcW w:w="7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302,124</w:t>
            </w:r>
          </w:p>
        </w:tc>
      </w:tr>
      <w:tr>
        <w:trPr>
          <w:trHeight w:val="264"/>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8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c>
          <w:tcPr>
            <w:tcW w:w="100" w:type="dxa"/>
            <w:vAlign w:val="bottom"/>
            <w:shd w:val="clear" w:color="auto" w:fill="E0E7ED"/>
          </w:tcPr>
          <w:p>
            <w:pPr>
              <w:spacing w:after="0"/>
              <w:rPr>
                <w:sz w:val="22"/>
                <w:szCs w:val="22"/>
                <w:color w:val="auto"/>
              </w:rPr>
            </w:pPr>
          </w:p>
        </w:tc>
        <w:tc>
          <w:tcPr>
            <w:tcW w:w="36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1,959,206</w:t>
            </w:r>
          </w:p>
        </w:tc>
      </w:tr>
      <w:tr>
        <w:trPr>
          <w:trHeight w:val="256"/>
        </w:trPr>
        <w:tc>
          <w:tcPr>
            <w:tcW w:w="7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portfolio loans</w:t>
            </w: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7,651,034</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7,725,702</w:t>
            </w:r>
          </w:p>
        </w:tc>
      </w:tr>
      <w:tr>
        <w:trPr>
          <w:trHeight w:val="263"/>
        </w:trPr>
        <w:tc>
          <w:tcPr>
            <w:tcW w:w="790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ACL</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(91,740)</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(91,608)</w:t>
            </w:r>
          </w:p>
        </w:tc>
      </w:tr>
      <w:tr>
        <w:trPr>
          <w:trHeight w:val="295"/>
        </w:trPr>
        <w:tc>
          <w:tcPr>
            <w:tcW w:w="79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Portfolio loans, net</w:t>
            </w: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7,559,294</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7,634,094</w:t>
            </w:r>
          </w:p>
        </w:tc>
      </w:tr>
      <w:tr>
        <w:trPr>
          <w:trHeight w:val="20"/>
        </w:trPr>
        <w:tc>
          <w:tcPr>
            <w:tcW w:w="79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Net deferred loan origination costs included in the balances above were $13.5 million as of December 31, 2023, compared to $14.0 million as of December 31, 2022. Net accretable purchase accounting adjustments included in the balances above reduced loans by $4.5 million as of December 31, 2023, and by $5.9 million as of December 31, 2022. Commercial balances include loans originated under the PPP with an amortized cost of $0.3 million as of December 31, 2023, compared to $0.8 million as of December 31, 2022.</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did not purchase any retail real estate loans during the years ended December 31, 2023, or 2022, and purchased $32.2 million of retail real estate loans during the year ended December 31, 2021.</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Pledged Loans</w:t>
      </w:r>
    </w:p>
    <w:p>
      <w:pPr>
        <w:spacing w:after="0" w:line="18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principal balance of loans Busey has pledged as collateral to the FHLB and Federal Reserve Bank for liquidity as set forth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7"/>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1"/>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7"/>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Pledged loans</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FHLB</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
              <w:spacing w:after="0"/>
              <w:rPr>
                <w:sz w:val="20"/>
                <w:szCs w:val="20"/>
                <w:color w:val="auto"/>
              </w:rPr>
            </w:pPr>
            <w:r>
              <w:rPr>
                <w:rFonts w:ascii="Verdana" w:cs="Verdana" w:eastAsia="Verdana" w:hAnsi="Verdana"/>
                <w:sz w:val="18"/>
                <w:szCs w:val="18"/>
                <w:color w:val="auto"/>
              </w:rPr>
              <w:t>4,865,481</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5,095,448</w:t>
            </w:r>
          </w:p>
        </w:tc>
      </w:tr>
      <w:tr>
        <w:trPr>
          <w:trHeight w:val="270"/>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Federal Reserve Bank</w:t>
            </w:r>
          </w:p>
        </w:tc>
        <w:tc>
          <w:tcPr>
            <w:tcW w:w="3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722,914</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804,718</w:t>
            </w:r>
          </w:p>
        </w:tc>
      </w:tr>
      <w:tr>
        <w:trPr>
          <w:trHeight w:val="270"/>
        </w:trPr>
        <w:tc>
          <w:tcPr>
            <w:tcW w:w="7900" w:type="dxa"/>
            <w:vAlign w:val="bottom"/>
          </w:tcPr>
          <w:p>
            <w:pPr>
              <w:ind w:left="20"/>
              <w:spacing w:after="0"/>
              <w:rPr>
                <w:sz w:val="20"/>
                <w:szCs w:val="20"/>
                <w:color w:val="auto"/>
              </w:rPr>
            </w:pPr>
            <w:r>
              <w:rPr>
                <w:rFonts w:ascii="Verdana" w:cs="Verdana" w:eastAsia="Verdana" w:hAnsi="Verdana"/>
                <w:sz w:val="18"/>
                <w:szCs w:val="18"/>
                <w:color w:val="auto"/>
              </w:rPr>
              <w:t>Total pledged loans</w:t>
            </w: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8"/>
                <w:szCs w:val="18"/>
                <w:color w:val="auto"/>
              </w:rPr>
              <w:t>5,588,395</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5,900,166</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3" w:name="page124"/>
    <w:bookmarkEnd w:id="12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Risk Grading</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Busey utilizes a loan grading scale to assign a risk grade to all of its loans. A description of the general characteristics of each grade is as follows:</w:t>
      </w:r>
    </w:p>
    <w:p>
      <w:pPr>
        <w:spacing w:after="0" w:line="144" w:lineRule="exact"/>
        <w:rPr>
          <w:sz w:val="20"/>
          <w:szCs w:val="20"/>
          <w:color w:val="auto"/>
        </w:rPr>
      </w:pPr>
    </w:p>
    <w:p>
      <w:pPr>
        <w:jc w:val="both"/>
        <w:ind w:left="660" w:hanging="328"/>
        <w:spacing w:after="0" w:line="245" w:lineRule="auto"/>
        <w:tabs>
          <w:tab w:leader="none" w:pos="650" w:val="left"/>
        </w:tabs>
        <w:numPr>
          <w:ilvl w:val="0"/>
          <w:numId w:val="55"/>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Pass </w:t>
      </w:r>
      <w:r>
        <w:rPr>
          <w:rFonts w:ascii="Verdana" w:cs="Verdana" w:eastAsia="Verdana" w:hAnsi="Verdana"/>
          <w:sz w:val="18"/>
          <w:szCs w:val="18"/>
          <w:color w:val="auto"/>
        </w:rPr>
        <w:t>– This category includes loans that are all considered acceptable credits, ranging from investment or near</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investment grade, to loans made to borrowers who exhibit credit fundamentals that meet or exceed industry standards.</w:t>
      </w:r>
    </w:p>
    <w:p>
      <w:pPr>
        <w:spacing w:after="0" w:line="167"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55"/>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Watch </w:t>
      </w:r>
      <w:r>
        <w:rPr>
          <w:rFonts w:ascii="Verdana" w:cs="Verdana" w:eastAsia="Verdana" w:hAnsi="Verdana"/>
          <w:sz w:val="18"/>
          <w:szCs w:val="18"/>
          <w:color w:val="auto"/>
        </w:rPr>
        <w:t>– This category includes loans that warrant a higher-than-average level of monitoring to ensure that</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57"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55"/>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Special mention </w:t>
      </w:r>
      <w:r>
        <w:rPr>
          <w:rFonts w:ascii="Verdana" w:cs="Verdana" w:eastAsia="Verdana" w:hAnsi="Verdana"/>
          <w:sz w:val="18"/>
          <w:szCs w:val="18"/>
          <w:color w:val="auto"/>
        </w:rPr>
        <w:t>– This category is for “Other Assets Specially Mentioned” loans that have potential weaknesses,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may, if not checked or corrected, weaken the asset, or inadequately protect Busey’s credit position at some future date.</w:t>
      </w:r>
    </w:p>
    <w:p>
      <w:pPr>
        <w:spacing w:after="0" w:line="153"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55"/>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Substandard </w:t>
      </w:r>
      <w:r>
        <w:rPr>
          <w:rFonts w:ascii="Verdana" w:cs="Verdana" w:eastAsia="Verdana" w:hAnsi="Verdana"/>
          <w:sz w:val="18"/>
          <w:szCs w:val="18"/>
          <w:color w:val="auto"/>
        </w:rPr>
        <w:t>– This category includes “Substandard” loans, determined in accordance with regulatory guidelines, for</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the accrual of interest has not been stopped. Assets so classified must have a well-defined weakness or weaknesses that jeopardize the liquidation of the debt. They are characterized by the distinct possibility that Busey will sustain some loss if the deficiencies are not corrected.</w:t>
      </w:r>
    </w:p>
    <w:p>
      <w:pPr>
        <w:spacing w:after="0" w:line="170"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55"/>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Substandard non-accrual </w:t>
      </w:r>
      <w:r>
        <w:rPr>
          <w:rFonts w:ascii="Verdana" w:cs="Verdana" w:eastAsia="Verdana" w:hAnsi="Verdana"/>
          <w:sz w:val="18"/>
          <w:szCs w:val="18"/>
          <w:color w:val="auto"/>
        </w:rPr>
        <w:t>– This category includes loans that have all the characteristics of a “Substandard” loan</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with additional factors that make collection in full highly questionable and improbable. Such loans are placed on non-accrual status and may be dependent on collateral with a value that is difficult to determine.</w:t>
      </w:r>
    </w:p>
    <w:p>
      <w:pPr>
        <w:spacing w:after="0" w:line="15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4" w:name="page125"/>
    <w:bookmarkEnd w:id="12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 is a summary of risk grades segregated by category of portfolio loans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100"/>
              <w:spacing w:after="0"/>
              <w:rPr>
                <w:sz w:val="20"/>
                <w:szCs w:val="20"/>
                <w:color w:val="auto"/>
              </w:rPr>
            </w:pPr>
            <w:r>
              <w:rPr>
                <w:rFonts w:ascii="Verdana" w:cs="Verdana" w:eastAsia="Verdana" w:hAnsi="Verdana"/>
                <w:sz w:val="13"/>
                <w:szCs w:val="13"/>
                <w:b w:val="1"/>
                <w:bCs w:val="1"/>
                <w:color w:val="auto"/>
              </w:rPr>
              <w:t>As of December 31, 2023</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60" w:type="dxa"/>
            <w:vAlign w:val="bottom"/>
            <w:gridSpan w:val="2"/>
            <w:vMerge w:val="restart"/>
          </w:tcPr>
          <w:p>
            <w:pPr>
              <w:ind w:left="420"/>
              <w:spacing w:after="0"/>
              <w:rPr>
                <w:sz w:val="20"/>
                <w:szCs w:val="20"/>
                <w:color w:val="auto"/>
              </w:rPr>
            </w:pPr>
            <w:r>
              <w:rPr>
                <w:rFonts w:ascii="Verdana" w:cs="Verdana" w:eastAsia="Verdana" w:hAnsi="Verdana"/>
                <w:sz w:val="13"/>
                <w:szCs w:val="13"/>
                <w:b w:val="1"/>
                <w:bCs w:val="1"/>
                <w:color w:val="auto"/>
              </w:rPr>
              <w:t>Pass</w:t>
            </w:r>
          </w:p>
        </w:tc>
        <w:tc>
          <w:tcPr>
            <w:tcW w:w="24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Watch</w:t>
            </w:r>
          </w:p>
        </w:tc>
        <w:tc>
          <w:tcPr>
            <w:tcW w:w="220" w:type="dxa"/>
            <w:vAlign w:val="bottom"/>
          </w:tcPr>
          <w:p>
            <w:pPr>
              <w:spacing w:after="0"/>
              <w:rPr>
                <w:sz w:val="10"/>
                <w:szCs w:val="10"/>
                <w:color w:val="auto"/>
              </w:rPr>
            </w:pPr>
          </w:p>
        </w:tc>
        <w:tc>
          <w:tcPr>
            <w:tcW w:w="102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Special</w:t>
            </w:r>
          </w:p>
        </w:tc>
        <w:tc>
          <w:tcPr>
            <w:tcW w:w="140" w:type="dxa"/>
            <w:vAlign w:val="bottom"/>
          </w:tcPr>
          <w:p>
            <w:pPr>
              <w:spacing w:after="0"/>
              <w:rPr>
                <w:sz w:val="10"/>
                <w:szCs w:val="10"/>
                <w:color w:val="auto"/>
              </w:rPr>
            </w:pPr>
          </w:p>
        </w:tc>
        <w:tc>
          <w:tcPr>
            <w:tcW w:w="1120" w:type="dxa"/>
            <w:vAlign w:val="bottom"/>
            <w:gridSpan w:val="2"/>
            <w:vMerge w:val="restart"/>
          </w:tcPr>
          <w:p>
            <w:pPr>
              <w:spacing w:after="0"/>
              <w:rPr>
                <w:sz w:val="20"/>
                <w:szCs w:val="20"/>
                <w:color w:val="auto"/>
              </w:rPr>
            </w:pPr>
            <w:r>
              <w:rPr>
                <w:rFonts w:ascii="Verdana" w:cs="Verdana" w:eastAsia="Verdana" w:hAnsi="Verdana"/>
                <w:sz w:val="13"/>
                <w:szCs w:val="13"/>
                <w:b w:val="1"/>
                <w:bCs w:val="1"/>
                <w:color w:val="auto"/>
              </w:rPr>
              <w:t>Substandard</w:t>
            </w:r>
          </w:p>
        </w:tc>
        <w:tc>
          <w:tcPr>
            <w:tcW w:w="14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Verdana" w:cs="Verdana" w:eastAsia="Verdana" w:hAnsi="Verdana"/>
                <w:sz w:val="13"/>
                <w:szCs w:val="13"/>
                <w:b w:val="1"/>
                <w:bCs w:val="1"/>
                <w:color w:val="auto"/>
              </w:rPr>
              <w:t>Substandard</w:t>
            </w:r>
          </w:p>
        </w:tc>
        <w:tc>
          <w:tcPr>
            <w:tcW w:w="1180" w:type="dxa"/>
            <w:vAlign w:val="bottom"/>
            <w:vMerge w:val="restart"/>
          </w:tcPr>
          <w:p>
            <w:pPr>
              <w:jc w:val="right"/>
              <w:ind w:right="33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Mention</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Non-accrual</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11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1180" w:type="dxa"/>
            <w:vAlign w:val="bottom"/>
          </w:tcPr>
          <w:p>
            <w:pPr>
              <w:jc w:val="right"/>
              <w:spacing w:after="0"/>
              <w:rPr>
                <w:sz w:val="20"/>
                <w:szCs w:val="20"/>
                <w:color w:val="auto"/>
              </w:rPr>
            </w:pPr>
            <w:r>
              <w:rPr>
                <w:rFonts w:ascii="Verdana" w:cs="Verdana" w:eastAsia="Verdana" w:hAnsi="Verdana"/>
                <w:sz w:val="18"/>
                <w:szCs w:val="18"/>
                <w:color w:val="auto"/>
                <w:w w:val="97"/>
              </w:rPr>
              <w:t>$ 1,462,755</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940" w:type="dxa"/>
            <w:vAlign w:val="bottom"/>
          </w:tcPr>
          <w:p>
            <w:pPr>
              <w:jc w:val="right"/>
              <w:ind w:right="13"/>
              <w:spacing w:after="0"/>
              <w:rPr>
                <w:sz w:val="20"/>
                <w:szCs w:val="20"/>
                <w:color w:val="auto"/>
              </w:rPr>
            </w:pPr>
            <w:r>
              <w:rPr>
                <w:rFonts w:ascii="Verdana" w:cs="Verdana" w:eastAsia="Verdana" w:hAnsi="Verdana"/>
                <w:sz w:val="18"/>
                <w:szCs w:val="18"/>
                <w:color w:val="auto"/>
              </w:rPr>
              <w:t>296,416</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tcPr>
          <w:p>
            <w:pPr>
              <w:jc w:val="right"/>
              <w:spacing w:after="0"/>
              <w:rPr>
                <w:sz w:val="20"/>
                <w:szCs w:val="20"/>
                <w:color w:val="auto"/>
              </w:rPr>
            </w:pPr>
            <w:r>
              <w:rPr>
                <w:rFonts w:ascii="Verdana" w:cs="Verdana" w:eastAsia="Verdana" w:hAnsi="Verdana"/>
                <w:sz w:val="18"/>
                <w:szCs w:val="18"/>
                <w:color w:val="auto"/>
              </w:rPr>
              <w:t>46,488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13"/>
              <w:spacing w:after="0"/>
              <w:rPr>
                <w:sz w:val="20"/>
                <w:szCs w:val="20"/>
                <w:color w:val="auto"/>
              </w:rPr>
            </w:pPr>
            <w:r>
              <w:rPr>
                <w:rFonts w:ascii="Verdana" w:cs="Verdana" w:eastAsia="Verdana" w:hAnsi="Verdana"/>
                <w:sz w:val="18"/>
                <w:szCs w:val="18"/>
                <w:color w:val="auto"/>
              </w:rPr>
              <w:t>27,733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040" w:type="dxa"/>
            <w:vAlign w:val="bottom"/>
          </w:tcPr>
          <w:p>
            <w:pPr>
              <w:jc w:val="right"/>
              <w:ind w:right="15"/>
              <w:spacing w:after="0"/>
              <w:rPr>
                <w:sz w:val="20"/>
                <w:szCs w:val="20"/>
                <w:color w:val="auto"/>
              </w:rPr>
            </w:pPr>
            <w:r>
              <w:rPr>
                <w:rFonts w:ascii="Verdana" w:cs="Verdana" w:eastAsia="Verdana" w:hAnsi="Verdana"/>
                <w:sz w:val="18"/>
                <w:szCs w:val="18"/>
                <w:color w:val="auto"/>
              </w:rPr>
              <w:t>2,602</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w w:val="97"/>
              </w:rPr>
              <w:t>$ 1,835,994</w:t>
            </w:r>
          </w:p>
        </w:tc>
        <w:tc>
          <w:tcPr>
            <w:tcW w:w="0" w:type="dxa"/>
            <w:vAlign w:val="bottom"/>
          </w:tcPr>
          <w:p>
            <w:pPr>
              <w:spacing w:after="0"/>
              <w:rPr>
                <w:sz w:val="1"/>
                <w:szCs w:val="1"/>
                <w:color w:val="auto"/>
              </w:rPr>
            </w:pPr>
          </w:p>
        </w:tc>
      </w:tr>
      <w:tr>
        <w:trPr>
          <w:trHeight w:val="277"/>
        </w:trPr>
        <w:tc>
          <w:tcPr>
            <w:tcW w:w="3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2,827,030</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9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431,427</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48,545</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29,492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843</w:t>
            </w:r>
          </w:p>
        </w:tc>
        <w:tc>
          <w:tcPr>
            <w:tcW w:w="8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Verdana" w:cs="Verdana" w:eastAsia="Verdana" w:hAnsi="Verdana"/>
                <w:sz w:val="18"/>
                <w:szCs w:val="18"/>
                <w:color w:val="auto"/>
              </w:rPr>
              <w:t>Real estate construction</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448,011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Verdana" w:cs="Verdana" w:eastAsia="Verdana" w:hAnsi="Verdana"/>
                <w:sz w:val="18"/>
                <w:szCs w:val="18"/>
                <w:color w:val="auto"/>
              </w:rPr>
              <w:t>8,135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Verdana" w:cs="Verdana" w:eastAsia="Verdana" w:hAnsi="Verdana"/>
                <w:sz w:val="18"/>
                <w:szCs w:val="18"/>
                <w:color w:val="auto"/>
              </w:rPr>
              <w:t>5,327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Verdana" w:cs="Verdana" w:eastAsia="Verdana" w:hAnsi="Verdana"/>
                <w:sz w:val="18"/>
                <w:szCs w:val="18"/>
                <w:color w:val="auto"/>
              </w:rPr>
              <w:t>244</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461,717</w:t>
            </w:r>
          </w:p>
        </w:tc>
        <w:tc>
          <w:tcPr>
            <w:tcW w:w="0" w:type="dxa"/>
            <w:vAlign w:val="bottom"/>
          </w:tcPr>
          <w:p>
            <w:pPr>
              <w:spacing w:after="0"/>
              <w:rPr>
                <w:sz w:val="1"/>
                <w:szCs w:val="1"/>
                <w:color w:val="auto"/>
              </w:rPr>
            </w:pPr>
          </w:p>
        </w:tc>
      </w:tr>
      <w:tr>
        <w:trPr>
          <w:trHeight w:val="270"/>
        </w:trPr>
        <w:tc>
          <w:tcPr>
            <w:tcW w:w="3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4,737,796</w:t>
            </w:r>
          </w:p>
        </w:tc>
        <w:tc>
          <w:tcPr>
            <w:tcW w:w="80" w:type="dxa"/>
            <w:vAlign w:val="bottom"/>
            <w:tcBorders>
              <w:top w:val="single" w:sz="8" w:color="E0E7ED"/>
            </w:tcBorders>
            <w:shd w:val="clear" w:color="auto" w:fill="E0E7ED"/>
          </w:tcPr>
          <w:p>
            <w:pPr>
              <w:spacing w:after="0"/>
              <w:rPr>
                <w:sz w:val="23"/>
                <w:szCs w:val="23"/>
                <w:color w:val="auto"/>
              </w:rPr>
            </w:pPr>
          </w:p>
        </w:tc>
        <w:tc>
          <w:tcPr>
            <w:tcW w:w="240" w:type="dxa"/>
            <w:vAlign w:val="bottom"/>
            <w:tcBorders>
              <w:top w:val="single" w:sz="8" w:color="auto"/>
              <w:bottom w:val="single" w:sz="8" w:color="auto"/>
            </w:tcBorders>
            <w:shd w:val="clear" w:color="auto" w:fill="E0E7ED"/>
          </w:tcPr>
          <w:p>
            <w:pPr>
              <w:spacing w:after="0"/>
              <w:rPr>
                <w:sz w:val="23"/>
                <w:szCs w:val="23"/>
                <w:color w:val="auto"/>
              </w:rPr>
            </w:pPr>
          </w:p>
        </w:tc>
        <w:tc>
          <w:tcPr>
            <w:tcW w:w="94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735,978</w:t>
            </w:r>
          </w:p>
        </w:tc>
        <w:tc>
          <w:tcPr>
            <w:tcW w:w="80" w:type="dxa"/>
            <w:vAlign w:val="bottom"/>
            <w:tcBorders>
              <w:top w:val="single" w:sz="8" w:color="E0E7ED"/>
            </w:tcBorders>
            <w:shd w:val="clear" w:color="auto" w:fill="E0E7ED"/>
          </w:tcPr>
          <w:p>
            <w:pPr>
              <w:spacing w:after="0"/>
              <w:rPr>
                <w:sz w:val="23"/>
                <w:szCs w:val="23"/>
                <w:color w:val="auto"/>
              </w:rPr>
            </w:pPr>
          </w:p>
        </w:tc>
        <w:tc>
          <w:tcPr>
            <w:tcW w:w="220" w:type="dxa"/>
            <w:vAlign w:val="bottom"/>
            <w:tcBorders>
              <w:top w:val="single" w:sz="8" w:color="auto"/>
              <w:bottom w:val="single" w:sz="8" w:color="auto"/>
            </w:tcBorders>
            <w:shd w:val="clear" w:color="auto" w:fill="E0E7ED"/>
          </w:tcPr>
          <w:p>
            <w:pPr>
              <w:spacing w:after="0"/>
              <w:rPr>
                <w:sz w:val="23"/>
                <w:szCs w:val="23"/>
                <w:color w:val="auto"/>
              </w:rPr>
            </w:pPr>
          </w:p>
        </w:tc>
        <w:tc>
          <w:tcPr>
            <w:tcW w:w="9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95,033</w:t>
            </w:r>
          </w:p>
        </w:tc>
        <w:tc>
          <w:tcPr>
            <w:tcW w:w="80" w:type="dxa"/>
            <w:vAlign w:val="bottom"/>
            <w:tcBorders>
              <w:top w:val="single" w:sz="8" w:color="E0E7ED"/>
            </w:tcBorders>
            <w:shd w:val="clear" w:color="auto" w:fill="E0E7ED"/>
          </w:tcPr>
          <w:p>
            <w:pPr>
              <w:spacing w:after="0"/>
              <w:rPr>
                <w:sz w:val="23"/>
                <w:szCs w:val="23"/>
                <w:color w:val="auto"/>
              </w:rPr>
            </w:pPr>
          </w:p>
        </w:tc>
        <w:tc>
          <w:tcPr>
            <w:tcW w:w="140" w:type="dxa"/>
            <w:vAlign w:val="bottom"/>
            <w:tcBorders>
              <w:top w:val="single" w:sz="8" w:color="auto"/>
              <w:bottom w:val="single" w:sz="8" w:color="auto"/>
            </w:tcBorders>
            <w:shd w:val="clear" w:color="auto" w:fill="E0E7ED"/>
          </w:tcPr>
          <w:p>
            <w:pPr>
              <w:spacing w:after="0"/>
              <w:rPr>
                <w:sz w:val="23"/>
                <w:szCs w:val="23"/>
                <w:color w:val="auto"/>
              </w:rPr>
            </w:pPr>
          </w:p>
        </w:tc>
        <w:tc>
          <w:tcPr>
            <w:tcW w:w="104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62,552</w:t>
            </w:r>
          </w:p>
        </w:tc>
        <w:tc>
          <w:tcPr>
            <w:tcW w:w="80" w:type="dxa"/>
            <w:vAlign w:val="bottom"/>
            <w:tcBorders>
              <w:top w:val="single" w:sz="8" w:color="E0E7ED"/>
            </w:tcBorders>
            <w:shd w:val="clear" w:color="auto" w:fill="E0E7ED"/>
          </w:tcPr>
          <w:p>
            <w:pPr>
              <w:spacing w:after="0"/>
              <w:rPr>
                <w:sz w:val="23"/>
                <w:szCs w:val="23"/>
                <w:color w:val="auto"/>
              </w:rPr>
            </w:pPr>
          </w:p>
        </w:tc>
        <w:tc>
          <w:tcPr>
            <w:tcW w:w="140" w:type="dxa"/>
            <w:vAlign w:val="bottom"/>
            <w:tcBorders>
              <w:top w:val="single" w:sz="8" w:color="auto"/>
              <w:bottom w:val="single" w:sz="8" w:color="auto"/>
            </w:tcBorders>
            <w:shd w:val="clear" w:color="auto" w:fill="E0E7ED"/>
          </w:tcPr>
          <w:p>
            <w:pPr>
              <w:spacing w:after="0"/>
              <w:rPr>
                <w:sz w:val="23"/>
                <w:szCs w:val="23"/>
                <w:color w:val="auto"/>
              </w:rPr>
            </w:pPr>
          </w:p>
        </w:tc>
        <w:tc>
          <w:tcPr>
            <w:tcW w:w="1040" w:type="dxa"/>
            <w:vAlign w:val="bottom"/>
            <w:tcBorders>
              <w:top w:val="single" w:sz="8" w:color="auto"/>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3,689</w:t>
            </w:r>
          </w:p>
        </w:tc>
        <w:tc>
          <w:tcPr>
            <w:tcW w:w="80" w:type="dxa"/>
            <w:vAlign w:val="bottom"/>
            <w:tcBorders>
              <w:top w:val="single" w:sz="8" w:color="E0E7ED"/>
            </w:tcBorders>
            <w:shd w:val="clear" w:color="auto" w:fill="E0E7ED"/>
          </w:tcPr>
          <w:p>
            <w:pPr>
              <w:spacing w:after="0"/>
              <w:rPr>
                <w:sz w:val="23"/>
                <w:szCs w:val="23"/>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1,702,897</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9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11,144</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1,024</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1,795</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3,595</w:t>
            </w:r>
          </w:p>
        </w:tc>
        <w:tc>
          <w:tcPr>
            <w:tcW w:w="8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295,374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4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Verdana" w:cs="Verdana" w:eastAsia="Verdana" w:hAnsi="Verdana"/>
                <w:sz w:val="18"/>
                <w:szCs w:val="18"/>
                <w:color w:val="auto"/>
              </w:rPr>
              <w:t>157</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295,531</w:t>
            </w:r>
          </w:p>
        </w:tc>
        <w:tc>
          <w:tcPr>
            <w:tcW w:w="0" w:type="dxa"/>
            <w:vAlign w:val="bottom"/>
          </w:tcPr>
          <w:p>
            <w:pPr>
              <w:spacing w:after="0"/>
              <w:rPr>
                <w:sz w:val="1"/>
                <w:szCs w:val="1"/>
                <w:color w:val="auto"/>
              </w:rPr>
            </w:pPr>
          </w:p>
        </w:tc>
      </w:tr>
      <w:tr>
        <w:trPr>
          <w:trHeight w:val="263"/>
        </w:trPr>
        <w:tc>
          <w:tcPr>
            <w:tcW w:w="3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1,998,271</w:t>
            </w: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bottom w:val="single" w:sz="8" w:color="auto"/>
            </w:tcBorders>
            <w:shd w:val="clear" w:color="auto" w:fill="E0E7ED"/>
          </w:tcPr>
          <w:p>
            <w:pPr>
              <w:spacing w:after="0"/>
              <w:rPr>
                <w:sz w:val="22"/>
                <w:szCs w:val="22"/>
                <w:color w:val="auto"/>
              </w:rPr>
            </w:pPr>
          </w:p>
        </w:tc>
        <w:tc>
          <w:tcPr>
            <w:tcW w:w="94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11,144</w:t>
            </w: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94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1,024</w:t>
            </w:r>
          </w:p>
        </w:tc>
        <w:tc>
          <w:tcPr>
            <w:tcW w:w="8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bottom w:val="single" w:sz="8" w:color="auto"/>
            </w:tcBorders>
            <w:shd w:val="clear" w:color="auto" w:fill="E0E7ED"/>
          </w:tcPr>
          <w:p>
            <w:pPr>
              <w:spacing w:after="0"/>
              <w:rPr>
                <w:sz w:val="22"/>
                <w:szCs w:val="22"/>
                <w:color w:val="auto"/>
              </w:rPr>
            </w:pPr>
          </w:p>
        </w:tc>
        <w:tc>
          <w:tcPr>
            <w:tcW w:w="104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1,795</w:t>
            </w:r>
          </w:p>
        </w:tc>
        <w:tc>
          <w:tcPr>
            <w:tcW w:w="8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bottom w:val="single" w:sz="8" w:color="auto"/>
            </w:tcBorders>
            <w:shd w:val="clear" w:color="auto" w:fill="E0E7ED"/>
          </w:tcPr>
          <w:p>
            <w:pPr>
              <w:spacing w:after="0"/>
              <w:rPr>
                <w:sz w:val="22"/>
                <w:szCs w:val="22"/>
                <w:color w:val="auto"/>
              </w:rPr>
            </w:pPr>
          </w:p>
        </w:tc>
        <w:tc>
          <w:tcPr>
            <w:tcW w:w="1040" w:type="dxa"/>
            <w:vAlign w:val="bottom"/>
            <w:tcBorders>
              <w:top w:val="single" w:sz="8" w:color="auto"/>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3,752</w:t>
            </w:r>
          </w:p>
        </w:tc>
        <w:tc>
          <w:tcPr>
            <w:tcW w:w="80" w:type="dxa"/>
            <w:vAlign w:val="bottom"/>
            <w:tcBorders>
              <w:top w:val="single" w:sz="8" w:color="E0E7ED"/>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7"/>
              </w:rPr>
              <w:t>$ 6,736,067</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9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747,122</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96,057</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64,347</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0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7,441</w:t>
            </w:r>
          </w:p>
        </w:tc>
        <w:tc>
          <w:tcPr>
            <w:tcW w:w="80" w:type="dxa"/>
            <w:vAlign w:val="bottom"/>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7"/>
              </w:rPr>
              <w:t>$ 7,651,034</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100"/>
              <w:spacing w:after="0"/>
              <w:rPr>
                <w:sz w:val="20"/>
                <w:szCs w:val="20"/>
                <w:color w:val="auto"/>
              </w:rPr>
            </w:pPr>
            <w:r>
              <w:rPr>
                <w:rFonts w:ascii="Verdana" w:cs="Verdana" w:eastAsia="Verdana" w:hAnsi="Verdana"/>
                <w:sz w:val="13"/>
                <w:szCs w:val="13"/>
                <w:b w:val="1"/>
                <w:bCs w:val="1"/>
                <w:color w:val="auto"/>
              </w:rPr>
              <w:t>As of December 31, 2022</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60" w:type="dxa"/>
            <w:vAlign w:val="bottom"/>
            <w:gridSpan w:val="2"/>
            <w:vMerge w:val="restart"/>
          </w:tcPr>
          <w:p>
            <w:pPr>
              <w:ind w:left="420"/>
              <w:spacing w:after="0"/>
              <w:rPr>
                <w:sz w:val="20"/>
                <w:szCs w:val="20"/>
                <w:color w:val="auto"/>
              </w:rPr>
            </w:pPr>
            <w:r>
              <w:rPr>
                <w:rFonts w:ascii="Verdana" w:cs="Verdana" w:eastAsia="Verdana" w:hAnsi="Verdana"/>
                <w:sz w:val="13"/>
                <w:szCs w:val="13"/>
                <w:b w:val="1"/>
                <w:bCs w:val="1"/>
                <w:color w:val="auto"/>
              </w:rPr>
              <w:t>Pass</w:t>
            </w:r>
          </w:p>
        </w:tc>
        <w:tc>
          <w:tcPr>
            <w:tcW w:w="24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Watch</w:t>
            </w:r>
          </w:p>
        </w:tc>
        <w:tc>
          <w:tcPr>
            <w:tcW w:w="220" w:type="dxa"/>
            <w:vAlign w:val="bottom"/>
          </w:tcPr>
          <w:p>
            <w:pPr>
              <w:spacing w:after="0"/>
              <w:rPr>
                <w:sz w:val="10"/>
                <w:szCs w:val="10"/>
                <w:color w:val="auto"/>
              </w:rPr>
            </w:pPr>
          </w:p>
        </w:tc>
        <w:tc>
          <w:tcPr>
            <w:tcW w:w="102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Special</w:t>
            </w:r>
          </w:p>
        </w:tc>
        <w:tc>
          <w:tcPr>
            <w:tcW w:w="140" w:type="dxa"/>
            <w:vAlign w:val="bottom"/>
          </w:tcPr>
          <w:p>
            <w:pPr>
              <w:spacing w:after="0"/>
              <w:rPr>
                <w:sz w:val="10"/>
                <w:szCs w:val="10"/>
                <w:color w:val="auto"/>
              </w:rPr>
            </w:pPr>
          </w:p>
        </w:tc>
        <w:tc>
          <w:tcPr>
            <w:tcW w:w="1120" w:type="dxa"/>
            <w:vAlign w:val="bottom"/>
            <w:gridSpan w:val="2"/>
            <w:vMerge w:val="restart"/>
          </w:tcPr>
          <w:p>
            <w:pPr>
              <w:spacing w:after="0"/>
              <w:rPr>
                <w:sz w:val="20"/>
                <w:szCs w:val="20"/>
                <w:color w:val="auto"/>
              </w:rPr>
            </w:pPr>
            <w:r>
              <w:rPr>
                <w:rFonts w:ascii="Verdana" w:cs="Verdana" w:eastAsia="Verdana" w:hAnsi="Verdana"/>
                <w:sz w:val="13"/>
                <w:szCs w:val="13"/>
                <w:b w:val="1"/>
                <w:bCs w:val="1"/>
                <w:color w:val="auto"/>
              </w:rPr>
              <w:t>Substandard</w:t>
            </w:r>
          </w:p>
        </w:tc>
        <w:tc>
          <w:tcPr>
            <w:tcW w:w="14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Verdana" w:cs="Verdana" w:eastAsia="Verdana" w:hAnsi="Verdana"/>
                <w:sz w:val="13"/>
                <w:szCs w:val="13"/>
                <w:b w:val="1"/>
                <w:bCs w:val="1"/>
                <w:color w:val="auto"/>
              </w:rPr>
              <w:t>Substandard</w:t>
            </w:r>
          </w:p>
        </w:tc>
        <w:tc>
          <w:tcPr>
            <w:tcW w:w="1180" w:type="dxa"/>
            <w:vAlign w:val="bottom"/>
            <w:vMerge w:val="restart"/>
          </w:tcPr>
          <w:p>
            <w:pPr>
              <w:jc w:val="right"/>
              <w:ind w:right="33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Mention</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Non-accrual</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11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10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1180" w:type="dxa"/>
            <w:vAlign w:val="bottom"/>
          </w:tcPr>
          <w:p>
            <w:pPr>
              <w:jc w:val="right"/>
              <w:spacing w:after="0"/>
              <w:rPr>
                <w:sz w:val="20"/>
                <w:szCs w:val="20"/>
                <w:color w:val="auto"/>
              </w:rPr>
            </w:pPr>
            <w:r>
              <w:rPr>
                <w:rFonts w:ascii="Verdana" w:cs="Verdana" w:eastAsia="Verdana" w:hAnsi="Verdana"/>
                <w:sz w:val="18"/>
                <w:szCs w:val="18"/>
                <w:color w:val="auto"/>
                <w:w w:val="97"/>
              </w:rPr>
              <w:t>$ 1,668,495</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940" w:type="dxa"/>
            <w:vAlign w:val="bottom"/>
          </w:tcPr>
          <w:p>
            <w:pPr>
              <w:jc w:val="right"/>
              <w:ind w:right="13"/>
              <w:spacing w:after="0"/>
              <w:rPr>
                <w:sz w:val="20"/>
                <w:szCs w:val="20"/>
                <w:color w:val="auto"/>
              </w:rPr>
            </w:pPr>
            <w:r>
              <w:rPr>
                <w:rFonts w:ascii="Verdana" w:cs="Verdana" w:eastAsia="Verdana" w:hAnsi="Verdana"/>
                <w:sz w:val="18"/>
                <w:szCs w:val="18"/>
                <w:color w:val="auto"/>
              </w:rPr>
              <w:t>201,758</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tcPr>
          <w:p>
            <w:pPr>
              <w:jc w:val="right"/>
              <w:spacing w:after="0"/>
              <w:rPr>
                <w:sz w:val="20"/>
                <w:szCs w:val="20"/>
                <w:color w:val="auto"/>
              </w:rPr>
            </w:pPr>
            <w:r>
              <w:rPr>
                <w:rFonts w:ascii="Verdana" w:cs="Verdana" w:eastAsia="Verdana" w:hAnsi="Verdana"/>
                <w:sz w:val="18"/>
                <w:szCs w:val="18"/>
                <w:color w:val="auto"/>
              </w:rPr>
              <w:t>46,540</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13"/>
              <w:spacing w:after="0"/>
              <w:rPr>
                <w:sz w:val="20"/>
                <w:szCs w:val="20"/>
                <w:color w:val="auto"/>
              </w:rPr>
            </w:pPr>
            <w:r>
              <w:rPr>
                <w:rFonts w:ascii="Verdana" w:cs="Verdana" w:eastAsia="Verdana" w:hAnsi="Verdana"/>
                <w:sz w:val="18"/>
                <w:szCs w:val="18"/>
                <w:color w:val="auto"/>
              </w:rPr>
              <w:t>51,187</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040" w:type="dxa"/>
            <w:vAlign w:val="bottom"/>
          </w:tcPr>
          <w:p>
            <w:pPr>
              <w:jc w:val="right"/>
              <w:ind w:right="15"/>
              <w:spacing w:after="0"/>
              <w:rPr>
                <w:sz w:val="20"/>
                <w:szCs w:val="20"/>
                <w:color w:val="auto"/>
              </w:rPr>
            </w:pPr>
            <w:r>
              <w:rPr>
                <w:rFonts w:ascii="Verdana" w:cs="Verdana" w:eastAsia="Verdana" w:hAnsi="Verdana"/>
                <w:sz w:val="18"/>
                <w:szCs w:val="18"/>
                <w:color w:val="auto"/>
              </w:rPr>
              <w:t>6,174</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w w:val="97"/>
              </w:rPr>
              <w:t>$ 1,974,154</w:t>
            </w:r>
          </w:p>
        </w:tc>
        <w:tc>
          <w:tcPr>
            <w:tcW w:w="0" w:type="dxa"/>
            <w:vAlign w:val="bottom"/>
          </w:tcPr>
          <w:p>
            <w:pPr>
              <w:spacing w:after="0"/>
              <w:rPr>
                <w:sz w:val="1"/>
                <w:szCs w:val="1"/>
                <w:color w:val="auto"/>
              </w:rPr>
            </w:pPr>
          </w:p>
        </w:tc>
      </w:tr>
      <w:tr>
        <w:trPr>
          <w:trHeight w:val="277"/>
        </w:trPr>
        <w:tc>
          <w:tcPr>
            <w:tcW w:w="3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2,851,709</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9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326,455</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43,526</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34,539</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5,644</w:t>
            </w:r>
          </w:p>
        </w:tc>
        <w:tc>
          <w:tcPr>
            <w:tcW w:w="8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3,261,873</w:t>
            </w: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Verdana" w:cs="Verdana" w:eastAsia="Verdana" w:hAnsi="Verdana"/>
                <w:sz w:val="18"/>
                <w:szCs w:val="18"/>
                <w:color w:val="auto"/>
              </w:rPr>
              <w:t>Real estate construction</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502,904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Verdana" w:cs="Verdana" w:eastAsia="Verdana" w:hAnsi="Verdana"/>
                <w:sz w:val="18"/>
                <w:szCs w:val="18"/>
                <w:color w:val="auto"/>
              </w:rPr>
              <w:t>25,164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Verdana" w:cs="Verdana" w:eastAsia="Verdana" w:hAnsi="Verdana"/>
                <w:sz w:val="18"/>
                <w:szCs w:val="18"/>
                <w:color w:val="auto"/>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Verdana" w:cs="Verdana" w:eastAsia="Verdana" w:hAnsi="Verdana"/>
                <w:sz w:val="18"/>
                <w:szCs w:val="18"/>
                <w:color w:val="auto"/>
              </w:rPr>
              <w:t>2,400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530,469</w:t>
            </w:r>
          </w:p>
        </w:tc>
        <w:tc>
          <w:tcPr>
            <w:tcW w:w="0" w:type="dxa"/>
            <w:vAlign w:val="bottom"/>
          </w:tcPr>
          <w:p>
            <w:pPr>
              <w:spacing w:after="0"/>
              <w:rPr>
                <w:sz w:val="1"/>
                <w:szCs w:val="1"/>
                <w:color w:val="auto"/>
              </w:rPr>
            </w:pPr>
          </w:p>
        </w:tc>
      </w:tr>
      <w:tr>
        <w:trPr>
          <w:trHeight w:val="270"/>
        </w:trPr>
        <w:tc>
          <w:tcPr>
            <w:tcW w:w="3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5,023,108</w:t>
            </w:r>
          </w:p>
        </w:tc>
        <w:tc>
          <w:tcPr>
            <w:tcW w:w="80" w:type="dxa"/>
            <w:vAlign w:val="bottom"/>
            <w:tcBorders>
              <w:top w:val="single" w:sz="8" w:color="E0E7ED"/>
            </w:tcBorders>
            <w:shd w:val="clear" w:color="auto" w:fill="E0E7ED"/>
          </w:tcPr>
          <w:p>
            <w:pPr>
              <w:spacing w:after="0"/>
              <w:rPr>
                <w:sz w:val="23"/>
                <w:szCs w:val="23"/>
                <w:color w:val="auto"/>
              </w:rPr>
            </w:pPr>
          </w:p>
        </w:tc>
        <w:tc>
          <w:tcPr>
            <w:tcW w:w="240" w:type="dxa"/>
            <w:vAlign w:val="bottom"/>
            <w:tcBorders>
              <w:top w:val="single" w:sz="8" w:color="auto"/>
              <w:bottom w:val="single" w:sz="8" w:color="auto"/>
            </w:tcBorders>
            <w:shd w:val="clear" w:color="auto" w:fill="E0E7ED"/>
          </w:tcPr>
          <w:p>
            <w:pPr>
              <w:spacing w:after="0"/>
              <w:rPr>
                <w:sz w:val="23"/>
                <w:szCs w:val="23"/>
                <w:color w:val="auto"/>
              </w:rPr>
            </w:pPr>
          </w:p>
        </w:tc>
        <w:tc>
          <w:tcPr>
            <w:tcW w:w="94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553,377</w:t>
            </w:r>
          </w:p>
        </w:tc>
        <w:tc>
          <w:tcPr>
            <w:tcW w:w="80" w:type="dxa"/>
            <w:vAlign w:val="bottom"/>
            <w:tcBorders>
              <w:top w:val="single" w:sz="8" w:color="E0E7ED"/>
            </w:tcBorders>
            <w:shd w:val="clear" w:color="auto" w:fill="E0E7ED"/>
          </w:tcPr>
          <w:p>
            <w:pPr>
              <w:spacing w:after="0"/>
              <w:rPr>
                <w:sz w:val="23"/>
                <w:szCs w:val="23"/>
                <w:color w:val="auto"/>
              </w:rPr>
            </w:pPr>
          </w:p>
        </w:tc>
        <w:tc>
          <w:tcPr>
            <w:tcW w:w="220" w:type="dxa"/>
            <w:vAlign w:val="bottom"/>
            <w:tcBorders>
              <w:top w:val="single" w:sz="8" w:color="auto"/>
              <w:bottom w:val="single" w:sz="8" w:color="auto"/>
            </w:tcBorders>
            <w:shd w:val="clear" w:color="auto" w:fill="E0E7ED"/>
          </w:tcPr>
          <w:p>
            <w:pPr>
              <w:spacing w:after="0"/>
              <w:rPr>
                <w:sz w:val="23"/>
                <w:szCs w:val="23"/>
                <w:color w:val="auto"/>
              </w:rPr>
            </w:pPr>
          </w:p>
        </w:tc>
        <w:tc>
          <w:tcPr>
            <w:tcW w:w="9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90,067</w:t>
            </w:r>
          </w:p>
        </w:tc>
        <w:tc>
          <w:tcPr>
            <w:tcW w:w="80" w:type="dxa"/>
            <w:vAlign w:val="bottom"/>
            <w:tcBorders>
              <w:top w:val="single" w:sz="8" w:color="E0E7ED"/>
            </w:tcBorders>
            <w:shd w:val="clear" w:color="auto" w:fill="E0E7ED"/>
          </w:tcPr>
          <w:p>
            <w:pPr>
              <w:spacing w:after="0"/>
              <w:rPr>
                <w:sz w:val="23"/>
                <w:szCs w:val="23"/>
                <w:color w:val="auto"/>
              </w:rPr>
            </w:pPr>
          </w:p>
        </w:tc>
        <w:tc>
          <w:tcPr>
            <w:tcW w:w="140" w:type="dxa"/>
            <w:vAlign w:val="bottom"/>
            <w:tcBorders>
              <w:top w:val="single" w:sz="8" w:color="auto"/>
              <w:bottom w:val="single" w:sz="8" w:color="auto"/>
            </w:tcBorders>
            <w:shd w:val="clear" w:color="auto" w:fill="E0E7ED"/>
          </w:tcPr>
          <w:p>
            <w:pPr>
              <w:spacing w:after="0"/>
              <w:rPr>
                <w:sz w:val="23"/>
                <w:szCs w:val="23"/>
                <w:color w:val="auto"/>
              </w:rPr>
            </w:pPr>
          </w:p>
        </w:tc>
        <w:tc>
          <w:tcPr>
            <w:tcW w:w="104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88,126</w:t>
            </w:r>
          </w:p>
        </w:tc>
        <w:tc>
          <w:tcPr>
            <w:tcW w:w="80" w:type="dxa"/>
            <w:vAlign w:val="bottom"/>
            <w:tcBorders>
              <w:top w:val="single" w:sz="8" w:color="E0E7ED"/>
            </w:tcBorders>
            <w:shd w:val="clear" w:color="auto" w:fill="E0E7ED"/>
          </w:tcPr>
          <w:p>
            <w:pPr>
              <w:spacing w:after="0"/>
              <w:rPr>
                <w:sz w:val="23"/>
                <w:szCs w:val="23"/>
                <w:color w:val="auto"/>
              </w:rPr>
            </w:pPr>
          </w:p>
        </w:tc>
        <w:tc>
          <w:tcPr>
            <w:tcW w:w="140" w:type="dxa"/>
            <w:vAlign w:val="bottom"/>
            <w:tcBorders>
              <w:top w:val="single" w:sz="8" w:color="auto"/>
              <w:bottom w:val="single" w:sz="8" w:color="auto"/>
            </w:tcBorders>
            <w:shd w:val="clear" w:color="auto" w:fill="E0E7ED"/>
          </w:tcPr>
          <w:p>
            <w:pPr>
              <w:spacing w:after="0"/>
              <w:rPr>
                <w:sz w:val="23"/>
                <w:szCs w:val="23"/>
                <w:color w:val="auto"/>
              </w:rPr>
            </w:pPr>
          </w:p>
        </w:tc>
        <w:tc>
          <w:tcPr>
            <w:tcW w:w="1040" w:type="dxa"/>
            <w:vAlign w:val="bottom"/>
            <w:tcBorders>
              <w:top w:val="single" w:sz="8" w:color="auto"/>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11,818</w:t>
            </w:r>
          </w:p>
        </w:tc>
        <w:tc>
          <w:tcPr>
            <w:tcW w:w="80" w:type="dxa"/>
            <w:vAlign w:val="bottom"/>
            <w:tcBorders>
              <w:top w:val="single" w:sz="8" w:color="E0E7ED"/>
            </w:tcBorders>
            <w:shd w:val="clear" w:color="auto" w:fill="E0E7ED"/>
          </w:tcPr>
          <w:p>
            <w:pPr>
              <w:spacing w:after="0"/>
              <w:rPr>
                <w:sz w:val="23"/>
                <w:szCs w:val="23"/>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5,766,496</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1,639,599</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9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10,520</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1,338</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2,529</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3,096</w:t>
            </w:r>
          </w:p>
        </w:tc>
        <w:tc>
          <w:tcPr>
            <w:tcW w:w="8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1,657,082</w:t>
            </w: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301,971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4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Verdana" w:cs="Verdana" w:eastAsia="Verdana" w:hAnsi="Verdana"/>
                <w:sz w:val="18"/>
                <w:szCs w:val="18"/>
                <w:color w:val="auto"/>
              </w:rPr>
              <w:t>153</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302,124</w:t>
            </w:r>
          </w:p>
        </w:tc>
        <w:tc>
          <w:tcPr>
            <w:tcW w:w="0" w:type="dxa"/>
            <w:vAlign w:val="bottom"/>
          </w:tcPr>
          <w:p>
            <w:pPr>
              <w:spacing w:after="0"/>
              <w:rPr>
                <w:sz w:val="1"/>
                <w:szCs w:val="1"/>
                <w:color w:val="auto"/>
              </w:rPr>
            </w:pPr>
          </w:p>
        </w:tc>
      </w:tr>
      <w:tr>
        <w:trPr>
          <w:trHeight w:val="264"/>
        </w:trPr>
        <w:tc>
          <w:tcPr>
            <w:tcW w:w="3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1,941,570</w:t>
            </w: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bottom w:val="single" w:sz="8" w:color="auto"/>
            </w:tcBorders>
            <w:shd w:val="clear" w:color="auto" w:fill="E0E7ED"/>
          </w:tcPr>
          <w:p>
            <w:pPr>
              <w:spacing w:after="0"/>
              <w:rPr>
                <w:sz w:val="22"/>
                <w:szCs w:val="22"/>
                <w:color w:val="auto"/>
              </w:rPr>
            </w:pPr>
          </w:p>
        </w:tc>
        <w:tc>
          <w:tcPr>
            <w:tcW w:w="94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10,520</w:t>
            </w: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94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1,338</w:t>
            </w:r>
          </w:p>
        </w:tc>
        <w:tc>
          <w:tcPr>
            <w:tcW w:w="8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bottom w:val="single" w:sz="8" w:color="auto"/>
            </w:tcBorders>
            <w:shd w:val="clear" w:color="auto" w:fill="E0E7ED"/>
          </w:tcPr>
          <w:p>
            <w:pPr>
              <w:spacing w:after="0"/>
              <w:rPr>
                <w:sz w:val="22"/>
                <w:szCs w:val="22"/>
                <w:color w:val="auto"/>
              </w:rPr>
            </w:pPr>
          </w:p>
        </w:tc>
        <w:tc>
          <w:tcPr>
            <w:tcW w:w="104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2,529</w:t>
            </w:r>
          </w:p>
        </w:tc>
        <w:tc>
          <w:tcPr>
            <w:tcW w:w="8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bottom w:val="single" w:sz="8" w:color="auto"/>
            </w:tcBorders>
            <w:shd w:val="clear" w:color="auto" w:fill="E0E7ED"/>
          </w:tcPr>
          <w:p>
            <w:pPr>
              <w:spacing w:after="0"/>
              <w:rPr>
                <w:sz w:val="22"/>
                <w:szCs w:val="22"/>
                <w:color w:val="auto"/>
              </w:rPr>
            </w:pPr>
          </w:p>
        </w:tc>
        <w:tc>
          <w:tcPr>
            <w:tcW w:w="1040" w:type="dxa"/>
            <w:vAlign w:val="bottom"/>
            <w:tcBorders>
              <w:top w:val="single" w:sz="8" w:color="auto"/>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3,249</w:t>
            </w:r>
          </w:p>
        </w:tc>
        <w:tc>
          <w:tcPr>
            <w:tcW w:w="80" w:type="dxa"/>
            <w:vAlign w:val="bottom"/>
            <w:tcBorders>
              <w:top w:val="single" w:sz="8" w:color="E0E7ED"/>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1,959,206</w:t>
            </w: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7"/>
              </w:rPr>
              <w:t>$ 6,964,678</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9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563,897</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91,405</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90,655</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0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15,067</w:t>
            </w:r>
          </w:p>
        </w:tc>
        <w:tc>
          <w:tcPr>
            <w:tcW w:w="80" w:type="dxa"/>
            <w:vAlign w:val="bottom"/>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7"/>
              </w:rPr>
              <w:t>$ 7,725,702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Risk grades of portfolio loans and net charge-offs are presented in the tables below by loan class, further sorted by origination year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8"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5" w:name="page126"/>
    <w:bookmarkEnd w:id="12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11"/>
          </w:tcPr>
          <w:p>
            <w:pPr>
              <w:ind w:left="60"/>
              <w:spacing w:after="0"/>
              <w:rPr>
                <w:sz w:val="20"/>
                <w:szCs w:val="20"/>
                <w:color w:val="auto"/>
              </w:rPr>
            </w:pPr>
            <w:r>
              <w:rPr>
                <w:rFonts w:ascii="Verdana" w:cs="Verdana" w:eastAsia="Verdana" w:hAnsi="Verdana"/>
                <w:sz w:val="13"/>
                <w:szCs w:val="13"/>
                <w:b w:val="1"/>
                <w:bCs w:val="1"/>
                <w:color w:val="auto"/>
              </w:rPr>
              <w:t>As of and For The Year Ended December 31, 2023</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12"/>
          </w:tcPr>
          <w:p>
            <w:pPr>
              <w:ind w:left="60"/>
              <w:spacing w:after="0"/>
              <w:rPr>
                <w:sz w:val="20"/>
                <w:szCs w:val="20"/>
                <w:color w:val="auto"/>
              </w:rPr>
            </w:pPr>
            <w:r>
              <w:rPr>
                <w:rFonts w:ascii="Verdana" w:cs="Verdana" w:eastAsia="Verdana" w:hAnsi="Verdana"/>
                <w:sz w:val="13"/>
                <w:szCs w:val="13"/>
                <w:b w:val="1"/>
                <w:bCs w:val="1"/>
                <w:color w:val="auto"/>
                <w:w w:val="99"/>
              </w:rPr>
              <w:t>Term Loans Amortized Cost Basis by Origination Year</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center"/>
              <w:ind w:right="160"/>
              <w:spacing w:after="0"/>
              <w:rPr>
                <w:sz w:val="20"/>
                <w:szCs w:val="20"/>
                <w:color w:val="auto"/>
              </w:rPr>
            </w:pPr>
            <w:r>
              <w:rPr>
                <w:rFonts w:ascii="Verdana" w:cs="Verdana" w:eastAsia="Verdana" w:hAnsi="Verdana"/>
                <w:sz w:val="13"/>
                <w:szCs w:val="13"/>
                <w:b w:val="1"/>
                <w:bCs w:val="1"/>
                <w:color w:val="auto"/>
                <w:w w:val="97"/>
              </w:rPr>
              <w:t>Revolving</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60" w:type="dxa"/>
            <w:vAlign w:val="bottom"/>
            <w:gridSpan w:val="2"/>
            <w:vMerge w:val="restart"/>
          </w:tcPr>
          <w:p>
            <w:pPr>
              <w:ind w:left="20"/>
              <w:spacing w:after="0"/>
              <w:rPr>
                <w:sz w:val="20"/>
                <w:szCs w:val="20"/>
                <w:color w:val="auto"/>
              </w:rPr>
            </w:pPr>
            <w:r>
              <w:rPr>
                <w:rFonts w:ascii="Verdana" w:cs="Verdana" w:eastAsia="Verdana" w:hAnsi="Verdana"/>
                <w:sz w:val="13"/>
                <w:szCs w:val="13"/>
                <w:b w:val="1"/>
                <w:bCs w:val="1"/>
                <w:color w:val="auto"/>
              </w:rPr>
              <w:t>Risk Grade Ratings</w:t>
            </w:r>
          </w:p>
        </w:tc>
        <w:tc>
          <w:tcPr>
            <w:tcW w:w="160" w:type="dxa"/>
            <w:vAlign w:val="bottom"/>
          </w:tcPr>
          <w:p>
            <w:pPr>
              <w:spacing w:after="0"/>
              <w:rPr>
                <w:sz w:val="2"/>
                <w:szCs w:val="2"/>
                <w:color w:val="auto"/>
              </w:rPr>
            </w:pPr>
          </w:p>
        </w:tc>
        <w:tc>
          <w:tcPr>
            <w:tcW w:w="76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2022</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2021</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2020</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2019</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Prior</w:t>
            </w: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line="20" w:lineRule="exact"/>
              <w:rPr>
                <w:sz w:val="1"/>
                <w:szCs w:val="1"/>
                <w:color w:val="auto"/>
              </w:rPr>
            </w:pPr>
          </w:p>
        </w:tc>
      </w:tr>
      <w:tr>
        <w:trPr>
          <w:trHeight w:val="170"/>
        </w:trPr>
        <w:tc>
          <w:tcPr>
            <w:tcW w:w="3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Verdana" w:cs="Verdana" w:eastAsia="Verdana" w:hAnsi="Verdana"/>
                <w:sz w:val="13"/>
                <w:szCs w:val="13"/>
                <w:b w:val="1"/>
                <w:bCs w:val="1"/>
                <w:color w:val="auto"/>
                <w:w w:val="93"/>
              </w:rPr>
              <w:t>Loans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8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Commercial</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spacing w:after="0"/>
              <w:rPr>
                <w:sz w:val="15"/>
                <w:szCs w:val="15"/>
                <w:color w:val="auto"/>
              </w:rPr>
            </w:pPr>
          </w:p>
        </w:tc>
        <w:tc>
          <w:tcPr>
            <w:tcW w:w="76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spacing w:after="0"/>
              <w:rPr>
                <w:sz w:val="15"/>
                <w:szCs w:val="15"/>
                <w:color w:val="auto"/>
              </w:rPr>
            </w:pPr>
          </w:p>
        </w:tc>
        <w:tc>
          <w:tcPr>
            <w:tcW w:w="76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78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7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7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7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780" w:type="dxa"/>
            <w:vAlign w:val="bottom"/>
            <w:tcBorders>
              <w:top w:val="single" w:sz="8" w:color="auto"/>
            </w:tcBorders>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16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60" w:type="dxa"/>
            <w:vAlign w:val="bottom"/>
          </w:tcPr>
          <w:p>
            <w:pPr>
              <w:jc w:val="right"/>
              <w:spacing w:after="0"/>
              <w:rPr>
                <w:sz w:val="20"/>
                <w:szCs w:val="20"/>
                <w:color w:val="auto"/>
              </w:rPr>
            </w:pPr>
            <w:r>
              <w:rPr>
                <w:rFonts w:ascii="Verdana" w:cs="Verdana" w:eastAsia="Verdana" w:hAnsi="Verdana"/>
                <w:sz w:val="13"/>
                <w:szCs w:val="13"/>
                <w:color w:val="auto"/>
              </w:rPr>
              <w:t>306,578</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60" w:type="dxa"/>
            <w:vAlign w:val="bottom"/>
          </w:tcPr>
          <w:p>
            <w:pPr>
              <w:jc w:val="right"/>
              <w:spacing w:after="0"/>
              <w:rPr>
                <w:sz w:val="20"/>
                <w:szCs w:val="20"/>
                <w:color w:val="auto"/>
              </w:rPr>
            </w:pPr>
            <w:r>
              <w:rPr>
                <w:rFonts w:ascii="Verdana" w:cs="Verdana" w:eastAsia="Verdana" w:hAnsi="Verdana"/>
                <w:sz w:val="13"/>
                <w:szCs w:val="13"/>
                <w:color w:val="auto"/>
              </w:rPr>
              <w:t>220,847</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Pr>
          <w:p>
            <w:pPr>
              <w:jc w:val="right"/>
              <w:spacing w:after="0"/>
              <w:rPr>
                <w:sz w:val="20"/>
                <w:szCs w:val="20"/>
                <w:color w:val="auto"/>
              </w:rPr>
            </w:pPr>
            <w:r>
              <w:rPr>
                <w:rFonts w:ascii="Verdana" w:cs="Verdana" w:eastAsia="Verdana" w:hAnsi="Verdana"/>
                <w:sz w:val="13"/>
                <w:szCs w:val="13"/>
                <w:color w:val="auto"/>
              </w:rPr>
              <w:t>159,130</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71,025</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35,927</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Pr>
          <w:p>
            <w:pPr>
              <w:jc w:val="right"/>
              <w:spacing w:after="0"/>
              <w:rPr>
                <w:sz w:val="20"/>
                <w:szCs w:val="20"/>
                <w:color w:val="auto"/>
              </w:rPr>
            </w:pPr>
            <w:r>
              <w:rPr>
                <w:rFonts w:ascii="Verdana" w:cs="Verdana" w:eastAsia="Verdana" w:hAnsi="Verdana"/>
                <w:sz w:val="13"/>
                <w:szCs w:val="13"/>
                <w:color w:val="auto"/>
              </w:rPr>
              <w:t>143,078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526,170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1,462,755</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78,603</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65,703</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21,421</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23,919</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7,035</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21,293</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78,442</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296,416</w:t>
            </w: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792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8,224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2,917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1,076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686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3,274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29,519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46,488</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8,715</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765</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942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426</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3,734</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1,859</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11,292</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27,733</w:t>
            </w: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166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117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407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1,700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2,602</w:t>
            </w:r>
          </w:p>
        </w:tc>
        <w:tc>
          <w:tcPr>
            <w:tcW w:w="0" w:type="dxa"/>
            <w:vAlign w:val="bottom"/>
          </w:tcPr>
          <w:p>
            <w:pPr>
              <w:spacing w:after="0"/>
              <w:rPr>
                <w:sz w:val="1"/>
                <w:szCs w:val="1"/>
                <w:color w:val="auto"/>
              </w:rPr>
            </w:pPr>
          </w:p>
        </w:tc>
      </w:tr>
      <w:tr>
        <w:trPr>
          <w:trHeight w:val="174"/>
        </w:trPr>
        <w:tc>
          <w:tcPr>
            <w:tcW w:w="336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commercial</w:t>
            </w:r>
          </w:p>
        </w:tc>
        <w:tc>
          <w:tcPr>
            <w:tcW w:w="160" w:type="dxa"/>
            <w:vAlign w:val="bottom"/>
            <w:tcBorders>
              <w:top w:val="single" w:sz="8" w:color="auto"/>
              <w:bottom w:val="single" w:sz="8" w:color="auto"/>
            </w:tcBorders>
            <w:shd w:val="clear" w:color="auto" w:fill="E0E7ED"/>
          </w:tcPr>
          <w:p>
            <w:pPr>
              <w:spacing w:after="0"/>
              <w:rPr>
                <w:sz w:val="15"/>
                <w:szCs w:val="15"/>
                <w:color w:val="auto"/>
              </w:rPr>
            </w:pPr>
          </w:p>
        </w:tc>
        <w:tc>
          <w:tcPr>
            <w:tcW w:w="7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394,854</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bottom w:val="single" w:sz="8" w:color="auto"/>
            </w:tcBorders>
            <w:shd w:val="clear" w:color="auto" w:fill="E0E7ED"/>
          </w:tcPr>
          <w:p>
            <w:pPr>
              <w:spacing w:after="0"/>
              <w:rPr>
                <w:sz w:val="15"/>
                <w:szCs w:val="15"/>
                <w:color w:val="auto"/>
              </w:rPr>
            </w:pPr>
          </w:p>
        </w:tc>
        <w:tc>
          <w:tcPr>
            <w:tcW w:w="7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295,539</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bottom w:val="single" w:sz="8" w:color="auto"/>
            </w:tcBorders>
            <w:shd w:val="clear" w:color="auto" w:fill="E0E7ED"/>
          </w:tcPr>
          <w:p>
            <w:pPr>
              <w:spacing w:after="0"/>
              <w:rPr>
                <w:sz w:val="15"/>
                <w:szCs w:val="15"/>
                <w:color w:val="auto"/>
              </w:rPr>
            </w:pPr>
          </w:p>
        </w:tc>
        <w:tc>
          <w:tcPr>
            <w:tcW w:w="7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184,527</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96,530</w:t>
            </w: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47,510</w:t>
            </w: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169,911</w:t>
            </w:r>
          </w:p>
        </w:tc>
        <w:tc>
          <w:tcPr>
            <w:tcW w:w="80" w:type="dxa"/>
            <w:vAlign w:val="bottom"/>
            <w:tcBorders>
              <w:top w:val="single" w:sz="8" w:color="E0E7ED"/>
            </w:tcBorders>
            <w:shd w:val="clear" w:color="auto" w:fill="E0E7ED"/>
          </w:tcPr>
          <w:p>
            <w:pPr>
              <w:spacing w:after="0"/>
              <w:rPr>
                <w:sz w:val="15"/>
                <w:szCs w:val="15"/>
                <w:color w:val="auto"/>
              </w:rPr>
            </w:pPr>
          </w:p>
        </w:tc>
        <w:tc>
          <w:tcPr>
            <w:tcW w:w="1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647,123</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bottom w:val="single" w:sz="8" w:color="auto"/>
            </w:tcBorders>
            <w:shd w:val="clear" w:color="auto" w:fill="E0E7ED"/>
          </w:tcPr>
          <w:p>
            <w:pPr>
              <w:spacing w:after="0"/>
              <w:rPr>
                <w:sz w:val="15"/>
                <w:szCs w:val="15"/>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1,835,994</w:t>
            </w:r>
          </w:p>
        </w:tc>
        <w:tc>
          <w:tcPr>
            <w:tcW w:w="0" w:type="dxa"/>
            <w:vAlign w:val="bottom"/>
          </w:tcPr>
          <w:p>
            <w:pPr>
              <w:spacing w:after="0"/>
              <w:rPr>
                <w:sz w:val="1"/>
                <w:szCs w:val="1"/>
                <w:color w:val="auto"/>
              </w:rPr>
            </w:pPr>
          </w:p>
        </w:tc>
      </w:tr>
      <w:tr>
        <w:trPr>
          <w:trHeight w:val="164"/>
        </w:trPr>
        <w:tc>
          <w:tcPr>
            <w:tcW w:w="336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Current period charge-offs</w:t>
            </w:r>
          </w:p>
        </w:tc>
        <w:tc>
          <w:tcPr>
            <w:tcW w:w="16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60" w:type="dxa"/>
            <w:vAlign w:val="bottom"/>
          </w:tcPr>
          <w:p>
            <w:pPr>
              <w:jc w:val="right"/>
              <w:spacing w:after="0"/>
              <w:rPr>
                <w:sz w:val="20"/>
                <w:szCs w:val="20"/>
                <w:color w:val="auto"/>
              </w:rPr>
            </w:pPr>
            <w:r>
              <w:rPr>
                <w:rFonts w:ascii="Verdana" w:cs="Verdana" w:eastAsia="Verdana" w:hAnsi="Verdana"/>
                <w:sz w:val="13"/>
                <w:szCs w:val="13"/>
                <w:color w:val="auto"/>
              </w:rPr>
              <w:t>284</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60" w:type="dxa"/>
            <w:vAlign w:val="bottom"/>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Pr>
          <w:p>
            <w:pPr>
              <w:jc w:val="right"/>
              <w:spacing w:after="0"/>
              <w:rPr>
                <w:sz w:val="20"/>
                <w:szCs w:val="20"/>
                <w:color w:val="auto"/>
              </w:rPr>
            </w:pPr>
            <w:r>
              <w:rPr>
                <w:rFonts w:ascii="Verdana" w:cs="Verdana" w:eastAsia="Verdana" w:hAnsi="Verdana"/>
                <w:sz w:val="13"/>
                <w:szCs w:val="13"/>
                <w:color w:val="auto"/>
              </w:rPr>
              <w:t>420</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316</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Pr>
          <w:p>
            <w:pPr>
              <w:jc w:val="right"/>
              <w:spacing w:after="0"/>
              <w:rPr>
                <w:sz w:val="20"/>
                <w:szCs w:val="20"/>
                <w:color w:val="auto"/>
              </w:rPr>
            </w:pPr>
            <w:r>
              <w:rPr>
                <w:rFonts w:ascii="Verdana" w:cs="Verdana" w:eastAsia="Verdana" w:hAnsi="Verdana"/>
                <w:sz w:val="13"/>
                <w:szCs w:val="13"/>
                <w:color w:val="auto"/>
              </w:rPr>
              <w:t>1,409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2,429</w:t>
            </w:r>
          </w:p>
        </w:tc>
        <w:tc>
          <w:tcPr>
            <w:tcW w:w="0" w:type="dxa"/>
            <w:vAlign w:val="bottom"/>
          </w:tcPr>
          <w:p>
            <w:pPr>
              <w:spacing w:after="0"/>
              <w:rPr>
                <w:sz w:val="1"/>
                <w:szCs w:val="1"/>
                <w:color w:val="auto"/>
              </w:rPr>
            </w:pPr>
          </w:p>
        </w:tc>
      </w:tr>
      <w:tr>
        <w:trPr>
          <w:trHeight w:val="181"/>
        </w:trPr>
        <w:tc>
          <w:tcPr>
            <w:tcW w:w="32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6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Commercial real estate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395,644</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824,506</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720,052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399,195</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271,078</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199,662</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16,893</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2,827,030</w:t>
            </w: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Watch</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166,795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47,070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92,848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34,010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68,196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19,396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3,112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431,427</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Special Mention</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14,313</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10,507</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12,446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4,968</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3,297</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3,014</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48,545</w:t>
            </w: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1,796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188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18,862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2,938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1,802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3,856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29,492</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47</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79</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609</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843</w:t>
            </w:r>
          </w:p>
        </w:tc>
        <w:tc>
          <w:tcPr>
            <w:tcW w:w="0" w:type="dxa"/>
            <w:vAlign w:val="bottom"/>
          </w:tcPr>
          <w:p>
            <w:pPr>
              <w:spacing w:after="0"/>
              <w:rPr>
                <w:sz w:val="1"/>
                <w:szCs w:val="1"/>
                <w:color w:val="auto"/>
              </w:rPr>
            </w:pPr>
          </w:p>
        </w:tc>
      </w:tr>
      <w:tr>
        <w:trPr>
          <w:trHeight w:val="164"/>
        </w:trPr>
        <w:tc>
          <w:tcPr>
            <w:tcW w:w="336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commercial real estate</w:t>
            </w: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578,595</w:t>
            </w:r>
          </w:p>
        </w:tc>
        <w:tc>
          <w:tcPr>
            <w:tcW w:w="80" w:type="dxa"/>
            <w:vAlign w:val="bottom"/>
            <w:tcBorders>
              <w:bottom w:val="single" w:sz="8" w:color="E0E7ED"/>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882,350</w:t>
            </w:r>
          </w:p>
        </w:tc>
        <w:tc>
          <w:tcPr>
            <w:tcW w:w="80" w:type="dxa"/>
            <w:vAlign w:val="bottom"/>
            <w:tcBorders>
              <w:bottom w:val="single" w:sz="8" w:color="E0E7ED"/>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844,293</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441,134</w:t>
            </w:r>
          </w:p>
        </w:tc>
        <w:tc>
          <w:tcPr>
            <w:tcW w:w="8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344,373</w:t>
            </w:r>
          </w:p>
        </w:tc>
        <w:tc>
          <w:tcPr>
            <w:tcW w:w="8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226,537</w:t>
            </w:r>
          </w:p>
        </w:tc>
        <w:tc>
          <w:tcPr>
            <w:tcW w:w="80" w:type="dxa"/>
            <w:vAlign w:val="bottom"/>
            <w:tcBorders>
              <w:bottom w:val="single" w:sz="8" w:color="E0E7ED"/>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20,055</w:t>
            </w:r>
          </w:p>
        </w:tc>
        <w:tc>
          <w:tcPr>
            <w:tcW w:w="80" w:type="dxa"/>
            <w:vAlign w:val="bottom"/>
            <w:tcBorders>
              <w:bottom w:val="single" w:sz="8" w:color="E0E7ED"/>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3,337,337</w:t>
            </w:r>
          </w:p>
        </w:tc>
        <w:tc>
          <w:tcPr>
            <w:tcW w:w="0" w:type="dxa"/>
            <w:vAlign w:val="bottom"/>
          </w:tcPr>
          <w:p>
            <w:pPr>
              <w:spacing w:after="0"/>
              <w:rPr>
                <w:sz w:val="1"/>
                <w:szCs w:val="1"/>
                <w:color w:val="auto"/>
              </w:rPr>
            </w:pPr>
          </w:p>
        </w:tc>
      </w:tr>
      <w:tr>
        <w:trPr>
          <w:trHeight w:val="174"/>
        </w:trPr>
        <w:tc>
          <w:tcPr>
            <w:tcW w:w="336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Current period charge-offs</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953</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953</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Real estate construction</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204,952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128,462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85,086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2,616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1,323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2,934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22,638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448,011</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2,859</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4,406</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507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322</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41</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8,135</w:t>
            </w: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5,327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5,327</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160" w:type="dxa"/>
            <w:vAlign w:val="bottom"/>
            <w:shd w:val="clear" w:color="auto" w:fill="E0E7ED"/>
          </w:tcPr>
          <w:p>
            <w:pPr>
              <w:spacing w:after="0"/>
              <w:rPr>
                <w:sz w:val="15"/>
                <w:szCs w:val="15"/>
                <w:color w:val="auto"/>
              </w:rPr>
            </w:pPr>
          </w:p>
        </w:tc>
        <w:tc>
          <w:tcPr>
            <w:tcW w:w="8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8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8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244</w:t>
            </w:r>
          </w:p>
        </w:tc>
        <w:tc>
          <w:tcPr>
            <w:tcW w:w="0" w:type="dxa"/>
            <w:vAlign w:val="bottom"/>
          </w:tcPr>
          <w:p>
            <w:pPr>
              <w:spacing w:after="0"/>
              <w:rPr>
                <w:sz w:val="1"/>
                <w:szCs w:val="1"/>
                <w:color w:val="auto"/>
              </w:rPr>
            </w:pPr>
          </w:p>
        </w:tc>
      </w:tr>
      <w:tr>
        <w:trPr>
          <w:trHeight w:val="164"/>
        </w:trPr>
        <w:tc>
          <w:tcPr>
            <w:tcW w:w="336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real estate construction</w:t>
            </w: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213,138</w:t>
            </w:r>
          </w:p>
        </w:tc>
        <w:tc>
          <w:tcPr>
            <w:tcW w:w="80" w:type="dxa"/>
            <w:vAlign w:val="bottom"/>
            <w:tcBorders>
              <w:bottom w:val="single" w:sz="8" w:color="E0E7ED"/>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132,868</w:t>
            </w:r>
          </w:p>
        </w:tc>
        <w:tc>
          <w:tcPr>
            <w:tcW w:w="80" w:type="dxa"/>
            <w:vAlign w:val="bottom"/>
            <w:tcBorders>
              <w:bottom w:val="single" w:sz="8" w:color="E0E7ED"/>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85,593</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2,938</w:t>
            </w:r>
          </w:p>
        </w:tc>
        <w:tc>
          <w:tcPr>
            <w:tcW w:w="8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1,364</w:t>
            </w:r>
          </w:p>
        </w:tc>
        <w:tc>
          <w:tcPr>
            <w:tcW w:w="8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3,178</w:t>
            </w:r>
          </w:p>
        </w:tc>
        <w:tc>
          <w:tcPr>
            <w:tcW w:w="80" w:type="dxa"/>
            <w:vAlign w:val="bottom"/>
            <w:tcBorders>
              <w:bottom w:val="single" w:sz="8" w:color="E0E7ED"/>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22,638</w:t>
            </w:r>
          </w:p>
        </w:tc>
        <w:tc>
          <w:tcPr>
            <w:tcW w:w="80" w:type="dxa"/>
            <w:vAlign w:val="bottom"/>
            <w:tcBorders>
              <w:bottom w:val="single" w:sz="8" w:color="E0E7ED"/>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461,717</w:t>
            </w:r>
          </w:p>
        </w:tc>
        <w:tc>
          <w:tcPr>
            <w:tcW w:w="0" w:type="dxa"/>
            <w:vAlign w:val="bottom"/>
          </w:tcPr>
          <w:p>
            <w:pPr>
              <w:spacing w:after="0"/>
              <w:rPr>
                <w:sz w:val="1"/>
                <w:szCs w:val="1"/>
                <w:color w:val="auto"/>
              </w:rPr>
            </w:pPr>
          </w:p>
        </w:tc>
      </w:tr>
      <w:tr>
        <w:trPr>
          <w:trHeight w:val="174"/>
        </w:trPr>
        <w:tc>
          <w:tcPr>
            <w:tcW w:w="336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Current period charge-offs</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Retail real estate</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243,400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376,922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411,723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156,762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70,099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256,571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187,420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1,702,897</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1,096</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4,137</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954</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536</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234</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1,745</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11,144</w:t>
            </w: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286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358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380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1,024</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69</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72</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80</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997</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236</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1,795</w:t>
            </w: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528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121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267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1,960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3,595</w:t>
            </w:r>
          </w:p>
        </w:tc>
        <w:tc>
          <w:tcPr>
            <w:tcW w:w="0" w:type="dxa"/>
            <w:vAlign w:val="bottom"/>
          </w:tcPr>
          <w:p>
            <w:pPr>
              <w:spacing w:after="0"/>
              <w:rPr>
                <w:sz w:val="1"/>
                <w:szCs w:val="1"/>
                <w:color w:val="auto"/>
              </w:rPr>
            </w:pPr>
          </w:p>
        </w:tc>
      </w:tr>
      <w:tr>
        <w:trPr>
          <w:trHeight w:val="174"/>
        </w:trPr>
        <w:tc>
          <w:tcPr>
            <w:tcW w:w="336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real estate</w:t>
            </w:r>
          </w:p>
        </w:tc>
        <w:tc>
          <w:tcPr>
            <w:tcW w:w="160" w:type="dxa"/>
            <w:vAlign w:val="bottom"/>
            <w:tcBorders>
              <w:top w:val="single" w:sz="8" w:color="auto"/>
              <w:bottom w:val="single" w:sz="8" w:color="auto"/>
            </w:tcBorders>
            <w:shd w:val="clear" w:color="auto" w:fill="E0E7ED"/>
          </w:tcPr>
          <w:p>
            <w:pPr>
              <w:spacing w:after="0"/>
              <w:rPr>
                <w:sz w:val="15"/>
                <w:szCs w:val="15"/>
                <w:color w:val="auto"/>
              </w:rPr>
            </w:pPr>
          </w:p>
        </w:tc>
        <w:tc>
          <w:tcPr>
            <w:tcW w:w="7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244,851</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bottom w:val="single" w:sz="8" w:color="auto"/>
            </w:tcBorders>
            <w:shd w:val="clear" w:color="auto" w:fill="E0E7ED"/>
          </w:tcPr>
          <w:p>
            <w:pPr>
              <w:spacing w:after="0"/>
              <w:rPr>
                <w:sz w:val="15"/>
                <w:szCs w:val="15"/>
                <w:color w:val="auto"/>
              </w:rPr>
            </w:pPr>
          </w:p>
        </w:tc>
        <w:tc>
          <w:tcPr>
            <w:tcW w:w="7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382,017</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bottom w:val="single" w:sz="8" w:color="auto"/>
            </w:tcBorders>
            <w:shd w:val="clear" w:color="auto" w:fill="E0E7ED"/>
          </w:tcPr>
          <w:p>
            <w:pPr>
              <w:spacing w:after="0"/>
              <w:rPr>
                <w:sz w:val="15"/>
                <w:szCs w:val="15"/>
                <w:color w:val="auto"/>
              </w:rPr>
            </w:pPr>
          </w:p>
        </w:tc>
        <w:tc>
          <w:tcPr>
            <w:tcW w:w="7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414,578</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158,032</w:t>
            </w: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70,815</w:t>
            </w: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260,142</w:t>
            </w:r>
          </w:p>
        </w:tc>
        <w:tc>
          <w:tcPr>
            <w:tcW w:w="80" w:type="dxa"/>
            <w:vAlign w:val="bottom"/>
            <w:tcBorders>
              <w:top w:val="single" w:sz="8" w:color="E0E7ED"/>
            </w:tcBorders>
            <w:shd w:val="clear" w:color="auto" w:fill="E0E7ED"/>
          </w:tcPr>
          <w:p>
            <w:pPr>
              <w:spacing w:after="0"/>
              <w:rPr>
                <w:sz w:val="15"/>
                <w:szCs w:val="15"/>
                <w:color w:val="auto"/>
              </w:rPr>
            </w:pPr>
          </w:p>
        </w:tc>
        <w:tc>
          <w:tcPr>
            <w:tcW w:w="1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190,020</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bottom w:val="single" w:sz="8" w:color="auto"/>
            </w:tcBorders>
            <w:shd w:val="clear" w:color="auto" w:fill="E0E7ED"/>
          </w:tcPr>
          <w:p>
            <w:pPr>
              <w:spacing w:after="0"/>
              <w:rPr>
                <w:sz w:val="15"/>
                <w:szCs w:val="15"/>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1,720,455</w:t>
            </w:r>
          </w:p>
        </w:tc>
        <w:tc>
          <w:tcPr>
            <w:tcW w:w="0" w:type="dxa"/>
            <w:vAlign w:val="bottom"/>
          </w:tcPr>
          <w:p>
            <w:pPr>
              <w:spacing w:after="0"/>
              <w:rPr>
                <w:sz w:val="1"/>
                <w:szCs w:val="1"/>
                <w:color w:val="auto"/>
              </w:rPr>
            </w:pPr>
          </w:p>
        </w:tc>
      </w:tr>
      <w:tr>
        <w:trPr>
          <w:trHeight w:val="164"/>
        </w:trPr>
        <w:tc>
          <w:tcPr>
            <w:tcW w:w="336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Current period charge-offs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72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301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407</w:t>
            </w:r>
          </w:p>
        </w:tc>
        <w:tc>
          <w:tcPr>
            <w:tcW w:w="0" w:type="dxa"/>
            <w:vAlign w:val="bottom"/>
          </w:tcPr>
          <w:p>
            <w:pPr>
              <w:spacing w:after="0"/>
              <w:rPr>
                <w:sz w:val="1"/>
                <w:szCs w:val="1"/>
                <w:color w:val="auto"/>
              </w:rPr>
            </w:pPr>
          </w:p>
        </w:tc>
      </w:tr>
      <w:tr>
        <w:trPr>
          <w:trHeight w:val="181"/>
        </w:trPr>
        <w:tc>
          <w:tcPr>
            <w:tcW w:w="32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6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Retail 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88,885</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92,931</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23,019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6,701</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4,597</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854</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78,387</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295,374</w:t>
            </w:r>
          </w:p>
        </w:tc>
        <w:tc>
          <w:tcPr>
            <w:tcW w:w="0" w:type="dxa"/>
            <w:vAlign w:val="bottom"/>
          </w:tcPr>
          <w:p>
            <w:pPr>
              <w:spacing w:after="0"/>
              <w:rPr>
                <w:sz w:val="1"/>
                <w:szCs w:val="1"/>
                <w:color w:val="auto"/>
              </w:rPr>
            </w:pPr>
          </w:p>
        </w:tc>
      </w:tr>
      <w:tr>
        <w:trPr>
          <w:trHeight w:val="170"/>
        </w:trPr>
        <w:tc>
          <w:tcPr>
            <w:tcW w:w="336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62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157</w:t>
            </w:r>
          </w:p>
        </w:tc>
        <w:tc>
          <w:tcPr>
            <w:tcW w:w="0" w:type="dxa"/>
            <w:vAlign w:val="bottom"/>
          </w:tcPr>
          <w:p>
            <w:pPr>
              <w:spacing w:after="0"/>
              <w:rPr>
                <w:sz w:val="1"/>
                <w:szCs w:val="1"/>
                <w:color w:val="auto"/>
              </w:rPr>
            </w:pPr>
          </w:p>
        </w:tc>
      </w:tr>
      <w:tr>
        <w:trPr>
          <w:trHeight w:val="174"/>
        </w:trPr>
        <w:tc>
          <w:tcPr>
            <w:tcW w:w="336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other</w:t>
            </w:r>
          </w:p>
        </w:tc>
        <w:tc>
          <w:tcPr>
            <w:tcW w:w="160" w:type="dxa"/>
            <w:vAlign w:val="bottom"/>
            <w:tcBorders>
              <w:top w:val="single" w:sz="8" w:color="auto"/>
              <w:bottom w:val="single" w:sz="8" w:color="auto"/>
            </w:tcBorders>
            <w:shd w:val="clear" w:color="auto" w:fill="E0E7ED"/>
          </w:tcPr>
          <w:p>
            <w:pPr>
              <w:spacing w:after="0"/>
              <w:rPr>
                <w:sz w:val="15"/>
                <w:szCs w:val="15"/>
                <w:color w:val="auto"/>
              </w:rPr>
            </w:pPr>
          </w:p>
        </w:tc>
        <w:tc>
          <w:tcPr>
            <w:tcW w:w="7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88,885</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bottom w:val="single" w:sz="8" w:color="auto"/>
            </w:tcBorders>
            <w:shd w:val="clear" w:color="auto" w:fill="E0E7ED"/>
          </w:tcPr>
          <w:p>
            <w:pPr>
              <w:spacing w:after="0"/>
              <w:rPr>
                <w:sz w:val="15"/>
                <w:szCs w:val="15"/>
                <w:color w:val="auto"/>
              </w:rPr>
            </w:pPr>
          </w:p>
        </w:tc>
        <w:tc>
          <w:tcPr>
            <w:tcW w:w="7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93,024</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bottom w:val="single" w:sz="8" w:color="auto"/>
            </w:tcBorders>
            <w:shd w:val="clear" w:color="auto" w:fill="E0E7ED"/>
          </w:tcPr>
          <w:p>
            <w:pPr>
              <w:spacing w:after="0"/>
              <w:rPr>
                <w:sz w:val="15"/>
                <w:szCs w:val="15"/>
                <w:color w:val="auto"/>
              </w:rPr>
            </w:pPr>
          </w:p>
        </w:tc>
        <w:tc>
          <w:tcPr>
            <w:tcW w:w="7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23,081</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6,701</w:t>
            </w: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4,597</w:t>
            </w: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856</w:t>
            </w:r>
          </w:p>
        </w:tc>
        <w:tc>
          <w:tcPr>
            <w:tcW w:w="80" w:type="dxa"/>
            <w:vAlign w:val="bottom"/>
            <w:tcBorders>
              <w:top w:val="single" w:sz="8" w:color="E0E7ED"/>
            </w:tcBorders>
            <w:shd w:val="clear" w:color="auto" w:fill="E0E7ED"/>
          </w:tcPr>
          <w:p>
            <w:pPr>
              <w:spacing w:after="0"/>
              <w:rPr>
                <w:sz w:val="15"/>
                <w:szCs w:val="15"/>
                <w:color w:val="auto"/>
              </w:rPr>
            </w:pPr>
          </w:p>
        </w:tc>
        <w:tc>
          <w:tcPr>
            <w:tcW w:w="1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78,387</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bottom w:val="single" w:sz="8" w:color="auto"/>
            </w:tcBorders>
            <w:shd w:val="clear" w:color="auto" w:fill="E0E7ED"/>
          </w:tcPr>
          <w:p>
            <w:pPr>
              <w:spacing w:after="0"/>
              <w:rPr>
                <w:sz w:val="15"/>
                <w:szCs w:val="15"/>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295,531</w:t>
            </w:r>
          </w:p>
        </w:tc>
        <w:tc>
          <w:tcPr>
            <w:tcW w:w="0" w:type="dxa"/>
            <w:vAlign w:val="bottom"/>
          </w:tcPr>
          <w:p>
            <w:pPr>
              <w:spacing w:after="0"/>
              <w:rPr>
                <w:sz w:val="1"/>
                <w:szCs w:val="1"/>
                <w:color w:val="auto"/>
              </w:rPr>
            </w:pPr>
          </w:p>
        </w:tc>
      </w:tr>
      <w:tr>
        <w:trPr>
          <w:trHeight w:val="164"/>
        </w:trPr>
        <w:tc>
          <w:tcPr>
            <w:tcW w:w="336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Current period charge-offs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Verdana" w:cs="Verdana" w:eastAsia="Verdana" w:hAnsi="Verdana"/>
                <w:sz w:val="13"/>
                <w:szCs w:val="13"/>
                <w:color w:val="auto"/>
              </w:rPr>
              <w:t>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172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373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629</w:t>
            </w:r>
          </w:p>
        </w:tc>
        <w:tc>
          <w:tcPr>
            <w:tcW w:w="0" w:type="dxa"/>
            <w:vAlign w:val="bottom"/>
          </w:tcPr>
          <w:p>
            <w:pPr>
              <w:spacing w:after="0"/>
              <w:rPr>
                <w:sz w:val="1"/>
                <w:szCs w:val="1"/>
                <w:color w:val="auto"/>
              </w:rPr>
            </w:pPr>
          </w:p>
        </w:tc>
      </w:tr>
      <w:tr>
        <w:trPr>
          <w:trHeight w:val="181"/>
        </w:trPr>
        <w:tc>
          <w:tcPr>
            <w:tcW w:w="32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Total portfolio loans</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7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1,520,323</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7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1,785,798</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1,552,072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7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705,335</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468,659</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660,624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958,223</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7,651,034</w:t>
            </w:r>
          </w:p>
        </w:tc>
        <w:tc>
          <w:tcPr>
            <w:tcW w:w="0" w:type="dxa"/>
            <w:vAlign w:val="bottom"/>
          </w:tcPr>
          <w:p>
            <w:pPr>
              <w:spacing w:after="0"/>
              <w:rPr>
                <w:sz w:val="1"/>
                <w:szCs w:val="1"/>
                <w:color w:val="auto"/>
              </w:rPr>
            </w:pPr>
          </w:p>
        </w:tc>
      </w:tr>
      <w:tr>
        <w:trPr>
          <w:trHeight w:val="20"/>
        </w:trPr>
        <w:tc>
          <w:tcPr>
            <w:tcW w:w="32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60" w:type="dxa"/>
            <w:vAlign w:val="bottom"/>
            <w:gridSpan w:val="2"/>
            <w:shd w:val="clear" w:color="auto" w:fill="E0E7ED"/>
          </w:tcPr>
          <w:p>
            <w:pPr>
              <w:ind w:left="20"/>
              <w:spacing w:after="0" w:line="154" w:lineRule="exact"/>
              <w:rPr>
                <w:sz w:val="20"/>
                <w:szCs w:val="20"/>
                <w:color w:val="auto"/>
              </w:rPr>
            </w:pPr>
            <w:r>
              <w:rPr>
                <w:rFonts w:ascii="Verdana" w:cs="Verdana" w:eastAsia="Verdana" w:hAnsi="Verdana"/>
                <w:sz w:val="13"/>
                <w:szCs w:val="13"/>
                <w:b w:val="1"/>
                <w:bCs w:val="1"/>
                <w:color w:val="auto"/>
              </w:rPr>
              <w:t>Total current period charge-offs</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289</w:t>
            </w:r>
          </w:p>
        </w:tc>
        <w:tc>
          <w:tcPr>
            <w:tcW w:w="80" w:type="dxa"/>
            <w:vAlign w:val="bottom"/>
            <w:shd w:val="clear" w:color="auto" w:fill="E0E7ED"/>
          </w:tcPr>
          <w:p>
            <w:pPr>
              <w:spacing w:after="0"/>
              <w:rPr>
                <w:sz w:val="14"/>
                <w:szCs w:val="1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7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76</w:t>
            </w:r>
          </w:p>
        </w:tc>
        <w:tc>
          <w:tcPr>
            <w:tcW w:w="80" w:type="dxa"/>
            <w:vAlign w:val="bottom"/>
            <w:shd w:val="clear" w:color="auto" w:fill="E0E7ED"/>
          </w:tcPr>
          <w:p>
            <w:pPr>
              <w:spacing w:after="0"/>
              <w:rPr>
                <w:sz w:val="14"/>
                <w:szCs w:val="14"/>
                <w:color w:val="auto"/>
              </w:rPr>
            </w:pPr>
          </w:p>
        </w:tc>
        <w:tc>
          <w:tcPr>
            <w:tcW w:w="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592</w:t>
            </w: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34</w:t>
            </w:r>
          </w:p>
        </w:tc>
        <w:tc>
          <w:tcPr>
            <w:tcW w:w="80" w:type="dxa"/>
            <w:vAlign w:val="bottom"/>
            <w:shd w:val="clear" w:color="auto" w:fill="E0E7ED"/>
          </w:tcPr>
          <w:p>
            <w:pPr>
              <w:spacing w:after="0"/>
              <w:rPr>
                <w:sz w:val="14"/>
                <w:szCs w:val="14"/>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391</w:t>
            </w:r>
          </w:p>
        </w:tc>
        <w:tc>
          <w:tcPr>
            <w:tcW w:w="80" w:type="dxa"/>
            <w:vAlign w:val="bottom"/>
            <w:shd w:val="clear" w:color="auto" w:fill="E0E7ED"/>
          </w:tcPr>
          <w:p>
            <w:pPr>
              <w:spacing w:after="0"/>
              <w:rPr>
                <w:sz w:val="14"/>
                <w:szCs w:val="14"/>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3,036</w:t>
            </w:r>
          </w:p>
        </w:tc>
        <w:tc>
          <w:tcPr>
            <w:tcW w:w="80" w:type="dxa"/>
            <w:vAlign w:val="bottom"/>
            <w:shd w:val="clear" w:color="auto" w:fill="E0E7ED"/>
          </w:tcPr>
          <w:p>
            <w:pPr>
              <w:spacing w:after="0"/>
              <w:rPr>
                <w:sz w:val="14"/>
                <w:szCs w:val="14"/>
                <w:color w:val="auto"/>
              </w:rPr>
            </w:pPr>
          </w:p>
        </w:tc>
        <w:tc>
          <w:tcPr>
            <w:tcW w:w="1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4"/>
                <w:szCs w:val="14"/>
                <w:color w:val="auto"/>
              </w:rPr>
            </w:pPr>
          </w:p>
        </w:tc>
        <w:tc>
          <w:tcPr>
            <w:tcW w:w="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4,418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6" w:name="page127"/>
    <w:bookmarkEnd w:id="12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140"/>
              <w:spacing w:after="0"/>
              <w:rPr>
                <w:sz w:val="20"/>
                <w:szCs w:val="20"/>
                <w:color w:val="auto"/>
              </w:rPr>
            </w:pPr>
            <w:r>
              <w:rPr>
                <w:rFonts w:ascii="Verdana" w:cs="Verdana" w:eastAsia="Verdana" w:hAnsi="Verdana"/>
                <w:sz w:val="13"/>
                <w:szCs w:val="13"/>
                <w:b w:val="1"/>
                <w:bCs w:val="1"/>
                <w:color w:val="auto"/>
                <w:w w:val="98"/>
              </w:rPr>
              <w:t>As of December 31, 2022</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12"/>
          </w:tcPr>
          <w:p>
            <w:pPr>
              <w:jc w:val="right"/>
              <w:ind w:right="140"/>
              <w:spacing w:after="0"/>
              <w:rPr>
                <w:sz w:val="20"/>
                <w:szCs w:val="20"/>
                <w:color w:val="auto"/>
              </w:rPr>
            </w:pPr>
            <w:r>
              <w:rPr>
                <w:rFonts w:ascii="Verdana" w:cs="Verdana" w:eastAsia="Verdana" w:hAnsi="Verdana"/>
                <w:sz w:val="13"/>
                <w:szCs w:val="13"/>
                <w:b w:val="1"/>
                <w:bCs w:val="1"/>
                <w:color w:val="auto"/>
                <w:w w:val="97"/>
              </w:rPr>
              <w:t>Term Loans Amortized Cost Basis by Origination Year</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center"/>
              <w:ind w:right="160"/>
              <w:spacing w:after="0"/>
              <w:rPr>
                <w:sz w:val="20"/>
                <w:szCs w:val="20"/>
                <w:color w:val="auto"/>
              </w:rPr>
            </w:pPr>
            <w:r>
              <w:rPr>
                <w:rFonts w:ascii="Verdana" w:cs="Verdana" w:eastAsia="Verdana" w:hAnsi="Verdana"/>
                <w:sz w:val="13"/>
                <w:szCs w:val="13"/>
                <w:b w:val="1"/>
                <w:bCs w:val="1"/>
                <w:color w:val="auto"/>
                <w:w w:val="97"/>
              </w:rPr>
              <w:t>Revolving</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80" w:type="dxa"/>
            <w:vAlign w:val="bottom"/>
            <w:gridSpan w:val="2"/>
            <w:vMerge w:val="restart"/>
          </w:tcPr>
          <w:p>
            <w:pPr>
              <w:ind w:left="20"/>
              <w:spacing w:after="0"/>
              <w:rPr>
                <w:sz w:val="20"/>
                <w:szCs w:val="20"/>
                <w:color w:val="auto"/>
              </w:rPr>
            </w:pPr>
            <w:r>
              <w:rPr>
                <w:rFonts w:ascii="Verdana" w:cs="Verdana" w:eastAsia="Verdana" w:hAnsi="Verdana"/>
                <w:sz w:val="13"/>
                <w:szCs w:val="13"/>
                <w:b w:val="1"/>
                <w:bCs w:val="1"/>
                <w:color w:val="auto"/>
              </w:rPr>
              <w:t>Risk Grade Ratings</w:t>
            </w:r>
          </w:p>
        </w:tc>
        <w:tc>
          <w:tcPr>
            <w:tcW w:w="140" w:type="dxa"/>
            <w:vAlign w:val="bottom"/>
          </w:tcPr>
          <w:p>
            <w:pPr>
              <w:spacing w:after="0"/>
              <w:rPr>
                <w:sz w:val="2"/>
                <w:szCs w:val="2"/>
                <w:color w:val="auto"/>
              </w:rPr>
            </w:pPr>
          </w:p>
        </w:tc>
        <w:tc>
          <w:tcPr>
            <w:tcW w:w="78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2022</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2021</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197"/>
              <w:spacing w:after="0"/>
              <w:rPr>
                <w:sz w:val="20"/>
                <w:szCs w:val="20"/>
                <w:color w:val="auto"/>
              </w:rPr>
            </w:pPr>
            <w:r>
              <w:rPr>
                <w:rFonts w:ascii="Verdana" w:cs="Verdana" w:eastAsia="Verdana" w:hAnsi="Verdana"/>
                <w:sz w:val="13"/>
                <w:szCs w:val="13"/>
                <w:b w:val="1"/>
                <w:bCs w:val="1"/>
                <w:color w:val="auto"/>
              </w:rPr>
              <w:t>2020</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2019</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2018</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Prior</w:t>
            </w: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right"/>
              <w:ind w:right="217"/>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line="20" w:lineRule="exact"/>
              <w:rPr>
                <w:sz w:val="1"/>
                <w:szCs w:val="1"/>
                <w:color w:val="auto"/>
              </w:rPr>
            </w:pPr>
          </w:p>
        </w:tc>
      </w:tr>
      <w:tr>
        <w:trPr>
          <w:trHeight w:val="170"/>
        </w:trPr>
        <w:tc>
          <w:tcPr>
            <w:tcW w:w="3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Verdana" w:cs="Verdana" w:eastAsia="Verdana" w:hAnsi="Verdana"/>
                <w:sz w:val="13"/>
                <w:szCs w:val="13"/>
                <w:b w:val="1"/>
                <w:bCs w:val="1"/>
                <w:color w:val="auto"/>
                <w:w w:val="93"/>
              </w:rPr>
              <w:t>Loans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30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Commercial</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78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78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7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7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auto"/>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7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7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spacing w:after="0"/>
              <w:rPr>
                <w:sz w:val="15"/>
                <w:szCs w:val="15"/>
                <w:color w:val="auto"/>
              </w:rPr>
            </w:pPr>
          </w:p>
        </w:tc>
        <w:tc>
          <w:tcPr>
            <w:tcW w:w="780" w:type="dxa"/>
            <w:vAlign w:val="bottom"/>
            <w:tcBorders>
              <w:top w:val="single" w:sz="8" w:color="auto"/>
            </w:tcBorders>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14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479,893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266,122</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Pr>
          <w:p>
            <w:pPr>
              <w:jc w:val="right"/>
              <w:spacing w:after="0"/>
              <w:rPr>
                <w:sz w:val="20"/>
                <w:szCs w:val="20"/>
                <w:color w:val="auto"/>
              </w:rPr>
            </w:pPr>
            <w:r>
              <w:rPr>
                <w:rFonts w:ascii="Verdana" w:cs="Verdana" w:eastAsia="Verdana" w:hAnsi="Verdana"/>
                <w:sz w:val="13"/>
                <w:szCs w:val="13"/>
                <w:color w:val="auto"/>
              </w:rPr>
              <w:t>136,445</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52,046</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50,764</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Pr>
          <w:p>
            <w:pPr>
              <w:jc w:val="right"/>
              <w:spacing w:after="0"/>
              <w:rPr>
                <w:sz w:val="20"/>
                <w:szCs w:val="20"/>
                <w:color w:val="auto"/>
              </w:rPr>
            </w:pPr>
            <w:r>
              <w:rPr>
                <w:rFonts w:ascii="Verdana" w:cs="Verdana" w:eastAsia="Verdana" w:hAnsi="Verdana"/>
                <w:sz w:val="13"/>
                <w:szCs w:val="13"/>
                <w:color w:val="auto"/>
              </w:rPr>
              <w:t>135,000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548,225</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1,668,495</w:t>
            </w: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54,195</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49,382</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3,288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7,201</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1,258</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2,160</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84,274</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201,758</w:t>
            </w: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1,958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937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1,642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974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17,024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23,005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46,540</w:t>
            </w: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8,926</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1,165</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570</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6,671</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2,382</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5,191</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26,282</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51,187</w:t>
            </w: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3,292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226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6,174</w:t>
            </w:r>
          </w:p>
        </w:tc>
        <w:tc>
          <w:tcPr>
            <w:tcW w:w="0" w:type="dxa"/>
            <w:vAlign w:val="bottom"/>
          </w:tcPr>
          <w:p>
            <w:pPr>
              <w:spacing w:after="0"/>
              <w:rPr>
                <w:sz w:val="1"/>
                <w:szCs w:val="1"/>
                <w:color w:val="auto"/>
              </w:rPr>
            </w:pPr>
          </w:p>
        </w:tc>
      </w:tr>
      <w:tr>
        <w:trPr>
          <w:trHeight w:val="169"/>
        </w:trPr>
        <w:tc>
          <w:tcPr>
            <w:tcW w:w="33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commercial</w:t>
            </w:r>
          </w:p>
        </w:tc>
        <w:tc>
          <w:tcPr>
            <w:tcW w:w="140" w:type="dxa"/>
            <w:vAlign w:val="bottom"/>
            <w:tcBorders>
              <w:top w:val="single" w:sz="8" w:color="auto"/>
              <w:bottom w:val="single" w:sz="8" w:color="auto"/>
            </w:tcBorders>
            <w:shd w:val="clear" w:color="auto" w:fill="E0E7ED"/>
          </w:tcPr>
          <w:p>
            <w:pPr>
              <w:spacing w:after="0"/>
              <w:rPr>
                <w:sz w:val="14"/>
                <w:szCs w:val="14"/>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544,993</w:t>
            </w:r>
          </w:p>
        </w:tc>
        <w:tc>
          <w:tcPr>
            <w:tcW w:w="8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bottom w:val="single" w:sz="8" w:color="auto"/>
            </w:tcBorders>
            <w:shd w:val="clear" w:color="auto" w:fill="E0E7ED"/>
          </w:tcPr>
          <w:p>
            <w:pPr>
              <w:spacing w:after="0"/>
              <w:rPr>
                <w:sz w:val="14"/>
                <w:szCs w:val="14"/>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320,898</w:t>
            </w:r>
          </w:p>
        </w:tc>
        <w:tc>
          <w:tcPr>
            <w:tcW w:w="8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142,171</w:t>
            </w:r>
          </w:p>
        </w:tc>
        <w:tc>
          <w:tcPr>
            <w:tcW w:w="8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67,027</w:t>
            </w:r>
          </w:p>
        </w:tc>
        <w:tc>
          <w:tcPr>
            <w:tcW w:w="8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55,404</w:t>
            </w:r>
          </w:p>
        </w:tc>
        <w:tc>
          <w:tcPr>
            <w:tcW w:w="8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159,475</w:t>
            </w:r>
          </w:p>
        </w:tc>
        <w:tc>
          <w:tcPr>
            <w:tcW w:w="80" w:type="dxa"/>
            <w:vAlign w:val="bottom"/>
            <w:tcBorders>
              <w:top w:val="single" w:sz="8" w:color="E0E7ED"/>
            </w:tcBorders>
            <w:shd w:val="clear" w:color="auto" w:fill="E0E7ED"/>
          </w:tcPr>
          <w:p>
            <w:pPr>
              <w:spacing w:after="0"/>
              <w:rPr>
                <w:sz w:val="14"/>
                <w:szCs w:val="14"/>
                <w:color w:val="auto"/>
              </w:rPr>
            </w:pPr>
          </w:p>
        </w:tc>
        <w:tc>
          <w:tcPr>
            <w:tcW w:w="100" w:type="dxa"/>
            <w:vAlign w:val="bottom"/>
            <w:tcBorders>
              <w:top w:val="single" w:sz="8" w:color="auto"/>
              <w:bottom w:val="single" w:sz="8" w:color="auto"/>
            </w:tcBorders>
            <w:shd w:val="clear" w:color="auto" w:fill="E0E7ED"/>
          </w:tcPr>
          <w:p>
            <w:pPr>
              <w:spacing w:after="0"/>
              <w:rPr>
                <w:sz w:val="14"/>
                <w:szCs w:val="14"/>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684,186</w:t>
            </w:r>
          </w:p>
        </w:tc>
        <w:tc>
          <w:tcPr>
            <w:tcW w:w="8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bottom w:val="single" w:sz="8" w:color="auto"/>
            </w:tcBorders>
            <w:shd w:val="clear" w:color="auto" w:fill="E0E7ED"/>
          </w:tcPr>
          <w:p>
            <w:pPr>
              <w:spacing w:after="0"/>
              <w:rPr>
                <w:sz w:val="14"/>
                <w:szCs w:val="14"/>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1,974,154</w:t>
            </w: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Commercial real estate</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883,688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819,133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478,452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297,525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161,409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198,419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13,083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2,851,709</w:t>
            </w: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77,346</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56,113</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64,282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96,664</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21,592</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5,758</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4,700</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326,455</w:t>
            </w: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11,943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5,389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12,386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1,420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6,917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5,471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43,526</w:t>
            </w: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5,340</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13,528</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3,454</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1,907</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10,248</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62</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34,539</w:t>
            </w: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3,959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1,647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5,644</w:t>
            </w:r>
          </w:p>
        </w:tc>
        <w:tc>
          <w:tcPr>
            <w:tcW w:w="0" w:type="dxa"/>
            <w:vAlign w:val="bottom"/>
          </w:tcPr>
          <w:p>
            <w:pPr>
              <w:spacing w:after="0"/>
              <w:rPr>
                <w:sz w:val="1"/>
                <w:szCs w:val="1"/>
                <w:color w:val="auto"/>
              </w:rPr>
            </w:pPr>
          </w:p>
        </w:tc>
      </w:tr>
      <w:tr>
        <w:trPr>
          <w:trHeight w:val="169"/>
        </w:trPr>
        <w:tc>
          <w:tcPr>
            <w:tcW w:w="33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commercial real estate</w:t>
            </w:r>
          </w:p>
        </w:tc>
        <w:tc>
          <w:tcPr>
            <w:tcW w:w="140" w:type="dxa"/>
            <w:vAlign w:val="bottom"/>
            <w:tcBorders>
              <w:top w:val="single" w:sz="8" w:color="auto"/>
              <w:bottom w:val="single" w:sz="8" w:color="auto"/>
            </w:tcBorders>
            <w:shd w:val="clear" w:color="auto" w:fill="E0E7ED"/>
          </w:tcPr>
          <w:p>
            <w:pPr>
              <w:spacing w:after="0"/>
              <w:rPr>
                <w:sz w:val="14"/>
                <w:szCs w:val="14"/>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978,317</w:t>
            </w:r>
          </w:p>
        </w:tc>
        <w:tc>
          <w:tcPr>
            <w:tcW w:w="8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bottom w:val="single" w:sz="8" w:color="auto"/>
            </w:tcBorders>
            <w:shd w:val="clear" w:color="auto" w:fill="E0E7ED"/>
          </w:tcPr>
          <w:p>
            <w:pPr>
              <w:spacing w:after="0"/>
              <w:rPr>
                <w:sz w:val="14"/>
                <w:szCs w:val="14"/>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898,122</w:t>
            </w:r>
          </w:p>
        </w:tc>
        <w:tc>
          <w:tcPr>
            <w:tcW w:w="8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558,607</w:t>
            </w:r>
          </w:p>
        </w:tc>
        <w:tc>
          <w:tcPr>
            <w:tcW w:w="8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397,516</w:t>
            </w:r>
          </w:p>
        </w:tc>
        <w:tc>
          <w:tcPr>
            <w:tcW w:w="8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201,813</w:t>
            </w:r>
          </w:p>
        </w:tc>
        <w:tc>
          <w:tcPr>
            <w:tcW w:w="8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209,715</w:t>
            </w:r>
          </w:p>
        </w:tc>
        <w:tc>
          <w:tcPr>
            <w:tcW w:w="80" w:type="dxa"/>
            <w:vAlign w:val="bottom"/>
            <w:tcBorders>
              <w:top w:val="single" w:sz="8" w:color="E0E7ED"/>
            </w:tcBorders>
            <w:shd w:val="clear" w:color="auto" w:fill="E0E7ED"/>
          </w:tcPr>
          <w:p>
            <w:pPr>
              <w:spacing w:after="0"/>
              <w:rPr>
                <w:sz w:val="14"/>
                <w:szCs w:val="14"/>
                <w:color w:val="auto"/>
              </w:rPr>
            </w:pPr>
          </w:p>
        </w:tc>
        <w:tc>
          <w:tcPr>
            <w:tcW w:w="100" w:type="dxa"/>
            <w:vAlign w:val="bottom"/>
            <w:tcBorders>
              <w:top w:val="single" w:sz="8" w:color="auto"/>
              <w:bottom w:val="single" w:sz="8" w:color="auto"/>
            </w:tcBorders>
            <w:shd w:val="clear" w:color="auto" w:fill="E0E7ED"/>
          </w:tcPr>
          <w:p>
            <w:pPr>
              <w:spacing w:after="0"/>
              <w:rPr>
                <w:sz w:val="14"/>
                <w:szCs w:val="14"/>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17,783</w:t>
            </w:r>
          </w:p>
        </w:tc>
        <w:tc>
          <w:tcPr>
            <w:tcW w:w="8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bottom w:val="single" w:sz="8" w:color="auto"/>
            </w:tcBorders>
            <w:shd w:val="clear" w:color="auto" w:fill="E0E7ED"/>
          </w:tcPr>
          <w:p>
            <w:pPr>
              <w:spacing w:after="0"/>
              <w:rPr>
                <w:sz w:val="14"/>
                <w:szCs w:val="14"/>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3,261,873</w:t>
            </w: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Real estate construction</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219,112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191,724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68,015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1,490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1,901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1,751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18,911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502,904</w:t>
            </w: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8,530</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12,019</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3,169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48</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1,398</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25,164</w:t>
            </w: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w:t>
            </w: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2,400</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8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2,400</w:t>
            </w:r>
          </w:p>
        </w:tc>
        <w:tc>
          <w:tcPr>
            <w:tcW w:w="0" w:type="dxa"/>
            <w:vAlign w:val="bottom"/>
          </w:tcPr>
          <w:p>
            <w:pPr>
              <w:spacing w:after="0"/>
              <w:rPr>
                <w:sz w:val="1"/>
                <w:szCs w:val="1"/>
                <w:color w:val="auto"/>
              </w:rPr>
            </w:pPr>
          </w:p>
        </w:tc>
      </w:tr>
      <w:tr>
        <w:trPr>
          <w:trHeight w:val="164"/>
        </w:trPr>
        <w:tc>
          <w:tcPr>
            <w:tcW w:w="338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real estate construction</w:t>
            </w: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230,042</w:t>
            </w:r>
          </w:p>
        </w:tc>
        <w:tc>
          <w:tcPr>
            <w:tcW w:w="80" w:type="dxa"/>
            <w:vAlign w:val="bottom"/>
            <w:tcBorders>
              <w:bottom w:val="single" w:sz="8" w:color="E0E7ED"/>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203,743</w:t>
            </w:r>
          </w:p>
        </w:tc>
        <w:tc>
          <w:tcPr>
            <w:tcW w:w="8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71,184</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1,539</w:t>
            </w:r>
          </w:p>
        </w:tc>
        <w:tc>
          <w:tcPr>
            <w:tcW w:w="8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1,901</w:t>
            </w:r>
          </w:p>
        </w:tc>
        <w:tc>
          <w:tcPr>
            <w:tcW w:w="8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3,149</w:t>
            </w:r>
          </w:p>
        </w:tc>
        <w:tc>
          <w:tcPr>
            <w:tcW w:w="80" w:type="dxa"/>
            <w:vAlign w:val="bottom"/>
            <w:tcBorders>
              <w:bottom w:val="single" w:sz="8" w:color="E0E7ED"/>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18,911</w:t>
            </w:r>
          </w:p>
        </w:tc>
        <w:tc>
          <w:tcPr>
            <w:tcW w:w="80" w:type="dxa"/>
            <w:vAlign w:val="bottom"/>
            <w:tcBorders>
              <w:bottom w:val="single" w:sz="8" w:color="E0E7ED"/>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530,469</w:t>
            </w:r>
          </w:p>
        </w:tc>
        <w:tc>
          <w:tcPr>
            <w:tcW w:w="0" w:type="dxa"/>
            <w:vAlign w:val="bottom"/>
          </w:tcPr>
          <w:p>
            <w:pPr>
              <w:spacing w:after="0"/>
              <w:rPr>
                <w:sz w:val="1"/>
                <w:szCs w:val="1"/>
                <w:color w:val="auto"/>
              </w:rPr>
            </w:pPr>
          </w:p>
        </w:tc>
      </w:tr>
      <w:tr>
        <w:trPr>
          <w:trHeight w:val="147"/>
        </w:trPr>
        <w:tc>
          <w:tcPr>
            <w:tcW w:w="33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8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3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Retail real estate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396,547</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456,158</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175,148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77,569</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56,887</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267,387</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209,903</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1,639,599</w:t>
            </w: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Watch</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2,928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2,991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1,846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1,444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1,063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10,520</w:t>
            </w: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Special Mention</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945</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8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393</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1,338</w:t>
            </w: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732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Verdana" w:cs="Verdana" w:eastAsia="Verdana" w:hAnsi="Verdana"/>
                <w:sz w:val="13"/>
                <w:szCs w:val="13"/>
                <w:color w:val="auto"/>
              </w:rPr>
              <w:t>141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1,293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2,529</w:t>
            </w: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140" w:type="dxa"/>
            <w:vAlign w:val="bottom"/>
            <w:tcBorders>
              <w:bottom w:val="single" w:sz="8" w:color="auto"/>
            </w:tcBorders>
            <w:shd w:val="clear" w:color="auto" w:fill="E0E7ED"/>
          </w:tcPr>
          <w:p>
            <w:pPr>
              <w:spacing w:after="0"/>
              <w:rPr>
                <w:sz w:val="15"/>
                <w:szCs w:val="15"/>
                <w:color w:val="auto"/>
              </w:rPr>
            </w:pPr>
          </w:p>
        </w:tc>
        <w:tc>
          <w:tcPr>
            <w:tcW w:w="7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10</w:t>
            </w:r>
          </w:p>
        </w:tc>
        <w:tc>
          <w:tcPr>
            <w:tcW w:w="80" w:type="dxa"/>
            <w:vAlign w:val="bottom"/>
            <w:shd w:val="clear" w:color="auto" w:fill="E0E7ED"/>
          </w:tcPr>
          <w:p>
            <w:pPr>
              <w:spacing w:after="0"/>
              <w:rPr>
                <w:sz w:val="15"/>
                <w:szCs w:val="15"/>
                <w:color w:val="auto"/>
              </w:rPr>
            </w:pPr>
          </w:p>
        </w:tc>
        <w:tc>
          <w:tcPr>
            <w:tcW w:w="140" w:type="dxa"/>
            <w:vAlign w:val="bottom"/>
            <w:tcBorders>
              <w:bottom w:val="single" w:sz="8" w:color="auto"/>
            </w:tcBorders>
            <w:shd w:val="clear" w:color="auto" w:fill="E0E7ED"/>
          </w:tcPr>
          <w:p>
            <w:pPr>
              <w:spacing w:after="0"/>
              <w:rPr>
                <w:sz w:val="15"/>
                <w:szCs w:val="15"/>
                <w:color w:val="auto"/>
              </w:rPr>
            </w:pPr>
          </w:p>
        </w:tc>
        <w:tc>
          <w:tcPr>
            <w:tcW w:w="7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191</w:t>
            </w:r>
          </w:p>
        </w:tc>
        <w:tc>
          <w:tcPr>
            <w:tcW w:w="80" w:type="dxa"/>
            <w:vAlign w:val="bottom"/>
            <w:shd w:val="clear" w:color="auto" w:fill="E0E7ED"/>
          </w:tcPr>
          <w:p>
            <w:pPr>
              <w:spacing w:after="0"/>
              <w:rPr>
                <w:sz w:val="15"/>
                <w:szCs w:val="15"/>
                <w:color w:val="auto"/>
              </w:rPr>
            </w:pPr>
          </w:p>
        </w:tc>
        <w:tc>
          <w:tcPr>
            <w:tcW w:w="180" w:type="dxa"/>
            <w:vAlign w:val="bottom"/>
            <w:tcBorders>
              <w:bottom w:val="single" w:sz="8" w:color="auto"/>
            </w:tcBorders>
            <w:shd w:val="clear" w:color="auto" w:fill="E0E7ED"/>
          </w:tcPr>
          <w:p>
            <w:pPr>
              <w:spacing w:after="0"/>
              <w:rPr>
                <w:sz w:val="15"/>
                <w:szCs w:val="15"/>
                <w:color w:val="auto"/>
              </w:rPr>
            </w:pPr>
          </w:p>
        </w:tc>
        <w:tc>
          <w:tcPr>
            <w:tcW w:w="7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107</w:t>
            </w:r>
          </w:p>
        </w:tc>
        <w:tc>
          <w:tcPr>
            <w:tcW w:w="8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7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32</w:t>
            </w:r>
          </w:p>
        </w:tc>
        <w:tc>
          <w:tcPr>
            <w:tcW w:w="80" w:type="dxa"/>
            <w:vAlign w:val="bottom"/>
            <w:shd w:val="clear" w:color="auto" w:fill="E0E7ED"/>
          </w:tcPr>
          <w:p>
            <w:pPr>
              <w:spacing w:after="0"/>
              <w:rPr>
                <w:sz w:val="15"/>
                <w:szCs w:val="15"/>
                <w:color w:val="auto"/>
              </w:rPr>
            </w:pPr>
          </w:p>
        </w:tc>
        <w:tc>
          <w:tcPr>
            <w:tcW w:w="180" w:type="dxa"/>
            <w:vAlign w:val="bottom"/>
            <w:tcBorders>
              <w:bottom w:val="single" w:sz="8" w:color="auto"/>
            </w:tcBorders>
            <w:shd w:val="clear" w:color="auto" w:fill="E0E7ED"/>
          </w:tcPr>
          <w:p>
            <w:pPr>
              <w:spacing w:after="0"/>
              <w:rPr>
                <w:sz w:val="15"/>
                <w:szCs w:val="15"/>
                <w:color w:val="auto"/>
              </w:rPr>
            </w:pPr>
          </w:p>
        </w:tc>
        <w:tc>
          <w:tcPr>
            <w:tcW w:w="7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390</w:t>
            </w:r>
          </w:p>
        </w:tc>
        <w:tc>
          <w:tcPr>
            <w:tcW w:w="80" w:type="dxa"/>
            <w:vAlign w:val="bottom"/>
            <w:shd w:val="clear" w:color="auto" w:fill="E0E7ED"/>
          </w:tcPr>
          <w:p>
            <w:pPr>
              <w:spacing w:after="0"/>
              <w:rPr>
                <w:sz w:val="15"/>
                <w:szCs w:val="15"/>
                <w:color w:val="auto"/>
              </w:rPr>
            </w:pPr>
          </w:p>
        </w:tc>
        <w:tc>
          <w:tcPr>
            <w:tcW w:w="180" w:type="dxa"/>
            <w:vAlign w:val="bottom"/>
            <w:tcBorders>
              <w:bottom w:val="single" w:sz="8" w:color="auto"/>
            </w:tcBorders>
            <w:shd w:val="clear" w:color="auto" w:fill="E0E7ED"/>
          </w:tcPr>
          <w:p>
            <w:pPr>
              <w:spacing w:after="0"/>
              <w:rPr>
                <w:sz w:val="15"/>
                <w:szCs w:val="15"/>
                <w:color w:val="auto"/>
              </w:rPr>
            </w:pPr>
          </w:p>
        </w:tc>
        <w:tc>
          <w:tcPr>
            <w:tcW w:w="7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1,708</w:t>
            </w:r>
          </w:p>
        </w:tc>
        <w:tc>
          <w:tcPr>
            <w:tcW w:w="80" w:type="dxa"/>
            <w:vAlign w:val="bottom"/>
            <w:shd w:val="clear" w:color="auto" w:fill="E0E7ED"/>
          </w:tcPr>
          <w:p>
            <w:pPr>
              <w:spacing w:after="0"/>
              <w:rPr>
                <w:sz w:val="15"/>
                <w:szCs w:val="15"/>
                <w:color w:val="auto"/>
              </w:rPr>
            </w:pPr>
          </w:p>
        </w:tc>
        <w:tc>
          <w:tcPr>
            <w:tcW w:w="100" w:type="dxa"/>
            <w:vAlign w:val="bottom"/>
            <w:tcBorders>
              <w:bottom w:val="single" w:sz="8" w:color="auto"/>
            </w:tcBorders>
            <w:shd w:val="clear" w:color="auto" w:fill="E0E7ED"/>
          </w:tcPr>
          <w:p>
            <w:pPr>
              <w:spacing w:after="0"/>
              <w:rPr>
                <w:sz w:val="15"/>
                <w:szCs w:val="15"/>
                <w:color w:val="auto"/>
              </w:rPr>
            </w:pP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658</w:t>
            </w:r>
          </w:p>
        </w:tc>
        <w:tc>
          <w:tcPr>
            <w:tcW w:w="80" w:type="dxa"/>
            <w:vAlign w:val="bottom"/>
            <w:shd w:val="clear" w:color="auto" w:fill="E0E7ED"/>
          </w:tcPr>
          <w:p>
            <w:pPr>
              <w:spacing w:after="0"/>
              <w:rPr>
                <w:sz w:val="15"/>
                <w:szCs w:val="15"/>
                <w:color w:val="auto"/>
              </w:rPr>
            </w:pPr>
          </w:p>
        </w:tc>
        <w:tc>
          <w:tcPr>
            <w:tcW w:w="140" w:type="dxa"/>
            <w:vAlign w:val="bottom"/>
            <w:tcBorders>
              <w:bottom w:val="single" w:sz="8" w:color="auto"/>
            </w:tcBorders>
            <w:shd w:val="clear" w:color="auto" w:fill="E0E7ED"/>
          </w:tcPr>
          <w:p>
            <w:pPr>
              <w:spacing w:after="0"/>
              <w:rPr>
                <w:sz w:val="15"/>
                <w:szCs w:val="15"/>
                <w:color w:val="auto"/>
              </w:rPr>
            </w:pPr>
          </w:p>
        </w:tc>
        <w:tc>
          <w:tcPr>
            <w:tcW w:w="7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3,096</w:t>
            </w:r>
          </w:p>
        </w:tc>
        <w:tc>
          <w:tcPr>
            <w:tcW w:w="0" w:type="dxa"/>
            <w:vAlign w:val="bottom"/>
          </w:tcPr>
          <w:p>
            <w:pPr>
              <w:spacing w:after="0"/>
              <w:rPr>
                <w:sz w:val="1"/>
                <w:szCs w:val="1"/>
                <w:color w:val="auto"/>
              </w:rPr>
            </w:pPr>
          </w:p>
        </w:tc>
      </w:tr>
      <w:tr>
        <w:trPr>
          <w:trHeight w:val="164"/>
        </w:trPr>
        <w:tc>
          <w:tcPr>
            <w:tcW w:w="338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retail real estate</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400,507</w:t>
            </w:r>
          </w:p>
        </w:tc>
        <w:tc>
          <w:tcPr>
            <w:tcW w:w="80" w:type="dxa"/>
            <w:vAlign w:val="bottom"/>
            <w:tcBorders>
              <w:bottom w:val="single" w:sz="8" w:color="E0E7E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460,072</w:t>
            </w:r>
          </w:p>
        </w:tc>
        <w:tc>
          <w:tcPr>
            <w:tcW w:w="8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177,299</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79,126</w:t>
            </w:r>
          </w:p>
        </w:tc>
        <w:tc>
          <w:tcPr>
            <w:tcW w:w="8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58,481</w:t>
            </w:r>
          </w:p>
        </w:tc>
        <w:tc>
          <w:tcPr>
            <w:tcW w:w="8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270,808</w:t>
            </w:r>
          </w:p>
        </w:tc>
        <w:tc>
          <w:tcPr>
            <w:tcW w:w="80" w:type="dxa"/>
            <w:vAlign w:val="bottom"/>
            <w:tcBorders>
              <w:bottom w:val="single" w:sz="8" w:color="E0E7ED"/>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210,789</w:t>
            </w:r>
          </w:p>
        </w:tc>
        <w:tc>
          <w:tcPr>
            <w:tcW w:w="80" w:type="dxa"/>
            <w:vAlign w:val="bottom"/>
            <w:tcBorders>
              <w:bottom w:val="single" w:sz="8" w:color="E0E7E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1,657,082</w:t>
            </w:r>
          </w:p>
        </w:tc>
        <w:tc>
          <w:tcPr>
            <w:tcW w:w="0" w:type="dxa"/>
            <w:vAlign w:val="bottom"/>
          </w:tcPr>
          <w:p>
            <w:pPr>
              <w:spacing w:after="0"/>
              <w:rPr>
                <w:sz w:val="1"/>
                <w:szCs w:val="1"/>
                <w:color w:val="auto"/>
              </w:rPr>
            </w:pPr>
          </w:p>
        </w:tc>
      </w:tr>
      <w:tr>
        <w:trPr>
          <w:trHeight w:val="147"/>
        </w:trPr>
        <w:tc>
          <w:tcPr>
            <w:tcW w:w="33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8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3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Retail other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134,567</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43,512</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13,141</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13,086</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5,646</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7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991</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91,028</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7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301,971</w:t>
            </w:r>
          </w:p>
        </w:tc>
        <w:tc>
          <w:tcPr>
            <w:tcW w:w="0" w:type="dxa"/>
            <w:vAlign w:val="bottom"/>
          </w:tcPr>
          <w:p>
            <w:pPr>
              <w:spacing w:after="0"/>
              <w:rPr>
                <w:sz w:val="1"/>
                <w:szCs w:val="1"/>
                <w:color w:val="auto"/>
              </w:rPr>
            </w:pPr>
          </w:p>
        </w:tc>
      </w:tr>
      <w:tr>
        <w:trPr>
          <w:trHeight w:val="170"/>
        </w:trPr>
        <w:tc>
          <w:tcPr>
            <w:tcW w:w="33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Verdana" w:cs="Verdana" w:eastAsia="Verdana" w:hAnsi="Verdana"/>
                <w:sz w:val="13"/>
                <w:szCs w:val="13"/>
                <w:color w:val="auto"/>
              </w:rPr>
              <w:t>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Verdana" w:cs="Verdana" w:eastAsia="Verdana" w:hAnsi="Verdana"/>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Verdana" w:cs="Verdana" w:eastAsia="Verdana" w:hAnsi="Verdana"/>
                <w:sz w:val="13"/>
                <w:szCs w:val="13"/>
                <w:color w:val="auto"/>
              </w:rPr>
              <w:t>153</w:t>
            </w:r>
          </w:p>
        </w:tc>
        <w:tc>
          <w:tcPr>
            <w:tcW w:w="0" w:type="dxa"/>
            <w:vAlign w:val="bottom"/>
          </w:tcPr>
          <w:p>
            <w:pPr>
              <w:spacing w:after="0"/>
              <w:rPr>
                <w:sz w:val="1"/>
                <w:szCs w:val="1"/>
                <w:color w:val="auto"/>
              </w:rPr>
            </w:pPr>
          </w:p>
        </w:tc>
      </w:tr>
      <w:tr>
        <w:trPr>
          <w:trHeight w:val="169"/>
        </w:trPr>
        <w:tc>
          <w:tcPr>
            <w:tcW w:w="33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other</w:t>
            </w:r>
          </w:p>
        </w:tc>
        <w:tc>
          <w:tcPr>
            <w:tcW w:w="140" w:type="dxa"/>
            <w:vAlign w:val="bottom"/>
            <w:tcBorders>
              <w:top w:val="single" w:sz="8" w:color="auto"/>
              <w:bottom w:val="single" w:sz="8" w:color="auto"/>
            </w:tcBorders>
            <w:shd w:val="clear" w:color="auto" w:fill="E0E7ED"/>
          </w:tcPr>
          <w:p>
            <w:pPr>
              <w:spacing w:after="0"/>
              <w:rPr>
                <w:sz w:val="14"/>
                <w:szCs w:val="14"/>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134,581</w:t>
            </w:r>
          </w:p>
        </w:tc>
        <w:tc>
          <w:tcPr>
            <w:tcW w:w="8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bottom w:val="single" w:sz="8" w:color="auto"/>
            </w:tcBorders>
            <w:shd w:val="clear" w:color="auto" w:fill="E0E7ED"/>
          </w:tcPr>
          <w:p>
            <w:pPr>
              <w:spacing w:after="0"/>
              <w:rPr>
                <w:sz w:val="14"/>
                <w:szCs w:val="14"/>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43,646</w:t>
            </w:r>
          </w:p>
        </w:tc>
        <w:tc>
          <w:tcPr>
            <w:tcW w:w="8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13,144</w:t>
            </w:r>
          </w:p>
        </w:tc>
        <w:tc>
          <w:tcPr>
            <w:tcW w:w="8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13,086</w:t>
            </w:r>
          </w:p>
        </w:tc>
        <w:tc>
          <w:tcPr>
            <w:tcW w:w="8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5,646</w:t>
            </w:r>
          </w:p>
        </w:tc>
        <w:tc>
          <w:tcPr>
            <w:tcW w:w="8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bottom w:val="single" w:sz="8" w:color="auto"/>
            </w:tcBorders>
            <w:shd w:val="clear" w:color="auto" w:fill="E0E7ED"/>
          </w:tcPr>
          <w:p>
            <w:pPr>
              <w:spacing w:after="0"/>
              <w:rPr>
                <w:sz w:val="14"/>
                <w:szCs w:val="14"/>
                <w:color w:val="auto"/>
              </w:rPr>
            </w:pPr>
          </w:p>
        </w:tc>
        <w:tc>
          <w:tcPr>
            <w:tcW w:w="7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993</w:t>
            </w:r>
          </w:p>
        </w:tc>
        <w:tc>
          <w:tcPr>
            <w:tcW w:w="80" w:type="dxa"/>
            <w:vAlign w:val="bottom"/>
            <w:tcBorders>
              <w:top w:val="single" w:sz="8" w:color="E0E7ED"/>
            </w:tcBorders>
            <w:shd w:val="clear" w:color="auto" w:fill="E0E7ED"/>
          </w:tcPr>
          <w:p>
            <w:pPr>
              <w:spacing w:after="0"/>
              <w:rPr>
                <w:sz w:val="14"/>
                <w:szCs w:val="14"/>
                <w:color w:val="auto"/>
              </w:rPr>
            </w:pPr>
          </w:p>
        </w:tc>
        <w:tc>
          <w:tcPr>
            <w:tcW w:w="100" w:type="dxa"/>
            <w:vAlign w:val="bottom"/>
            <w:tcBorders>
              <w:top w:val="single" w:sz="8" w:color="auto"/>
              <w:bottom w:val="single" w:sz="8" w:color="auto"/>
            </w:tcBorders>
            <w:shd w:val="clear" w:color="auto" w:fill="E0E7ED"/>
          </w:tcPr>
          <w:p>
            <w:pPr>
              <w:spacing w:after="0"/>
              <w:rPr>
                <w:sz w:val="14"/>
                <w:szCs w:val="14"/>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91,028</w:t>
            </w:r>
          </w:p>
        </w:tc>
        <w:tc>
          <w:tcPr>
            <w:tcW w:w="8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bottom w:val="single" w:sz="8" w:color="auto"/>
            </w:tcBorders>
            <w:shd w:val="clear" w:color="auto" w:fill="E0E7ED"/>
          </w:tcPr>
          <w:p>
            <w:pPr>
              <w:spacing w:after="0"/>
              <w:rPr>
                <w:sz w:val="14"/>
                <w:szCs w:val="14"/>
                <w:color w:val="auto"/>
              </w:rPr>
            </w:pPr>
          </w:p>
        </w:tc>
        <w:tc>
          <w:tcPr>
            <w:tcW w:w="7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302,124</w:t>
            </w: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38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Total portfolio loans</w:t>
            </w:r>
          </w:p>
        </w:tc>
        <w:tc>
          <w:tcPr>
            <w:tcW w:w="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2,288,440</w:t>
            </w:r>
          </w:p>
        </w:tc>
        <w:tc>
          <w:tcPr>
            <w:tcW w:w="80" w:type="dxa"/>
            <w:vAlign w:val="bottom"/>
            <w:tcBorders>
              <w:bottom w:val="single" w:sz="8" w:color="E0E7ED"/>
            </w:tcBorders>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1,926,481</w:t>
            </w:r>
          </w:p>
        </w:tc>
        <w:tc>
          <w:tcPr>
            <w:tcW w:w="8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962,405</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7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558,294</w:t>
            </w:r>
          </w:p>
        </w:tc>
        <w:tc>
          <w:tcPr>
            <w:tcW w:w="8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323,245</w:t>
            </w:r>
          </w:p>
        </w:tc>
        <w:tc>
          <w:tcPr>
            <w:tcW w:w="8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7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644,140</w:t>
            </w:r>
          </w:p>
        </w:tc>
        <w:tc>
          <w:tcPr>
            <w:tcW w:w="80" w:type="dxa"/>
            <w:vAlign w:val="bottom"/>
            <w:tcBorders>
              <w:bottom w:val="single" w:sz="8" w:color="E0E7ED"/>
            </w:tcBorders>
            <w:shd w:val="clear" w:color="auto" w:fill="E0E7ED"/>
          </w:tcPr>
          <w:p>
            <w:pPr>
              <w:spacing w:after="0"/>
              <w:rPr>
                <w:sz w:val="17"/>
                <w:szCs w:val="17"/>
                <w:color w:val="auto"/>
              </w:rPr>
            </w:pPr>
          </w:p>
        </w:tc>
        <w:tc>
          <w:tcPr>
            <w:tcW w:w="1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1,022,697</w:t>
            </w:r>
          </w:p>
        </w:tc>
        <w:tc>
          <w:tcPr>
            <w:tcW w:w="80" w:type="dxa"/>
            <w:vAlign w:val="bottom"/>
            <w:tcBorders>
              <w:bottom w:val="single" w:sz="8" w:color="E0E7ED"/>
            </w:tcBorders>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7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7,725,702</w:t>
            </w:r>
          </w:p>
        </w:tc>
        <w:tc>
          <w:tcPr>
            <w:tcW w:w="0" w:type="dxa"/>
            <w:vAlign w:val="bottom"/>
          </w:tcPr>
          <w:p>
            <w:pPr>
              <w:spacing w:after="0"/>
              <w:rPr>
                <w:sz w:val="1"/>
                <w:szCs w:val="1"/>
                <w:color w:val="auto"/>
              </w:rPr>
            </w:pPr>
          </w:p>
        </w:tc>
      </w:tr>
      <w:tr>
        <w:trPr>
          <w:trHeight w:val="20"/>
        </w:trPr>
        <w:tc>
          <w:tcPr>
            <w:tcW w:w="33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7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7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7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7" w:name="page128"/>
    <w:bookmarkEnd w:id="12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Past Due and Non-Accrual Loans</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An analysis of the amortized cost basis of portfolio loans that are past due and still accruing, or on non-accrual status, is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420"/>
              <w:spacing w:after="0"/>
              <w:rPr>
                <w:sz w:val="20"/>
                <w:szCs w:val="20"/>
                <w:color w:val="auto"/>
              </w:rPr>
            </w:pPr>
            <w:r>
              <w:rPr>
                <w:rFonts w:ascii="Verdana" w:cs="Verdana" w:eastAsia="Verdana" w:hAnsi="Verdana"/>
                <w:sz w:val="13"/>
                <w:szCs w:val="13"/>
                <w:b w:val="1"/>
                <w:bCs w:val="1"/>
                <w:color w:val="auto"/>
              </w:rPr>
              <w:t>As of December 31, 2023</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jc w:val="center"/>
              <w:ind w:left="876"/>
              <w:spacing w:after="0"/>
              <w:rPr>
                <w:sz w:val="20"/>
                <w:szCs w:val="20"/>
                <w:color w:val="auto"/>
              </w:rPr>
            </w:pPr>
            <w:r>
              <w:rPr>
                <w:rFonts w:ascii="Verdana" w:cs="Verdana" w:eastAsia="Verdana" w:hAnsi="Verdana"/>
                <w:sz w:val="13"/>
                <w:szCs w:val="13"/>
                <w:b w:val="1"/>
                <w:bCs w:val="1"/>
                <w:color w:val="auto"/>
                <w:w w:val="97"/>
              </w:rPr>
              <w:t>Loans past due, still accruing</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center"/>
              <w:ind w:right="136"/>
              <w:spacing w:after="0"/>
              <w:rPr>
                <w:sz w:val="20"/>
                <w:szCs w:val="20"/>
                <w:color w:val="auto"/>
              </w:rPr>
            </w:pPr>
            <w:r>
              <w:rPr>
                <w:rFonts w:ascii="Verdana" w:cs="Verdana" w:eastAsia="Verdana" w:hAnsi="Verdana"/>
                <w:sz w:val="13"/>
                <w:szCs w:val="13"/>
                <w:b w:val="1"/>
                <w:bCs w:val="1"/>
                <w:color w:val="auto"/>
                <w:w w:val="97"/>
              </w:rPr>
              <w:t>Non-accrual</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30-59 Days</w:t>
            </w:r>
          </w:p>
        </w:tc>
        <w:tc>
          <w:tcPr>
            <w:tcW w:w="240" w:type="dxa"/>
            <w:vAlign w:val="bottom"/>
          </w:tcPr>
          <w:p>
            <w:pPr>
              <w:spacing w:after="0"/>
              <w:rPr>
                <w:sz w:val="2"/>
                <w:szCs w:val="2"/>
                <w:color w:val="auto"/>
              </w:rPr>
            </w:pPr>
          </w:p>
        </w:tc>
        <w:tc>
          <w:tcPr>
            <w:tcW w:w="1340" w:type="dxa"/>
            <w:vAlign w:val="bottom"/>
            <w:gridSpan w:val="2"/>
            <w:vMerge w:val="restart"/>
          </w:tcPr>
          <w:p>
            <w:pPr>
              <w:jc w:val="center"/>
              <w:ind w:right="320"/>
              <w:spacing w:after="0"/>
              <w:rPr>
                <w:sz w:val="20"/>
                <w:szCs w:val="20"/>
                <w:color w:val="auto"/>
              </w:rPr>
            </w:pPr>
            <w:r>
              <w:rPr>
                <w:rFonts w:ascii="Verdana" w:cs="Verdana" w:eastAsia="Verdana" w:hAnsi="Verdana"/>
                <w:sz w:val="13"/>
                <w:szCs w:val="13"/>
                <w:b w:val="1"/>
                <w:bCs w:val="1"/>
                <w:color w:val="auto"/>
                <w:w w:val="98"/>
              </w:rPr>
              <w:t>60-89 Days</w:t>
            </w:r>
          </w:p>
        </w:tc>
        <w:tc>
          <w:tcPr>
            <w:tcW w:w="320" w:type="dxa"/>
            <w:vAlign w:val="bottom"/>
          </w:tcPr>
          <w:p>
            <w:pPr>
              <w:spacing w:after="0"/>
              <w:rPr>
                <w:sz w:val="2"/>
                <w:szCs w:val="2"/>
                <w:color w:val="auto"/>
              </w:rPr>
            </w:pPr>
          </w:p>
        </w:tc>
        <w:tc>
          <w:tcPr>
            <w:tcW w:w="128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90+Days</w:t>
            </w:r>
          </w:p>
        </w:tc>
        <w:tc>
          <w:tcPr>
            <w:tcW w:w="2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6"/>
              <w:spacing w:after="0"/>
              <w:rPr>
                <w:sz w:val="20"/>
                <w:szCs w:val="20"/>
                <w:color w:val="auto"/>
              </w:rPr>
            </w:pPr>
            <w:r>
              <w:rPr>
                <w:rFonts w:ascii="Verdana" w:cs="Verdana" w:eastAsia="Verdana" w:hAnsi="Verdana"/>
                <w:sz w:val="13"/>
                <w:szCs w:val="13"/>
                <w:b w:val="1"/>
                <w:bCs w:val="1"/>
                <w:color w:val="auto"/>
                <w:w w:val="97"/>
              </w:rPr>
              <w:t>Loans</w:t>
            </w:r>
          </w:p>
        </w:tc>
        <w:tc>
          <w:tcPr>
            <w:tcW w:w="0" w:type="dxa"/>
            <w:vAlign w:val="bottom"/>
          </w:tcPr>
          <w:p>
            <w:pPr>
              <w:spacing w:after="0"/>
              <w:rPr>
                <w:sz w:val="1"/>
                <w:szCs w:val="1"/>
                <w:color w:val="auto"/>
              </w:rPr>
            </w:pP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Past due and non-accrual loans</w:t>
            </w: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214</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2,602</w:t>
            </w:r>
          </w:p>
        </w:tc>
        <w:tc>
          <w:tcPr>
            <w:tcW w:w="0" w:type="dxa"/>
            <w:vAlign w:val="bottom"/>
          </w:tcPr>
          <w:p>
            <w:pPr>
              <w:spacing w:after="0"/>
              <w:rPr>
                <w:sz w:val="1"/>
                <w:szCs w:val="1"/>
                <w:color w:val="auto"/>
              </w:rPr>
            </w:pPr>
          </w:p>
        </w:tc>
      </w:tr>
      <w:tr>
        <w:trPr>
          <w:trHeight w:val="263"/>
        </w:trPr>
        <w:tc>
          <w:tcPr>
            <w:tcW w:w="4980" w:type="dxa"/>
            <w:vAlign w:val="bottom"/>
          </w:tcPr>
          <w:p>
            <w:pPr>
              <w:ind w:left="360"/>
              <w:spacing w:after="0"/>
              <w:rPr>
                <w:sz w:val="20"/>
                <w:szCs w:val="20"/>
                <w:color w:val="auto"/>
              </w:rPr>
            </w:pPr>
            <w:r>
              <w:rPr>
                <w:rFonts w:ascii="Verdana" w:cs="Verdana" w:eastAsia="Verdana" w:hAnsi="Verdana"/>
                <w:sz w:val="18"/>
                <w:szCs w:val="18"/>
                <w:color w:val="auto"/>
              </w:rPr>
              <w:t>Commercial real estate</w:t>
            </w:r>
          </w:p>
        </w:tc>
        <w:tc>
          <w:tcPr>
            <w:tcW w:w="24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752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843</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 construction</w:t>
            </w: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24</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244</w:t>
            </w: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Past due and non-accrual commercial loans</w:t>
            </w:r>
          </w:p>
        </w:tc>
        <w:tc>
          <w:tcPr>
            <w:tcW w:w="24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776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214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3,689</w:t>
            </w:r>
          </w:p>
        </w:tc>
        <w:tc>
          <w:tcPr>
            <w:tcW w:w="0" w:type="dxa"/>
            <w:vAlign w:val="bottom"/>
          </w:tcPr>
          <w:p>
            <w:pPr>
              <w:spacing w:after="0"/>
              <w:rPr>
                <w:sz w:val="1"/>
                <w:szCs w:val="1"/>
                <w:color w:val="auto"/>
              </w:rPr>
            </w:pPr>
          </w:p>
        </w:tc>
      </w:tr>
      <w:tr>
        <w:trPr>
          <w:trHeight w:val="257"/>
        </w:trPr>
        <w:tc>
          <w:tcPr>
            <w:tcW w:w="4980" w:type="dxa"/>
            <w:vAlign w:val="bottom"/>
            <w:tcBorders>
              <w:top w:val="single" w:sz="8" w:color="E0E7ED"/>
            </w:tcBorders>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360"/>
              <w:spacing w:after="0"/>
              <w:rPr>
                <w:sz w:val="20"/>
                <w:szCs w:val="20"/>
                <w:color w:val="auto"/>
              </w:rPr>
            </w:pPr>
            <w:r>
              <w:rPr>
                <w:rFonts w:ascii="Verdana" w:cs="Verdana" w:eastAsia="Verdana" w:hAnsi="Verdana"/>
                <w:sz w:val="18"/>
                <w:szCs w:val="18"/>
                <w:color w:val="auto"/>
              </w:rPr>
              <w:t>Retail real estate</w:t>
            </w:r>
          </w:p>
        </w:tc>
        <w:tc>
          <w:tcPr>
            <w:tcW w:w="24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2,781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927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3,595</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other</w:t>
            </w: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886</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195</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157</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Past due and non-accrual retail loans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3,667</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1,122</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375</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3,752</w:t>
            </w:r>
          </w:p>
        </w:tc>
        <w:tc>
          <w:tcPr>
            <w:tcW w:w="0" w:type="dxa"/>
            <w:vAlign w:val="bottom"/>
          </w:tcPr>
          <w:p>
            <w:pPr>
              <w:spacing w:after="0"/>
              <w:rPr>
                <w:sz w:val="1"/>
                <w:szCs w:val="1"/>
                <w:color w:val="auto"/>
              </w:rPr>
            </w:pPr>
          </w:p>
        </w:tc>
      </w:tr>
      <w:tr>
        <w:trPr>
          <w:trHeight w:val="295"/>
        </w:trPr>
        <w:tc>
          <w:tcPr>
            <w:tcW w:w="49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past due and non-accrual loans</w:t>
            </w: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4,443</w:t>
            </w: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1,336</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375</w:t>
            </w:r>
          </w:p>
        </w:tc>
        <w:tc>
          <w:tcPr>
            <w:tcW w:w="10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7,441</w:t>
            </w:r>
          </w:p>
        </w:tc>
        <w:tc>
          <w:tcPr>
            <w:tcW w:w="0" w:type="dxa"/>
            <w:vAlign w:val="bottom"/>
          </w:tcPr>
          <w:p>
            <w:pPr>
              <w:spacing w:after="0"/>
              <w:rPr>
                <w:sz w:val="1"/>
                <w:szCs w:val="1"/>
                <w:color w:val="auto"/>
              </w:rPr>
            </w:pP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420"/>
              <w:spacing w:after="0"/>
              <w:rPr>
                <w:sz w:val="20"/>
                <w:szCs w:val="20"/>
                <w:color w:val="auto"/>
              </w:rPr>
            </w:pPr>
            <w:r>
              <w:rPr>
                <w:rFonts w:ascii="Verdana" w:cs="Verdana" w:eastAsia="Verdana" w:hAnsi="Verdana"/>
                <w:sz w:val="13"/>
                <w:szCs w:val="13"/>
                <w:b w:val="1"/>
                <w:bCs w:val="1"/>
                <w:color w:val="auto"/>
              </w:rPr>
              <w:t>As of December 31, 2022</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jc w:val="center"/>
              <w:ind w:left="876"/>
              <w:spacing w:after="0"/>
              <w:rPr>
                <w:sz w:val="20"/>
                <w:szCs w:val="20"/>
                <w:color w:val="auto"/>
              </w:rPr>
            </w:pPr>
            <w:r>
              <w:rPr>
                <w:rFonts w:ascii="Verdana" w:cs="Verdana" w:eastAsia="Verdana" w:hAnsi="Verdana"/>
                <w:sz w:val="13"/>
                <w:szCs w:val="13"/>
                <w:b w:val="1"/>
                <w:bCs w:val="1"/>
                <w:color w:val="auto"/>
                <w:w w:val="97"/>
              </w:rPr>
              <w:t>Loans past due, still accruing</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center"/>
              <w:ind w:right="136"/>
              <w:spacing w:after="0"/>
              <w:rPr>
                <w:sz w:val="20"/>
                <w:szCs w:val="20"/>
                <w:color w:val="auto"/>
              </w:rPr>
            </w:pPr>
            <w:r>
              <w:rPr>
                <w:rFonts w:ascii="Verdana" w:cs="Verdana" w:eastAsia="Verdana" w:hAnsi="Verdana"/>
                <w:sz w:val="13"/>
                <w:szCs w:val="13"/>
                <w:b w:val="1"/>
                <w:bCs w:val="1"/>
                <w:color w:val="auto"/>
                <w:w w:val="97"/>
              </w:rPr>
              <w:t>Non-accrual</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30-59 Days</w:t>
            </w:r>
          </w:p>
        </w:tc>
        <w:tc>
          <w:tcPr>
            <w:tcW w:w="240" w:type="dxa"/>
            <w:vAlign w:val="bottom"/>
          </w:tcPr>
          <w:p>
            <w:pPr>
              <w:spacing w:after="0"/>
              <w:rPr>
                <w:sz w:val="2"/>
                <w:szCs w:val="2"/>
                <w:color w:val="auto"/>
              </w:rPr>
            </w:pPr>
          </w:p>
        </w:tc>
        <w:tc>
          <w:tcPr>
            <w:tcW w:w="1340" w:type="dxa"/>
            <w:vAlign w:val="bottom"/>
            <w:gridSpan w:val="2"/>
            <w:vMerge w:val="restart"/>
          </w:tcPr>
          <w:p>
            <w:pPr>
              <w:jc w:val="center"/>
              <w:ind w:right="320"/>
              <w:spacing w:after="0"/>
              <w:rPr>
                <w:sz w:val="20"/>
                <w:szCs w:val="20"/>
                <w:color w:val="auto"/>
              </w:rPr>
            </w:pPr>
            <w:r>
              <w:rPr>
                <w:rFonts w:ascii="Verdana" w:cs="Verdana" w:eastAsia="Verdana" w:hAnsi="Verdana"/>
                <w:sz w:val="13"/>
                <w:szCs w:val="13"/>
                <w:b w:val="1"/>
                <w:bCs w:val="1"/>
                <w:color w:val="auto"/>
                <w:w w:val="98"/>
              </w:rPr>
              <w:t>60-89 Days</w:t>
            </w:r>
          </w:p>
        </w:tc>
        <w:tc>
          <w:tcPr>
            <w:tcW w:w="320" w:type="dxa"/>
            <w:vAlign w:val="bottom"/>
          </w:tcPr>
          <w:p>
            <w:pPr>
              <w:spacing w:after="0"/>
              <w:rPr>
                <w:sz w:val="2"/>
                <w:szCs w:val="2"/>
                <w:color w:val="auto"/>
              </w:rPr>
            </w:pPr>
          </w:p>
        </w:tc>
        <w:tc>
          <w:tcPr>
            <w:tcW w:w="128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90+Days</w:t>
            </w:r>
          </w:p>
        </w:tc>
        <w:tc>
          <w:tcPr>
            <w:tcW w:w="2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6"/>
              <w:spacing w:after="0"/>
              <w:rPr>
                <w:sz w:val="20"/>
                <w:szCs w:val="20"/>
                <w:color w:val="auto"/>
              </w:rPr>
            </w:pPr>
            <w:r>
              <w:rPr>
                <w:rFonts w:ascii="Verdana" w:cs="Verdana" w:eastAsia="Verdana" w:hAnsi="Verdana"/>
                <w:sz w:val="13"/>
                <w:szCs w:val="13"/>
                <w:b w:val="1"/>
                <w:bCs w:val="1"/>
                <w:color w:val="auto"/>
                <w:w w:val="97"/>
              </w:rPr>
              <w:t>Loans</w:t>
            </w:r>
          </w:p>
        </w:tc>
        <w:tc>
          <w:tcPr>
            <w:tcW w:w="0" w:type="dxa"/>
            <w:vAlign w:val="bottom"/>
          </w:tcPr>
          <w:p>
            <w:pPr>
              <w:spacing w:after="0"/>
              <w:rPr>
                <w:sz w:val="1"/>
                <w:szCs w:val="1"/>
                <w:color w:val="auto"/>
              </w:rPr>
            </w:pP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Past due and non-accrual loans</w:t>
            </w: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2</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6,174</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Commercial real estate</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124</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5,644</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Past due and non-accrual commercial loans</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126</w:t>
            </w: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3"/>
                <w:szCs w:val="23"/>
                <w:color w:val="auto"/>
              </w:rPr>
            </w:pP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11,818</w:t>
            </w: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Verdana" w:cs="Verdana" w:eastAsia="Verdana" w:hAnsi="Verdana"/>
                <w:sz w:val="18"/>
                <w:szCs w:val="18"/>
                <w:color w:val="auto"/>
              </w:rPr>
              <w:t>Retail loans:</w:t>
            </w: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real estate</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4,709</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1,239</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673</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3,096</w:t>
            </w:r>
          </w:p>
        </w:tc>
        <w:tc>
          <w:tcPr>
            <w:tcW w:w="0" w:type="dxa"/>
            <w:vAlign w:val="bottom"/>
          </w:tcPr>
          <w:p>
            <w:pPr>
              <w:spacing w:after="0"/>
              <w:rPr>
                <w:sz w:val="1"/>
                <w:szCs w:val="1"/>
                <w:color w:val="auto"/>
              </w:rPr>
            </w:pPr>
          </w:p>
        </w:tc>
      </w:tr>
      <w:tr>
        <w:trPr>
          <w:trHeight w:val="264"/>
        </w:trPr>
        <w:tc>
          <w:tcPr>
            <w:tcW w:w="4980" w:type="dxa"/>
            <w:vAlign w:val="bottom"/>
          </w:tcPr>
          <w:p>
            <w:pPr>
              <w:ind w:left="360"/>
              <w:spacing w:after="0"/>
              <w:rPr>
                <w:sz w:val="20"/>
                <w:szCs w:val="20"/>
                <w:color w:val="auto"/>
              </w:rPr>
            </w:pPr>
            <w:r>
              <w:rPr>
                <w:rFonts w:ascii="Verdana" w:cs="Verdana" w:eastAsia="Verdana" w:hAnsi="Verdana"/>
                <w:sz w:val="18"/>
                <w:szCs w:val="18"/>
                <w:color w:val="auto"/>
              </w:rPr>
              <w:t>Retail other</w:t>
            </w:r>
          </w:p>
        </w:tc>
        <w:tc>
          <w:tcPr>
            <w:tcW w:w="24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414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60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153</w:t>
            </w:r>
          </w:p>
        </w:tc>
        <w:tc>
          <w:tcPr>
            <w:tcW w:w="0" w:type="dxa"/>
            <w:vAlign w:val="bottom"/>
          </w:tcPr>
          <w:p>
            <w:pPr>
              <w:spacing w:after="0"/>
              <w:rPr>
                <w:sz w:val="1"/>
                <w:szCs w:val="1"/>
                <w:color w:val="auto"/>
              </w:rPr>
            </w:pPr>
          </w:p>
        </w:tc>
      </w:tr>
      <w:tr>
        <w:trPr>
          <w:trHeight w:val="263"/>
        </w:trPr>
        <w:tc>
          <w:tcPr>
            <w:tcW w:w="4980" w:type="dxa"/>
            <w:vAlign w:val="bottom"/>
            <w:tcBorders>
              <w:top w:val="single" w:sz="8" w:color="E0E7ED"/>
            </w:tcBorders>
            <w:shd w:val="clear" w:color="auto" w:fill="E0E7ED"/>
          </w:tcPr>
          <w:p>
            <w:pPr>
              <w:ind w:left="180"/>
              <w:spacing w:after="0"/>
              <w:rPr>
                <w:sz w:val="20"/>
                <w:szCs w:val="20"/>
                <w:color w:val="auto"/>
              </w:rPr>
            </w:pPr>
            <w:r>
              <w:rPr>
                <w:rFonts w:ascii="Verdana" w:cs="Verdana" w:eastAsia="Verdana" w:hAnsi="Verdana"/>
                <w:sz w:val="18"/>
                <w:szCs w:val="18"/>
                <w:color w:val="auto"/>
              </w:rPr>
              <w:t>Past due and non-accrual retail loans</w:t>
            </w:r>
          </w:p>
        </w:tc>
        <w:tc>
          <w:tcPr>
            <w:tcW w:w="24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5,123</w:t>
            </w: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1,299</w:t>
            </w: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673</w:t>
            </w: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80" w:type="dxa"/>
            <w:vAlign w:val="bottom"/>
            <w:tcBorders>
              <w:top w:val="single" w:sz="8" w:color="auto"/>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3,249</w:t>
            </w:r>
          </w:p>
        </w:tc>
        <w:tc>
          <w:tcPr>
            <w:tcW w:w="0" w:type="dxa"/>
            <w:vAlign w:val="bottom"/>
          </w:tcPr>
          <w:p>
            <w:pPr>
              <w:spacing w:after="0"/>
              <w:rPr>
                <w:sz w:val="1"/>
                <w:szCs w:val="1"/>
                <w:color w:val="auto"/>
              </w:rPr>
            </w:pPr>
          </w:p>
        </w:tc>
      </w:tr>
      <w:tr>
        <w:trPr>
          <w:trHeight w:val="270"/>
        </w:trPr>
        <w:tc>
          <w:tcPr>
            <w:tcW w:w="4980" w:type="dxa"/>
            <w:vAlign w:val="bottom"/>
          </w:tcPr>
          <w:p>
            <w:pPr>
              <w:ind w:left="20"/>
              <w:spacing w:after="0"/>
              <w:rPr>
                <w:sz w:val="20"/>
                <w:szCs w:val="20"/>
                <w:color w:val="auto"/>
              </w:rPr>
            </w:pPr>
            <w:r>
              <w:rPr>
                <w:rFonts w:ascii="Verdana" w:cs="Verdana" w:eastAsia="Verdana" w:hAnsi="Verdana"/>
                <w:sz w:val="18"/>
                <w:szCs w:val="18"/>
                <w:color w:val="auto"/>
              </w:rPr>
              <w:t>Total past due and non-accrual loans</w:t>
            </w: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5,249</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1,299</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673</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15,067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Gross interest income recorded on 90+ days past due loans, and that would have been recorded on non-accrual loans if they had been accruing interest in accordance with their original terms, was $1.1 million, $1.2 million, and $1.6 million for the years ended December 31, 2023, 2022, and 2021, respectively. Interest collected on those loans and recognized on a cash basis that was included in interest income was $0.4 million for each of the years ended December 31, 2023, 2022, and 2021.</w:t>
      </w:r>
    </w:p>
    <w:p>
      <w:pPr>
        <w:spacing w:after="0" w:line="225"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8" w:name="page129"/>
    <w:bookmarkEnd w:id="12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 Modification Disclosures Pursuant to ASU 2022-02</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The following table presents the amortized cost basis of loans that were modified for borrowers experiencing financial difficulty during the periods indicated, disaggregated by class of financing receivable and type of concession granted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355"/>
              <w:spacing w:after="0"/>
              <w:rPr>
                <w:sz w:val="20"/>
                <w:szCs w:val="20"/>
                <w:color w:val="auto"/>
              </w:rPr>
            </w:pPr>
            <w:r>
              <w:rPr>
                <w:rFonts w:ascii="Verdana" w:cs="Verdana" w:eastAsia="Verdana" w:hAnsi="Verdana"/>
                <w:sz w:val="13"/>
                <w:szCs w:val="13"/>
                <w:b w:val="1"/>
                <w:bCs w:val="1"/>
                <w:color w:val="auto"/>
              </w:rPr>
              <w:t>Year Ended December 31, 2023</w:t>
            </w: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jc w:val="right"/>
              <w:ind w:right="199"/>
              <w:spacing w:after="0" w:line="122" w:lineRule="exact"/>
              <w:rPr>
                <w:sz w:val="20"/>
                <w:szCs w:val="20"/>
                <w:color w:val="auto"/>
              </w:rPr>
            </w:pPr>
            <w:r>
              <w:rPr>
                <w:rFonts w:ascii="Verdana" w:cs="Verdana" w:eastAsia="Verdana" w:hAnsi="Verdana"/>
                <w:sz w:val="13"/>
                <w:szCs w:val="13"/>
                <w:b w:val="1"/>
                <w:bCs w:val="1"/>
                <w:color w:val="auto"/>
              </w:rPr>
              <w:t>Interest Rate</w:t>
            </w:r>
          </w:p>
        </w:tc>
        <w:tc>
          <w:tcPr>
            <w:tcW w:w="100" w:type="dxa"/>
            <w:vAlign w:val="bottom"/>
          </w:tcPr>
          <w:p>
            <w:pPr>
              <w:spacing w:after="0"/>
              <w:rPr>
                <w:sz w:val="10"/>
                <w:szCs w:val="10"/>
                <w:color w:val="auto"/>
              </w:rPr>
            </w:pPr>
          </w:p>
        </w:tc>
        <w:tc>
          <w:tcPr>
            <w:tcW w:w="1940" w:type="dxa"/>
            <w:vAlign w:val="bottom"/>
            <w:gridSpan w:val="3"/>
          </w:tcPr>
          <w:p>
            <w:pPr>
              <w:ind w:left="180"/>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1360" w:type="dxa"/>
            <w:vAlign w:val="bottom"/>
            <w:vMerge w:val="restart"/>
          </w:tcPr>
          <w:p>
            <w:pPr>
              <w:jc w:val="right"/>
              <w:ind w:right="95"/>
              <w:spacing w:after="0"/>
              <w:rPr>
                <w:sz w:val="20"/>
                <w:szCs w:val="20"/>
                <w:color w:val="auto"/>
              </w:rPr>
            </w:pPr>
            <w:r>
              <w:rPr>
                <w:rFonts w:ascii="Verdana" w:cs="Verdana" w:eastAsia="Verdana" w:hAnsi="Verdana"/>
                <w:sz w:val="13"/>
                <w:szCs w:val="13"/>
                <w:b w:val="1"/>
                <w:bCs w:val="1"/>
                <w:color w:val="auto"/>
                <w:w w:val="95"/>
              </w:rPr>
              <w:t>Term Extension</w:t>
            </w:r>
            <w:r>
              <w:rPr>
                <w:rFonts w:ascii="Verdana" w:cs="Verdana" w:eastAsia="Verdana" w:hAnsi="Verdana"/>
                <w:sz w:val="16"/>
                <w:szCs w:val="16"/>
                <w:b w:val="1"/>
                <w:bCs w:val="1"/>
                <w:color w:val="auto"/>
                <w:w w:val="95"/>
                <w:vertAlign w:val="superscript"/>
              </w:rPr>
              <w:t>3</w:t>
            </w:r>
          </w:p>
        </w:tc>
        <w:tc>
          <w:tcPr>
            <w:tcW w:w="100" w:type="dxa"/>
            <w:vAlign w:val="bottom"/>
          </w:tcPr>
          <w:p>
            <w:pPr>
              <w:spacing w:after="0"/>
              <w:rPr>
                <w:sz w:val="10"/>
                <w:szCs w:val="10"/>
                <w:color w:val="auto"/>
              </w:rPr>
            </w:pPr>
          </w:p>
        </w:tc>
        <w:tc>
          <w:tcPr>
            <w:tcW w:w="1700" w:type="dxa"/>
            <w:vAlign w:val="bottom"/>
          </w:tcPr>
          <w:p>
            <w:pPr>
              <w:jc w:val="right"/>
              <w:ind w:right="108"/>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299"/>
              <w:spacing w:after="0" w:line="176" w:lineRule="exact"/>
              <w:rPr>
                <w:sz w:val="20"/>
                <w:szCs w:val="20"/>
                <w:color w:val="auto"/>
              </w:rPr>
            </w:pPr>
            <w:r>
              <w:rPr>
                <w:rFonts w:ascii="Verdana" w:cs="Verdana" w:eastAsia="Verdana" w:hAnsi="Verdana"/>
                <w:sz w:val="13"/>
                <w:szCs w:val="13"/>
                <w:b w:val="1"/>
                <w:bCs w:val="1"/>
                <w:color w:val="auto"/>
              </w:rPr>
              <w:t>Reduction</w:t>
            </w:r>
            <w:r>
              <w:rPr>
                <w:rFonts w:ascii="Verdana" w:cs="Verdana" w:eastAsia="Verdana" w:hAnsi="Verdana"/>
                <w:sz w:val="16"/>
                <w:szCs w:val="16"/>
                <w:b w:val="1"/>
                <w:bCs w:val="1"/>
                <w:color w:val="auto"/>
                <w:vertAlign w:val="superscript"/>
              </w:rPr>
              <w:t>1</w:t>
            </w:r>
          </w:p>
        </w:tc>
        <w:tc>
          <w:tcPr>
            <w:tcW w:w="100" w:type="dxa"/>
            <w:vAlign w:val="bottom"/>
          </w:tcPr>
          <w:p>
            <w:pPr>
              <w:spacing w:after="0"/>
              <w:rPr>
                <w:sz w:val="15"/>
                <w:szCs w:val="15"/>
                <w:color w:val="auto"/>
              </w:rPr>
            </w:pPr>
          </w:p>
        </w:tc>
        <w:tc>
          <w:tcPr>
            <w:tcW w:w="1940" w:type="dxa"/>
            <w:vAlign w:val="bottom"/>
            <w:gridSpan w:val="3"/>
          </w:tcPr>
          <w:p>
            <w:pPr>
              <w:ind w:left="60"/>
              <w:spacing w:after="0" w:line="176" w:lineRule="exact"/>
              <w:rPr>
                <w:sz w:val="20"/>
                <w:szCs w:val="20"/>
                <w:color w:val="auto"/>
              </w:rPr>
            </w:pPr>
            <w:r>
              <w:rPr>
                <w:rFonts w:ascii="Verdana" w:cs="Verdana" w:eastAsia="Verdana" w:hAnsi="Verdana"/>
                <w:sz w:val="13"/>
                <w:szCs w:val="13"/>
                <w:b w:val="1"/>
                <w:bCs w:val="1"/>
                <w:color w:val="auto"/>
              </w:rPr>
              <w:t>Financing Receivable</w:t>
            </w:r>
            <w:r>
              <w:rPr>
                <w:rFonts w:ascii="Verdana" w:cs="Verdana" w:eastAsia="Verdana" w:hAnsi="Verdana"/>
                <w:sz w:val="16"/>
                <w:szCs w:val="16"/>
                <w:b w:val="1"/>
                <w:bCs w:val="1"/>
                <w:color w:val="auto"/>
                <w:vertAlign w:val="superscript"/>
              </w:rPr>
              <w:t>2</w:t>
            </w: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right"/>
              <w:ind w:right="8"/>
              <w:spacing w:after="0" w:line="176" w:lineRule="exact"/>
              <w:rPr>
                <w:sz w:val="20"/>
                <w:szCs w:val="20"/>
                <w:color w:val="auto"/>
              </w:rPr>
            </w:pPr>
            <w:r>
              <w:rPr>
                <w:rFonts w:ascii="Verdana" w:cs="Verdana" w:eastAsia="Verdana" w:hAnsi="Verdana"/>
                <w:sz w:val="13"/>
                <w:szCs w:val="13"/>
                <w:b w:val="1"/>
                <w:bCs w:val="1"/>
                <w:color w:val="auto"/>
                <w:w w:val="99"/>
              </w:rPr>
              <w:t>Financing Receivable</w:t>
            </w:r>
            <w:r>
              <w:rPr>
                <w:rFonts w:ascii="Verdana" w:cs="Verdana" w:eastAsia="Verdana" w:hAnsi="Verdana"/>
                <w:sz w:val="16"/>
                <w:szCs w:val="16"/>
                <w:b w:val="1"/>
                <w:bCs w:val="1"/>
                <w:color w:val="auto"/>
                <w:w w:val="99"/>
                <w:vertAlign w:val="superscript"/>
              </w:rPr>
              <w:t>2</w:t>
            </w:r>
          </w:p>
        </w:tc>
        <w:tc>
          <w:tcPr>
            <w:tcW w:w="0" w:type="dxa"/>
            <w:vAlign w:val="bottom"/>
          </w:tcPr>
          <w:p>
            <w:pPr>
              <w:spacing w:after="0"/>
              <w:rPr>
                <w:sz w:val="1"/>
                <w:szCs w:val="1"/>
                <w:color w:val="auto"/>
              </w:rPr>
            </w:pPr>
          </w:p>
        </w:tc>
      </w:tr>
      <w:tr>
        <w:trPr>
          <w:trHeight w:val="250"/>
        </w:trPr>
        <w:tc>
          <w:tcPr>
            <w:tcW w:w="45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200" w:type="dxa"/>
            <w:vAlign w:val="bottom"/>
            <w:tcBorders>
              <w:top w:val="single" w:sz="8" w:color="auto"/>
            </w:tcBorders>
            <w:shd w:val="clear" w:color="auto" w:fill="E0E7ED"/>
          </w:tcPr>
          <w:p>
            <w:pPr>
              <w:spacing w:after="0"/>
              <w:rPr>
                <w:sz w:val="21"/>
                <w:szCs w:val="21"/>
                <w:color w:val="auto"/>
              </w:rPr>
            </w:pPr>
          </w:p>
        </w:tc>
        <w:tc>
          <w:tcPr>
            <w:tcW w:w="132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6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60" w:type="dxa"/>
            <w:vAlign w:val="bottom"/>
            <w:tcBorders>
              <w:top w:val="single" w:sz="8" w:color="auto"/>
            </w:tcBorders>
            <w:shd w:val="clear" w:color="auto" w:fill="E0E7ED"/>
          </w:tcPr>
          <w:p>
            <w:pPr>
              <w:spacing w:after="0"/>
              <w:rPr>
                <w:sz w:val="21"/>
                <w:szCs w:val="21"/>
                <w:color w:val="auto"/>
              </w:rPr>
            </w:pPr>
          </w:p>
        </w:tc>
        <w:tc>
          <w:tcPr>
            <w:tcW w:w="13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70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Pr>
          <w:p>
            <w:pPr>
              <w:spacing w:after="0"/>
              <w:rPr>
                <w:sz w:val="22"/>
                <w:szCs w:val="22"/>
                <w:color w:val="auto"/>
              </w:rPr>
            </w:pPr>
          </w:p>
        </w:tc>
        <w:tc>
          <w:tcPr>
            <w:tcW w:w="1940" w:type="dxa"/>
            <w:vAlign w:val="bottom"/>
            <w:gridSpan w:val="3"/>
          </w:tcPr>
          <w:p>
            <w:pPr>
              <w:ind w:left="1220"/>
              <w:spacing w:after="0"/>
              <w:rPr>
                <w:sz w:val="20"/>
                <w:szCs w:val="20"/>
                <w:color w:val="auto"/>
              </w:rPr>
            </w:pPr>
            <w:r>
              <w:rPr>
                <w:rFonts w:ascii="Verdana" w:cs="Verdana" w:eastAsia="Verdana" w:hAnsi="Verdana"/>
                <w:sz w:val="18"/>
                <w:szCs w:val="18"/>
                <w:color w:val="auto"/>
              </w:rPr>
              <w:t>— % $</w:t>
            </w:r>
          </w:p>
        </w:tc>
        <w:tc>
          <w:tcPr>
            <w:tcW w:w="1360" w:type="dxa"/>
            <w:vAlign w:val="bottom"/>
          </w:tcPr>
          <w:p>
            <w:pPr>
              <w:jc w:val="right"/>
              <w:spacing w:after="0"/>
              <w:rPr>
                <w:sz w:val="20"/>
                <w:szCs w:val="20"/>
                <w:color w:val="auto"/>
              </w:rPr>
            </w:pPr>
            <w:r>
              <w:rPr>
                <w:rFonts w:ascii="Verdana" w:cs="Verdana" w:eastAsia="Verdana" w:hAnsi="Verdana"/>
                <w:sz w:val="18"/>
                <w:szCs w:val="18"/>
                <w:color w:val="auto"/>
              </w:rPr>
              <w:t>16,586</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0.9 %</w:t>
            </w:r>
          </w:p>
        </w:tc>
        <w:tc>
          <w:tcPr>
            <w:tcW w:w="0" w:type="dxa"/>
            <w:vAlign w:val="bottom"/>
          </w:tcPr>
          <w:p>
            <w:pPr>
              <w:spacing w:after="0"/>
              <w:rPr>
                <w:sz w:val="1"/>
                <w:szCs w:val="1"/>
                <w:color w:val="auto"/>
              </w:rPr>
            </w:pPr>
          </w:p>
        </w:tc>
      </w:tr>
      <w:tr>
        <w:trPr>
          <w:trHeight w:val="277"/>
        </w:trPr>
        <w:tc>
          <w:tcPr>
            <w:tcW w:w="45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872</w:t>
            </w:r>
          </w:p>
        </w:tc>
        <w:tc>
          <w:tcPr>
            <w:tcW w:w="100" w:type="dxa"/>
            <w:vAlign w:val="bottom"/>
            <w:shd w:val="clear" w:color="auto" w:fill="E0E7ED"/>
          </w:tcPr>
          <w:p>
            <w:pPr>
              <w:spacing w:after="0"/>
              <w:rPr>
                <w:sz w:val="24"/>
                <w:szCs w:val="24"/>
                <w:color w:val="auto"/>
              </w:rPr>
            </w:pPr>
          </w:p>
        </w:tc>
        <w:tc>
          <w:tcPr>
            <w:tcW w:w="1940" w:type="dxa"/>
            <w:vAlign w:val="bottom"/>
            <w:gridSpan w:val="3"/>
            <w:shd w:val="clear" w:color="auto" w:fill="E0E7ED"/>
          </w:tcPr>
          <w:p>
            <w:pPr>
              <w:ind w:left="1220"/>
              <w:spacing w:after="0"/>
              <w:rPr>
                <w:sz w:val="20"/>
                <w:szCs w:val="20"/>
                <w:color w:val="auto"/>
              </w:rPr>
            </w:pPr>
            <w:r>
              <w:rPr>
                <w:rFonts w:ascii="Verdana" w:cs="Verdana" w:eastAsia="Verdana" w:hAnsi="Verdana"/>
                <w:sz w:val="18"/>
                <w:szCs w:val="18"/>
                <w:color w:val="auto"/>
              </w:rPr>
              <w:t>— %</w:t>
            </w: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923</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63"/>
        </w:trPr>
        <w:tc>
          <w:tcPr>
            <w:tcW w:w="45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1780" w:type="dxa"/>
            <w:vAlign w:val="bottom"/>
            <w:tcBorders>
              <w:bottom w:val="single" w:sz="8" w:color="E0E7ED"/>
            </w:tcBorders>
            <w:gridSpan w:val="2"/>
          </w:tcPr>
          <w:p>
            <w:pPr>
              <w:ind w:left="1220"/>
              <w:spacing w:after="0"/>
              <w:rPr>
                <w:sz w:val="20"/>
                <w:szCs w:val="20"/>
                <w:color w:val="auto"/>
              </w:rPr>
            </w:pPr>
            <w:r>
              <w:rPr>
                <w:rFonts w:ascii="Verdana" w:cs="Verdana" w:eastAsia="Verdana" w:hAnsi="Verdana"/>
                <w:sz w:val="18"/>
                <w:szCs w:val="18"/>
                <w:color w:val="auto"/>
              </w:rPr>
              <w:t>— %</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5,327</w:t>
            </w:r>
          </w:p>
        </w:tc>
        <w:tc>
          <w:tcPr>
            <w:tcW w:w="180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1.2 %</w:t>
            </w:r>
          </w:p>
        </w:tc>
        <w:tc>
          <w:tcPr>
            <w:tcW w:w="0" w:type="dxa"/>
            <w:vAlign w:val="bottom"/>
          </w:tcPr>
          <w:p>
            <w:pPr>
              <w:spacing w:after="0"/>
              <w:rPr>
                <w:sz w:val="1"/>
                <w:szCs w:val="1"/>
                <w:color w:val="auto"/>
              </w:rPr>
            </w:pPr>
          </w:p>
        </w:tc>
      </w:tr>
      <w:tr>
        <w:trPr>
          <w:trHeight w:val="290"/>
        </w:trPr>
        <w:tc>
          <w:tcPr>
            <w:tcW w:w="45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of loans modified during the period</w:t>
            </w:r>
            <w:r>
              <w:rPr>
                <w:rFonts w:ascii="Verdana" w:cs="Verdana" w:eastAsia="Verdana" w:hAnsi="Verdana"/>
                <w:sz w:val="11"/>
                <w:szCs w:val="11"/>
                <w:color w:val="auto"/>
              </w:rPr>
              <w:t>4</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872</w:t>
            </w:r>
          </w:p>
        </w:tc>
        <w:tc>
          <w:tcPr>
            <w:tcW w:w="100" w:type="dxa"/>
            <w:vAlign w:val="bottom"/>
            <w:shd w:val="clear" w:color="auto" w:fill="E0E7ED"/>
          </w:tcPr>
          <w:p>
            <w:pPr>
              <w:spacing w:after="0"/>
              <w:rPr>
                <w:sz w:val="24"/>
                <w:szCs w:val="24"/>
                <w:color w:val="auto"/>
              </w:rPr>
            </w:pPr>
          </w:p>
        </w:tc>
        <w:tc>
          <w:tcPr>
            <w:tcW w:w="1940" w:type="dxa"/>
            <w:vAlign w:val="bottom"/>
            <w:gridSpan w:val="3"/>
            <w:shd w:val="clear" w:color="auto" w:fill="E0E7ED"/>
          </w:tcPr>
          <w:p>
            <w:pPr>
              <w:ind w:left="1220"/>
              <w:spacing w:after="0"/>
              <w:rPr>
                <w:sz w:val="20"/>
                <w:szCs w:val="20"/>
                <w:color w:val="auto"/>
              </w:rPr>
            </w:pPr>
            <w:r>
              <w:rPr>
                <w:rFonts w:ascii="Verdana" w:cs="Verdana" w:eastAsia="Verdana" w:hAnsi="Verdana"/>
                <w:sz w:val="18"/>
                <w:szCs w:val="18"/>
                <w:color w:val="auto"/>
              </w:rPr>
              <w:t>— % $</w:t>
            </w: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22,836</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0.3 %</w:t>
            </w:r>
          </w:p>
        </w:tc>
        <w:tc>
          <w:tcPr>
            <w:tcW w:w="0" w:type="dxa"/>
            <w:vAlign w:val="bottom"/>
          </w:tcPr>
          <w:p>
            <w:pPr>
              <w:spacing w:after="0"/>
              <w:rPr>
                <w:sz w:val="1"/>
                <w:szCs w:val="1"/>
                <w:color w:val="auto"/>
              </w:rPr>
            </w:pPr>
          </w:p>
        </w:tc>
      </w:tr>
      <w:tr>
        <w:trPr>
          <w:trHeight w:val="20"/>
        </w:trPr>
        <w:tc>
          <w:tcPr>
            <w:tcW w:w="452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70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56"/>
        </w:numPr>
        <w:rPr>
          <w:rFonts w:ascii="Verdana" w:cs="Verdana" w:eastAsia="Verdana" w:hAnsi="Verdana"/>
          <w:sz w:val="13"/>
          <w:szCs w:val="13"/>
          <w:color w:val="auto"/>
        </w:rPr>
      </w:pPr>
      <w:r>
        <w:rPr>
          <w:rFonts w:ascii="Verdana" w:cs="Verdana" w:eastAsia="Verdana" w:hAnsi="Verdana"/>
          <w:sz w:val="13"/>
          <w:szCs w:val="13"/>
          <w:color w:val="auto"/>
        </w:rPr>
        <w:t>For one loan, the default rate was removed once forbearance was entered.</w:t>
      </w:r>
    </w:p>
    <w:p>
      <w:pPr>
        <w:ind w:left="480" w:hanging="310"/>
        <w:spacing w:after="0" w:line="225" w:lineRule="auto"/>
        <w:tabs>
          <w:tab w:leader="none" w:pos="480" w:val="left"/>
        </w:tabs>
        <w:numPr>
          <w:ilvl w:val="0"/>
          <w:numId w:val="56"/>
        </w:numPr>
        <w:rPr>
          <w:rFonts w:ascii="Verdana" w:cs="Verdana" w:eastAsia="Verdana" w:hAnsi="Verdana"/>
          <w:sz w:val="13"/>
          <w:szCs w:val="13"/>
          <w:color w:val="auto"/>
        </w:rPr>
      </w:pPr>
      <w:r>
        <w:rPr>
          <w:rFonts w:ascii="Verdana" w:cs="Verdana" w:eastAsia="Verdana" w:hAnsi="Verdana"/>
          <w:sz w:val="13"/>
          <w:szCs w:val="13"/>
          <w:color w:val="auto"/>
        </w:rPr>
        <w:t>Modified loans represent an insignificant portion of commercial real estate loans, rounding to zero percent.</w:t>
      </w:r>
    </w:p>
    <w:p>
      <w:pPr>
        <w:ind w:left="480" w:hanging="310"/>
        <w:spacing w:after="0" w:line="225" w:lineRule="auto"/>
        <w:tabs>
          <w:tab w:leader="none" w:pos="480" w:val="left"/>
        </w:tabs>
        <w:numPr>
          <w:ilvl w:val="0"/>
          <w:numId w:val="56"/>
        </w:numPr>
        <w:rPr>
          <w:rFonts w:ascii="Verdana" w:cs="Verdana" w:eastAsia="Verdana" w:hAnsi="Verdana"/>
          <w:sz w:val="13"/>
          <w:szCs w:val="13"/>
          <w:color w:val="auto"/>
        </w:rPr>
      </w:pPr>
      <w:r>
        <w:rPr>
          <w:rFonts w:ascii="Verdana" w:cs="Verdana" w:eastAsia="Verdana" w:hAnsi="Verdana"/>
          <w:sz w:val="13"/>
          <w:szCs w:val="13"/>
          <w:color w:val="auto"/>
        </w:rPr>
        <w:t>Modifications to extend loan terms also included, in some cases, interest rate increases during the extension period.</w:t>
      </w:r>
    </w:p>
    <w:p>
      <w:pPr>
        <w:ind w:left="480" w:hanging="310"/>
        <w:spacing w:after="0"/>
        <w:tabs>
          <w:tab w:leader="none" w:pos="480" w:val="left"/>
        </w:tabs>
        <w:numPr>
          <w:ilvl w:val="0"/>
          <w:numId w:val="56"/>
        </w:numPr>
        <w:rPr>
          <w:rFonts w:ascii="Verdana" w:cs="Verdana" w:eastAsia="Verdana" w:hAnsi="Verdana"/>
          <w:sz w:val="13"/>
          <w:szCs w:val="13"/>
          <w:color w:val="auto"/>
        </w:rPr>
      </w:pPr>
      <w:r>
        <w:rPr>
          <w:rFonts w:ascii="Verdana" w:cs="Verdana" w:eastAsia="Verdana" w:hAnsi="Verdana"/>
          <w:sz w:val="13"/>
          <w:szCs w:val="13"/>
          <w:color w:val="auto"/>
        </w:rPr>
        <w:t>Modifications include one loan on non-accrual status, and the remaining loans were classified as substandard.</w:t>
      </w:r>
    </w:p>
    <w:p>
      <w:pPr>
        <w:spacing w:after="0" w:line="17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The following table summarizes the effects of loan modifications made during the periods indicated, for borrowers experiencing financial difficulty: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tcPr>
          <w:p>
            <w:pPr>
              <w:spacing w:after="0"/>
              <w:rPr>
                <w:sz w:val="15"/>
                <w:szCs w:val="15"/>
                <w:color w:val="auto"/>
              </w:rPr>
            </w:pPr>
          </w:p>
        </w:tc>
        <w:tc>
          <w:tcPr>
            <w:tcW w:w="3440" w:type="dxa"/>
            <w:vAlign w:val="bottom"/>
            <w:tcBorders>
              <w:bottom w:val="single" w:sz="8" w:color="auto"/>
            </w:tcBorders>
            <w:gridSpan w:val="3"/>
          </w:tcPr>
          <w:p>
            <w:pPr>
              <w:ind w:left="600"/>
              <w:spacing w:after="0"/>
              <w:rPr>
                <w:sz w:val="20"/>
                <w:szCs w:val="20"/>
                <w:color w:val="auto"/>
              </w:rPr>
            </w:pPr>
            <w:r>
              <w:rPr>
                <w:rFonts w:ascii="Verdana" w:cs="Verdana" w:eastAsia="Verdana" w:hAnsi="Verdana"/>
                <w:sz w:val="13"/>
                <w:szCs w:val="13"/>
                <w:b w:val="1"/>
                <w:bCs w:val="1"/>
                <w:color w:val="auto"/>
              </w:rPr>
              <w:t>Year Ended December 31, 2023</w:t>
            </w:r>
          </w:p>
        </w:tc>
      </w:tr>
      <w:tr>
        <w:trPr>
          <w:trHeight w:val="121"/>
        </w:trPr>
        <w:tc>
          <w:tcPr>
            <w:tcW w:w="7800" w:type="dxa"/>
            <w:vAlign w:val="bottom"/>
          </w:tcPr>
          <w:p>
            <w:pPr>
              <w:spacing w:after="0"/>
              <w:rPr>
                <w:sz w:val="10"/>
                <w:szCs w:val="10"/>
                <w:color w:val="auto"/>
              </w:rPr>
            </w:pPr>
          </w:p>
        </w:tc>
        <w:tc>
          <w:tcPr>
            <w:tcW w:w="186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Weighted Average</w:t>
            </w:r>
          </w:p>
        </w:tc>
        <w:tc>
          <w:tcPr>
            <w:tcW w:w="1580" w:type="dxa"/>
            <w:vAlign w:val="bottom"/>
          </w:tcPr>
          <w:p>
            <w:pPr>
              <w:ind w:left="140"/>
              <w:spacing w:after="0" w:line="122" w:lineRule="exact"/>
              <w:rPr>
                <w:sz w:val="20"/>
                <w:szCs w:val="20"/>
                <w:color w:val="auto"/>
              </w:rPr>
            </w:pPr>
            <w:r>
              <w:rPr>
                <w:rFonts w:ascii="Verdana" w:cs="Verdana" w:eastAsia="Verdana" w:hAnsi="Verdana"/>
                <w:sz w:val="13"/>
                <w:szCs w:val="13"/>
                <w:b w:val="1"/>
                <w:bCs w:val="1"/>
                <w:color w:val="auto"/>
              </w:rPr>
              <w:t>Weighted Average</w:t>
            </w:r>
          </w:p>
        </w:tc>
      </w:tr>
      <w:tr>
        <w:trPr>
          <w:trHeight w:val="170"/>
        </w:trPr>
        <w:tc>
          <w:tcPr>
            <w:tcW w:w="7800" w:type="dxa"/>
            <w:vAlign w:val="bottom"/>
          </w:tcPr>
          <w:p>
            <w:pPr>
              <w:spacing w:after="0"/>
              <w:rPr>
                <w:sz w:val="14"/>
                <w:szCs w:val="14"/>
                <w:color w:val="auto"/>
              </w:rPr>
            </w:pPr>
          </w:p>
        </w:tc>
        <w:tc>
          <w:tcPr>
            <w:tcW w:w="186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6"/>
              </w:rPr>
              <w:t>Interest Rate Reduction</w:t>
            </w:r>
          </w:p>
        </w:tc>
        <w:tc>
          <w:tcPr>
            <w:tcW w:w="1580" w:type="dxa"/>
            <w:vAlign w:val="bottom"/>
          </w:tcPr>
          <w:p>
            <w:pPr>
              <w:ind w:left="240"/>
              <w:spacing w:after="0"/>
              <w:rPr>
                <w:sz w:val="20"/>
                <w:szCs w:val="20"/>
                <w:color w:val="auto"/>
              </w:rPr>
            </w:pPr>
            <w:r>
              <w:rPr>
                <w:rFonts w:ascii="Verdana" w:cs="Verdana" w:eastAsia="Verdana" w:hAnsi="Verdana"/>
                <w:sz w:val="13"/>
                <w:szCs w:val="13"/>
                <w:b w:val="1"/>
                <w:bCs w:val="1"/>
                <w:color w:val="auto"/>
              </w:rPr>
              <w:t>Term Extension</w:t>
            </w:r>
          </w:p>
        </w:tc>
      </w:tr>
      <w:tr>
        <w:trPr>
          <w:trHeight w:val="255"/>
        </w:trPr>
        <w:tc>
          <w:tcPr>
            <w:tcW w:w="78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Effects of Loan Modifications</w:t>
            </w:r>
          </w:p>
        </w:tc>
        <w:tc>
          <w:tcPr>
            <w:tcW w:w="17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580" w:type="dxa"/>
            <w:vAlign w:val="bottom"/>
            <w:tcBorders>
              <w:top w:val="single" w:sz="8" w:color="auto"/>
            </w:tcBorders>
            <w:shd w:val="clear" w:color="auto" w:fill="E0E7ED"/>
          </w:tcPr>
          <w:p>
            <w:pPr>
              <w:spacing w:after="0"/>
              <w:rPr>
                <w:sz w:val="22"/>
                <w:szCs w:val="22"/>
                <w:color w:val="auto"/>
              </w:rPr>
            </w:pPr>
          </w:p>
        </w:tc>
      </w:tr>
      <w:tr>
        <w:trPr>
          <w:trHeight w:val="263"/>
        </w:trPr>
        <w:tc>
          <w:tcPr>
            <w:tcW w:w="780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186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1580" w:type="dxa"/>
            <w:vAlign w:val="bottom"/>
          </w:tcPr>
          <w:p>
            <w:pPr>
              <w:ind w:left="20"/>
              <w:spacing w:after="0"/>
              <w:rPr>
                <w:sz w:val="20"/>
                <w:szCs w:val="20"/>
                <w:color w:val="auto"/>
              </w:rPr>
            </w:pPr>
            <w:r>
              <w:rPr>
                <w:rFonts w:ascii="Verdana" w:cs="Verdana" w:eastAsia="Verdana" w:hAnsi="Verdana"/>
                <w:sz w:val="18"/>
                <w:szCs w:val="18"/>
                <w:color w:val="auto"/>
              </w:rPr>
              <w:t>18.1 months</w:t>
            </w:r>
          </w:p>
        </w:tc>
      </w:tr>
      <w:tr>
        <w:trPr>
          <w:trHeight w:val="277"/>
        </w:trPr>
        <w:tc>
          <w:tcPr>
            <w:tcW w:w="78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7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2.50 %</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21.0 months</w:t>
            </w:r>
          </w:p>
        </w:tc>
      </w:tr>
      <w:tr>
        <w:trPr>
          <w:trHeight w:val="263"/>
        </w:trPr>
        <w:tc>
          <w:tcPr>
            <w:tcW w:w="7800" w:type="dxa"/>
            <w:vAlign w:val="bottom"/>
          </w:tcPr>
          <w:p>
            <w:pPr>
              <w:ind w:left="180"/>
              <w:spacing w:after="0"/>
              <w:rPr>
                <w:sz w:val="20"/>
                <w:szCs w:val="20"/>
                <w:color w:val="auto"/>
              </w:rPr>
            </w:pPr>
            <w:r>
              <w:rPr>
                <w:rFonts w:ascii="Verdana" w:cs="Verdana" w:eastAsia="Verdana" w:hAnsi="Verdana"/>
                <w:sz w:val="18"/>
                <w:szCs w:val="18"/>
                <w:color w:val="auto"/>
              </w:rPr>
              <w:t>Real estate construction</w:t>
            </w:r>
          </w:p>
        </w:tc>
        <w:tc>
          <w:tcPr>
            <w:tcW w:w="186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1580" w:type="dxa"/>
            <w:vAlign w:val="bottom"/>
          </w:tcPr>
          <w:p>
            <w:pPr>
              <w:ind w:left="20"/>
              <w:spacing w:after="0"/>
              <w:rPr>
                <w:sz w:val="20"/>
                <w:szCs w:val="20"/>
                <w:color w:val="auto"/>
              </w:rPr>
            </w:pPr>
            <w:r>
              <w:rPr>
                <w:rFonts w:ascii="Verdana" w:cs="Verdana" w:eastAsia="Verdana" w:hAnsi="Verdana"/>
                <w:sz w:val="18"/>
                <w:szCs w:val="18"/>
                <w:color w:val="auto"/>
              </w:rPr>
              <w:t>12.0 months</w:t>
            </w:r>
          </w:p>
        </w:tc>
      </w:tr>
      <w:tr>
        <w:trPr>
          <w:trHeight w:val="289"/>
        </w:trPr>
        <w:tc>
          <w:tcPr>
            <w:tcW w:w="780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financial effect</w:t>
            </w:r>
          </w:p>
        </w:tc>
        <w:tc>
          <w:tcPr>
            <w:tcW w:w="17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2.50 %</w:t>
            </w:r>
          </w:p>
        </w:tc>
        <w:tc>
          <w:tcPr>
            <w:tcW w:w="100" w:type="dxa"/>
            <w:vAlign w:val="bottom"/>
            <w:tcBorders>
              <w:top w:val="single" w:sz="8" w:color="E0E7ED"/>
              <w:bottom w:val="single" w:sz="8" w:color="E0E7ED"/>
            </w:tcBorders>
            <w:shd w:val="clear" w:color="auto" w:fill="E0E7ED"/>
          </w:tcPr>
          <w:p>
            <w:pPr>
              <w:spacing w:after="0"/>
              <w:rPr>
                <w:sz w:val="24"/>
                <w:szCs w:val="24"/>
                <w:color w:val="auto"/>
              </w:rPr>
            </w:pPr>
          </w:p>
        </w:tc>
        <w:tc>
          <w:tcPr>
            <w:tcW w:w="1580" w:type="dxa"/>
            <w:vAlign w:val="bottom"/>
            <w:tcBorders>
              <w:top w:val="single" w:sz="8" w:color="auto"/>
              <w:bottom w:val="single" w:sz="8" w:color="auto"/>
            </w:tcBorders>
            <w:shd w:val="clear" w:color="auto" w:fill="E0E7ED"/>
          </w:tcPr>
          <w:p>
            <w:pPr>
              <w:ind w:left="20"/>
              <w:spacing w:after="0"/>
              <w:rPr>
                <w:sz w:val="20"/>
                <w:szCs w:val="20"/>
                <w:color w:val="auto"/>
              </w:rPr>
            </w:pPr>
            <w:r>
              <w:rPr>
                <w:rFonts w:ascii="Verdana" w:cs="Verdana" w:eastAsia="Verdana" w:hAnsi="Verdana"/>
                <w:sz w:val="18"/>
                <w:szCs w:val="18"/>
                <w:color w:val="auto"/>
              </w:rPr>
              <w:t>16.8 months</w:t>
            </w:r>
          </w:p>
        </w:tc>
      </w:tr>
      <w:tr>
        <w:trPr>
          <w:trHeight w:val="20"/>
        </w:trPr>
        <w:tc>
          <w:tcPr>
            <w:tcW w:w="7800" w:type="dxa"/>
            <w:vAlign w:val="bottom"/>
            <w:tcBorders>
              <w:top w:val="single" w:sz="8" w:color="E0E7ED"/>
            </w:tcBorders>
          </w:tcPr>
          <w:p>
            <w:pPr>
              <w:spacing w:after="0" w:line="20" w:lineRule="exact"/>
              <w:rPr>
                <w:sz w:val="1"/>
                <w:szCs w:val="1"/>
                <w:color w:val="auto"/>
              </w:rPr>
            </w:pPr>
          </w:p>
        </w:tc>
        <w:tc>
          <w:tcPr>
            <w:tcW w:w="17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The following table provides the amortized cost basis of financing receivables that had a payment default during the year ended December 31, 2023, after having been modified during the 12 months before default for borrowers experiencing financial difficulty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A default occurs when a loan is 90 days or more past due or transferred to non-accrual status.</w:t>
      </w:r>
    </w:p>
    <w:p>
      <w:pPr>
        <w:spacing w:after="0" w:line="148" w:lineRule="exact"/>
        <w:rPr>
          <w:sz w:val="20"/>
          <w:szCs w:val="20"/>
          <w:color w:val="auto"/>
        </w:rPr>
      </w:pPr>
    </w:p>
    <w:p>
      <w:pPr>
        <w:jc w:val="center"/>
        <w:ind w:left="9600"/>
        <w:spacing w:after="0"/>
        <w:rPr>
          <w:sz w:val="20"/>
          <w:szCs w:val="20"/>
          <w:color w:val="auto"/>
        </w:rPr>
      </w:pPr>
      <w:r>
        <w:rPr>
          <w:rFonts w:ascii="Verdana" w:cs="Verdana" w:eastAsia="Verdana" w:hAnsi="Verdana"/>
          <w:sz w:val="13"/>
          <w:szCs w:val="13"/>
          <w:b w:val="1"/>
          <w:bCs w:val="1"/>
          <w:color w:val="auto"/>
        </w:rPr>
        <w:t>Years Ended</w:t>
      </w:r>
    </w:p>
    <w:p>
      <w:pPr>
        <w:jc w:val="center"/>
        <w:ind w:left="9600"/>
        <w:spacing w:after="0"/>
        <w:rPr>
          <w:sz w:val="20"/>
          <w:szCs w:val="20"/>
          <w:color w:val="auto"/>
        </w:rPr>
      </w:pPr>
      <w:r>
        <w:rPr>
          <w:rFonts w:ascii="Verdana" w:cs="Verdana" w:eastAsia="Verdana" w:hAnsi="Verdana"/>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22860</wp:posOffset>
            </wp:positionV>
            <wp:extent cx="1028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5" w:lineRule="exact"/>
        <w:rPr>
          <w:sz w:val="20"/>
          <w:szCs w:val="20"/>
          <w:color w:val="auto"/>
        </w:rPr>
      </w:pPr>
    </w:p>
    <w:p>
      <w:pPr>
        <w:ind w:left="9880"/>
        <w:spacing w:after="0"/>
        <w:rPr>
          <w:sz w:val="20"/>
          <w:szCs w:val="20"/>
          <w:color w:val="auto"/>
        </w:rPr>
      </w:pPr>
      <w:r>
        <w:rPr>
          <w:rFonts w:ascii="Verdana" w:cs="Verdana" w:eastAsia="Verdana" w:hAnsi="Verdana"/>
          <w:sz w:val="13"/>
          <w:szCs w:val="13"/>
          <w:b w:val="1"/>
          <w:bCs w:val="1"/>
          <w:color w:val="auto"/>
        </w:rPr>
        <w:t>Term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Verdana" w:cs="Verdana" w:eastAsia="Verdana" w:hAnsi="Verdana"/>
          <w:sz w:val="18"/>
          <w:szCs w:val="18"/>
          <w:b w:val="1"/>
          <w:bCs w:val="1"/>
          <w:color w:val="auto"/>
        </w:rPr>
        <w:t>Loans with Subsequent Defaults</w:t>
      </w:r>
    </w:p>
    <w:p>
      <w:pPr>
        <w:spacing w:after="0" w:line="51" w:lineRule="exact"/>
        <w:rPr>
          <w:sz w:val="20"/>
          <w:szCs w:val="20"/>
          <w:color w:val="auto"/>
        </w:rPr>
      </w:pPr>
    </w:p>
    <w:p>
      <w:pPr>
        <w:ind w:left="180"/>
        <w:spacing w:after="0"/>
        <w:tabs>
          <w:tab w:leader="none" w:pos="9620" w:val="left"/>
          <w:tab w:leader="none" w:pos="10900" w:val="left"/>
        </w:tabs>
        <w:rPr>
          <w:sz w:val="20"/>
          <w:szCs w:val="20"/>
          <w:color w:val="auto"/>
        </w:rPr>
      </w:pPr>
      <w:r>
        <w:rPr>
          <w:rFonts w:ascii="Verdana" w:cs="Verdana" w:eastAsia="Verdana" w:hAnsi="Verdana"/>
          <w:sz w:val="18"/>
          <w:szCs w:val="18"/>
          <w:color w:val="auto"/>
        </w:rPr>
        <w:t>Commercial</w:t>
      </w:r>
      <w:r>
        <w:rPr>
          <w:sz w:val="20"/>
          <w:szCs w:val="20"/>
          <w:color w:val="auto"/>
        </w:rPr>
        <w:tab/>
      </w:r>
      <w:r>
        <w:rPr>
          <w:rFonts w:ascii="Verdana" w:cs="Verdana" w:eastAsia="Verdana" w:hAnsi="Verdana"/>
          <w:sz w:val="18"/>
          <w:szCs w:val="18"/>
          <w:color w:val="auto"/>
        </w:rPr>
        <w:t>$</w:t>
      </w:r>
      <w:r>
        <w:rPr>
          <w:sz w:val="20"/>
          <w:szCs w:val="20"/>
          <w:color w:val="auto"/>
        </w:rPr>
        <w:tab/>
      </w:r>
      <w:r>
        <w:rPr>
          <w:rFonts w:ascii="Verdana" w:cs="Verdana" w:eastAsia="Verdana" w:hAnsi="Verdana"/>
          <w:sz w:val="18"/>
          <w:szCs w:val="18"/>
          <w:color w:val="auto"/>
        </w:rPr>
        <w:t>88</w:t>
      </w:r>
    </w:p>
    <w:p>
      <w:pPr>
        <w:spacing w:after="0" w:line="34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9" w:name="page130"/>
    <w:bookmarkEnd w:id="12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closely monitors the performance of the loans that are modified to borrowers experiencing financial difficulty to understand the effectiveness of its modification efforts. The following table depicts the payment performance of loans modified on or after January 1, 2023, the date we adopted ASU 2022-02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696"/>
              <w:spacing w:after="0"/>
              <w:rPr>
                <w:sz w:val="20"/>
                <w:szCs w:val="20"/>
                <w:color w:val="auto"/>
              </w:rPr>
            </w:pPr>
            <w:r>
              <w:rPr>
                <w:rFonts w:ascii="Verdana" w:cs="Verdana" w:eastAsia="Verdana" w:hAnsi="Verdana"/>
                <w:sz w:val="13"/>
                <w:szCs w:val="13"/>
                <w:b w:val="1"/>
                <w:bCs w:val="1"/>
                <w:color w:val="auto"/>
              </w:rPr>
              <w:t>As of December 31, 2023</w:t>
            </w:r>
          </w:p>
        </w:tc>
      </w:tr>
      <w:tr>
        <w:trPr>
          <w:trHeight w:val="170"/>
        </w:trPr>
        <w:tc>
          <w:tcPr>
            <w:tcW w:w="7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Current</w:t>
            </w:r>
          </w:p>
        </w:tc>
        <w:tc>
          <w:tcPr>
            <w:tcW w:w="260" w:type="dxa"/>
            <w:vAlign w:val="bottom"/>
          </w:tcPr>
          <w:p>
            <w:pPr>
              <w:spacing w:after="0"/>
              <w:rPr>
                <w:sz w:val="14"/>
                <w:szCs w:val="14"/>
                <w:color w:val="auto"/>
              </w:rPr>
            </w:pPr>
          </w:p>
        </w:tc>
        <w:tc>
          <w:tcPr>
            <w:tcW w:w="1360" w:type="dxa"/>
            <w:vAlign w:val="bottom"/>
          </w:tcPr>
          <w:p>
            <w:pPr>
              <w:jc w:val="center"/>
              <w:ind w:right="176"/>
              <w:spacing w:after="0"/>
              <w:rPr>
                <w:sz w:val="20"/>
                <w:szCs w:val="20"/>
                <w:color w:val="auto"/>
              </w:rPr>
            </w:pPr>
            <w:r>
              <w:rPr>
                <w:rFonts w:ascii="Verdana" w:cs="Verdana" w:eastAsia="Verdana" w:hAnsi="Verdana"/>
                <w:sz w:val="13"/>
                <w:szCs w:val="13"/>
                <w:b w:val="1"/>
                <w:bCs w:val="1"/>
                <w:color w:val="auto"/>
                <w:w w:val="97"/>
              </w:rPr>
              <w:t>Non-accrual</w:t>
            </w:r>
          </w:p>
        </w:tc>
      </w:tr>
      <w:tr>
        <w:trPr>
          <w:trHeight w:val="255"/>
        </w:trPr>
        <w:tc>
          <w:tcPr>
            <w:tcW w:w="79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36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360" w:type="dxa"/>
            <w:vAlign w:val="bottom"/>
            <w:tcBorders>
              <w:top w:val="single" w:sz="8" w:color="auto"/>
            </w:tcBorders>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16,498</w:t>
            </w:r>
          </w:p>
        </w:tc>
        <w:tc>
          <w:tcPr>
            <w:tcW w:w="100" w:type="dxa"/>
            <w:vAlign w:val="bottom"/>
          </w:tcPr>
          <w:p>
            <w:pPr>
              <w:spacing w:after="0"/>
              <w:rPr>
                <w:sz w:val="22"/>
                <w:szCs w:val="22"/>
                <w:color w:val="auto"/>
              </w:rPr>
            </w:pPr>
          </w:p>
        </w:tc>
        <w:tc>
          <w:tcPr>
            <w:tcW w:w="260" w:type="dxa"/>
            <w:vAlign w:val="bottom"/>
          </w:tcPr>
          <w:p>
            <w:pPr>
              <w:jc w:val="right"/>
              <w:ind w:right="35"/>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spacing w:after="0"/>
              <w:rPr>
                <w:sz w:val="20"/>
                <w:szCs w:val="20"/>
                <w:color w:val="auto"/>
              </w:rPr>
            </w:pPr>
            <w:r>
              <w:rPr>
                <w:rFonts w:ascii="Verdana" w:cs="Verdana" w:eastAsia="Verdana" w:hAnsi="Verdana"/>
                <w:sz w:val="18"/>
                <w:szCs w:val="18"/>
                <w:color w:val="auto"/>
              </w:rPr>
              <w:t>88</w:t>
            </w: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1,795</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64"/>
        </w:trPr>
        <w:tc>
          <w:tcPr>
            <w:tcW w:w="7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5,327</w:t>
            </w:r>
          </w:p>
        </w:tc>
        <w:tc>
          <w:tcPr>
            <w:tcW w:w="10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r>
      <w:tr>
        <w:trPr>
          <w:trHeight w:val="295"/>
        </w:trPr>
        <w:tc>
          <w:tcPr>
            <w:tcW w:w="79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Amortized cost of modified loans</w:t>
            </w: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23,620</w:t>
            </w:r>
          </w:p>
        </w:tc>
        <w:tc>
          <w:tcPr>
            <w:tcW w:w="10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35"/>
              <w:spacing w:after="0"/>
              <w:rPr>
                <w:sz w:val="20"/>
                <w:szCs w:val="20"/>
                <w:color w:val="auto"/>
              </w:rPr>
            </w:pPr>
            <w:r>
              <w:rPr>
                <w:rFonts w:ascii="Verdana" w:cs="Verdana" w:eastAsia="Verdana" w:hAnsi="Verdana"/>
                <w:sz w:val="18"/>
                <w:szCs w:val="18"/>
                <w:color w:val="auto"/>
              </w:rPr>
              <w:t>$</w:t>
            </w:r>
          </w:p>
        </w:tc>
        <w:tc>
          <w:tcPr>
            <w:tcW w:w="13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88</w:t>
            </w:r>
          </w:p>
        </w:tc>
      </w:tr>
      <w:tr>
        <w:trPr>
          <w:trHeight w:val="20"/>
        </w:trPr>
        <w:tc>
          <w:tcPr>
            <w:tcW w:w="79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360" w:type="dxa"/>
            <w:vAlign w:val="bottom"/>
            <w:tcBorders>
              <w:top w:val="single" w:sz="8" w:color="E0E7ED"/>
              <w:bottom w:val="single" w:sz="8" w:color="auto"/>
            </w:tcBorders>
          </w:tcPr>
          <w:p>
            <w:pPr>
              <w:spacing w:after="0" w:line="20" w:lineRule="exact"/>
              <w:rPr>
                <w:sz w:val="1"/>
                <w:szCs w:val="1"/>
                <w:color w:val="auto"/>
              </w:rPr>
            </w:pPr>
          </w:p>
        </w:tc>
      </w:tr>
      <w:tr>
        <w:trPr>
          <w:trHeight w:val="473"/>
        </w:trPr>
        <w:tc>
          <w:tcPr>
            <w:tcW w:w="8260" w:type="dxa"/>
            <w:vAlign w:val="bottom"/>
            <w:gridSpan w:val="2"/>
          </w:tcPr>
          <w:p>
            <w:pPr>
              <w:spacing w:after="0"/>
              <w:rPr>
                <w:sz w:val="20"/>
                <w:szCs w:val="20"/>
                <w:color w:val="auto"/>
              </w:rPr>
            </w:pPr>
            <w:r>
              <w:rPr>
                <w:rFonts w:ascii="Verdana" w:cs="Verdana" w:eastAsia="Verdana" w:hAnsi="Verdana"/>
                <w:sz w:val="18"/>
                <w:szCs w:val="18"/>
                <w:b w:val="1"/>
                <w:bCs w:val="1"/>
                <w:i w:val="1"/>
                <w:iCs w:val="1"/>
                <w:color w:val="auto"/>
              </w:rPr>
              <w:t>Troubled Debt Restructurings Disclosures Prior to the Adoption of ASU 2022-02</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7900" w:type="dxa"/>
            <w:vAlign w:val="bottom"/>
          </w:tcPr>
          <w:p>
            <w:pPr>
              <w:spacing w:after="0"/>
              <w:rPr>
                <w:sz w:val="20"/>
                <w:szCs w:val="20"/>
                <w:color w:val="auto"/>
              </w:rPr>
            </w:pPr>
            <w:r>
              <w:rPr>
                <w:rFonts w:ascii="Verdana" w:cs="Verdana" w:eastAsia="Verdana" w:hAnsi="Verdana"/>
                <w:sz w:val="18"/>
                <w:szCs w:val="18"/>
                <w:color w:val="auto"/>
              </w:rPr>
              <w:t xml:space="preserve">TDR loan balances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7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center"/>
              <w:ind w:right="216"/>
              <w:spacing w:after="0"/>
              <w:rPr>
                <w:sz w:val="20"/>
                <w:szCs w:val="20"/>
                <w:color w:val="auto"/>
              </w:rPr>
            </w:pPr>
            <w:r>
              <w:rPr>
                <w:rFonts w:ascii="Verdana" w:cs="Verdana" w:eastAsia="Verdana" w:hAnsi="Verdana"/>
                <w:sz w:val="13"/>
                <w:szCs w:val="13"/>
                <w:b w:val="1"/>
                <w:bCs w:val="1"/>
                <w:color w:val="auto"/>
                <w:w w:val="92"/>
              </w:rPr>
              <w:t>As of</w:t>
            </w:r>
          </w:p>
        </w:tc>
      </w:tr>
      <w:tr>
        <w:trPr>
          <w:trHeight w:val="170"/>
        </w:trPr>
        <w:tc>
          <w:tcPr>
            <w:tcW w:w="7900" w:type="dxa"/>
            <w:vAlign w:val="bottom"/>
            <w:tcBorders>
              <w:bottom w:val="single" w:sz="8" w:color="E0E7ED"/>
            </w:tcBorders>
          </w:tcPr>
          <w:p>
            <w:pPr>
              <w:spacing w:after="0"/>
              <w:rPr>
                <w:sz w:val="14"/>
                <w:szCs w:val="14"/>
                <w:color w:val="auto"/>
              </w:rPr>
            </w:pPr>
          </w:p>
        </w:tc>
        <w:tc>
          <w:tcPr>
            <w:tcW w:w="360" w:type="dxa"/>
            <w:vAlign w:val="bottom"/>
            <w:tcBorders>
              <w:bottom w:val="single" w:sz="8" w:color="E0E7ED"/>
            </w:tcBorders>
          </w:tcPr>
          <w:p>
            <w:pPr>
              <w:spacing w:after="0"/>
              <w:rPr>
                <w:sz w:val="14"/>
                <w:szCs w:val="14"/>
                <w:color w:val="auto"/>
              </w:rPr>
            </w:pPr>
          </w:p>
        </w:tc>
        <w:tc>
          <w:tcPr>
            <w:tcW w:w="126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3"/>
                <w:szCs w:val="13"/>
                <w:b w:val="1"/>
                <w:bCs w:val="1"/>
                <w:color w:val="auto"/>
                <w:w w:val="96"/>
              </w:rPr>
              <w:t>December 31, 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TDRs</w:t>
            </w: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360" w:type="dxa"/>
            <w:vAlign w:val="bottom"/>
            <w:shd w:val="clear" w:color="auto" w:fill="E0E7ED"/>
          </w:tcPr>
          <w:p>
            <w:pPr>
              <w:spacing w:after="0"/>
              <w:rPr>
                <w:sz w:val="22"/>
                <w:szCs w:val="22"/>
                <w:color w:val="auto"/>
              </w:rPr>
            </w:pPr>
          </w:p>
        </w:tc>
      </w:tr>
      <w:tr>
        <w:trPr>
          <w:trHeight w:val="263"/>
        </w:trPr>
        <w:tc>
          <w:tcPr>
            <w:tcW w:w="7900" w:type="dxa"/>
            <w:vAlign w:val="bottom"/>
          </w:tcPr>
          <w:p>
            <w:pPr>
              <w:ind w:left="20"/>
              <w:spacing w:after="0"/>
              <w:rPr>
                <w:sz w:val="20"/>
                <w:szCs w:val="20"/>
                <w:color w:val="auto"/>
              </w:rPr>
            </w:pPr>
            <w:r>
              <w:rPr>
                <w:rFonts w:ascii="Verdana" w:cs="Verdana" w:eastAsia="Verdana" w:hAnsi="Verdana"/>
                <w:sz w:val="18"/>
                <w:szCs w:val="18"/>
                <w:color w:val="auto"/>
              </w:rPr>
              <w:t>In compliance with modified terms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35"/>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16"/>
              <w:spacing w:after="0"/>
              <w:rPr>
                <w:sz w:val="20"/>
                <w:szCs w:val="20"/>
                <w:color w:val="auto"/>
              </w:rPr>
            </w:pPr>
            <w:r>
              <w:rPr>
                <w:rFonts w:ascii="Verdana" w:cs="Verdana" w:eastAsia="Verdana" w:hAnsi="Verdana"/>
                <w:sz w:val="18"/>
                <w:szCs w:val="18"/>
                <w:color w:val="auto"/>
              </w:rPr>
              <w:t>3,032</w:t>
            </w:r>
          </w:p>
        </w:tc>
      </w:tr>
      <w:tr>
        <w:trPr>
          <w:trHeight w:val="270"/>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Non-performing TDRs</w:t>
            </w:r>
          </w:p>
        </w:tc>
        <w:tc>
          <w:tcPr>
            <w:tcW w:w="36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tcBorders>
              <w:bottom w:val="single" w:sz="8" w:color="auto"/>
            </w:tcBorders>
            <w:shd w:val="clear" w:color="auto" w:fill="E0E7ED"/>
          </w:tcPr>
          <w:p>
            <w:pPr>
              <w:spacing w:after="0"/>
              <w:rPr>
                <w:sz w:val="23"/>
                <w:szCs w:val="23"/>
                <w:color w:val="auto"/>
              </w:rPr>
            </w:pPr>
          </w:p>
        </w:tc>
        <w:tc>
          <w:tcPr>
            <w:tcW w:w="13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537</w:t>
            </w:r>
          </w:p>
        </w:tc>
      </w:tr>
      <w:tr>
        <w:trPr>
          <w:trHeight w:val="270"/>
        </w:trPr>
        <w:tc>
          <w:tcPr>
            <w:tcW w:w="7900" w:type="dxa"/>
            <w:vAlign w:val="bottom"/>
          </w:tcPr>
          <w:p>
            <w:pPr>
              <w:ind w:left="20"/>
              <w:spacing w:after="0"/>
              <w:rPr>
                <w:sz w:val="20"/>
                <w:szCs w:val="20"/>
                <w:color w:val="auto"/>
              </w:rPr>
            </w:pPr>
            <w:r>
              <w:rPr>
                <w:rFonts w:ascii="Verdana" w:cs="Verdana" w:eastAsia="Verdana" w:hAnsi="Verdana"/>
                <w:sz w:val="18"/>
                <w:szCs w:val="18"/>
                <w:color w:val="auto"/>
              </w:rPr>
              <w:t>Total TDRs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35"/>
              <w:spacing w:after="0"/>
              <w:rPr>
                <w:sz w:val="20"/>
                <w:szCs w:val="20"/>
                <w:color w:val="auto"/>
              </w:rPr>
            </w:pPr>
            <w:r>
              <w:rPr>
                <w:rFonts w:ascii="Verdana" w:cs="Verdana" w:eastAsia="Verdana" w:hAnsi="Verdana"/>
                <w:sz w:val="18"/>
                <w:szCs w:val="18"/>
                <w:color w:val="auto"/>
              </w:rPr>
              <w:t>$</w:t>
            </w:r>
          </w:p>
        </w:tc>
        <w:tc>
          <w:tcPr>
            <w:tcW w:w="13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3,569</w:t>
            </w:r>
          </w:p>
        </w:tc>
      </w:tr>
      <w:tr>
        <w:trPr>
          <w:trHeight w:val="20"/>
        </w:trPr>
        <w:tc>
          <w:tcPr>
            <w:tcW w:w="7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Loans that were designated as TDRs during the years ended as of the dates indicated are summarized as follows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80"/>
              <w:spacing w:after="0"/>
              <w:rPr>
                <w:sz w:val="20"/>
                <w:szCs w:val="20"/>
                <w:color w:val="auto"/>
              </w:rPr>
            </w:pPr>
            <w:r>
              <w:rPr>
                <w:rFonts w:ascii="Verdana" w:cs="Verdana" w:eastAsia="Verdana" w:hAnsi="Verdana"/>
                <w:sz w:val="13"/>
                <w:szCs w:val="13"/>
                <w:b w:val="1"/>
                <w:bCs w:val="1"/>
                <w:color w:val="auto"/>
                <w:w w:val="97"/>
              </w:rPr>
              <w:t>Newly Designated TDRs</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5"/>
        </w:trPr>
        <w:tc>
          <w:tcPr>
            <w:tcW w:w="6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798"/>
              <w:spacing w:after="0" w:line="176" w:lineRule="exact"/>
              <w:rPr>
                <w:sz w:val="20"/>
                <w:szCs w:val="20"/>
                <w:color w:val="auto"/>
              </w:rPr>
            </w:pPr>
            <w:r>
              <w:rPr>
                <w:rFonts w:ascii="Verdana" w:cs="Verdana" w:eastAsia="Verdana" w:hAnsi="Verdana"/>
                <w:sz w:val="13"/>
                <w:szCs w:val="13"/>
                <w:b w:val="1"/>
                <w:bCs w:val="1"/>
                <w:color w:val="auto"/>
              </w:rPr>
              <w:t>Recorded Investment</w:t>
            </w:r>
            <w:r>
              <w:rPr>
                <w:rFonts w:ascii="Verdana" w:cs="Verdana" w:eastAsia="Verdana" w:hAnsi="Verdana"/>
                <w:sz w:val="16"/>
                <w:szCs w:val="16"/>
                <w:b w:val="1"/>
                <w:bCs w:val="1"/>
                <w:color w:val="auto"/>
                <w:vertAlign w:val="superscript"/>
              </w:rPr>
              <w:t>1</w:t>
            </w:r>
          </w:p>
        </w:tc>
      </w:tr>
      <w:tr>
        <w:trPr>
          <w:trHeight w:val="115"/>
        </w:trPr>
        <w:tc>
          <w:tcPr>
            <w:tcW w:w="6240" w:type="dxa"/>
            <w:vAlign w:val="bottom"/>
          </w:tcPr>
          <w:p>
            <w:pPr>
              <w:spacing w:after="0"/>
              <w:rPr>
                <w:sz w:val="10"/>
                <w:szCs w:val="10"/>
                <w:color w:val="auto"/>
              </w:rPr>
            </w:pPr>
          </w:p>
        </w:tc>
        <w:tc>
          <w:tcPr>
            <w:tcW w:w="1280" w:type="dxa"/>
            <w:vAlign w:val="bottom"/>
          </w:tcPr>
          <w:p>
            <w:pPr>
              <w:jc w:val="center"/>
              <w:ind w:left="180"/>
              <w:spacing w:after="0" w:line="115" w:lineRule="exact"/>
              <w:rPr>
                <w:sz w:val="20"/>
                <w:szCs w:val="20"/>
                <w:color w:val="auto"/>
              </w:rPr>
            </w:pPr>
            <w:r>
              <w:rPr>
                <w:rFonts w:ascii="Verdana" w:cs="Verdana" w:eastAsia="Verdana" w:hAnsi="Verdana"/>
                <w:sz w:val="12"/>
                <w:szCs w:val="12"/>
                <w:b w:val="1"/>
                <w:bCs w:val="1"/>
                <w:color w:val="auto"/>
              </w:rPr>
              <w:t>Number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ind w:left="420"/>
              <w:spacing w:after="0" w:line="115" w:lineRule="exact"/>
              <w:rPr>
                <w:sz w:val="20"/>
                <w:szCs w:val="20"/>
                <w:color w:val="auto"/>
              </w:rPr>
            </w:pPr>
            <w:r>
              <w:rPr>
                <w:rFonts w:ascii="Verdana" w:cs="Verdana" w:eastAsia="Verdana" w:hAnsi="Verdana"/>
                <w:sz w:val="12"/>
                <w:szCs w:val="12"/>
                <w:b w:val="1"/>
                <w:bCs w:val="1"/>
                <w:color w:val="auto"/>
              </w:rPr>
              <w:t>Rate</w:t>
            </w:r>
          </w:p>
        </w:tc>
        <w:tc>
          <w:tcPr>
            <w:tcW w:w="240" w:type="dxa"/>
            <w:vAlign w:val="bottom"/>
          </w:tcPr>
          <w:p>
            <w:pPr>
              <w:spacing w:after="0"/>
              <w:rPr>
                <w:sz w:val="10"/>
                <w:szCs w:val="10"/>
                <w:color w:val="auto"/>
              </w:rPr>
            </w:pPr>
          </w:p>
        </w:tc>
        <w:tc>
          <w:tcPr>
            <w:tcW w:w="1380" w:type="dxa"/>
            <w:vAlign w:val="bottom"/>
          </w:tcPr>
          <w:p>
            <w:pPr>
              <w:jc w:val="right"/>
              <w:ind w:right="418"/>
              <w:spacing w:after="0" w:line="115" w:lineRule="exact"/>
              <w:rPr>
                <w:sz w:val="20"/>
                <w:szCs w:val="20"/>
                <w:color w:val="auto"/>
              </w:rPr>
            </w:pPr>
            <w:r>
              <w:rPr>
                <w:rFonts w:ascii="Verdana" w:cs="Verdana" w:eastAsia="Verdana" w:hAnsi="Verdana"/>
                <w:sz w:val="12"/>
                <w:szCs w:val="12"/>
                <w:b w:val="1"/>
                <w:bCs w:val="1"/>
                <w:color w:val="auto"/>
              </w:rPr>
              <w:t>Payment</w:t>
            </w:r>
          </w:p>
        </w:tc>
      </w:tr>
      <w:tr>
        <w:trPr>
          <w:trHeight w:val="175"/>
        </w:trPr>
        <w:tc>
          <w:tcPr>
            <w:tcW w:w="6240" w:type="dxa"/>
            <w:vAlign w:val="bottom"/>
            <w:tcBorders>
              <w:bottom w:val="single" w:sz="8" w:color="E0E7ED"/>
            </w:tcBorders>
          </w:tcPr>
          <w:p>
            <w:pPr>
              <w:spacing w:after="0"/>
              <w:rPr>
                <w:sz w:val="15"/>
                <w:szCs w:val="15"/>
                <w:color w:val="auto"/>
              </w:rPr>
            </w:pPr>
          </w:p>
        </w:tc>
        <w:tc>
          <w:tcPr>
            <w:tcW w:w="1280" w:type="dxa"/>
            <w:vAlign w:val="bottom"/>
            <w:tcBorders>
              <w:bottom w:val="single" w:sz="8" w:color="auto"/>
            </w:tcBorders>
          </w:tcPr>
          <w:p>
            <w:pPr>
              <w:jc w:val="center"/>
              <w:ind w:left="220"/>
              <w:spacing w:after="0"/>
              <w:rPr>
                <w:sz w:val="20"/>
                <w:szCs w:val="20"/>
                <w:color w:val="auto"/>
              </w:rPr>
            </w:pPr>
            <w:r>
              <w:rPr>
                <w:rFonts w:ascii="Verdana" w:cs="Verdana" w:eastAsia="Verdana" w:hAnsi="Verdana"/>
                <w:sz w:val="13"/>
                <w:szCs w:val="13"/>
                <w:b w:val="1"/>
                <w:bCs w:val="1"/>
                <w:color w:val="auto"/>
                <w:w w:val="97"/>
              </w:rPr>
              <w:t>Contracts</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61"/>
              <w:spacing w:after="0" w:line="176" w:lineRule="exact"/>
              <w:rPr>
                <w:sz w:val="20"/>
                <w:szCs w:val="20"/>
                <w:color w:val="auto"/>
              </w:rPr>
            </w:pPr>
            <w:r>
              <w:rPr>
                <w:rFonts w:ascii="Verdana" w:cs="Verdana" w:eastAsia="Verdana" w:hAnsi="Verdana"/>
                <w:sz w:val="13"/>
                <w:szCs w:val="13"/>
                <w:b w:val="1"/>
                <w:bCs w:val="1"/>
                <w:color w:val="auto"/>
              </w:rPr>
              <w:t>Modification</w:t>
            </w:r>
            <w:r>
              <w:rPr>
                <w:rFonts w:ascii="Verdana" w:cs="Verdana" w:eastAsia="Verdana" w:hAnsi="Verdana"/>
                <w:sz w:val="16"/>
                <w:szCs w:val="16"/>
                <w:b w:val="1"/>
                <w:bCs w:val="1"/>
                <w:color w:val="auto"/>
                <w:vertAlign w:val="superscript"/>
              </w:rPr>
              <w:t>2</w:t>
            </w:r>
          </w:p>
        </w:tc>
        <w:tc>
          <w:tcPr>
            <w:tcW w:w="10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58"/>
              <w:spacing w:after="0" w:line="176" w:lineRule="exact"/>
              <w:rPr>
                <w:sz w:val="20"/>
                <w:szCs w:val="20"/>
                <w:color w:val="auto"/>
              </w:rPr>
            </w:pPr>
            <w:r>
              <w:rPr>
                <w:rFonts w:ascii="Verdana" w:cs="Verdana" w:eastAsia="Verdana" w:hAnsi="Verdana"/>
                <w:sz w:val="13"/>
                <w:szCs w:val="13"/>
                <w:b w:val="1"/>
                <w:bCs w:val="1"/>
                <w:color w:val="auto"/>
              </w:rPr>
              <w:t>Modification</w:t>
            </w:r>
            <w:r>
              <w:rPr>
                <w:rFonts w:ascii="Verdana" w:cs="Verdana" w:eastAsia="Verdana" w:hAnsi="Verdana"/>
                <w:sz w:val="16"/>
                <w:szCs w:val="16"/>
                <w:b w:val="1"/>
                <w:bCs w:val="1"/>
                <w:color w:val="auto"/>
                <w:vertAlign w:val="superscript"/>
              </w:rPr>
              <w:t>2</w:t>
            </w:r>
          </w:p>
        </w:tc>
      </w:tr>
      <w:tr>
        <w:trPr>
          <w:trHeight w:val="250"/>
        </w:trPr>
        <w:tc>
          <w:tcPr>
            <w:tcW w:w="75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b w:val="1"/>
                <w:bCs w:val="1"/>
                <w:color w:val="auto"/>
              </w:rPr>
              <w:t>December 31, 2022</w:t>
            </w:r>
          </w:p>
        </w:tc>
        <w:tc>
          <w:tcPr>
            <w:tcW w:w="3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r>
      <w:tr>
        <w:trPr>
          <w:trHeight w:val="263"/>
        </w:trPr>
        <w:tc>
          <w:tcPr>
            <w:tcW w:w="7520" w:type="dxa"/>
            <w:vAlign w:val="bottom"/>
            <w:gridSpan w:val="2"/>
          </w:tcPr>
          <w:p>
            <w:pPr>
              <w:ind w:left="180"/>
              <w:spacing w:after="0"/>
              <w:rPr>
                <w:sz w:val="20"/>
                <w:szCs w:val="20"/>
                <w:color w:val="auto"/>
              </w:rPr>
            </w:pPr>
            <w:r>
              <w:rPr>
                <w:rFonts w:ascii="Verdana" w:cs="Verdana" w:eastAsia="Verdana" w:hAnsi="Verdana"/>
                <w:sz w:val="18"/>
                <w:szCs w:val="18"/>
                <w:color w:val="auto"/>
              </w:rPr>
              <w:t>Commercial</w:t>
            </w:r>
          </w:p>
        </w:tc>
        <w:tc>
          <w:tcPr>
            <w:tcW w:w="300" w:type="dxa"/>
            <w:vAlign w:val="bottom"/>
          </w:tcPr>
          <w:p>
            <w:pPr>
              <w:jc w:val="right"/>
              <w:spacing w:after="0"/>
              <w:rPr>
                <w:sz w:val="20"/>
                <w:szCs w:val="20"/>
                <w:color w:val="auto"/>
              </w:rPr>
            </w:pPr>
            <w:r>
              <w:rPr>
                <w:rFonts w:ascii="Verdana" w:cs="Verdana" w:eastAsia="Verdana" w:hAnsi="Verdana"/>
                <w:sz w:val="18"/>
                <w:szCs w:val="18"/>
                <w:color w:val="auto"/>
              </w:rPr>
              <w:t>3</w:t>
            </w:r>
          </w:p>
        </w:tc>
        <w:tc>
          <w:tcPr>
            <w:tcW w:w="32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1380" w:type="dxa"/>
            <w:vAlign w:val="bottom"/>
          </w:tcPr>
          <w:p>
            <w:pPr>
              <w:jc w:val="right"/>
              <w:ind w:right="1"/>
              <w:spacing w:after="0"/>
              <w:rPr>
                <w:sz w:val="20"/>
                <w:szCs w:val="20"/>
                <w:color w:val="auto"/>
              </w:rPr>
            </w:pPr>
            <w:r>
              <w:rPr>
                <w:rFonts w:ascii="Verdana" w:cs="Verdana" w:eastAsia="Verdana" w:hAnsi="Verdana"/>
                <w:sz w:val="18"/>
                <w:szCs w:val="18"/>
                <w:color w:val="auto"/>
              </w:rPr>
              <w:t>136</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80" w:type="dxa"/>
            <w:vAlign w:val="bottom"/>
          </w:tcPr>
          <w:p>
            <w:pPr>
              <w:jc w:val="right"/>
              <w:spacing w:after="0"/>
              <w:rPr>
                <w:sz w:val="20"/>
                <w:szCs w:val="20"/>
                <w:color w:val="auto"/>
              </w:rPr>
            </w:pPr>
            <w:r>
              <w:rPr>
                <w:rFonts w:ascii="Verdana" w:cs="Verdana" w:eastAsia="Verdana" w:hAnsi="Verdana"/>
                <w:sz w:val="18"/>
                <w:szCs w:val="18"/>
                <w:color w:val="auto"/>
              </w:rPr>
              <w:t>996</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280" w:type="dxa"/>
            <w:vAlign w:val="bottom"/>
            <w:tcBorders>
              <w:bottom w:val="single" w:sz="8" w:color="auto"/>
            </w:tcBorders>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38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3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517</w:t>
            </w:r>
          </w:p>
        </w:tc>
      </w:tr>
      <w:tr>
        <w:trPr>
          <w:trHeight w:val="270"/>
        </w:trPr>
        <w:tc>
          <w:tcPr>
            <w:tcW w:w="7520" w:type="dxa"/>
            <w:vAlign w:val="bottom"/>
            <w:gridSpan w:val="2"/>
          </w:tcPr>
          <w:p>
            <w:pPr>
              <w:ind w:left="180"/>
              <w:spacing w:after="0"/>
              <w:rPr>
                <w:sz w:val="20"/>
                <w:szCs w:val="20"/>
                <w:color w:val="auto"/>
              </w:rPr>
            </w:pPr>
            <w:r>
              <w:rPr>
                <w:rFonts w:ascii="Verdana" w:cs="Verdana" w:eastAsia="Verdana" w:hAnsi="Verdana"/>
                <w:sz w:val="18"/>
                <w:szCs w:val="18"/>
                <w:color w:val="auto"/>
              </w:rPr>
              <w:t>Total</w:t>
            </w:r>
          </w:p>
        </w:tc>
        <w:tc>
          <w:tcPr>
            <w:tcW w:w="300" w:type="dxa"/>
            <w:vAlign w:val="bottom"/>
          </w:tcPr>
          <w:p>
            <w:pPr>
              <w:jc w:val="right"/>
              <w:spacing w:after="0"/>
              <w:rPr>
                <w:sz w:val="20"/>
                <w:szCs w:val="20"/>
                <w:color w:val="auto"/>
              </w:rPr>
            </w:pPr>
            <w:r>
              <w:rPr>
                <w:rFonts w:ascii="Verdana" w:cs="Verdana" w:eastAsia="Verdana" w:hAnsi="Verdana"/>
                <w:sz w:val="18"/>
                <w:szCs w:val="18"/>
                <w:color w:val="auto"/>
              </w:rPr>
              <w:t>4</w:t>
            </w:r>
          </w:p>
        </w:tc>
        <w:tc>
          <w:tcPr>
            <w:tcW w:w="32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1380" w:type="dxa"/>
            <w:vAlign w:val="bottom"/>
          </w:tcPr>
          <w:p>
            <w:pPr>
              <w:jc w:val="right"/>
              <w:ind w:right="1"/>
              <w:spacing w:after="0"/>
              <w:rPr>
                <w:sz w:val="20"/>
                <w:szCs w:val="20"/>
                <w:color w:val="auto"/>
              </w:rPr>
            </w:pPr>
            <w:r>
              <w:rPr>
                <w:rFonts w:ascii="Verdana" w:cs="Verdana" w:eastAsia="Verdana" w:hAnsi="Verdana"/>
                <w:sz w:val="18"/>
                <w:szCs w:val="18"/>
                <w:color w:val="auto"/>
              </w:rPr>
              <w:t>136</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80" w:type="dxa"/>
            <w:vAlign w:val="bottom"/>
          </w:tcPr>
          <w:p>
            <w:pPr>
              <w:jc w:val="right"/>
              <w:ind w:right="18"/>
              <w:spacing w:after="0"/>
              <w:rPr>
                <w:sz w:val="20"/>
                <w:szCs w:val="20"/>
                <w:color w:val="auto"/>
              </w:rPr>
            </w:pPr>
            <w:r>
              <w:rPr>
                <w:rFonts w:ascii="Verdana" w:cs="Verdana" w:eastAsia="Verdana" w:hAnsi="Verdana"/>
                <w:sz w:val="18"/>
                <w:szCs w:val="18"/>
                <w:color w:val="auto"/>
              </w:rPr>
              <w:t>1,513</w:t>
            </w:r>
          </w:p>
        </w:tc>
      </w:tr>
      <w:tr>
        <w:trPr>
          <w:trHeight w:val="20"/>
        </w:trPr>
        <w:tc>
          <w:tcPr>
            <w:tcW w:w="6240" w:type="dxa"/>
            <w:vAlign w:val="bottom"/>
            <w:tcBorders>
              <w:bottom w:val="single" w:sz="8" w:color="E0E7ED"/>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3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380" w:type="dxa"/>
            <w:vAlign w:val="bottom"/>
            <w:shd w:val="clear" w:color="auto" w:fill="E0E7ED"/>
          </w:tcPr>
          <w:p>
            <w:pPr>
              <w:spacing w:after="0"/>
              <w:rPr>
                <w:sz w:val="20"/>
                <w:szCs w:val="20"/>
                <w:color w:val="auto"/>
              </w:rPr>
            </w:pPr>
          </w:p>
        </w:tc>
      </w:tr>
      <w:tr>
        <w:trPr>
          <w:trHeight w:val="263"/>
        </w:trPr>
        <w:tc>
          <w:tcPr>
            <w:tcW w:w="7520" w:type="dxa"/>
            <w:vAlign w:val="bottom"/>
            <w:gridSpan w:val="2"/>
          </w:tcPr>
          <w:p>
            <w:pPr>
              <w:ind w:left="20"/>
              <w:spacing w:after="0"/>
              <w:rPr>
                <w:sz w:val="20"/>
                <w:szCs w:val="20"/>
                <w:color w:val="auto"/>
              </w:rPr>
            </w:pPr>
            <w:r>
              <w:rPr>
                <w:rFonts w:ascii="Verdana" w:cs="Verdana" w:eastAsia="Verdana" w:hAnsi="Verdana"/>
                <w:sz w:val="18"/>
                <w:szCs w:val="18"/>
                <w:b w:val="1"/>
                <w:bCs w:val="1"/>
                <w:color w:val="auto"/>
              </w:rPr>
              <w:t>December 31, 2021</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w:t>
            </w:r>
          </w:p>
        </w:tc>
        <w:tc>
          <w:tcPr>
            <w:tcW w:w="1280" w:type="dxa"/>
            <w:vAlign w:val="bottom"/>
            <w:tcBorders>
              <w:bottom w:val="single" w:sz="8" w:color="auto"/>
            </w:tcBorders>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138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364</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3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70"/>
        </w:trPr>
        <w:tc>
          <w:tcPr>
            <w:tcW w:w="7520" w:type="dxa"/>
            <w:vAlign w:val="bottom"/>
            <w:gridSpan w:val="2"/>
          </w:tcPr>
          <w:p>
            <w:pPr>
              <w:ind w:left="180"/>
              <w:spacing w:after="0"/>
              <w:rPr>
                <w:sz w:val="20"/>
                <w:szCs w:val="20"/>
                <w:color w:val="auto"/>
              </w:rPr>
            </w:pPr>
            <w:r>
              <w:rPr>
                <w:rFonts w:ascii="Verdana" w:cs="Verdana" w:eastAsia="Verdana" w:hAnsi="Verdana"/>
                <w:sz w:val="18"/>
                <w:szCs w:val="18"/>
                <w:color w:val="auto"/>
              </w:rPr>
              <w:t>Total</w:t>
            </w:r>
          </w:p>
        </w:tc>
        <w:tc>
          <w:tcPr>
            <w:tcW w:w="300" w:type="dxa"/>
            <w:vAlign w:val="bottom"/>
          </w:tcPr>
          <w:p>
            <w:pPr>
              <w:jc w:val="right"/>
              <w:spacing w:after="0"/>
              <w:rPr>
                <w:sz w:val="20"/>
                <w:szCs w:val="20"/>
                <w:color w:val="auto"/>
              </w:rPr>
            </w:pPr>
            <w:r>
              <w:rPr>
                <w:rFonts w:ascii="Verdana" w:cs="Verdana" w:eastAsia="Verdana" w:hAnsi="Verdana"/>
                <w:sz w:val="18"/>
                <w:szCs w:val="18"/>
                <w:color w:val="auto"/>
              </w:rPr>
              <w:t>1</w:t>
            </w:r>
          </w:p>
        </w:tc>
        <w:tc>
          <w:tcPr>
            <w:tcW w:w="32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1380" w:type="dxa"/>
            <w:vAlign w:val="bottom"/>
          </w:tcPr>
          <w:p>
            <w:pPr>
              <w:jc w:val="right"/>
              <w:ind w:right="1"/>
              <w:spacing w:after="0"/>
              <w:rPr>
                <w:sz w:val="20"/>
                <w:szCs w:val="20"/>
                <w:color w:val="auto"/>
              </w:rPr>
            </w:pPr>
            <w:r>
              <w:rPr>
                <w:rFonts w:ascii="Verdana" w:cs="Verdana" w:eastAsia="Verdana" w:hAnsi="Verdana"/>
                <w:sz w:val="18"/>
                <w:szCs w:val="18"/>
                <w:color w:val="auto"/>
              </w:rPr>
              <w:t>364</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8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0"/>
        </w:trPr>
        <w:tc>
          <w:tcPr>
            <w:tcW w:w="6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57"/>
        </w:numPr>
        <w:rPr>
          <w:rFonts w:ascii="Verdana" w:cs="Verdana" w:eastAsia="Verdana" w:hAnsi="Verdana"/>
          <w:sz w:val="13"/>
          <w:szCs w:val="13"/>
          <w:color w:val="auto"/>
        </w:rPr>
      </w:pPr>
      <w:r>
        <w:rPr>
          <w:rFonts w:ascii="Verdana" w:cs="Verdana" w:eastAsia="Verdana" w:hAnsi="Verdana"/>
          <w:sz w:val="13"/>
          <w:szCs w:val="13"/>
          <w:color w:val="auto"/>
        </w:rPr>
        <w:t>Recorded investment for newly designated TDR’s that were still outstanding as of the dates indicated.</w:t>
      </w:r>
    </w:p>
    <w:p>
      <w:pPr>
        <w:ind w:left="480" w:hanging="310"/>
        <w:spacing w:after="0"/>
        <w:tabs>
          <w:tab w:leader="none" w:pos="480" w:val="left"/>
        </w:tabs>
        <w:numPr>
          <w:ilvl w:val="0"/>
          <w:numId w:val="57"/>
        </w:numPr>
        <w:rPr>
          <w:rFonts w:ascii="Verdana" w:cs="Verdana" w:eastAsia="Verdana" w:hAnsi="Verdana"/>
          <w:sz w:val="13"/>
          <w:szCs w:val="13"/>
          <w:color w:val="auto"/>
        </w:rPr>
      </w:pPr>
      <w:r>
        <w:rPr>
          <w:rFonts w:ascii="Verdana" w:cs="Verdana" w:eastAsia="Verdana" w:hAnsi="Verdana"/>
          <w:sz w:val="13"/>
          <w:szCs w:val="13"/>
          <w:color w:val="auto"/>
        </w:rPr>
        <w:t>TDRs may have included multiple concessions; those that included an interest rate concession and payment concession are shown in the rate modification column.</w:t>
      </w:r>
    </w:p>
    <w:p>
      <w:pPr>
        <w:spacing w:after="0" w:line="16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There were no TDRs entered into during the 12 months ended December 31, 2022, or 2021, that had subsequent defaults. Gross interest income that would have been recorded during the years ended December 31, 2022, and 2021, if TDRs had performed in accordance with their original terms compared with their modified terms, was insignificant.</w:t>
      </w:r>
    </w:p>
    <w:p>
      <w:pPr>
        <w:spacing w:after="0" w:line="22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0" w:name="page131"/>
    <w:bookmarkEnd w:id="13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Collateral Dependent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Busey had $6.1 million and $14.0 million of collateral dependent loans secured by real estate or business assets as of December 31, 2023, and December 31, 2022, respectively.</w:t>
      </w:r>
    </w:p>
    <w:p>
      <w:pPr>
        <w:spacing w:after="0" w:line="21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1" w:name="page132"/>
    <w:bookmarkEnd w:id="13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Loans Evaluated Individually</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Busey evaluates loans with disparate risk characteristics on an individual basis. The following tables provide details of loans evaluated individually, segregated by category. The unpaid principal balance represents the customer outstanding contractual principal balance excluding any partial charge-offs. Recorded investment represents the amortized cost of customer balances net of any partial charge-offs recognized on the loan. Average recorded investment is calculated using the most recent four quarters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160"/>
              <w:spacing w:after="0"/>
              <w:rPr>
                <w:sz w:val="20"/>
                <w:szCs w:val="20"/>
                <w:color w:val="auto"/>
              </w:rPr>
            </w:pPr>
            <w:r>
              <w:rPr>
                <w:rFonts w:ascii="Verdana" w:cs="Verdana" w:eastAsia="Verdana" w:hAnsi="Verdana"/>
                <w:sz w:val="13"/>
                <w:szCs w:val="13"/>
                <w:b w:val="1"/>
                <w:bCs w:val="1"/>
                <w:color w:val="auto"/>
              </w:rPr>
              <w:t>As of December 31, 2023</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3"/>
              </w:rPr>
              <w:t>Unpaid</w:t>
            </w: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jc w:val="center"/>
              <w:ind w:left="638"/>
              <w:spacing w:after="0"/>
              <w:rPr>
                <w:sz w:val="20"/>
                <w:szCs w:val="20"/>
                <w:color w:val="auto"/>
              </w:rPr>
            </w:pPr>
            <w:r>
              <w:rPr>
                <w:rFonts w:ascii="Verdana" w:cs="Verdana" w:eastAsia="Verdana" w:hAnsi="Verdana"/>
                <w:sz w:val="13"/>
                <w:szCs w:val="13"/>
                <w:b w:val="1"/>
                <w:bCs w:val="1"/>
                <w:color w:val="auto"/>
                <w:w w:val="96"/>
              </w:rPr>
              <w:t>Recorded Investment</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78"/>
              <w:spacing w:after="0"/>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Verdana" w:cs="Verdana" w:eastAsia="Verdana" w:hAnsi="Verdana"/>
                <w:sz w:val="13"/>
                <w:szCs w:val="13"/>
                <w:b w:val="1"/>
                <w:bCs w:val="1"/>
                <w:color w:val="auto"/>
                <w:w w:val="96"/>
              </w:rPr>
              <w:t>Principal</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Verdana" w:cs="Verdana" w:eastAsia="Verdana" w:hAnsi="Verdana"/>
                <w:sz w:val="13"/>
                <w:szCs w:val="13"/>
                <w:b w:val="1"/>
                <w:bCs w:val="1"/>
                <w:color w:val="auto"/>
                <w:w w:val="98"/>
              </w:rPr>
              <w:t>With No</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Verdana" w:cs="Verdana" w:eastAsia="Verdana" w:hAnsi="Verdana"/>
                <w:sz w:val="13"/>
                <w:szCs w:val="13"/>
                <w:b w:val="1"/>
                <w:bCs w:val="1"/>
                <w:color w:val="auto"/>
                <w:w w:val="92"/>
              </w:rPr>
              <w:t>With</w:t>
            </w:r>
          </w:p>
        </w:tc>
        <w:tc>
          <w:tcPr>
            <w:tcW w:w="28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Verdana" w:cs="Verdana" w:eastAsia="Verdana" w:hAnsi="Verdana"/>
                <w:sz w:val="13"/>
                <w:szCs w:val="13"/>
                <w:b w:val="1"/>
                <w:bCs w:val="1"/>
                <w:color w:val="auto"/>
              </w:rPr>
              <w:t>Total</w:t>
            </w:r>
          </w:p>
        </w:tc>
        <w:tc>
          <w:tcPr>
            <w:tcW w:w="18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Verdana" w:cs="Verdana" w:eastAsia="Verdana" w:hAnsi="Verdana"/>
                <w:sz w:val="13"/>
                <w:szCs w:val="13"/>
                <w:b w:val="1"/>
                <w:bCs w:val="1"/>
                <w:color w:val="auto"/>
                <w:w w:val="96"/>
              </w:rPr>
              <w:t>Related</w:t>
            </w:r>
          </w:p>
        </w:tc>
        <w:tc>
          <w:tcPr>
            <w:tcW w:w="160" w:type="dxa"/>
            <w:vAlign w:val="bottom"/>
          </w:tcPr>
          <w:p>
            <w:pPr>
              <w:spacing w:after="0"/>
              <w:rPr>
                <w:sz w:val="11"/>
                <w:szCs w:val="11"/>
                <w:color w:val="auto"/>
              </w:rPr>
            </w:pPr>
          </w:p>
        </w:tc>
        <w:tc>
          <w:tcPr>
            <w:tcW w:w="1020" w:type="dxa"/>
            <w:vAlign w:val="bottom"/>
          </w:tcPr>
          <w:p>
            <w:pPr>
              <w:jc w:val="center"/>
              <w:ind w:right="78"/>
              <w:spacing w:after="0" w:line="135" w:lineRule="exact"/>
              <w:rPr>
                <w:sz w:val="20"/>
                <w:szCs w:val="20"/>
                <w:color w:val="auto"/>
              </w:rPr>
            </w:pPr>
            <w:r>
              <w:rPr>
                <w:rFonts w:ascii="Verdana" w:cs="Verdana" w:eastAsia="Verdana" w:hAnsi="Verdana"/>
                <w:sz w:val="13"/>
                <w:szCs w:val="13"/>
                <w:b w:val="1"/>
                <w:bCs w:val="1"/>
                <w:color w:val="auto"/>
                <w:w w:val="95"/>
              </w:rPr>
              <w:t>Recorded</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7"/>
              </w:rPr>
              <w:t>Balance</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8"/>
              </w:rPr>
              <w:t>Allowance</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6"/>
              </w:rPr>
              <w:t>Allowance</w:t>
            </w:r>
          </w:p>
        </w:tc>
        <w:tc>
          <w:tcPr>
            <w:tcW w:w="2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6"/>
              </w:rPr>
              <w:t>Allowance</w:t>
            </w:r>
          </w:p>
        </w:tc>
        <w:tc>
          <w:tcPr>
            <w:tcW w:w="16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Verdana" w:cs="Verdana" w:eastAsia="Verdana" w:hAnsi="Verdana"/>
                <w:sz w:val="13"/>
                <w:szCs w:val="13"/>
                <w:b w:val="1"/>
                <w:bCs w:val="1"/>
                <w:color w:val="auto"/>
                <w:w w:val="96"/>
              </w:rPr>
              <w:t>Investment</w:t>
            </w:r>
          </w:p>
        </w:tc>
        <w:tc>
          <w:tcPr>
            <w:tcW w:w="0" w:type="dxa"/>
            <w:vAlign w:val="bottom"/>
          </w:tcPr>
          <w:p>
            <w:pPr>
              <w:spacing w:after="0"/>
              <w:rPr>
                <w:sz w:val="1"/>
                <w:szCs w:val="1"/>
                <w:color w:val="auto"/>
              </w:rPr>
            </w:pPr>
          </w:p>
        </w:tc>
      </w:tr>
      <w:tr>
        <w:trPr>
          <w:trHeight w:val="255"/>
        </w:trPr>
        <w:tc>
          <w:tcPr>
            <w:tcW w:w="38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Loans evaluated individually</w:t>
            </w:r>
          </w:p>
        </w:tc>
        <w:tc>
          <w:tcPr>
            <w:tcW w:w="20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8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2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8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7,283</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585</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1,785</w:t>
            </w:r>
          </w:p>
        </w:tc>
        <w:tc>
          <w:tcPr>
            <w:tcW w:w="80" w:type="dxa"/>
            <w:vAlign w:val="bottom"/>
            <w:shd w:val="clear" w:color="auto" w:fill="E0E7ED"/>
          </w:tcPr>
          <w:p>
            <w:pPr>
              <w:spacing w:after="0"/>
              <w:rPr>
                <w:sz w:val="24"/>
                <w:szCs w:val="24"/>
                <w:color w:val="auto"/>
              </w:rPr>
            </w:pP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8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2,370</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785</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5,244</w:t>
            </w:r>
          </w:p>
        </w:tc>
        <w:tc>
          <w:tcPr>
            <w:tcW w:w="0" w:type="dxa"/>
            <w:vAlign w:val="bottom"/>
          </w:tcPr>
          <w:p>
            <w:pPr>
              <w:spacing w:after="0"/>
              <w:rPr>
                <w:sz w:val="1"/>
                <w:szCs w:val="1"/>
                <w:color w:val="auto"/>
              </w:rPr>
            </w:pPr>
          </w:p>
        </w:tc>
      </w:tr>
      <w:tr>
        <w:trPr>
          <w:trHeight w:val="263"/>
        </w:trPr>
        <w:tc>
          <w:tcPr>
            <w:tcW w:w="3820" w:type="dxa"/>
            <w:vAlign w:val="bottom"/>
          </w:tcPr>
          <w:p>
            <w:pPr>
              <w:ind w:left="360"/>
              <w:spacing w:after="0"/>
              <w:rPr>
                <w:sz w:val="20"/>
                <w:szCs w:val="20"/>
                <w:color w:val="auto"/>
              </w:rPr>
            </w:pPr>
            <w:r>
              <w:rPr>
                <w:rFonts w:ascii="Verdana" w:cs="Verdana" w:eastAsia="Verdana" w:hAnsi="Verdana"/>
                <w:sz w:val="18"/>
                <w:szCs w:val="18"/>
                <w:color w:val="auto"/>
              </w:rPr>
              <w:t>Commercial real estate</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2,600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8"/>
              <w:spacing w:after="0"/>
              <w:rPr>
                <w:sz w:val="20"/>
                <w:szCs w:val="20"/>
                <w:color w:val="auto"/>
              </w:rPr>
            </w:pPr>
            <w:r>
              <w:rPr>
                <w:rFonts w:ascii="Verdana" w:cs="Verdana" w:eastAsia="Verdana" w:hAnsi="Verdana"/>
                <w:sz w:val="18"/>
                <w:szCs w:val="18"/>
                <w:color w:val="auto"/>
              </w:rPr>
              <w:t>610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Verdana" w:cs="Verdana" w:eastAsia="Verdana" w:hAnsi="Verdana"/>
                <w:sz w:val="18"/>
                <w:szCs w:val="18"/>
                <w:color w:val="auto"/>
              </w:rPr>
              <w:t>695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Verdana" w:cs="Verdana" w:eastAsia="Verdana" w:hAnsi="Verdana"/>
                <w:sz w:val="18"/>
                <w:szCs w:val="18"/>
                <w:color w:val="auto"/>
              </w:rPr>
              <w:t>3,865</w:t>
            </w:r>
          </w:p>
        </w:tc>
        <w:tc>
          <w:tcPr>
            <w:tcW w:w="0" w:type="dxa"/>
            <w:vAlign w:val="bottom"/>
          </w:tcPr>
          <w:p>
            <w:pPr>
              <w:spacing w:after="0"/>
              <w:rPr>
                <w:sz w:val="1"/>
                <w:szCs w:val="1"/>
                <w:color w:val="auto"/>
              </w:rPr>
            </w:pPr>
          </w:p>
        </w:tc>
      </w:tr>
      <w:tr>
        <w:trPr>
          <w:trHeight w:val="277"/>
        </w:trPr>
        <w:tc>
          <w:tcPr>
            <w:tcW w:w="38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 construction</w:t>
            </w:r>
          </w:p>
        </w:tc>
        <w:tc>
          <w:tcPr>
            <w:tcW w:w="200" w:type="dxa"/>
            <w:vAlign w:val="bottom"/>
            <w:shd w:val="clear" w:color="auto" w:fill="E0E7ED"/>
          </w:tcPr>
          <w:p>
            <w:pPr>
              <w:spacing w:after="0"/>
              <w:rPr>
                <w:sz w:val="24"/>
                <w:szCs w:val="24"/>
                <w:color w:val="auto"/>
              </w:rPr>
            </w:pPr>
          </w:p>
        </w:tc>
        <w:tc>
          <w:tcPr>
            <w:tcW w:w="10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0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0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9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80" w:type="dxa"/>
            <w:vAlign w:val="bottom"/>
            <w:shd w:val="clear" w:color="auto" w:fill="E0E7ED"/>
          </w:tcPr>
          <w:p>
            <w:pPr>
              <w:spacing w:after="0"/>
              <w:rPr>
                <w:sz w:val="24"/>
                <w:szCs w:val="24"/>
                <w:color w:val="auto"/>
              </w:rPr>
            </w:pPr>
          </w:p>
        </w:tc>
        <w:tc>
          <w:tcPr>
            <w:tcW w:w="10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49</w:t>
            </w:r>
          </w:p>
        </w:tc>
        <w:tc>
          <w:tcPr>
            <w:tcW w:w="0" w:type="dxa"/>
            <w:vAlign w:val="bottom"/>
          </w:tcPr>
          <w:p>
            <w:pPr>
              <w:spacing w:after="0"/>
              <w:rPr>
                <w:sz w:val="1"/>
                <w:szCs w:val="1"/>
                <w:color w:val="auto"/>
              </w:rPr>
            </w:pPr>
          </w:p>
        </w:tc>
      </w:tr>
      <w:tr>
        <w:trPr>
          <w:trHeight w:val="218"/>
        </w:trPr>
        <w:tc>
          <w:tcPr>
            <w:tcW w:w="3820" w:type="dxa"/>
            <w:vAlign w:val="bottom"/>
          </w:tcPr>
          <w:p>
            <w:pPr>
              <w:ind w:left="180"/>
              <w:spacing w:after="0" w:line="217" w:lineRule="exact"/>
              <w:rPr>
                <w:sz w:val="20"/>
                <w:szCs w:val="20"/>
                <w:color w:val="auto"/>
              </w:rPr>
            </w:pPr>
            <w:r>
              <w:rPr>
                <w:rFonts w:ascii="Verdana" w:cs="Verdana" w:eastAsia="Verdana" w:hAnsi="Verdana"/>
                <w:sz w:val="18"/>
                <w:szCs w:val="18"/>
                <w:color w:val="auto"/>
              </w:rPr>
              <w:t>Commercial loans evaluated</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individually</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9,883</w:t>
            </w:r>
          </w:p>
        </w:tc>
        <w:tc>
          <w:tcPr>
            <w:tcW w:w="10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1,195</w:t>
            </w:r>
          </w:p>
        </w:tc>
        <w:tc>
          <w:tcPr>
            <w:tcW w:w="8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1,870</w:t>
            </w:r>
          </w:p>
        </w:tc>
        <w:tc>
          <w:tcPr>
            <w:tcW w:w="80" w:type="dxa"/>
            <w:vAlign w:val="bottom"/>
            <w:tcBorders>
              <w:bottom w:val="single" w:sz="8" w:color="E0E7E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3,065</w:t>
            </w:r>
          </w:p>
        </w:tc>
        <w:tc>
          <w:tcPr>
            <w:tcW w:w="80" w:type="dxa"/>
            <w:vAlign w:val="bottom"/>
            <w:tcBorders>
              <w:bottom w:val="single" w:sz="8" w:color="E0E7ED"/>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870</w:t>
            </w:r>
          </w:p>
        </w:tc>
        <w:tc>
          <w:tcPr>
            <w:tcW w:w="8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9,158</w:t>
            </w:r>
          </w:p>
        </w:tc>
        <w:tc>
          <w:tcPr>
            <w:tcW w:w="0" w:type="dxa"/>
            <w:vAlign w:val="bottom"/>
          </w:tcPr>
          <w:p>
            <w:pPr>
              <w:spacing w:after="0"/>
              <w:rPr>
                <w:sz w:val="1"/>
                <w:szCs w:val="1"/>
                <w:color w:val="auto"/>
              </w:rPr>
            </w:pPr>
          </w:p>
        </w:tc>
      </w:tr>
      <w:tr>
        <w:trPr>
          <w:trHeight w:val="257"/>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200" w:type="dxa"/>
            <w:vAlign w:val="bottom"/>
            <w:shd w:val="clear" w:color="auto" w:fill="E0E7ED"/>
          </w:tcPr>
          <w:p>
            <w:pPr>
              <w:spacing w:after="0"/>
              <w:rPr>
                <w:sz w:val="22"/>
                <w:szCs w:val="22"/>
                <w:color w:val="auto"/>
              </w:rPr>
            </w:pPr>
          </w:p>
        </w:tc>
        <w:tc>
          <w:tcPr>
            <w:tcW w:w="9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8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0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Retail real estate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61</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8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86</w:t>
            </w:r>
          </w:p>
        </w:tc>
        <w:tc>
          <w:tcPr>
            <w:tcW w:w="8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790</w:t>
            </w:r>
          </w:p>
        </w:tc>
        <w:tc>
          <w:tcPr>
            <w:tcW w:w="0" w:type="dxa"/>
            <w:vAlign w:val="bottom"/>
          </w:tcPr>
          <w:p>
            <w:pPr>
              <w:spacing w:after="0"/>
              <w:rPr>
                <w:sz w:val="1"/>
                <w:szCs w:val="1"/>
                <w:color w:val="auto"/>
              </w:rPr>
            </w:pPr>
          </w:p>
        </w:tc>
      </w:tr>
      <w:tr>
        <w:trPr>
          <w:trHeight w:val="264"/>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loans evaluated individually</w:t>
            </w:r>
          </w:p>
        </w:tc>
        <w:tc>
          <w:tcPr>
            <w:tcW w:w="200" w:type="dxa"/>
            <w:vAlign w:val="bottom"/>
            <w:tcBorders>
              <w:bottom w:val="single" w:sz="8" w:color="auto"/>
            </w:tcBorders>
            <w:shd w:val="clear" w:color="auto" w:fill="E0E7ED"/>
          </w:tcPr>
          <w:p>
            <w:pPr>
              <w:spacing w:after="0"/>
              <w:rPr>
                <w:sz w:val="22"/>
                <w:szCs w:val="22"/>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100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61</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80" w:type="dxa"/>
            <w:vAlign w:val="bottom"/>
            <w:shd w:val="clear" w:color="auto" w:fill="E0E7ED"/>
          </w:tcPr>
          <w:p>
            <w:pPr>
              <w:spacing w:after="0"/>
              <w:rPr>
                <w:sz w:val="22"/>
                <w:szCs w:val="22"/>
                <w:color w:val="auto"/>
              </w:rPr>
            </w:pPr>
          </w:p>
        </w:tc>
        <w:tc>
          <w:tcPr>
            <w:tcW w:w="280" w:type="dxa"/>
            <w:vAlign w:val="bottom"/>
            <w:tcBorders>
              <w:bottom w:val="single" w:sz="8" w:color="auto"/>
            </w:tcBorders>
            <w:shd w:val="clear" w:color="auto" w:fill="E0E7ED"/>
          </w:tcPr>
          <w:p>
            <w:pPr>
              <w:spacing w:after="0"/>
              <w:rPr>
                <w:sz w:val="22"/>
                <w:szCs w:val="22"/>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86</w:t>
            </w:r>
          </w:p>
        </w:tc>
        <w:tc>
          <w:tcPr>
            <w:tcW w:w="80" w:type="dxa"/>
            <w:vAlign w:val="bottom"/>
            <w:shd w:val="clear" w:color="auto" w:fill="E0E7ED"/>
          </w:tcPr>
          <w:p>
            <w:pPr>
              <w:spacing w:after="0"/>
              <w:rPr>
                <w:sz w:val="22"/>
                <w:szCs w:val="22"/>
                <w:color w:val="auto"/>
              </w:rPr>
            </w:pPr>
          </w:p>
        </w:tc>
        <w:tc>
          <w:tcPr>
            <w:tcW w:w="180" w:type="dxa"/>
            <w:vAlign w:val="bottom"/>
            <w:tcBorders>
              <w:bottom w:val="single" w:sz="8" w:color="auto"/>
            </w:tcBorders>
            <w:shd w:val="clear" w:color="auto" w:fill="E0E7ED"/>
          </w:tcPr>
          <w:p>
            <w:pPr>
              <w:spacing w:after="0"/>
              <w:rPr>
                <w:sz w:val="22"/>
                <w:szCs w:val="22"/>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790</w:t>
            </w:r>
          </w:p>
        </w:tc>
        <w:tc>
          <w:tcPr>
            <w:tcW w:w="0" w:type="dxa"/>
            <w:vAlign w:val="bottom"/>
          </w:tcPr>
          <w:p>
            <w:pPr>
              <w:spacing w:after="0"/>
              <w:rPr>
                <w:sz w:val="1"/>
                <w:szCs w:val="1"/>
                <w:color w:val="auto"/>
              </w:rPr>
            </w:pPr>
          </w:p>
        </w:tc>
      </w:tr>
      <w:tr>
        <w:trPr>
          <w:trHeight w:val="270"/>
        </w:trPr>
        <w:tc>
          <w:tcPr>
            <w:tcW w:w="3820" w:type="dxa"/>
            <w:vAlign w:val="bottom"/>
          </w:tcPr>
          <w:p>
            <w:pPr>
              <w:ind w:left="20"/>
              <w:spacing w:after="0"/>
              <w:rPr>
                <w:sz w:val="20"/>
                <w:szCs w:val="20"/>
                <w:color w:val="auto"/>
              </w:rPr>
            </w:pPr>
            <w:r>
              <w:rPr>
                <w:rFonts w:ascii="Verdana" w:cs="Verdana" w:eastAsia="Verdana" w:hAnsi="Verdana"/>
                <w:sz w:val="18"/>
                <w:szCs w:val="18"/>
                <w:color w:val="auto"/>
              </w:rPr>
              <w:t>Total loans evaluated individually</w:t>
            </w: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10,096</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1,256</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1,895</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3,151</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895</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9,948</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3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160"/>
              <w:spacing w:after="0"/>
              <w:rPr>
                <w:sz w:val="20"/>
                <w:szCs w:val="20"/>
                <w:color w:val="auto"/>
              </w:rPr>
            </w:pPr>
            <w:r>
              <w:rPr>
                <w:rFonts w:ascii="Verdana" w:cs="Verdana" w:eastAsia="Verdana" w:hAnsi="Verdana"/>
                <w:sz w:val="13"/>
                <w:szCs w:val="13"/>
                <w:b w:val="1"/>
                <w:bCs w:val="1"/>
                <w:color w:val="auto"/>
              </w:rPr>
              <w:t>As of December 31, 2022</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3"/>
              </w:rPr>
              <w:t>Unpaid</w:t>
            </w: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jc w:val="center"/>
              <w:ind w:left="638"/>
              <w:spacing w:after="0"/>
              <w:rPr>
                <w:sz w:val="20"/>
                <w:szCs w:val="20"/>
                <w:color w:val="auto"/>
              </w:rPr>
            </w:pPr>
            <w:r>
              <w:rPr>
                <w:rFonts w:ascii="Verdana" w:cs="Verdana" w:eastAsia="Verdana" w:hAnsi="Verdana"/>
                <w:sz w:val="13"/>
                <w:szCs w:val="13"/>
                <w:b w:val="1"/>
                <w:bCs w:val="1"/>
                <w:color w:val="auto"/>
                <w:w w:val="96"/>
              </w:rPr>
              <w:t>Recorded Investment</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78"/>
              <w:spacing w:after="0"/>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Verdana" w:cs="Verdana" w:eastAsia="Verdana" w:hAnsi="Verdana"/>
                <w:sz w:val="13"/>
                <w:szCs w:val="13"/>
                <w:b w:val="1"/>
                <w:bCs w:val="1"/>
                <w:color w:val="auto"/>
                <w:w w:val="96"/>
              </w:rPr>
              <w:t>Principal</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Verdana" w:cs="Verdana" w:eastAsia="Verdana" w:hAnsi="Verdana"/>
                <w:sz w:val="13"/>
                <w:szCs w:val="13"/>
                <w:b w:val="1"/>
                <w:bCs w:val="1"/>
                <w:color w:val="auto"/>
                <w:w w:val="98"/>
              </w:rPr>
              <w:t>With No</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Verdana" w:cs="Verdana" w:eastAsia="Verdana" w:hAnsi="Verdana"/>
                <w:sz w:val="13"/>
                <w:szCs w:val="13"/>
                <w:b w:val="1"/>
                <w:bCs w:val="1"/>
                <w:color w:val="auto"/>
                <w:w w:val="98"/>
              </w:rPr>
              <w:t>With</w:t>
            </w:r>
          </w:p>
        </w:tc>
        <w:tc>
          <w:tcPr>
            <w:tcW w:w="28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Total</w:t>
            </w:r>
          </w:p>
        </w:tc>
        <w:tc>
          <w:tcPr>
            <w:tcW w:w="18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Verdana" w:cs="Verdana" w:eastAsia="Verdana" w:hAnsi="Verdana"/>
                <w:sz w:val="13"/>
                <w:szCs w:val="13"/>
                <w:b w:val="1"/>
                <w:bCs w:val="1"/>
                <w:color w:val="auto"/>
                <w:w w:val="96"/>
              </w:rPr>
              <w:t>Related</w:t>
            </w:r>
          </w:p>
        </w:tc>
        <w:tc>
          <w:tcPr>
            <w:tcW w:w="160" w:type="dxa"/>
            <w:vAlign w:val="bottom"/>
          </w:tcPr>
          <w:p>
            <w:pPr>
              <w:spacing w:after="0"/>
              <w:rPr>
                <w:sz w:val="11"/>
                <w:szCs w:val="11"/>
                <w:color w:val="auto"/>
              </w:rPr>
            </w:pPr>
          </w:p>
        </w:tc>
        <w:tc>
          <w:tcPr>
            <w:tcW w:w="1020" w:type="dxa"/>
            <w:vAlign w:val="bottom"/>
          </w:tcPr>
          <w:p>
            <w:pPr>
              <w:jc w:val="center"/>
              <w:ind w:right="78"/>
              <w:spacing w:after="0" w:line="135" w:lineRule="exact"/>
              <w:rPr>
                <w:sz w:val="20"/>
                <w:szCs w:val="20"/>
                <w:color w:val="auto"/>
              </w:rPr>
            </w:pPr>
            <w:r>
              <w:rPr>
                <w:rFonts w:ascii="Verdana" w:cs="Verdana" w:eastAsia="Verdana" w:hAnsi="Verdana"/>
                <w:sz w:val="13"/>
                <w:szCs w:val="13"/>
                <w:b w:val="1"/>
                <w:bCs w:val="1"/>
                <w:color w:val="auto"/>
                <w:w w:val="95"/>
              </w:rPr>
              <w:t>Recorded</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7"/>
              </w:rPr>
              <w:t>Balance</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8"/>
              </w:rPr>
              <w:t>Allowance</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6"/>
              </w:rPr>
              <w:t>Allowance</w:t>
            </w:r>
          </w:p>
        </w:tc>
        <w:tc>
          <w:tcPr>
            <w:tcW w:w="2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6"/>
              </w:rPr>
              <w:t>Allowance</w:t>
            </w:r>
          </w:p>
        </w:tc>
        <w:tc>
          <w:tcPr>
            <w:tcW w:w="16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Verdana" w:cs="Verdana" w:eastAsia="Verdana" w:hAnsi="Verdana"/>
                <w:sz w:val="13"/>
                <w:szCs w:val="13"/>
                <w:b w:val="1"/>
                <w:bCs w:val="1"/>
                <w:color w:val="auto"/>
                <w:w w:val="96"/>
              </w:rPr>
              <w:t>Investment</w:t>
            </w:r>
          </w:p>
        </w:tc>
        <w:tc>
          <w:tcPr>
            <w:tcW w:w="0" w:type="dxa"/>
            <w:vAlign w:val="bottom"/>
          </w:tcPr>
          <w:p>
            <w:pPr>
              <w:spacing w:after="0"/>
              <w:rPr>
                <w:sz w:val="1"/>
                <w:szCs w:val="1"/>
                <w:color w:val="auto"/>
              </w:rPr>
            </w:pPr>
          </w:p>
        </w:tc>
      </w:tr>
      <w:tr>
        <w:trPr>
          <w:trHeight w:val="255"/>
        </w:trPr>
        <w:tc>
          <w:tcPr>
            <w:tcW w:w="38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Loans evaluated individually</w:t>
            </w:r>
          </w:p>
        </w:tc>
        <w:tc>
          <w:tcPr>
            <w:tcW w:w="20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8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0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2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8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9,589</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656</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5,918</w:t>
            </w:r>
          </w:p>
        </w:tc>
        <w:tc>
          <w:tcPr>
            <w:tcW w:w="80" w:type="dxa"/>
            <w:vAlign w:val="bottom"/>
            <w:shd w:val="clear" w:color="auto" w:fill="E0E7ED"/>
          </w:tcPr>
          <w:p>
            <w:pPr>
              <w:spacing w:after="0"/>
              <w:rPr>
                <w:sz w:val="24"/>
                <w:szCs w:val="24"/>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8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6,574</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2,476</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6,761</w:t>
            </w:r>
          </w:p>
        </w:tc>
        <w:tc>
          <w:tcPr>
            <w:tcW w:w="0" w:type="dxa"/>
            <w:vAlign w:val="bottom"/>
          </w:tcPr>
          <w:p>
            <w:pPr>
              <w:spacing w:after="0"/>
              <w:rPr>
                <w:sz w:val="1"/>
                <w:szCs w:val="1"/>
                <w:color w:val="auto"/>
              </w:rPr>
            </w:pPr>
          </w:p>
        </w:tc>
      </w:tr>
      <w:tr>
        <w:trPr>
          <w:trHeight w:val="263"/>
        </w:trPr>
        <w:tc>
          <w:tcPr>
            <w:tcW w:w="3820" w:type="dxa"/>
            <w:vAlign w:val="bottom"/>
          </w:tcPr>
          <w:p>
            <w:pPr>
              <w:ind w:left="360"/>
              <w:spacing w:after="0"/>
              <w:rPr>
                <w:sz w:val="20"/>
                <w:szCs w:val="20"/>
                <w:color w:val="auto"/>
              </w:rPr>
            </w:pPr>
            <w:r>
              <w:rPr>
                <w:rFonts w:ascii="Verdana" w:cs="Verdana" w:eastAsia="Verdana" w:hAnsi="Verdana"/>
                <w:sz w:val="18"/>
                <w:szCs w:val="18"/>
                <w:color w:val="auto"/>
              </w:rPr>
              <w:t>Commercial real estate</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8,039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8"/>
              <w:spacing w:after="0"/>
              <w:rPr>
                <w:sz w:val="20"/>
                <w:szCs w:val="20"/>
                <w:color w:val="auto"/>
              </w:rPr>
            </w:pPr>
            <w:r>
              <w:rPr>
                <w:rFonts w:ascii="Verdana" w:cs="Verdana" w:eastAsia="Verdana" w:hAnsi="Verdana"/>
                <w:sz w:val="18"/>
                <w:szCs w:val="18"/>
                <w:color w:val="auto"/>
              </w:rPr>
              <w:t>2,334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8"/>
              <w:spacing w:after="0"/>
              <w:rPr>
                <w:sz w:val="20"/>
                <w:szCs w:val="20"/>
                <w:color w:val="auto"/>
              </w:rPr>
            </w:pPr>
            <w:r>
              <w:rPr>
                <w:rFonts w:ascii="Verdana" w:cs="Verdana" w:eastAsia="Verdana" w:hAnsi="Verdana"/>
                <w:sz w:val="18"/>
                <w:szCs w:val="18"/>
                <w:color w:val="auto"/>
              </w:rPr>
              <w:t>3,903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Verdana" w:cs="Verdana" w:eastAsia="Verdana" w:hAnsi="Verdana"/>
                <w:sz w:val="18"/>
                <w:szCs w:val="18"/>
                <w:color w:val="auto"/>
              </w:rPr>
              <w:t>6,237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2,000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8"/>
              <w:spacing w:after="0"/>
              <w:rPr>
                <w:sz w:val="20"/>
                <w:szCs w:val="20"/>
                <w:color w:val="auto"/>
              </w:rPr>
            </w:pPr>
            <w:r>
              <w:rPr>
                <w:rFonts w:ascii="Verdana" w:cs="Verdana" w:eastAsia="Verdana" w:hAnsi="Verdana"/>
                <w:sz w:val="18"/>
                <w:szCs w:val="18"/>
                <w:color w:val="auto"/>
              </w:rPr>
              <w:t>5,219</w:t>
            </w:r>
          </w:p>
        </w:tc>
        <w:tc>
          <w:tcPr>
            <w:tcW w:w="0" w:type="dxa"/>
            <w:vAlign w:val="bottom"/>
          </w:tcPr>
          <w:p>
            <w:pPr>
              <w:spacing w:after="0"/>
              <w:rPr>
                <w:sz w:val="1"/>
                <w:szCs w:val="1"/>
                <w:color w:val="auto"/>
              </w:rPr>
            </w:pPr>
          </w:p>
        </w:tc>
      </w:tr>
      <w:tr>
        <w:trPr>
          <w:trHeight w:val="277"/>
        </w:trPr>
        <w:tc>
          <w:tcPr>
            <w:tcW w:w="38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 construction</w:t>
            </w:r>
          </w:p>
        </w:tc>
        <w:tc>
          <w:tcPr>
            <w:tcW w:w="20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247</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0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247</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247</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0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260</w:t>
            </w:r>
          </w:p>
        </w:tc>
        <w:tc>
          <w:tcPr>
            <w:tcW w:w="0" w:type="dxa"/>
            <w:vAlign w:val="bottom"/>
          </w:tcPr>
          <w:p>
            <w:pPr>
              <w:spacing w:after="0"/>
              <w:rPr>
                <w:sz w:val="1"/>
                <w:szCs w:val="1"/>
                <w:color w:val="auto"/>
              </w:rPr>
            </w:pPr>
          </w:p>
        </w:tc>
      </w:tr>
      <w:tr>
        <w:trPr>
          <w:trHeight w:val="218"/>
        </w:trPr>
        <w:tc>
          <w:tcPr>
            <w:tcW w:w="3820" w:type="dxa"/>
            <w:vAlign w:val="bottom"/>
          </w:tcPr>
          <w:p>
            <w:pPr>
              <w:ind w:left="180"/>
              <w:spacing w:after="0" w:line="217" w:lineRule="exact"/>
              <w:rPr>
                <w:sz w:val="20"/>
                <w:szCs w:val="20"/>
                <w:color w:val="auto"/>
              </w:rPr>
            </w:pPr>
            <w:r>
              <w:rPr>
                <w:rFonts w:ascii="Verdana" w:cs="Verdana" w:eastAsia="Verdana" w:hAnsi="Verdana"/>
                <w:sz w:val="18"/>
                <w:szCs w:val="18"/>
                <w:color w:val="auto"/>
              </w:rPr>
              <w:t>Commercial loans evaluated</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individually</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17,875</w:t>
            </w:r>
          </w:p>
        </w:tc>
        <w:tc>
          <w:tcPr>
            <w:tcW w:w="10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3,237</w:t>
            </w:r>
          </w:p>
        </w:tc>
        <w:tc>
          <w:tcPr>
            <w:tcW w:w="8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9,821</w:t>
            </w:r>
          </w:p>
        </w:tc>
        <w:tc>
          <w:tcPr>
            <w:tcW w:w="80" w:type="dxa"/>
            <w:vAlign w:val="bottom"/>
            <w:tcBorders>
              <w:bottom w:val="single" w:sz="8" w:color="E0E7E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13,058</w:t>
            </w:r>
          </w:p>
        </w:tc>
        <w:tc>
          <w:tcPr>
            <w:tcW w:w="80" w:type="dxa"/>
            <w:vAlign w:val="bottom"/>
            <w:tcBorders>
              <w:bottom w:val="single" w:sz="8" w:color="E0E7ED"/>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4,476</w:t>
            </w:r>
          </w:p>
        </w:tc>
        <w:tc>
          <w:tcPr>
            <w:tcW w:w="8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12,240</w:t>
            </w:r>
          </w:p>
        </w:tc>
        <w:tc>
          <w:tcPr>
            <w:tcW w:w="0" w:type="dxa"/>
            <w:vAlign w:val="bottom"/>
          </w:tcPr>
          <w:p>
            <w:pPr>
              <w:spacing w:after="0"/>
              <w:rPr>
                <w:sz w:val="1"/>
                <w:szCs w:val="1"/>
                <w:color w:val="auto"/>
              </w:rPr>
            </w:pPr>
          </w:p>
        </w:tc>
      </w:tr>
      <w:tr>
        <w:trPr>
          <w:trHeight w:val="257"/>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200" w:type="dxa"/>
            <w:vAlign w:val="bottom"/>
            <w:shd w:val="clear" w:color="auto" w:fill="E0E7ED"/>
          </w:tcPr>
          <w:p>
            <w:pPr>
              <w:spacing w:after="0"/>
              <w:rPr>
                <w:sz w:val="22"/>
                <w:szCs w:val="22"/>
                <w:color w:val="auto"/>
              </w:rPr>
            </w:pPr>
          </w:p>
        </w:tc>
        <w:tc>
          <w:tcPr>
            <w:tcW w:w="9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8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0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Retail real estate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2,733</w:t>
            </w:r>
          </w:p>
        </w:tc>
        <w:tc>
          <w:tcPr>
            <w:tcW w:w="10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2,564</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25</w:t>
            </w:r>
          </w:p>
        </w:tc>
        <w:tc>
          <w:tcPr>
            <w:tcW w:w="8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2,589</w:t>
            </w:r>
          </w:p>
        </w:tc>
        <w:tc>
          <w:tcPr>
            <w:tcW w:w="8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2,311</w:t>
            </w:r>
          </w:p>
        </w:tc>
        <w:tc>
          <w:tcPr>
            <w:tcW w:w="0" w:type="dxa"/>
            <w:vAlign w:val="bottom"/>
          </w:tcPr>
          <w:p>
            <w:pPr>
              <w:spacing w:after="0"/>
              <w:rPr>
                <w:sz w:val="1"/>
                <w:szCs w:val="1"/>
                <w:color w:val="auto"/>
              </w:rPr>
            </w:pPr>
          </w:p>
        </w:tc>
      </w:tr>
      <w:tr>
        <w:trPr>
          <w:trHeight w:val="264"/>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loans evaluated individually</w:t>
            </w:r>
          </w:p>
        </w:tc>
        <w:tc>
          <w:tcPr>
            <w:tcW w:w="200" w:type="dxa"/>
            <w:vAlign w:val="bottom"/>
            <w:tcBorders>
              <w:bottom w:val="single" w:sz="8" w:color="auto"/>
            </w:tcBorders>
            <w:shd w:val="clear" w:color="auto" w:fill="E0E7ED"/>
          </w:tcPr>
          <w:p>
            <w:pPr>
              <w:spacing w:after="0"/>
              <w:rPr>
                <w:sz w:val="22"/>
                <w:szCs w:val="22"/>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2,733</w:t>
            </w:r>
          </w:p>
        </w:tc>
        <w:tc>
          <w:tcPr>
            <w:tcW w:w="10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100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2,564</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100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25</w:t>
            </w:r>
          </w:p>
        </w:tc>
        <w:tc>
          <w:tcPr>
            <w:tcW w:w="80" w:type="dxa"/>
            <w:vAlign w:val="bottom"/>
            <w:shd w:val="clear" w:color="auto" w:fill="E0E7ED"/>
          </w:tcPr>
          <w:p>
            <w:pPr>
              <w:spacing w:after="0"/>
              <w:rPr>
                <w:sz w:val="22"/>
                <w:szCs w:val="22"/>
                <w:color w:val="auto"/>
              </w:rPr>
            </w:pPr>
          </w:p>
        </w:tc>
        <w:tc>
          <w:tcPr>
            <w:tcW w:w="280" w:type="dxa"/>
            <w:vAlign w:val="bottom"/>
            <w:tcBorders>
              <w:bottom w:val="single" w:sz="8" w:color="auto"/>
            </w:tcBorders>
            <w:shd w:val="clear" w:color="auto" w:fill="E0E7ED"/>
          </w:tcPr>
          <w:p>
            <w:pPr>
              <w:spacing w:after="0"/>
              <w:rPr>
                <w:sz w:val="22"/>
                <w:szCs w:val="22"/>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2,589</w:t>
            </w:r>
          </w:p>
        </w:tc>
        <w:tc>
          <w:tcPr>
            <w:tcW w:w="80" w:type="dxa"/>
            <w:vAlign w:val="bottom"/>
            <w:shd w:val="clear" w:color="auto" w:fill="E0E7ED"/>
          </w:tcPr>
          <w:p>
            <w:pPr>
              <w:spacing w:after="0"/>
              <w:rPr>
                <w:sz w:val="22"/>
                <w:szCs w:val="22"/>
                <w:color w:val="auto"/>
              </w:rPr>
            </w:pPr>
          </w:p>
        </w:tc>
        <w:tc>
          <w:tcPr>
            <w:tcW w:w="180" w:type="dxa"/>
            <w:vAlign w:val="bottom"/>
            <w:tcBorders>
              <w:bottom w:val="single" w:sz="8" w:color="auto"/>
            </w:tcBorders>
            <w:shd w:val="clear" w:color="auto" w:fill="E0E7ED"/>
          </w:tcPr>
          <w:p>
            <w:pPr>
              <w:spacing w:after="0"/>
              <w:rPr>
                <w:sz w:val="22"/>
                <w:szCs w:val="22"/>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102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2,311</w:t>
            </w:r>
          </w:p>
        </w:tc>
        <w:tc>
          <w:tcPr>
            <w:tcW w:w="0" w:type="dxa"/>
            <w:vAlign w:val="bottom"/>
          </w:tcPr>
          <w:p>
            <w:pPr>
              <w:spacing w:after="0"/>
              <w:rPr>
                <w:sz w:val="1"/>
                <w:szCs w:val="1"/>
                <w:color w:val="auto"/>
              </w:rPr>
            </w:pPr>
          </w:p>
        </w:tc>
      </w:tr>
      <w:tr>
        <w:trPr>
          <w:trHeight w:val="270"/>
        </w:trPr>
        <w:tc>
          <w:tcPr>
            <w:tcW w:w="3820" w:type="dxa"/>
            <w:vAlign w:val="bottom"/>
          </w:tcPr>
          <w:p>
            <w:pPr>
              <w:ind w:left="20"/>
              <w:spacing w:after="0"/>
              <w:rPr>
                <w:sz w:val="20"/>
                <w:szCs w:val="20"/>
                <w:color w:val="auto"/>
              </w:rPr>
            </w:pPr>
            <w:r>
              <w:rPr>
                <w:rFonts w:ascii="Verdana" w:cs="Verdana" w:eastAsia="Verdana" w:hAnsi="Verdana"/>
                <w:sz w:val="18"/>
                <w:szCs w:val="18"/>
                <w:color w:val="auto"/>
              </w:rPr>
              <w:t>Total loans evaluated individually</w:t>
            </w: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20,608</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5,801</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00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9,846</w:t>
            </w: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8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15,647</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4,501</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14,551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2" w:name="page133"/>
    <w:bookmarkEnd w:id="13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Allowance for Credit Losses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Busey’s historical loss experience beginning in 2010. Due to the continued economic uncertainty in the markets in which the Company operates, Busey will continue to utilize a forecast period of 12 months with an immediate reversion to historical loss rates beyond this forecast period in its ACL estimate. PPP loans were excluded from the ACL calculation as they are 100% government guaranteed.</w:t>
      </w:r>
    </w:p>
    <w:p>
      <w:pPr>
        <w:spacing w:after="0" w:line="16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 summarizes activity in the ACL attributable to each loan class. Allocation of a portion of the ACL to one loan class does not preclude its availability to absorb losses in other loan classes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Verdana" w:cs="Verdana" w:eastAsia="Verdana" w:hAnsi="Verdana"/>
                <w:sz w:val="13"/>
                <w:szCs w:val="13"/>
                <w:b w:val="1"/>
                <w:bCs w:val="1"/>
                <w:color w:val="auto"/>
              </w:rPr>
              <w:t>Commercial</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Commercial</w:t>
            </w:r>
          </w:p>
        </w:tc>
        <w:tc>
          <w:tcPr>
            <w:tcW w:w="14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Real Estate</w:t>
            </w:r>
          </w:p>
        </w:tc>
        <w:tc>
          <w:tcPr>
            <w:tcW w:w="16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6"/>
              </w:rPr>
              <w:t>Retail Real</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Verdana" w:cs="Verdana" w:eastAsia="Verdana" w:hAnsi="Verdana"/>
                <w:sz w:val="13"/>
                <w:szCs w:val="13"/>
                <w:b w:val="1"/>
                <w:bCs w:val="1"/>
                <w:color w:val="auto"/>
              </w:rPr>
              <w:t>Retail Other</w:t>
            </w:r>
          </w:p>
        </w:tc>
        <w:tc>
          <w:tcPr>
            <w:tcW w:w="240" w:type="dxa"/>
            <w:vAlign w:val="bottom"/>
          </w:tcPr>
          <w:p>
            <w:pPr>
              <w:spacing w:after="0"/>
              <w:rPr>
                <w:sz w:val="13"/>
                <w:szCs w:val="13"/>
                <w:color w:val="auto"/>
              </w:rPr>
            </w:pPr>
          </w:p>
        </w:tc>
        <w:tc>
          <w:tcPr>
            <w:tcW w:w="940" w:type="dxa"/>
            <w:vAlign w:val="bottom"/>
            <w:vMerge w:val="restart"/>
          </w:tcPr>
          <w:p>
            <w:pPr>
              <w:jc w:val="right"/>
              <w:ind w:right="312"/>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Real Estate</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6"/>
              </w:rPr>
              <w:t>Construction</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5"/>
              </w:rPr>
              <w:t>Estate</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38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ACL Balance, December 31, 2020</w:t>
            </w: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23,866</w:t>
            </w:r>
          </w:p>
        </w:tc>
        <w:tc>
          <w:tcPr>
            <w:tcW w:w="100" w:type="dxa"/>
            <w:vAlign w:val="bottom"/>
            <w:tcBorders>
              <w:top w:val="single" w:sz="8" w:color="E0E7ED"/>
            </w:tcBorders>
            <w:shd w:val="clear" w:color="auto" w:fill="E0E7ED"/>
          </w:tcPr>
          <w:p>
            <w:pPr>
              <w:spacing w:after="0"/>
              <w:rPr>
                <w:sz w:val="23"/>
                <w:szCs w:val="23"/>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46,230</w:t>
            </w:r>
          </w:p>
        </w:tc>
        <w:tc>
          <w:tcPr>
            <w:tcW w:w="80" w:type="dxa"/>
            <w:vAlign w:val="bottom"/>
            <w:tcBorders>
              <w:top w:val="single" w:sz="8" w:color="E0E7ED"/>
            </w:tcBorders>
            <w:shd w:val="clear" w:color="auto" w:fill="E0E7ED"/>
          </w:tcPr>
          <w:p>
            <w:pPr>
              <w:spacing w:after="0"/>
              <w:rPr>
                <w:sz w:val="23"/>
                <w:szCs w:val="23"/>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8,193</w:t>
            </w:r>
          </w:p>
        </w:tc>
        <w:tc>
          <w:tcPr>
            <w:tcW w:w="80" w:type="dxa"/>
            <w:vAlign w:val="bottom"/>
            <w:tcBorders>
              <w:top w:val="single" w:sz="8" w:color="E0E7ED"/>
            </w:tcBorders>
            <w:shd w:val="clear" w:color="auto" w:fill="E0E7ED"/>
          </w:tcPr>
          <w:p>
            <w:pPr>
              <w:spacing w:after="0"/>
              <w:rPr>
                <w:sz w:val="23"/>
                <w:szCs w:val="23"/>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21,992</w:t>
            </w:r>
          </w:p>
        </w:tc>
        <w:tc>
          <w:tcPr>
            <w:tcW w:w="80" w:type="dxa"/>
            <w:vAlign w:val="bottom"/>
            <w:tcBorders>
              <w:top w:val="single" w:sz="8" w:color="E0E7ED"/>
            </w:tcBorders>
            <w:shd w:val="clear" w:color="auto" w:fill="E0E7ED"/>
          </w:tcPr>
          <w:p>
            <w:pPr>
              <w:spacing w:after="0"/>
              <w:rPr>
                <w:sz w:val="23"/>
                <w:szCs w:val="23"/>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767</w:t>
            </w:r>
          </w:p>
        </w:tc>
        <w:tc>
          <w:tcPr>
            <w:tcW w:w="80" w:type="dxa"/>
            <w:vAlign w:val="bottom"/>
            <w:tcBorders>
              <w:top w:val="single" w:sz="8" w:color="E0E7ED"/>
            </w:tcBorders>
            <w:shd w:val="clear" w:color="auto" w:fill="E0E7ED"/>
          </w:tcPr>
          <w:p>
            <w:pPr>
              <w:spacing w:after="0"/>
              <w:rPr>
                <w:sz w:val="23"/>
                <w:szCs w:val="23"/>
                <w:color w:val="auto"/>
              </w:rPr>
            </w:pPr>
          </w:p>
        </w:tc>
        <w:tc>
          <w:tcPr>
            <w:tcW w:w="240" w:type="dxa"/>
            <w:vAlign w:val="bottom"/>
            <w:tcBorders>
              <w:top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101,048</w:t>
            </w: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line="270" w:lineRule="exact"/>
              <w:rPr>
                <w:sz w:val="20"/>
                <w:szCs w:val="20"/>
                <w:color w:val="auto"/>
              </w:rPr>
            </w:pPr>
            <w:r>
              <w:rPr>
                <w:rFonts w:ascii="Verdana" w:cs="Verdana" w:eastAsia="Verdana" w:hAnsi="Verdana"/>
                <w:sz w:val="18"/>
                <w:szCs w:val="18"/>
                <w:color w:val="auto"/>
              </w:rPr>
              <w:t>Day 1 PCD</w:t>
            </w:r>
            <w:r>
              <w:rPr>
                <w:rFonts w:ascii="Verdana" w:cs="Verdana" w:eastAsia="Verdana" w:hAnsi="Verdana"/>
                <w:sz w:val="23"/>
                <w:szCs w:val="23"/>
                <w:color w:val="auto"/>
                <w:vertAlign w:val="superscript"/>
              </w:rPr>
              <w:t>1</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3,546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336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129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167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Verdana" w:cs="Verdana" w:eastAsia="Verdana" w:hAnsi="Verdana"/>
                <w:sz w:val="18"/>
                <w:szCs w:val="18"/>
                <w:color w:val="auto"/>
              </w:rPr>
              <w:t>4,178</w:t>
            </w:r>
          </w:p>
        </w:tc>
        <w:tc>
          <w:tcPr>
            <w:tcW w:w="0" w:type="dxa"/>
            <w:vAlign w:val="bottom"/>
          </w:tcPr>
          <w:p>
            <w:pPr>
              <w:spacing w:after="0"/>
              <w:rPr>
                <w:sz w:val="1"/>
                <w:szCs w:val="1"/>
                <w:color w:val="auto"/>
              </w:rPr>
            </w:pPr>
          </w:p>
        </w:tc>
      </w:tr>
      <w:tr>
        <w:trPr>
          <w:trHeight w:val="270"/>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credit losses</w:t>
            </w:r>
          </w:p>
        </w:tc>
        <w:tc>
          <w:tcPr>
            <w:tcW w:w="140" w:type="dxa"/>
            <w:vAlign w:val="bottom"/>
            <w:shd w:val="clear" w:color="auto" w:fill="E0E7ED"/>
          </w:tcPr>
          <w:p>
            <w:pPr>
              <w:spacing w:after="0"/>
              <w:rPr>
                <w:sz w:val="23"/>
                <w:szCs w:val="23"/>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(2,160)</w:t>
            </w:r>
          </w:p>
        </w:tc>
        <w:tc>
          <w:tcPr>
            <w:tcW w:w="100" w:type="dxa"/>
            <w:vAlign w:val="bottom"/>
            <w:shd w:val="clear" w:color="auto" w:fill="E0E7ED"/>
          </w:tcPr>
          <w:p>
            <w:pPr>
              <w:spacing w:after="0"/>
              <w:rPr>
                <w:sz w:val="23"/>
                <w:szCs w:val="23"/>
                <w:color w:val="auto"/>
              </w:rPr>
            </w:pPr>
          </w:p>
        </w:tc>
        <w:tc>
          <w:tcPr>
            <w:tcW w:w="140" w:type="dxa"/>
            <w:vAlign w:val="bottom"/>
            <w:shd w:val="clear" w:color="auto" w:fill="E0E7ED"/>
          </w:tcPr>
          <w:p>
            <w:pPr>
              <w:spacing w:after="0"/>
              <w:rPr>
                <w:sz w:val="23"/>
                <w:szCs w:val="23"/>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(7,651)</w:t>
            </w:r>
          </w:p>
        </w:tc>
        <w:tc>
          <w:tcPr>
            <w:tcW w:w="80" w:type="dxa"/>
            <w:vAlign w:val="bottom"/>
            <w:shd w:val="clear" w:color="auto" w:fill="E0E7ED"/>
          </w:tcPr>
          <w:p>
            <w:pPr>
              <w:spacing w:after="0"/>
              <w:rPr>
                <w:sz w:val="23"/>
                <w:szCs w:val="23"/>
                <w:color w:val="auto"/>
              </w:rPr>
            </w:pPr>
          </w:p>
        </w:tc>
        <w:tc>
          <w:tcPr>
            <w:tcW w:w="14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(3,180)</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(4,456)</w:t>
            </w:r>
          </w:p>
        </w:tc>
        <w:tc>
          <w:tcPr>
            <w:tcW w:w="80" w:type="dxa"/>
            <w:vAlign w:val="bottom"/>
            <w:shd w:val="clear" w:color="auto" w:fill="E0E7ED"/>
          </w:tcPr>
          <w:p>
            <w:pPr>
              <w:spacing w:after="0"/>
              <w:rPr>
                <w:sz w:val="23"/>
                <w:szCs w:val="23"/>
                <w:color w:val="auto"/>
              </w:rPr>
            </w:pPr>
          </w:p>
        </w:tc>
        <w:tc>
          <w:tcPr>
            <w:tcW w:w="140" w:type="dxa"/>
            <w:vAlign w:val="bottom"/>
            <w:shd w:val="clear" w:color="auto" w:fill="E0E7ED"/>
          </w:tcPr>
          <w:p>
            <w:pPr>
              <w:spacing w:after="0"/>
              <w:rPr>
                <w:sz w:val="23"/>
                <w:szCs w:val="23"/>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2,346</w:t>
            </w: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(15,101)</w:t>
            </w:r>
          </w:p>
        </w:tc>
        <w:tc>
          <w:tcPr>
            <w:tcW w:w="0" w:type="dxa"/>
            <w:vAlign w:val="bottom"/>
          </w:tcPr>
          <w:p>
            <w:pPr>
              <w:spacing w:after="0"/>
              <w:rPr>
                <w:sz w:val="1"/>
                <w:szCs w:val="1"/>
                <w:color w:val="auto"/>
              </w:rPr>
            </w:pPr>
          </w:p>
        </w:tc>
      </w:tr>
      <w:tr>
        <w:trPr>
          <w:trHeight w:val="263"/>
        </w:trPr>
        <w:tc>
          <w:tcPr>
            <w:tcW w:w="3820" w:type="dxa"/>
            <w:vAlign w:val="bottom"/>
          </w:tcPr>
          <w:p>
            <w:pPr>
              <w:ind w:left="180"/>
              <w:spacing w:after="0"/>
              <w:rPr>
                <w:sz w:val="20"/>
                <w:szCs w:val="20"/>
                <w:color w:val="auto"/>
              </w:rPr>
            </w:pPr>
            <w:r>
              <w:rPr>
                <w:rFonts w:ascii="Verdana" w:cs="Verdana" w:eastAsia="Verdana" w:hAnsi="Verdana"/>
                <w:sz w:val="18"/>
                <w:szCs w:val="18"/>
                <w:color w:val="auto"/>
              </w:rPr>
              <w:t>Charged-off</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(2,026)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(925)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Verdana" w:cs="Verdana" w:eastAsia="Verdana" w:hAnsi="Verdana"/>
                <w:sz w:val="18"/>
                <w:szCs w:val="18"/>
                <w:color w:val="auto"/>
              </w:rPr>
              <w:t>(209)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(1,145)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(478)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(4,783)</w:t>
            </w:r>
          </w:p>
        </w:tc>
        <w:tc>
          <w:tcPr>
            <w:tcW w:w="0" w:type="dxa"/>
            <w:vAlign w:val="bottom"/>
          </w:tcPr>
          <w:p>
            <w:pPr>
              <w:spacing w:after="0"/>
              <w:rPr>
                <w:sz w:val="1"/>
                <w:szCs w:val="1"/>
                <w:color w:val="auto"/>
              </w:rPr>
            </w:pPr>
          </w:p>
        </w:tc>
      </w:tr>
      <w:tr>
        <w:trPr>
          <w:trHeight w:val="270"/>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Recoveries</w:t>
            </w:r>
          </w:p>
        </w:tc>
        <w:tc>
          <w:tcPr>
            <w:tcW w:w="14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629</w:t>
            </w:r>
          </w:p>
        </w:tc>
        <w:tc>
          <w:tcPr>
            <w:tcW w:w="10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259</w:t>
            </w:r>
          </w:p>
        </w:tc>
        <w:tc>
          <w:tcPr>
            <w:tcW w:w="8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298</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1,069</w:t>
            </w:r>
          </w:p>
        </w:tc>
        <w:tc>
          <w:tcPr>
            <w:tcW w:w="8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290</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9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2,545</w:t>
            </w:r>
          </w:p>
        </w:tc>
        <w:tc>
          <w:tcPr>
            <w:tcW w:w="0" w:type="dxa"/>
            <w:vAlign w:val="bottom"/>
          </w:tcPr>
          <w:p>
            <w:pPr>
              <w:spacing w:after="0"/>
              <w:rPr>
                <w:sz w:val="1"/>
                <w:szCs w:val="1"/>
                <w:color w:val="auto"/>
              </w:rPr>
            </w:pPr>
          </w:p>
        </w:tc>
      </w:tr>
      <w:tr>
        <w:trPr>
          <w:trHeight w:val="263"/>
        </w:trPr>
        <w:tc>
          <w:tcPr>
            <w:tcW w:w="3820" w:type="dxa"/>
            <w:vAlign w:val="bottom"/>
          </w:tcPr>
          <w:p>
            <w:pPr>
              <w:ind w:left="20"/>
              <w:spacing w:after="0"/>
              <w:rPr>
                <w:sz w:val="20"/>
                <w:szCs w:val="20"/>
                <w:color w:val="auto"/>
              </w:rPr>
            </w:pPr>
            <w:r>
              <w:rPr>
                <w:rFonts w:ascii="Verdana" w:cs="Verdana" w:eastAsia="Verdana" w:hAnsi="Verdana"/>
                <w:sz w:val="18"/>
                <w:szCs w:val="18"/>
                <w:b w:val="1"/>
                <w:bCs w:val="1"/>
                <w:color w:val="auto"/>
              </w:rPr>
              <w:t>ACL balance, December 31, 2021</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23,855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38,249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Verdana" w:cs="Verdana" w:eastAsia="Verdana" w:hAnsi="Verdana"/>
                <w:sz w:val="18"/>
                <w:szCs w:val="18"/>
                <w:color w:val="auto"/>
              </w:rPr>
              <w:t>5,102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17,589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3,092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87,887</w:t>
            </w:r>
          </w:p>
        </w:tc>
        <w:tc>
          <w:tcPr>
            <w:tcW w:w="0" w:type="dxa"/>
            <w:vAlign w:val="bottom"/>
          </w:tcPr>
          <w:p>
            <w:pPr>
              <w:spacing w:after="0"/>
              <w:rPr>
                <w:sz w:val="1"/>
                <w:szCs w:val="1"/>
                <w:color w:val="auto"/>
              </w:rPr>
            </w:pPr>
          </w:p>
        </w:tc>
      </w:tr>
      <w:tr>
        <w:trPr>
          <w:trHeight w:val="277"/>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credit losses</w:t>
            </w:r>
          </w:p>
        </w:tc>
        <w:tc>
          <w:tcPr>
            <w:tcW w:w="1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497</w:t>
            </w:r>
          </w:p>
        </w:tc>
        <w:tc>
          <w:tcPr>
            <w:tcW w:w="10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892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1,142</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219</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1,873</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9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4,623</w:t>
            </w:r>
          </w:p>
        </w:tc>
        <w:tc>
          <w:tcPr>
            <w:tcW w:w="0" w:type="dxa"/>
            <w:vAlign w:val="bottom"/>
          </w:tcPr>
          <w:p>
            <w:pPr>
              <w:spacing w:after="0"/>
              <w:rPr>
                <w:sz w:val="1"/>
                <w:szCs w:val="1"/>
                <w:color w:val="auto"/>
              </w:rPr>
            </w:pPr>
          </w:p>
        </w:tc>
      </w:tr>
      <w:tr>
        <w:trPr>
          <w:trHeight w:val="263"/>
        </w:trPr>
        <w:tc>
          <w:tcPr>
            <w:tcW w:w="3820" w:type="dxa"/>
            <w:vAlign w:val="bottom"/>
          </w:tcPr>
          <w:p>
            <w:pPr>
              <w:ind w:left="180"/>
              <w:spacing w:after="0"/>
              <w:rPr>
                <w:sz w:val="20"/>
                <w:szCs w:val="20"/>
                <w:color w:val="auto"/>
              </w:rPr>
            </w:pPr>
            <w:r>
              <w:rPr>
                <w:rFonts w:ascii="Verdana" w:cs="Verdana" w:eastAsia="Verdana" w:hAnsi="Verdana"/>
                <w:sz w:val="18"/>
                <w:szCs w:val="18"/>
                <w:color w:val="auto"/>
              </w:rPr>
              <w:t>Charged-off</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(1,069)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(1,375)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Verdana" w:cs="Verdana" w:eastAsia="Verdana" w:hAnsi="Verdana"/>
                <w:sz w:val="18"/>
                <w:szCs w:val="18"/>
                <w:color w:val="auto"/>
              </w:rPr>
              <w:t>(23)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(251)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(461)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(3,179)</w:t>
            </w:r>
          </w:p>
        </w:tc>
        <w:tc>
          <w:tcPr>
            <w:tcW w:w="0" w:type="dxa"/>
            <w:vAlign w:val="bottom"/>
          </w:tcPr>
          <w:p>
            <w:pPr>
              <w:spacing w:after="0"/>
              <w:rPr>
                <w:sz w:val="1"/>
                <w:szCs w:val="1"/>
                <w:color w:val="auto"/>
              </w:rPr>
            </w:pPr>
          </w:p>
        </w:tc>
      </w:tr>
      <w:tr>
        <w:trPr>
          <w:trHeight w:val="270"/>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Recoveries</w:t>
            </w:r>
          </w:p>
        </w:tc>
        <w:tc>
          <w:tcPr>
            <w:tcW w:w="14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577</w:t>
            </w:r>
          </w:p>
        </w:tc>
        <w:tc>
          <w:tcPr>
            <w:tcW w:w="10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533</w:t>
            </w:r>
          </w:p>
        </w:tc>
        <w:tc>
          <w:tcPr>
            <w:tcW w:w="8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236</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636</w:t>
            </w:r>
          </w:p>
        </w:tc>
        <w:tc>
          <w:tcPr>
            <w:tcW w:w="8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295</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9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2,277</w:t>
            </w:r>
          </w:p>
        </w:tc>
        <w:tc>
          <w:tcPr>
            <w:tcW w:w="0" w:type="dxa"/>
            <w:vAlign w:val="bottom"/>
          </w:tcPr>
          <w:p>
            <w:pPr>
              <w:spacing w:after="0"/>
              <w:rPr>
                <w:sz w:val="1"/>
                <w:szCs w:val="1"/>
                <w:color w:val="auto"/>
              </w:rPr>
            </w:pPr>
          </w:p>
        </w:tc>
      </w:tr>
      <w:tr>
        <w:trPr>
          <w:trHeight w:val="263"/>
        </w:trPr>
        <w:tc>
          <w:tcPr>
            <w:tcW w:w="3820" w:type="dxa"/>
            <w:vAlign w:val="bottom"/>
          </w:tcPr>
          <w:p>
            <w:pPr>
              <w:ind w:left="20"/>
              <w:spacing w:after="0"/>
              <w:rPr>
                <w:sz w:val="20"/>
                <w:szCs w:val="20"/>
                <w:color w:val="auto"/>
              </w:rPr>
            </w:pPr>
            <w:r>
              <w:rPr>
                <w:rFonts w:ascii="Verdana" w:cs="Verdana" w:eastAsia="Verdana" w:hAnsi="Verdana"/>
                <w:sz w:val="18"/>
                <w:szCs w:val="18"/>
                <w:b w:val="1"/>
                <w:bCs w:val="1"/>
                <w:color w:val="auto"/>
              </w:rPr>
              <w:t>ACL balance, December 31, 2022</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23,860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38,299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Verdana" w:cs="Verdana" w:eastAsia="Verdana" w:hAnsi="Verdana"/>
                <w:sz w:val="18"/>
                <w:szCs w:val="18"/>
                <w:color w:val="auto"/>
              </w:rPr>
              <w:t>6,457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18,193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4,799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91,608</w:t>
            </w:r>
          </w:p>
        </w:tc>
        <w:tc>
          <w:tcPr>
            <w:tcW w:w="0" w:type="dxa"/>
            <w:vAlign w:val="bottom"/>
          </w:tcPr>
          <w:p>
            <w:pPr>
              <w:spacing w:after="0"/>
              <w:rPr>
                <w:sz w:val="1"/>
                <w:szCs w:val="1"/>
                <w:color w:val="auto"/>
              </w:rPr>
            </w:pPr>
          </w:p>
        </w:tc>
      </w:tr>
      <w:tr>
        <w:trPr>
          <w:trHeight w:val="277"/>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credit losses</w:t>
            </w:r>
          </w:p>
        </w:tc>
        <w:tc>
          <w:tcPr>
            <w:tcW w:w="1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(727)</w:t>
            </w:r>
          </w:p>
        </w:tc>
        <w:tc>
          <w:tcPr>
            <w:tcW w:w="10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(2,455)</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(1,465)</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7,922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(876)</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9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2,399</w:t>
            </w:r>
          </w:p>
        </w:tc>
        <w:tc>
          <w:tcPr>
            <w:tcW w:w="0" w:type="dxa"/>
            <w:vAlign w:val="bottom"/>
          </w:tcPr>
          <w:p>
            <w:pPr>
              <w:spacing w:after="0"/>
              <w:rPr>
                <w:sz w:val="1"/>
                <w:szCs w:val="1"/>
                <w:color w:val="auto"/>
              </w:rPr>
            </w:pPr>
          </w:p>
        </w:tc>
      </w:tr>
      <w:tr>
        <w:trPr>
          <w:trHeight w:val="263"/>
        </w:trPr>
        <w:tc>
          <w:tcPr>
            <w:tcW w:w="3820" w:type="dxa"/>
            <w:vAlign w:val="bottom"/>
          </w:tcPr>
          <w:p>
            <w:pPr>
              <w:ind w:left="180"/>
              <w:spacing w:after="0"/>
              <w:rPr>
                <w:sz w:val="20"/>
                <w:szCs w:val="20"/>
                <w:color w:val="auto"/>
              </w:rPr>
            </w:pPr>
            <w:r>
              <w:rPr>
                <w:rFonts w:ascii="Verdana" w:cs="Verdana" w:eastAsia="Verdana" w:hAnsi="Verdana"/>
                <w:sz w:val="18"/>
                <w:szCs w:val="18"/>
                <w:color w:val="auto"/>
              </w:rPr>
              <w:t>Charged-off</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(2,429)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(953)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Verdana" w:cs="Verdana" w:eastAsia="Verdana" w:hAnsi="Verdana"/>
                <w:sz w:val="18"/>
                <w:szCs w:val="18"/>
                <w:color w:val="auto"/>
              </w:rPr>
              <w:t>(407)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(629)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(4,418)</w:t>
            </w:r>
          </w:p>
        </w:tc>
        <w:tc>
          <w:tcPr>
            <w:tcW w:w="0" w:type="dxa"/>
            <w:vAlign w:val="bottom"/>
          </w:tcPr>
          <w:p>
            <w:pPr>
              <w:spacing w:after="0"/>
              <w:rPr>
                <w:sz w:val="1"/>
                <w:szCs w:val="1"/>
                <w:color w:val="auto"/>
              </w:rPr>
            </w:pPr>
          </w:p>
        </w:tc>
      </w:tr>
      <w:tr>
        <w:trPr>
          <w:trHeight w:val="270"/>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Recoveries</w:t>
            </w:r>
          </w:p>
        </w:tc>
        <w:tc>
          <w:tcPr>
            <w:tcW w:w="14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552</w:t>
            </w:r>
          </w:p>
        </w:tc>
        <w:tc>
          <w:tcPr>
            <w:tcW w:w="10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574</w:t>
            </w:r>
          </w:p>
        </w:tc>
        <w:tc>
          <w:tcPr>
            <w:tcW w:w="8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171</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590</w:t>
            </w:r>
          </w:p>
        </w:tc>
        <w:tc>
          <w:tcPr>
            <w:tcW w:w="8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264</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9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2,151</w:t>
            </w:r>
          </w:p>
        </w:tc>
        <w:tc>
          <w:tcPr>
            <w:tcW w:w="0" w:type="dxa"/>
            <w:vAlign w:val="bottom"/>
          </w:tcPr>
          <w:p>
            <w:pPr>
              <w:spacing w:after="0"/>
              <w:rPr>
                <w:sz w:val="1"/>
                <w:szCs w:val="1"/>
                <w:color w:val="auto"/>
              </w:rPr>
            </w:pPr>
          </w:p>
        </w:tc>
      </w:tr>
      <w:tr>
        <w:trPr>
          <w:trHeight w:val="270"/>
        </w:trPr>
        <w:tc>
          <w:tcPr>
            <w:tcW w:w="3820" w:type="dxa"/>
            <w:vAlign w:val="bottom"/>
          </w:tcPr>
          <w:p>
            <w:pPr>
              <w:ind w:left="20"/>
              <w:spacing w:after="0"/>
              <w:rPr>
                <w:sz w:val="20"/>
                <w:szCs w:val="20"/>
                <w:color w:val="auto"/>
              </w:rPr>
            </w:pPr>
            <w:r>
              <w:rPr>
                <w:rFonts w:ascii="Verdana" w:cs="Verdana" w:eastAsia="Verdana" w:hAnsi="Verdana"/>
                <w:sz w:val="18"/>
                <w:szCs w:val="18"/>
                <w:b w:val="1"/>
                <w:bCs w:val="1"/>
                <w:color w:val="auto"/>
              </w:rPr>
              <w:t>ACL balance, December 31, 2023</w:t>
            </w: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21,256</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35,465</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5,163</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26,298</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3,558</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91,740</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w:t>
      </w:r>
    </w:p>
    <w:p>
      <w:pPr>
        <w:ind w:left="480" w:hanging="310"/>
        <w:spacing w:after="0"/>
        <w:tabs>
          <w:tab w:leader="none" w:pos="480" w:val="left"/>
        </w:tabs>
        <w:numPr>
          <w:ilvl w:val="0"/>
          <w:numId w:val="58"/>
        </w:numPr>
        <w:rPr>
          <w:rFonts w:ascii="Verdana" w:cs="Verdana" w:eastAsia="Verdana" w:hAnsi="Verdana"/>
          <w:sz w:val="13"/>
          <w:szCs w:val="13"/>
          <w:color w:val="auto"/>
        </w:rPr>
      </w:pPr>
      <w:r>
        <w:rPr>
          <w:rFonts w:ascii="Verdana" w:cs="Verdana" w:eastAsia="Verdana" w:hAnsi="Verdana"/>
          <w:sz w:val="13"/>
          <w:szCs w:val="13"/>
          <w:color w:val="auto"/>
        </w:rPr>
        <w:t>The Day 1 PCD is attributable to the CAC acquisition, finalized May 31, 2021.</w:t>
      </w:r>
    </w:p>
    <w:p>
      <w:pPr>
        <w:spacing w:after="0" w:line="5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3" w:name="page134"/>
    <w:bookmarkEnd w:id="13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tables present the ACL and amortized cost of portfolio loans by loan category and class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ind w:left="320"/>
              <w:spacing w:after="0"/>
              <w:rPr>
                <w:sz w:val="20"/>
                <w:szCs w:val="20"/>
                <w:color w:val="auto"/>
              </w:rPr>
            </w:pPr>
            <w:r>
              <w:rPr>
                <w:rFonts w:ascii="Verdana" w:cs="Verdana" w:eastAsia="Verdana" w:hAnsi="Verdana"/>
                <w:sz w:val="13"/>
                <w:szCs w:val="13"/>
                <w:b w:val="1"/>
                <w:bCs w:val="1"/>
                <w:color w:val="auto"/>
              </w:rPr>
              <w:t>As of December 31, 2023</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80"/>
              <w:spacing w:after="0"/>
              <w:rPr>
                <w:sz w:val="20"/>
                <w:szCs w:val="20"/>
                <w:color w:val="auto"/>
              </w:rPr>
            </w:pPr>
            <w:r>
              <w:rPr>
                <w:rFonts w:ascii="Verdana" w:cs="Verdana" w:eastAsia="Verdana" w:hAnsi="Verdana"/>
                <w:sz w:val="13"/>
                <w:szCs w:val="13"/>
                <w:b w:val="1"/>
                <w:bCs w:val="1"/>
                <w:color w:val="auto"/>
                <w:w w:val="95"/>
              </w:rPr>
              <w:t>Portfolio Loans</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jc w:val="center"/>
              <w:ind w:right="53"/>
              <w:spacing w:after="0"/>
              <w:rPr>
                <w:sz w:val="20"/>
                <w:szCs w:val="20"/>
                <w:color w:val="auto"/>
              </w:rPr>
            </w:pPr>
            <w:r>
              <w:rPr>
                <w:rFonts w:ascii="Verdana" w:cs="Verdana" w:eastAsia="Verdana" w:hAnsi="Verdana"/>
                <w:sz w:val="13"/>
                <w:szCs w:val="13"/>
                <w:b w:val="1"/>
                <w:bCs w:val="1"/>
                <w:color w:val="auto"/>
                <w:w w:val="96"/>
              </w:rPr>
              <w:t>ACL Attributed to Portfolio Loans</w:t>
            </w:r>
          </w:p>
        </w:tc>
        <w:tc>
          <w:tcPr>
            <w:tcW w:w="0" w:type="dxa"/>
            <w:vAlign w:val="bottom"/>
          </w:tcPr>
          <w:p>
            <w:pPr>
              <w:spacing w:after="0"/>
              <w:rPr>
                <w:sz w:val="1"/>
                <w:szCs w:val="1"/>
                <w:color w:val="auto"/>
              </w:rPr>
            </w:pPr>
          </w:p>
        </w:tc>
      </w:tr>
      <w:tr>
        <w:trPr>
          <w:trHeight w:val="120"/>
        </w:trPr>
        <w:tc>
          <w:tcPr>
            <w:tcW w:w="3780" w:type="dxa"/>
            <w:vAlign w:val="bottom"/>
          </w:tcPr>
          <w:p>
            <w:pPr>
              <w:spacing w:after="0"/>
              <w:rPr>
                <w:sz w:val="10"/>
                <w:szCs w:val="10"/>
                <w:color w:val="auto"/>
              </w:rPr>
            </w:pPr>
          </w:p>
        </w:tc>
        <w:tc>
          <w:tcPr>
            <w:tcW w:w="1260" w:type="dxa"/>
            <w:vAlign w:val="bottom"/>
            <w:gridSpan w:val="2"/>
          </w:tcPr>
          <w:p>
            <w:pPr>
              <w:jc w:val="center"/>
              <w:ind w:right="8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160" w:type="dxa"/>
            <w:vAlign w:val="bottom"/>
          </w:tcPr>
          <w:p>
            <w:pPr>
              <w:spacing w:after="0"/>
              <w:rPr>
                <w:sz w:val="10"/>
                <w:szCs w:val="10"/>
                <w:color w:val="auto"/>
              </w:rPr>
            </w:pPr>
          </w:p>
        </w:tc>
        <w:tc>
          <w:tcPr>
            <w:tcW w:w="1100" w:type="dxa"/>
            <w:vAlign w:val="bottom"/>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8"/>
              </w:rPr>
              <w:t>Individually</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160" w:type="dxa"/>
            <w:vAlign w:val="bottom"/>
          </w:tcPr>
          <w:p>
            <w:pPr>
              <w:spacing w:after="0"/>
              <w:rPr>
                <w:sz w:val="10"/>
                <w:szCs w:val="10"/>
                <w:color w:val="auto"/>
              </w:rPr>
            </w:pPr>
          </w:p>
        </w:tc>
        <w:tc>
          <w:tcPr>
            <w:tcW w:w="1100" w:type="dxa"/>
            <w:vAlign w:val="bottom"/>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8"/>
              </w:rPr>
              <w:t>Individually</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6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1260" w:type="dxa"/>
            <w:vAlign w:val="bottom"/>
            <w:gridSpan w:val="3"/>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1260" w:type="dxa"/>
            <w:vAlign w:val="bottom"/>
            <w:gridSpan w:val="2"/>
            <w:vMerge w:val="restart"/>
          </w:tcPr>
          <w:p>
            <w:pPr>
              <w:ind w:left="420"/>
              <w:spacing w:after="0"/>
              <w:rPr>
                <w:sz w:val="20"/>
                <w:szCs w:val="20"/>
                <w:color w:val="auto"/>
              </w:rPr>
            </w:pPr>
            <w:r>
              <w:rPr>
                <w:rFonts w:ascii="Verdana" w:cs="Verdana" w:eastAsia="Verdana" w:hAnsi="Verdana"/>
                <w:sz w:val="13"/>
                <w:szCs w:val="13"/>
                <w:b w:val="1"/>
                <w:bCs w:val="1"/>
                <w:color w:val="auto"/>
              </w:rPr>
              <w:t>Total</w:t>
            </w:r>
          </w:p>
        </w:tc>
        <w:tc>
          <w:tcPr>
            <w:tcW w:w="1260" w:type="dxa"/>
            <w:vAlign w:val="bottom"/>
            <w:gridSpan w:val="3"/>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1260" w:type="dxa"/>
            <w:vAlign w:val="bottom"/>
            <w:gridSpan w:val="3"/>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60" w:type="dxa"/>
            <w:vAlign w:val="bottom"/>
          </w:tcPr>
          <w:p>
            <w:pPr>
              <w:spacing w:after="0"/>
              <w:rPr>
                <w:sz w:val="10"/>
                <w:szCs w:val="10"/>
                <w:color w:val="auto"/>
              </w:rPr>
            </w:pPr>
          </w:p>
        </w:tc>
        <w:tc>
          <w:tcPr>
            <w:tcW w:w="900" w:type="dxa"/>
            <w:vAlign w:val="bottom"/>
            <w:vMerge w:val="restart"/>
          </w:tcPr>
          <w:p>
            <w:pPr>
              <w:jc w:val="right"/>
              <w:ind w:right="31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8"/>
              </w:rPr>
              <w:t>Impairment</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Impairment</w:t>
            </w: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6"/>
              </w:rPr>
              <w:t>Impairment</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Impairment</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Portfolio loans and related ACL</w:t>
            </w:r>
          </w:p>
        </w:tc>
        <w:tc>
          <w:tcPr>
            <w:tcW w:w="11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7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7"/>
              </w:rPr>
              <w:t>$ 1,833,624</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2,370</w:t>
            </w:r>
          </w:p>
        </w:tc>
        <w:tc>
          <w:tcPr>
            <w:tcW w:w="8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7"/>
              </w:rPr>
              <w:t>$ 1,835,994</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20,471</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785</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21,256</w:t>
            </w:r>
          </w:p>
        </w:tc>
        <w:tc>
          <w:tcPr>
            <w:tcW w:w="0" w:type="dxa"/>
            <w:vAlign w:val="bottom"/>
          </w:tcPr>
          <w:p>
            <w:pPr>
              <w:spacing w:after="0"/>
              <w:rPr>
                <w:sz w:val="1"/>
                <w:szCs w:val="1"/>
                <w:color w:val="auto"/>
              </w:rPr>
            </w:pPr>
          </w:p>
        </w:tc>
      </w:tr>
      <w:tr>
        <w:trPr>
          <w:trHeight w:val="263"/>
        </w:trPr>
        <w:tc>
          <w:tcPr>
            <w:tcW w:w="3780" w:type="dxa"/>
            <w:vAlign w:val="bottom"/>
          </w:tcPr>
          <w:p>
            <w:pPr>
              <w:ind w:left="360"/>
              <w:spacing w:after="0"/>
              <w:rPr>
                <w:sz w:val="20"/>
                <w:szCs w:val="20"/>
                <w:color w:val="auto"/>
              </w:rPr>
            </w:pPr>
            <w:r>
              <w:rPr>
                <w:rFonts w:ascii="Verdana" w:cs="Verdana" w:eastAsia="Verdana" w:hAnsi="Verdana"/>
                <w:sz w:val="18"/>
                <w:szCs w:val="18"/>
                <w:color w:val="auto"/>
              </w:rPr>
              <w:t>Commercial real estate</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3,336,642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Verdana" w:cs="Verdana" w:eastAsia="Verdana" w:hAnsi="Verdana"/>
                <w:sz w:val="18"/>
                <w:szCs w:val="18"/>
                <w:color w:val="auto"/>
              </w:rPr>
              <w:t>695</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3,337,337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35,380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Verdana" w:cs="Verdana" w:eastAsia="Verdana" w:hAnsi="Verdana"/>
                <w:sz w:val="18"/>
                <w:szCs w:val="18"/>
                <w:color w:val="auto"/>
              </w:rPr>
              <w:t>85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Verdana" w:cs="Verdana" w:eastAsia="Verdana" w:hAnsi="Verdana"/>
                <w:sz w:val="18"/>
                <w:szCs w:val="18"/>
                <w:color w:val="auto"/>
              </w:rPr>
              <w:t>35,465</w:t>
            </w:r>
          </w:p>
        </w:tc>
        <w:tc>
          <w:tcPr>
            <w:tcW w:w="0" w:type="dxa"/>
            <w:vAlign w:val="bottom"/>
          </w:tcPr>
          <w:p>
            <w:pPr>
              <w:spacing w:after="0"/>
              <w:rPr>
                <w:sz w:val="1"/>
                <w:szCs w:val="1"/>
                <w:color w:val="auto"/>
              </w:rPr>
            </w:pPr>
          </w:p>
        </w:tc>
      </w:tr>
      <w:tr>
        <w:trPr>
          <w:trHeight w:val="270"/>
        </w:trPr>
        <w:tc>
          <w:tcPr>
            <w:tcW w:w="37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 construction</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461,717</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1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461,717</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5,163</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1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3"/>
                <w:szCs w:val="23"/>
                <w:color w:val="auto"/>
              </w:rPr>
            </w:pPr>
          </w:p>
        </w:tc>
        <w:tc>
          <w:tcPr>
            <w:tcW w:w="9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5,163</w:t>
            </w:r>
          </w:p>
        </w:tc>
        <w:tc>
          <w:tcPr>
            <w:tcW w:w="0" w:type="dxa"/>
            <w:vAlign w:val="bottom"/>
          </w:tcPr>
          <w:p>
            <w:pPr>
              <w:spacing w:after="0"/>
              <w:rPr>
                <w:sz w:val="1"/>
                <w:szCs w:val="1"/>
                <w:color w:val="auto"/>
              </w:rPr>
            </w:pPr>
          </w:p>
        </w:tc>
      </w:tr>
      <w:tr>
        <w:trPr>
          <w:trHeight w:val="263"/>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Commercial loans and related ACL</w:t>
            </w: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5,631,983</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3,065</w:t>
            </w:r>
          </w:p>
        </w:tc>
        <w:tc>
          <w:tcPr>
            <w:tcW w:w="80" w:type="dxa"/>
            <w:vAlign w:val="bottom"/>
            <w:tcBorders>
              <w:bottom w:val="single" w:sz="8" w:color="E0E7ED"/>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5,635,048</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61,014</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870</w:t>
            </w:r>
          </w:p>
        </w:tc>
        <w:tc>
          <w:tcPr>
            <w:tcW w:w="80" w:type="dxa"/>
            <w:vAlign w:val="bottom"/>
            <w:tcBorders>
              <w:bottom w:val="single" w:sz="8" w:color="E0E7ED"/>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61,884</w:t>
            </w:r>
          </w:p>
        </w:tc>
        <w:tc>
          <w:tcPr>
            <w:tcW w:w="0" w:type="dxa"/>
            <w:vAlign w:val="bottom"/>
          </w:tcPr>
          <w:p>
            <w:pPr>
              <w:spacing w:after="0"/>
              <w:rPr>
                <w:sz w:val="1"/>
                <w:szCs w:val="1"/>
                <w:color w:val="auto"/>
              </w:rPr>
            </w:pPr>
          </w:p>
        </w:tc>
      </w:tr>
      <w:tr>
        <w:trPr>
          <w:trHeight w:val="257"/>
        </w:trPr>
        <w:tc>
          <w:tcPr>
            <w:tcW w:w="3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11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90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360"/>
              <w:spacing w:after="0"/>
              <w:rPr>
                <w:sz w:val="20"/>
                <w:szCs w:val="20"/>
                <w:color w:val="auto"/>
              </w:rPr>
            </w:pPr>
            <w:r>
              <w:rPr>
                <w:rFonts w:ascii="Verdana" w:cs="Verdana" w:eastAsia="Verdana" w:hAnsi="Verdana"/>
                <w:sz w:val="18"/>
                <w:szCs w:val="18"/>
                <w:color w:val="auto"/>
              </w:rPr>
              <w:t>Retail real estate</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1,720,369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Verdana" w:cs="Verdana" w:eastAsia="Verdana" w:hAnsi="Verdana"/>
                <w:sz w:val="18"/>
                <w:szCs w:val="18"/>
                <w:color w:val="auto"/>
              </w:rPr>
              <w:t>86</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1,720,455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26,273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Verdana" w:cs="Verdana" w:eastAsia="Verdana" w:hAnsi="Verdana"/>
                <w:sz w:val="18"/>
                <w:szCs w:val="18"/>
                <w:color w:val="auto"/>
              </w:rPr>
              <w:t>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Verdana" w:cs="Verdana" w:eastAsia="Verdana" w:hAnsi="Verdana"/>
                <w:sz w:val="18"/>
                <w:szCs w:val="18"/>
                <w:color w:val="auto"/>
              </w:rPr>
              <w:t>26,298</w:t>
            </w:r>
          </w:p>
        </w:tc>
        <w:tc>
          <w:tcPr>
            <w:tcW w:w="0" w:type="dxa"/>
            <w:vAlign w:val="bottom"/>
          </w:tcPr>
          <w:p>
            <w:pPr>
              <w:spacing w:after="0"/>
              <w:rPr>
                <w:sz w:val="1"/>
                <w:szCs w:val="1"/>
                <w:color w:val="auto"/>
              </w:rPr>
            </w:pPr>
          </w:p>
        </w:tc>
      </w:tr>
      <w:tr>
        <w:trPr>
          <w:trHeight w:val="270"/>
        </w:trPr>
        <w:tc>
          <w:tcPr>
            <w:tcW w:w="37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other</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295,531</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1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295,531</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3,558</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1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3"/>
                <w:szCs w:val="23"/>
                <w:color w:val="auto"/>
              </w:rPr>
            </w:pPr>
          </w:p>
        </w:tc>
        <w:tc>
          <w:tcPr>
            <w:tcW w:w="9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3,558</w:t>
            </w:r>
          </w:p>
        </w:tc>
        <w:tc>
          <w:tcPr>
            <w:tcW w:w="0" w:type="dxa"/>
            <w:vAlign w:val="bottom"/>
          </w:tcPr>
          <w:p>
            <w:pPr>
              <w:spacing w:after="0"/>
              <w:rPr>
                <w:sz w:val="1"/>
                <w:szCs w:val="1"/>
                <w:color w:val="auto"/>
              </w:rPr>
            </w:pPr>
          </w:p>
        </w:tc>
      </w:tr>
      <w:tr>
        <w:trPr>
          <w:trHeight w:val="263"/>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loans and related ACL</w:t>
            </w: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2,015,900</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86</w:t>
            </w:r>
          </w:p>
        </w:tc>
        <w:tc>
          <w:tcPr>
            <w:tcW w:w="80" w:type="dxa"/>
            <w:vAlign w:val="bottom"/>
            <w:tcBorders>
              <w:bottom w:val="single" w:sz="8" w:color="E0E7ED"/>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2,015,986</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29,831</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25</w:t>
            </w:r>
          </w:p>
        </w:tc>
        <w:tc>
          <w:tcPr>
            <w:tcW w:w="80" w:type="dxa"/>
            <w:vAlign w:val="bottom"/>
            <w:tcBorders>
              <w:bottom w:val="single" w:sz="8" w:color="E0E7ED"/>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29,856</w:t>
            </w:r>
          </w:p>
        </w:tc>
        <w:tc>
          <w:tcPr>
            <w:tcW w:w="0" w:type="dxa"/>
            <w:vAlign w:val="bottom"/>
          </w:tcPr>
          <w:p>
            <w:pPr>
              <w:spacing w:after="0"/>
              <w:rPr>
                <w:sz w:val="1"/>
                <w:szCs w:val="1"/>
                <w:color w:val="auto"/>
              </w:rPr>
            </w:pPr>
          </w:p>
        </w:tc>
      </w:tr>
      <w:tr>
        <w:trPr>
          <w:trHeight w:val="295"/>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Portfolio loans and related ACL</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97"/>
              </w:rPr>
              <w:t>$ 7,647,883</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3,151</w:t>
            </w:r>
          </w:p>
        </w:tc>
        <w:tc>
          <w:tcPr>
            <w:tcW w:w="80" w:type="dxa"/>
            <w:vAlign w:val="bottom"/>
            <w:tcBorders>
              <w:bottom w:val="single" w:sz="8" w:color="E0E7ED"/>
            </w:tcBorders>
            <w:shd w:val="clear" w:color="auto" w:fill="E0E7ED"/>
          </w:tcPr>
          <w:p>
            <w:pPr>
              <w:spacing w:after="0"/>
              <w:rPr>
                <w:sz w:val="24"/>
                <w:szCs w:val="24"/>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97"/>
              </w:rPr>
              <w:t>$ 7,651,034</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90,845</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895</w:t>
            </w:r>
          </w:p>
        </w:tc>
        <w:tc>
          <w:tcPr>
            <w:tcW w:w="8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320"/>
              <w:spacing w:after="0"/>
              <w:rPr>
                <w:sz w:val="20"/>
                <w:szCs w:val="20"/>
                <w:color w:val="auto"/>
              </w:rPr>
            </w:pPr>
            <w:r>
              <w:rPr>
                <w:rFonts w:ascii="Verdana" w:cs="Verdana" w:eastAsia="Verdana" w:hAnsi="Verdana"/>
                <w:sz w:val="13"/>
                <w:szCs w:val="13"/>
                <w:b w:val="1"/>
                <w:bCs w:val="1"/>
                <w:color w:val="auto"/>
              </w:rPr>
              <w:t>As of December 31, 2022</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80"/>
              <w:spacing w:after="0"/>
              <w:rPr>
                <w:sz w:val="20"/>
                <w:szCs w:val="20"/>
                <w:color w:val="auto"/>
              </w:rPr>
            </w:pPr>
            <w:r>
              <w:rPr>
                <w:rFonts w:ascii="Verdana" w:cs="Verdana" w:eastAsia="Verdana" w:hAnsi="Verdana"/>
                <w:sz w:val="13"/>
                <w:szCs w:val="13"/>
                <w:b w:val="1"/>
                <w:bCs w:val="1"/>
                <w:color w:val="auto"/>
                <w:w w:val="95"/>
              </w:rPr>
              <w:t>Portfolio Loans</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jc w:val="center"/>
              <w:ind w:right="53"/>
              <w:spacing w:after="0"/>
              <w:rPr>
                <w:sz w:val="20"/>
                <w:szCs w:val="20"/>
                <w:color w:val="auto"/>
              </w:rPr>
            </w:pPr>
            <w:r>
              <w:rPr>
                <w:rFonts w:ascii="Verdana" w:cs="Verdana" w:eastAsia="Verdana" w:hAnsi="Verdana"/>
                <w:sz w:val="13"/>
                <w:szCs w:val="13"/>
                <w:b w:val="1"/>
                <w:bCs w:val="1"/>
                <w:color w:val="auto"/>
                <w:w w:val="96"/>
              </w:rPr>
              <w:t>ACL Attributed to Portfolio Loans</w:t>
            </w:r>
          </w:p>
        </w:tc>
        <w:tc>
          <w:tcPr>
            <w:tcW w:w="0" w:type="dxa"/>
            <w:vAlign w:val="bottom"/>
          </w:tcPr>
          <w:p>
            <w:pPr>
              <w:spacing w:after="0"/>
              <w:rPr>
                <w:sz w:val="1"/>
                <w:szCs w:val="1"/>
                <w:color w:val="auto"/>
              </w:rPr>
            </w:pPr>
          </w:p>
        </w:tc>
      </w:tr>
      <w:tr>
        <w:trPr>
          <w:trHeight w:val="120"/>
        </w:trPr>
        <w:tc>
          <w:tcPr>
            <w:tcW w:w="3780" w:type="dxa"/>
            <w:vAlign w:val="bottom"/>
          </w:tcPr>
          <w:p>
            <w:pPr>
              <w:spacing w:after="0"/>
              <w:rPr>
                <w:sz w:val="10"/>
                <w:szCs w:val="10"/>
                <w:color w:val="auto"/>
              </w:rPr>
            </w:pPr>
          </w:p>
        </w:tc>
        <w:tc>
          <w:tcPr>
            <w:tcW w:w="1260" w:type="dxa"/>
            <w:vAlign w:val="bottom"/>
            <w:gridSpan w:val="2"/>
          </w:tcPr>
          <w:p>
            <w:pPr>
              <w:jc w:val="center"/>
              <w:ind w:right="8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160" w:type="dxa"/>
            <w:vAlign w:val="bottom"/>
          </w:tcPr>
          <w:p>
            <w:pPr>
              <w:spacing w:after="0"/>
              <w:rPr>
                <w:sz w:val="10"/>
                <w:szCs w:val="10"/>
                <w:color w:val="auto"/>
              </w:rPr>
            </w:pPr>
          </w:p>
        </w:tc>
        <w:tc>
          <w:tcPr>
            <w:tcW w:w="1100" w:type="dxa"/>
            <w:vAlign w:val="bottom"/>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8"/>
              </w:rPr>
              <w:t>Individually</w:t>
            </w: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160" w:type="dxa"/>
            <w:vAlign w:val="bottom"/>
          </w:tcPr>
          <w:p>
            <w:pPr>
              <w:spacing w:after="0"/>
              <w:rPr>
                <w:sz w:val="10"/>
                <w:szCs w:val="10"/>
                <w:color w:val="auto"/>
              </w:rPr>
            </w:pPr>
          </w:p>
        </w:tc>
        <w:tc>
          <w:tcPr>
            <w:tcW w:w="1100" w:type="dxa"/>
            <w:vAlign w:val="bottom"/>
            <w:gridSpan w:val="2"/>
          </w:tcPr>
          <w:p>
            <w:pPr>
              <w:jc w:val="center"/>
              <w:ind w:right="240"/>
              <w:spacing w:after="0" w:line="120" w:lineRule="exact"/>
              <w:rPr>
                <w:sz w:val="20"/>
                <w:szCs w:val="20"/>
                <w:color w:val="auto"/>
              </w:rPr>
            </w:pPr>
            <w:r>
              <w:rPr>
                <w:rFonts w:ascii="Verdana" w:cs="Verdana" w:eastAsia="Verdana" w:hAnsi="Verdana"/>
                <w:sz w:val="13"/>
                <w:szCs w:val="13"/>
                <w:b w:val="1"/>
                <w:bCs w:val="1"/>
                <w:color w:val="auto"/>
                <w:w w:val="98"/>
              </w:rPr>
              <w:t>Individually</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6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1260" w:type="dxa"/>
            <w:vAlign w:val="bottom"/>
            <w:gridSpan w:val="3"/>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1260" w:type="dxa"/>
            <w:vAlign w:val="bottom"/>
            <w:gridSpan w:val="2"/>
            <w:vMerge w:val="restart"/>
          </w:tcPr>
          <w:p>
            <w:pPr>
              <w:ind w:left="420"/>
              <w:spacing w:after="0"/>
              <w:rPr>
                <w:sz w:val="20"/>
                <w:szCs w:val="20"/>
                <w:color w:val="auto"/>
              </w:rPr>
            </w:pPr>
            <w:r>
              <w:rPr>
                <w:rFonts w:ascii="Verdana" w:cs="Verdana" w:eastAsia="Verdana" w:hAnsi="Verdana"/>
                <w:sz w:val="13"/>
                <w:szCs w:val="13"/>
                <w:b w:val="1"/>
                <w:bCs w:val="1"/>
                <w:color w:val="auto"/>
              </w:rPr>
              <w:t>Total</w:t>
            </w:r>
          </w:p>
        </w:tc>
        <w:tc>
          <w:tcPr>
            <w:tcW w:w="1260" w:type="dxa"/>
            <w:vAlign w:val="bottom"/>
            <w:gridSpan w:val="3"/>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1260" w:type="dxa"/>
            <w:vAlign w:val="bottom"/>
            <w:gridSpan w:val="3"/>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60" w:type="dxa"/>
            <w:vAlign w:val="bottom"/>
          </w:tcPr>
          <w:p>
            <w:pPr>
              <w:spacing w:after="0"/>
              <w:rPr>
                <w:sz w:val="10"/>
                <w:szCs w:val="10"/>
                <w:color w:val="auto"/>
              </w:rPr>
            </w:pPr>
          </w:p>
        </w:tc>
        <w:tc>
          <w:tcPr>
            <w:tcW w:w="900" w:type="dxa"/>
            <w:vAlign w:val="bottom"/>
            <w:vMerge w:val="restart"/>
          </w:tcPr>
          <w:p>
            <w:pPr>
              <w:jc w:val="right"/>
              <w:ind w:right="31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8"/>
              </w:rPr>
              <w:t>Impairment</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Impairment</w:t>
            </w: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6"/>
              </w:rPr>
              <w:t>Impairment</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Impairment</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Portfolio loans and related ACL</w:t>
            </w:r>
          </w:p>
        </w:tc>
        <w:tc>
          <w:tcPr>
            <w:tcW w:w="11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7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7"/>
              </w:rPr>
              <w:t>$ 1,967,580</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6,574</w:t>
            </w:r>
          </w:p>
        </w:tc>
        <w:tc>
          <w:tcPr>
            <w:tcW w:w="8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7"/>
              </w:rPr>
              <w:t>$ 1,974,154</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21,384</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2,476</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9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23,860</w:t>
            </w:r>
          </w:p>
        </w:tc>
        <w:tc>
          <w:tcPr>
            <w:tcW w:w="0" w:type="dxa"/>
            <w:vAlign w:val="bottom"/>
          </w:tcPr>
          <w:p>
            <w:pPr>
              <w:spacing w:after="0"/>
              <w:rPr>
                <w:sz w:val="1"/>
                <w:szCs w:val="1"/>
                <w:color w:val="auto"/>
              </w:rPr>
            </w:pPr>
          </w:p>
        </w:tc>
      </w:tr>
      <w:tr>
        <w:trPr>
          <w:trHeight w:val="263"/>
        </w:trPr>
        <w:tc>
          <w:tcPr>
            <w:tcW w:w="3780" w:type="dxa"/>
            <w:vAlign w:val="bottom"/>
          </w:tcPr>
          <w:p>
            <w:pPr>
              <w:ind w:left="360"/>
              <w:spacing w:after="0"/>
              <w:rPr>
                <w:sz w:val="20"/>
                <w:szCs w:val="20"/>
                <w:color w:val="auto"/>
              </w:rPr>
            </w:pPr>
            <w:r>
              <w:rPr>
                <w:rFonts w:ascii="Verdana" w:cs="Verdana" w:eastAsia="Verdana" w:hAnsi="Verdana"/>
                <w:sz w:val="18"/>
                <w:szCs w:val="18"/>
                <w:color w:val="auto"/>
              </w:rPr>
              <w:t>Commercial real estate</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3,255,636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Verdana" w:cs="Verdana" w:eastAsia="Verdana" w:hAnsi="Verdana"/>
                <w:sz w:val="18"/>
                <w:szCs w:val="18"/>
                <w:color w:val="auto"/>
              </w:rPr>
              <w:t>6,237</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3,261,873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36,299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Verdana" w:cs="Verdana" w:eastAsia="Verdana" w:hAnsi="Verdana"/>
                <w:sz w:val="18"/>
                <w:szCs w:val="18"/>
                <w:color w:val="auto"/>
              </w:rPr>
              <w:t>2,000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Verdana" w:cs="Verdana" w:eastAsia="Verdana" w:hAnsi="Verdana"/>
                <w:sz w:val="18"/>
                <w:szCs w:val="18"/>
                <w:color w:val="auto"/>
              </w:rPr>
              <w:t>38,299</w:t>
            </w:r>
          </w:p>
        </w:tc>
        <w:tc>
          <w:tcPr>
            <w:tcW w:w="0" w:type="dxa"/>
            <w:vAlign w:val="bottom"/>
          </w:tcPr>
          <w:p>
            <w:pPr>
              <w:spacing w:after="0"/>
              <w:rPr>
                <w:sz w:val="1"/>
                <w:szCs w:val="1"/>
                <w:color w:val="auto"/>
              </w:rPr>
            </w:pPr>
          </w:p>
        </w:tc>
      </w:tr>
      <w:tr>
        <w:trPr>
          <w:trHeight w:val="270"/>
        </w:trPr>
        <w:tc>
          <w:tcPr>
            <w:tcW w:w="37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 construction</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530,222</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0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247</w:t>
            </w:r>
          </w:p>
        </w:tc>
        <w:tc>
          <w:tcPr>
            <w:tcW w:w="8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530,469</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6,457</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1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3"/>
                <w:szCs w:val="23"/>
                <w:color w:val="auto"/>
              </w:rPr>
            </w:pPr>
          </w:p>
        </w:tc>
        <w:tc>
          <w:tcPr>
            <w:tcW w:w="9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6,457</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Commercial loans and related ACL</w:t>
            </w: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5,753,438</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13,058</w:t>
            </w:r>
          </w:p>
        </w:tc>
        <w:tc>
          <w:tcPr>
            <w:tcW w:w="80" w:type="dxa"/>
            <w:vAlign w:val="bottom"/>
            <w:tcBorders>
              <w:bottom w:val="single" w:sz="8" w:color="E0E7ED"/>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5,766,496</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64,140</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4,476</w:t>
            </w:r>
          </w:p>
        </w:tc>
        <w:tc>
          <w:tcPr>
            <w:tcW w:w="80" w:type="dxa"/>
            <w:vAlign w:val="bottom"/>
            <w:tcBorders>
              <w:bottom w:val="single" w:sz="8" w:color="E0E7ED"/>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68,616</w:t>
            </w:r>
          </w:p>
        </w:tc>
        <w:tc>
          <w:tcPr>
            <w:tcW w:w="0" w:type="dxa"/>
            <w:vAlign w:val="bottom"/>
          </w:tcPr>
          <w:p>
            <w:pPr>
              <w:spacing w:after="0"/>
              <w:rPr>
                <w:sz w:val="1"/>
                <w:szCs w:val="1"/>
                <w:color w:val="auto"/>
              </w:rPr>
            </w:pPr>
          </w:p>
        </w:tc>
      </w:tr>
      <w:tr>
        <w:trPr>
          <w:trHeight w:val="256"/>
        </w:trPr>
        <w:tc>
          <w:tcPr>
            <w:tcW w:w="3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11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90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360"/>
              <w:spacing w:after="0"/>
              <w:rPr>
                <w:sz w:val="20"/>
                <w:szCs w:val="20"/>
                <w:color w:val="auto"/>
              </w:rPr>
            </w:pPr>
            <w:r>
              <w:rPr>
                <w:rFonts w:ascii="Verdana" w:cs="Verdana" w:eastAsia="Verdana" w:hAnsi="Verdana"/>
                <w:sz w:val="18"/>
                <w:szCs w:val="18"/>
                <w:color w:val="auto"/>
              </w:rPr>
              <w:t>Retail real estate</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1,654,493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Verdana" w:cs="Verdana" w:eastAsia="Verdana" w:hAnsi="Verdana"/>
                <w:sz w:val="18"/>
                <w:szCs w:val="18"/>
                <w:color w:val="auto"/>
              </w:rPr>
              <w:t>2,589</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1,657,082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18,168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Verdana" w:cs="Verdana" w:eastAsia="Verdana" w:hAnsi="Verdana"/>
                <w:sz w:val="18"/>
                <w:szCs w:val="18"/>
                <w:color w:val="auto"/>
              </w:rPr>
              <w:t>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Verdana" w:cs="Verdana" w:eastAsia="Verdana" w:hAnsi="Verdana"/>
                <w:sz w:val="18"/>
                <w:szCs w:val="18"/>
                <w:color w:val="auto"/>
              </w:rPr>
              <w:t>18,193</w:t>
            </w:r>
          </w:p>
        </w:tc>
        <w:tc>
          <w:tcPr>
            <w:tcW w:w="0" w:type="dxa"/>
            <w:vAlign w:val="bottom"/>
          </w:tcPr>
          <w:p>
            <w:pPr>
              <w:spacing w:after="0"/>
              <w:rPr>
                <w:sz w:val="1"/>
                <w:szCs w:val="1"/>
                <w:color w:val="auto"/>
              </w:rPr>
            </w:pPr>
          </w:p>
        </w:tc>
      </w:tr>
      <w:tr>
        <w:trPr>
          <w:trHeight w:val="270"/>
        </w:trPr>
        <w:tc>
          <w:tcPr>
            <w:tcW w:w="37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other</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302,124</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1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302,124</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4,799</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1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3"/>
                <w:szCs w:val="23"/>
                <w:color w:val="auto"/>
              </w:rPr>
            </w:pPr>
          </w:p>
        </w:tc>
        <w:tc>
          <w:tcPr>
            <w:tcW w:w="9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4,799</w:t>
            </w:r>
          </w:p>
        </w:tc>
        <w:tc>
          <w:tcPr>
            <w:tcW w:w="0" w:type="dxa"/>
            <w:vAlign w:val="bottom"/>
          </w:tcPr>
          <w:p>
            <w:pPr>
              <w:spacing w:after="0"/>
              <w:rPr>
                <w:sz w:val="1"/>
                <w:szCs w:val="1"/>
                <w:color w:val="auto"/>
              </w:rPr>
            </w:pPr>
          </w:p>
        </w:tc>
      </w:tr>
      <w:tr>
        <w:trPr>
          <w:trHeight w:val="263"/>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loans and related ACL</w:t>
            </w: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1,956,617</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2,589</w:t>
            </w:r>
          </w:p>
        </w:tc>
        <w:tc>
          <w:tcPr>
            <w:tcW w:w="80" w:type="dxa"/>
            <w:vAlign w:val="bottom"/>
            <w:tcBorders>
              <w:bottom w:val="single" w:sz="8" w:color="E0E7ED"/>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1,959,206</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22,967</w:t>
            </w:r>
          </w:p>
        </w:tc>
        <w:tc>
          <w:tcPr>
            <w:tcW w:w="80" w:type="dxa"/>
            <w:vAlign w:val="bottom"/>
            <w:tcBorders>
              <w:bottom w:val="single" w:sz="8" w:color="E0E7ED"/>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25</w:t>
            </w:r>
          </w:p>
        </w:tc>
        <w:tc>
          <w:tcPr>
            <w:tcW w:w="80" w:type="dxa"/>
            <w:vAlign w:val="bottom"/>
            <w:tcBorders>
              <w:bottom w:val="single" w:sz="8" w:color="E0E7ED"/>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22,992</w:t>
            </w:r>
          </w:p>
        </w:tc>
        <w:tc>
          <w:tcPr>
            <w:tcW w:w="0" w:type="dxa"/>
            <w:vAlign w:val="bottom"/>
          </w:tcPr>
          <w:p>
            <w:pPr>
              <w:spacing w:after="0"/>
              <w:rPr>
                <w:sz w:val="1"/>
                <w:szCs w:val="1"/>
                <w:color w:val="auto"/>
              </w:rPr>
            </w:pPr>
          </w:p>
        </w:tc>
      </w:tr>
      <w:tr>
        <w:trPr>
          <w:trHeight w:val="295"/>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Portfolio loans and related ACL</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97"/>
              </w:rPr>
              <w:t>$ 7,710,055</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15,647</w:t>
            </w:r>
          </w:p>
        </w:tc>
        <w:tc>
          <w:tcPr>
            <w:tcW w:w="80" w:type="dxa"/>
            <w:vAlign w:val="bottom"/>
            <w:tcBorders>
              <w:bottom w:val="single" w:sz="8" w:color="E0E7ED"/>
            </w:tcBorders>
            <w:shd w:val="clear" w:color="auto" w:fill="E0E7ED"/>
          </w:tcPr>
          <w:p>
            <w:pPr>
              <w:spacing w:after="0"/>
              <w:rPr>
                <w:sz w:val="24"/>
                <w:szCs w:val="24"/>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97"/>
              </w:rPr>
              <w:t>$ 7,725,702</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87,107</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4,501</w:t>
            </w:r>
          </w:p>
        </w:tc>
        <w:tc>
          <w:tcPr>
            <w:tcW w:w="8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91,608</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4" w:name="page135"/>
    <w:bookmarkEnd w:id="13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4. OTHER REAL ESTATE OWNED AND OTHER REPOSSESSED ASSETS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OREO and other repossessed assets represent properties and other assets acquired through foreclosure or other proceedings in settlement of loans and is included in other assets in the accompanying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xml:space="preserve">. The following table summarizes the composition of Busey’s OREO and other repossessed asset balances as of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279"/>
              <w:spacing w:after="0"/>
              <w:rPr>
                <w:sz w:val="20"/>
                <w:szCs w:val="20"/>
                <w:color w:val="auto"/>
              </w:rPr>
            </w:pPr>
            <w:r>
              <w:rPr>
                <w:rFonts w:ascii="Verdana" w:cs="Verdana" w:eastAsia="Verdana" w:hAnsi="Verdana"/>
                <w:sz w:val="13"/>
                <w:szCs w:val="13"/>
                <w:b w:val="1"/>
                <w:bCs w:val="1"/>
                <w:color w:val="auto"/>
              </w:rPr>
              <w:t>As of December 31,</w:t>
            </w:r>
          </w:p>
        </w:tc>
        <w:tc>
          <w:tcPr>
            <w:tcW w:w="500" w:type="dxa"/>
            <w:vAlign w:val="bottom"/>
            <w:tcBorders>
              <w:bottom w:val="single" w:sz="8" w:color="auto"/>
            </w:tcBorders>
          </w:tcPr>
          <w:p>
            <w:pPr>
              <w:spacing w:after="0"/>
              <w:rPr>
                <w:sz w:val="15"/>
                <w:szCs w:val="15"/>
                <w:color w:val="auto"/>
              </w:rPr>
            </w:pPr>
          </w:p>
        </w:tc>
      </w:tr>
      <w:tr>
        <w:trPr>
          <w:trHeight w:val="170"/>
        </w:trPr>
        <w:tc>
          <w:tcPr>
            <w:tcW w:w="8120" w:type="dxa"/>
            <w:vAlign w:val="bottom"/>
            <w:tcBorders>
              <w:bottom w:val="single" w:sz="8" w:color="E0E7ED"/>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OREO</w:t>
            </w:r>
          </w:p>
        </w:tc>
        <w:tc>
          <w:tcPr>
            <w:tcW w:w="1000" w:type="dxa"/>
            <w:vAlign w:val="bottom"/>
            <w:shd w:val="clear" w:color="auto" w:fill="E0E7ED"/>
          </w:tcPr>
          <w:p>
            <w:pPr>
              <w:spacing w:after="0"/>
              <w:rPr>
                <w:sz w:val="22"/>
                <w:szCs w:val="22"/>
                <w:color w:val="auto"/>
              </w:rPr>
            </w:pPr>
          </w:p>
        </w:tc>
        <w:tc>
          <w:tcPr>
            <w:tcW w:w="5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500" w:type="dxa"/>
            <w:vAlign w:val="bottom"/>
            <w:shd w:val="clear" w:color="auto" w:fill="E0E7ED"/>
          </w:tcPr>
          <w:p>
            <w:pPr>
              <w:spacing w:after="0"/>
              <w:rPr>
                <w:sz w:val="22"/>
                <w:szCs w:val="22"/>
                <w:color w:val="auto"/>
              </w:rPr>
            </w:pP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Residential</w:t>
            </w:r>
          </w:p>
        </w:tc>
        <w:tc>
          <w:tcPr>
            <w:tcW w:w="1000" w:type="dxa"/>
            <w:vAlign w:val="bottom"/>
            <w:tcBorders>
              <w:bottom w:val="single" w:sz="8" w:color="auto"/>
            </w:tcBorders>
          </w:tcPr>
          <w:p>
            <w:pPr>
              <w:jc w:val="right"/>
              <w:ind w:right="784"/>
              <w:spacing w:after="0"/>
              <w:rPr>
                <w:sz w:val="20"/>
                <w:szCs w:val="20"/>
                <w:color w:val="auto"/>
              </w:rPr>
            </w:pPr>
            <w:r>
              <w:rPr>
                <w:rFonts w:ascii="Verdana" w:cs="Verdana" w:eastAsia="Verdana" w:hAnsi="Verdana"/>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125</w:t>
            </w:r>
          </w:p>
        </w:tc>
        <w:tc>
          <w:tcPr>
            <w:tcW w:w="80" w:type="dxa"/>
            <w:vAlign w:val="bottom"/>
            <w:tcBorders>
              <w:bottom w:val="single" w:sz="8" w:color="E0E7ED"/>
            </w:tcBorders>
          </w:tcPr>
          <w:p>
            <w:pPr>
              <w:spacing w:after="0"/>
              <w:rPr>
                <w:sz w:val="22"/>
                <w:szCs w:val="22"/>
                <w:color w:val="auto"/>
              </w:rPr>
            </w:pPr>
          </w:p>
        </w:tc>
        <w:tc>
          <w:tcPr>
            <w:tcW w:w="1020" w:type="dxa"/>
            <w:vAlign w:val="bottom"/>
            <w:tcBorders>
              <w:bottom w:val="single" w:sz="8" w:color="auto"/>
            </w:tcBorders>
          </w:tcPr>
          <w:p>
            <w:pPr>
              <w:jc w:val="right"/>
              <w:ind w:right="799"/>
              <w:spacing w:after="0"/>
              <w:rPr>
                <w:sz w:val="20"/>
                <w:szCs w:val="20"/>
                <w:color w:val="auto"/>
              </w:rPr>
            </w:pPr>
            <w:r>
              <w:rPr>
                <w:rFonts w:ascii="Verdana" w:cs="Verdana" w:eastAsia="Verdana" w:hAnsi="Verdana"/>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70</w:t>
            </w: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OREO</w:t>
            </w:r>
          </w:p>
        </w:tc>
        <w:tc>
          <w:tcPr>
            <w:tcW w:w="1000" w:type="dxa"/>
            <w:vAlign w:val="bottom"/>
            <w:shd w:val="clear" w:color="auto" w:fill="E0E7ED"/>
          </w:tcPr>
          <w:p>
            <w:pPr>
              <w:spacing w:after="0"/>
              <w:rPr>
                <w:sz w:val="23"/>
                <w:szCs w:val="23"/>
                <w:color w:val="auto"/>
              </w:rPr>
            </w:pPr>
          </w:p>
        </w:tc>
        <w:tc>
          <w:tcPr>
            <w:tcW w:w="5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125</w:t>
            </w:r>
          </w:p>
        </w:tc>
        <w:tc>
          <w:tcPr>
            <w:tcW w:w="80" w:type="dxa"/>
            <w:vAlign w:val="bottom"/>
            <w:shd w:val="clear" w:color="auto" w:fill="E0E7ED"/>
          </w:tcPr>
          <w:p>
            <w:pPr>
              <w:spacing w:after="0"/>
              <w:rPr>
                <w:sz w:val="23"/>
                <w:szCs w:val="23"/>
                <w:color w:val="auto"/>
              </w:rPr>
            </w:pPr>
          </w:p>
        </w:tc>
        <w:tc>
          <w:tcPr>
            <w:tcW w:w="1020" w:type="dxa"/>
            <w:vAlign w:val="bottom"/>
            <w:shd w:val="clear" w:color="auto" w:fill="E0E7ED"/>
          </w:tcPr>
          <w:p>
            <w:pPr>
              <w:spacing w:after="0"/>
              <w:rPr>
                <w:sz w:val="23"/>
                <w:szCs w:val="23"/>
                <w:color w:val="auto"/>
              </w:rPr>
            </w:pPr>
          </w:p>
        </w:tc>
        <w:tc>
          <w:tcPr>
            <w:tcW w:w="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70</w:t>
            </w: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color w:val="auto"/>
              </w:rPr>
              <w:t>Other repossessed assets</w:t>
            </w:r>
          </w:p>
        </w:tc>
        <w:tc>
          <w:tcPr>
            <w:tcW w:w="1000" w:type="dxa"/>
            <w:vAlign w:val="bottom"/>
          </w:tcPr>
          <w:p>
            <w:pPr>
              <w:spacing w:after="0"/>
              <w:rPr>
                <w:sz w:val="22"/>
                <w:szCs w:val="22"/>
                <w:color w:val="auto"/>
              </w:rPr>
            </w:pPr>
          </w:p>
        </w:tc>
        <w:tc>
          <w:tcPr>
            <w:tcW w:w="6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0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Verdana" w:cs="Verdana" w:eastAsia="Verdana" w:hAnsi="Verdana"/>
                <w:sz w:val="18"/>
                <w:szCs w:val="18"/>
                <w:color w:val="auto"/>
              </w:rPr>
              <w:t>780</w:t>
            </w:r>
          </w:p>
        </w:tc>
      </w:tr>
      <w:tr>
        <w:trPr>
          <w:trHeight w:val="295"/>
        </w:trPr>
        <w:tc>
          <w:tcPr>
            <w:tcW w:w="812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OREO and other repossessed assets</w:t>
            </w:r>
          </w:p>
        </w:tc>
        <w:tc>
          <w:tcPr>
            <w:tcW w:w="1000" w:type="dxa"/>
            <w:vAlign w:val="bottom"/>
            <w:tcBorders>
              <w:top w:val="single" w:sz="8" w:color="auto"/>
              <w:bottom w:val="single" w:sz="8" w:color="auto"/>
            </w:tcBorders>
            <w:shd w:val="clear" w:color="auto" w:fill="E0E7ED"/>
          </w:tcPr>
          <w:p>
            <w:pPr>
              <w:jc w:val="right"/>
              <w:ind w:right="784"/>
              <w:spacing w:after="0"/>
              <w:rPr>
                <w:sz w:val="20"/>
                <w:szCs w:val="20"/>
                <w:color w:val="auto"/>
              </w:rPr>
            </w:pPr>
            <w:r>
              <w:rPr>
                <w:rFonts w:ascii="Verdana" w:cs="Verdana" w:eastAsia="Verdana" w:hAnsi="Verdana"/>
                <w:sz w:val="18"/>
                <w:szCs w:val="18"/>
                <w:color w:val="auto"/>
              </w:rPr>
              <w:t>$</w:t>
            </w:r>
          </w:p>
        </w:tc>
        <w:tc>
          <w:tcPr>
            <w:tcW w:w="520" w:type="dxa"/>
            <w:vAlign w:val="bottom"/>
            <w:tcBorders>
              <w:top w:val="single" w:sz="8" w:color="auto"/>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125</w:t>
            </w:r>
          </w:p>
        </w:tc>
        <w:tc>
          <w:tcPr>
            <w:tcW w:w="80" w:type="dxa"/>
            <w:vAlign w:val="bottom"/>
            <w:tcBorders>
              <w:top w:val="single" w:sz="8" w:color="E0E7ED"/>
              <w:bottom w:val="single" w:sz="8" w:color="E0E7ED"/>
            </w:tcBorders>
            <w:shd w:val="clear" w:color="auto" w:fill="E0E7ED"/>
          </w:tcPr>
          <w:p>
            <w:pPr>
              <w:spacing w:after="0"/>
              <w:rPr>
                <w:sz w:val="24"/>
                <w:szCs w:val="24"/>
                <w:color w:val="auto"/>
              </w:rPr>
            </w:pPr>
          </w:p>
        </w:tc>
        <w:tc>
          <w:tcPr>
            <w:tcW w:w="1020" w:type="dxa"/>
            <w:vAlign w:val="bottom"/>
            <w:tcBorders>
              <w:top w:val="single" w:sz="8" w:color="auto"/>
              <w:bottom w:val="single" w:sz="8" w:color="auto"/>
            </w:tcBorders>
            <w:shd w:val="clear" w:color="auto" w:fill="E0E7ED"/>
          </w:tcPr>
          <w:p>
            <w:pPr>
              <w:jc w:val="right"/>
              <w:ind w:right="799"/>
              <w:spacing w:after="0"/>
              <w:rPr>
                <w:sz w:val="20"/>
                <w:szCs w:val="20"/>
                <w:color w:val="auto"/>
              </w:rPr>
            </w:pPr>
            <w:r>
              <w:rPr>
                <w:rFonts w:ascii="Verdana" w:cs="Verdana" w:eastAsia="Verdana" w:hAnsi="Verdana"/>
                <w:sz w:val="18"/>
                <w:szCs w:val="18"/>
                <w:color w:val="auto"/>
              </w:rPr>
              <w:t>$</w:t>
            </w:r>
          </w:p>
        </w:tc>
        <w:tc>
          <w:tcPr>
            <w:tcW w:w="5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850</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000" w:type="dxa"/>
            <w:vAlign w:val="bottom"/>
            <w:tcBorders>
              <w:top w:val="single" w:sz="8" w:color="E0E7ED"/>
              <w:bottom w:val="single" w:sz="8" w:color="auto"/>
            </w:tcBorders>
          </w:tcPr>
          <w:p>
            <w:pPr>
              <w:spacing w:after="0" w:line="20" w:lineRule="exact"/>
              <w:rPr>
                <w:sz w:val="1"/>
                <w:szCs w:val="1"/>
                <w:color w:val="auto"/>
              </w:rPr>
            </w:pPr>
          </w:p>
        </w:tc>
        <w:tc>
          <w:tcPr>
            <w:tcW w:w="5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50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 summarizes changes in the balance OREO and other repossessed assets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2021</w:t>
            </w:r>
          </w:p>
        </w:tc>
      </w:tr>
      <w:tr>
        <w:trPr>
          <w:trHeight w:val="269"/>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OREO and other repossessed assets at January 1</w:t>
            </w:r>
          </w:p>
        </w:tc>
        <w:tc>
          <w:tcPr>
            <w:tcW w:w="1020" w:type="dxa"/>
            <w:vAlign w:val="bottom"/>
            <w:shd w:val="clear" w:color="auto" w:fill="E0E7ED"/>
          </w:tcPr>
          <w:p>
            <w:pPr>
              <w:jc w:val="right"/>
              <w:ind w:right="819"/>
              <w:spacing w:after="0"/>
              <w:rPr>
                <w:sz w:val="20"/>
                <w:szCs w:val="20"/>
                <w:color w:val="auto"/>
              </w:rPr>
            </w:pPr>
            <w:r>
              <w:rPr>
                <w:rFonts w:ascii="Verdana" w:cs="Verdana" w:eastAsia="Verdana" w:hAnsi="Verdana"/>
                <w:sz w:val="18"/>
                <w:szCs w:val="18"/>
                <w:color w:val="auto"/>
                <w:w w:val="86"/>
              </w:rPr>
              <w:t>$</w:t>
            </w:r>
          </w:p>
        </w:tc>
        <w:tc>
          <w:tcPr>
            <w:tcW w:w="58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850</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4,416</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4,571</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Additions, transfers from loans</w:t>
            </w:r>
          </w:p>
        </w:tc>
        <w:tc>
          <w:tcPr>
            <w:tcW w:w="1020" w:type="dxa"/>
            <w:vAlign w:val="bottom"/>
          </w:tcPr>
          <w:p>
            <w:pPr>
              <w:spacing w:after="0"/>
              <w:rPr>
                <w:sz w:val="22"/>
                <w:szCs w:val="22"/>
                <w:color w:val="auto"/>
              </w:rPr>
            </w:pPr>
          </w:p>
        </w:tc>
        <w:tc>
          <w:tcPr>
            <w:tcW w:w="580" w:type="dxa"/>
            <w:vAlign w:val="bottom"/>
          </w:tcPr>
          <w:p>
            <w:pPr>
              <w:jc w:val="right"/>
              <w:ind w:right="14"/>
              <w:spacing w:after="0"/>
              <w:rPr>
                <w:sz w:val="20"/>
                <w:szCs w:val="20"/>
                <w:color w:val="auto"/>
              </w:rPr>
            </w:pPr>
            <w:r>
              <w:rPr>
                <w:rFonts w:ascii="Verdana" w:cs="Verdana" w:eastAsia="Verdana" w:hAnsi="Verdana"/>
                <w:sz w:val="18"/>
                <w:szCs w:val="18"/>
                <w:color w:val="auto"/>
              </w:rPr>
              <w:t>189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Verdana" w:cs="Verdana" w:eastAsia="Verdana" w:hAnsi="Verdana"/>
                <w:sz w:val="18"/>
                <w:szCs w:val="18"/>
                <w:color w:val="auto"/>
              </w:rPr>
              <w:t>175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Verdana" w:cs="Verdana" w:eastAsia="Verdana" w:hAnsi="Verdana"/>
                <w:sz w:val="18"/>
                <w:szCs w:val="18"/>
                <w:color w:val="auto"/>
              </w:rPr>
              <w:t>1,610</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Sales</w:t>
            </w:r>
          </w:p>
        </w:tc>
        <w:tc>
          <w:tcPr>
            <w:tcW w:w="1020" w:type="dxa"/>
            <w:vAlign w:val="bottom"/>
            <w:shd w:val="clear" w:color="auto" w:fill="E0E7ED"/>
          </w:tcPr>
          <w:p>
            <w:pPr>
              <w:spacing w:after="0"/>
              <w:rPr>
                <w:sz w:val="24"/>
                <w:szCs w:val="24"/>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(2,565)</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(1,721)</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Cash payments collected</w:t>
            </w:r>
          </w:p>
        </w:tc>
        <w:tc>
          <w:tcPr>
            <w:tcW w:w="10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Verdana" w:cs="Verdana" w:eastAsia="Verdana" w:hAnsi="Verdana"/>
                <w:sz w:val="18"/>
                <w:szCs w:val="18"/>
                <w:color w:val="auto"/>
              </w:rPr>
              <w:t>(44)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(565)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(43)</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Impairment of OREO and other repossessed assets</w:t>
            </w:r>
          </w:p>
        </w:tc>
        <w:tc>
          <w:tcPr>
            <w:tcW w:w="1020" w:type="dxa"/>
            <w:vAlign w:val="bottom"/>
            <w:tcBorders>
              <w:bottom w:val="single" w:sz="8" w:color="auto"/>
            </w:tcBorders>
            <w:shd w:val="clear" w:color="auto" w:fill="E0E7ED"/>
          </w:tcPr>
          <w:p>
            <w:pPr>
              <w:spacing w:after="0"/>
              <w:rPr>
                <w:sz w:val="23"/>
                <w:szCs w:val="23"/>
                <w:color w:val="auto"/>
              </w:rPr>
            </w:pPr>
          </w:p>
        </w:tc>
        <w:tc>
          <w:tcPr>
            <w:tcW w:w="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(100)</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(611)</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w:t>
            </w: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OREO and other repossessed assets at December 31</w:t>
            </w:r>
          </w:p>
        </w:tc>
        <w:tc>
          <w:tcPr>
            <w:tcW w:w="1020" w:type="dxa"/>
            <w:vAlign w:val="bottom"/>
            <w:tcBorders>
              <w:bottom w:val="single" w:sz="8" w:color="auto"/>
            </w:tcBorders>
          </w:tcPr>
          <w:p>
            <w:pPr>
              <w:jc w:val="right"/>
              <w:ind w:right="819"/>
              <w:spacing w:after="0"/>
              <w:rPr>
                <w:sz w:val="20"/>
                <w:szCs w:val="20"/>
                <w:color w:val="auto"/>
              </w:rPr>
            </w:pPr>
            <w:r>
              <w:rPr>
                <w:rFonts w:ascii="Verdana" w:cs="Verdana" w:eastAsia="Verdana" w:hAnsi="Verdana"/>
                <w:sz w:val="18"/>
                <w:szCs w:val="18"/>
                <w:color w:val="auto"/>
                <w:w w:val="86"/>
              </w:rPr>
              <w:t>$</w:t>
            </w:r>
          </w:p>
        </w:tc>
        <w:tc>
          <w:tcPr>
            <w:tcW w:w="58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125</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850</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4,416</w:t>
            </w:r>
          </w:p>
        </w:tc>
      </w:tr>
      <w:tr>
        <w:trPr>
          <w:trHeight w:val="21"/>
        </w:trPr>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had residential real estate in the process of foreclosure totaling $0.3 million as of December 31, 2023, and $1.1 million as of December 31, 2022. Busey has elected to follow Federal Housing Finance Agency guidelines on single-family foreclosures and real estate owned evictions on portfolio loans.</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incurs operating expenses for, and may have income from, OREO and other repossessed assets. Upon sale, Busey may recognize a gain or loss on the sale of OREO and other repossessed assets. The table below summarizes the effect of these activities, included in Other expense on Busey’s </w:t>
      </w:r>
      <w:r>
        <w:rPr>
          <w:rFonts w:ascii="Verdana" w:cs="Verdana" w:eastAsia="Verdana" w:hAnsi="Verdana"/>
          <w:sz w:val="18"/>
          <w:szCs w:val="18"/>
          <w:u w:val="single" w:color="auto"/>
          <w:color w:val="0000FF"/>
        </w:rPr>
        <w:t>Consolidated Statements of Income</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Activity for OREO and other repossessed assets</w:t>
            </w:r>
          </w:p>
        </w:tc>
        <w:tc>
          <w:tcPr>
            <w:tcW w:w="1060" w:type="dxa"/>
            <w:vAlign w:val="bottom"/>
            <w:shd w:val="clear" w:color="auto" w:fill="E0E7ED"/>
          </w:tcPr>
          <w:p>
            <w:pPr>
              <w:spacing w:after="0"/>
              <w:rPr>
                <w:sz w:val="22"/>
                <w:szCs w:val="22"/>
                <w:color w:val="auto"/>
              </w:rPr>
            </w:pPr>
          </w:p>
        </w:tc>
        <w:tc>
          <w:tcPr>
            <w:tcW w:w="4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Net loss (gain) on sales</w:t>
            </w:r>
          </w:p>
        </w:tc>
        <w:tc>
          <w:tcPr>
            <w:tcW w:w="1060" w:type="dxa"/>
            <w:vAlign w:val="bottom"/>
          </w:tcPr>
          <w:p>
            <w:pPr>
              <w:jc w:val="right"/>
              <w:ind w:right="859"/>
              <w:spacing w:after="0"/>
              <w:rPr>
                <w:sz w:val="20"/>
                <w:szCs w:val="20"/>
                <w:color w:val="auto"/>
              </w:rPr>
            </w:pPr>
            <w:r>
              <w:rPr>
                <w:rFonts w:ascii="Verdana" w:cs="Verdana" w:eastAsia="Verdana" w:hAnsi="Verdana"/>
                <w:sz w:val="18"/>
                <w:szCs w:val="18"/>
                <w:color w:val="auto"/>
                <w:w w:val="86"/>
              </w:rPr>
              <w:t>$</w:t>
            </w:r>
          </w:p>
        </w:tc>
        <w:tc>
          <w:tcPr>
            <w:tcW w:w="460" w:type="dxa"/>
            <w:vAlign w:val="bottom"/>
          </w:tcPr>
          <w:p>
            <w:pPr>
              <w:jc w:val="right"/>
              <w:spacing w:after="0"/>
              <w:rPr>
                <w:sz w:val="20"/>
                <w:szCs w:val="20"/>
                <w:color w:val="auto"/>
              </w:rPr>
            </w:pPr>
            <w:r>
              <w:rPr>
                <w:rFonts w:ascii="Verdana" w:cs="Verdana" w:eastAsia="Verdana" w:hAnsi="Verdana"/>
                <w:sz w:val="18"/>
                <w:szCs w:val="18"/>
                <w:color w:val="auto"/>
              </w:rPr>
              <w:t>54</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665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173</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Operating expenses, net of income</w:t>
            </w:r>
          </w:p>
        </w:tc>
        <w:tc>
          <w:tcPr>
            <w:tcW w:w="1060" w:type="dxa"/>
            <w:vAlign w:val="bottom"/>
            <w:tcBorders>
              <w:bottom w:val="single" w:sz="8" w:color="auto"/>
            </w:tcBorders>
            <w:shd w:val="clear" w:color="auto" w:fill="E0E7ED"/>
          </w:tcPr>
          <w:p>
            <w:pPr>
              <w:spacing w:after="0"/>
              <w:rPr>
                <w:sz w:val="23"/>
                <w:szCs w:val="23"/>
                <w:color w:val="auto"/>
              </w:rPr>
            </w:pPr>
          </w:p>
        </w:tc>
        <w:tc>
          <w:tcPr>
            <w:tcW w:w="4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67</w:t>
            </w:r>
          </w:p>
        </w:tc>
        <w:tc>
          <w:tcPr>
            <w:tcW w:w="80" w:type="dxa"/>
            <w:vAlign w:val="bottom"/>
            <w:tcBorders>
              <w:bottom w:val="single" w:sz="8" w:color="auto"/>
            </w:tcBorders>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248</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468</w:t>
            </w: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Activity for OREO and other repossessed assets</w:t>
            </w:r>
          </w:p>
        </w:tc>
        <w:tc>
          <w:tcPr>
            <w:tcW w:w="1060" w:type="dxa"/>
            <w:vAlign w:val="bottom"/>
          </w:tcPr>
          <w:p>
            <w:pPr>
              <w:jc w:val="right"/>
              <w:ind w:right="859"/>
              <w:spacing w:after="0"/>
              <w:rPr>
                <w:sz w:val="20"/>
                <w:szCs w:val="20"/>
                <w:color w:val="auto"/>
              </w:rPr>
            </w:pPr>
            <w:r>
              <w:rPr>
                <w:rFonts w:ascii="Verdana" w:cs="Verdana" w:eastAsia="Verdana" w:hAnsi="Verdana"/>
                <w:sz w:val="18"/>
                <w:szCs w:val="18"/>
                <w:color w:val="auto"/>
                <w:w w:val="86"/>
              </w:rPr>
              <w:t>$</w:t>
            </w:r>
          </w:p>
        </w:tc>
        <w:tc>
          <w:tcPr>
            <w:tcW w:w="460" w:type="dxa"/>
            <w:vAlign w:val="bottom"/>
          </w:tcPr>
          <w:p>
            <w:pPr>
              <w:jc w:val="right"/>
              <w:spacing w:after="0"/>
              <w:rPr>
                <w:sz w:val="20"/>
                <w:szCs w:val="20"/>
                <w:color w:val="auto"/>
              </w:rPr>
            </w:pPr>
            <w:r>
              <w:rPr>
                <w:rFonts w:ascii="Verdana" w:cs="Verdana" w:eastAsia="Verdana" w:hAnsi="Verdana"/>
                <w:sz w:val="18"/>
                <w:szCs w:val="18"/>
                <w:color w:val="auto"/>
              </w:rPr>
              <w:t>121</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913</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641</w:t>
            </w:r>
          </w:p>
        </w:tc>
      </w:tr>
      <w:tr>
        <w:trPr>
          <w:trHeight w:val="20"/>
        </w:trPr>
        <w:tc>
          <w:tcPr>
            <w:tcW w:w="6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5" w:name="page136"/>
    <w:bookmarkEnd w:id="13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5. PREMISES AND EQUIPMENT</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Premises and equipment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4"/>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4"/>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Premises and equipment</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Land and improvements</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43,076</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44,193</w:t>
            </w: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Buildings and improvements</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128,322</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128,669</w:t>
            </w:r>
          </w:p>
        </w:tc>
      </w:tr>
      <w:tr>
        <w:trPr>
          <w:trHeight w:val="263"/>
        </w:trPr>
        <w:tc>
          <w:tcPr>
            <w:tcW w:w="7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Furniture and equipment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51,077</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52,991</w:t>
            </w:r>
          </w:p>
        </w:tc>
      </w:tr>
      <w:tr>
        <w:trPr>
          <w:trHeight w:val="270"/>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Premises and equipment, gross</w:t>
            </w: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222,475</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225,853</w:t>
            </w:r>
          </w:p>
        </w:tc>
      </w:tr>
      <w:tr>
        <w:trPr>
          <w:trHeight w:val="263"/>
        </w:trPr>
        <w:tc>
          <w:tcPr>
            <w:tcW w:w="7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Accumulated depreciation</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99,881</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99,329</w:t>
            </w:r>
          </w:p>
        </w:tc>
      </w:tr>
      <w:tr>
        <w:trPr>
          <w:trHeight w:val="295"/>
        </w:trPr>
        <w:tc>
          <w:tcPr>
            <w:tcW w:w="79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Premises and equipment, net</w:t>
            </w: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122,594</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126,524</w:t>
            </w:r>
          </w:p>
        </w:tc>
      </w:tr>
      <w:tr>
        <w:trPr>
          <w:trHeight w:val="20"/>
        </w:trPr>
        <w:tc>
          <w:tcPr>
            <w:tcW w:w="79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Depreciation expense is presented in the table below for the periods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right="23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2021</w:t>
            </w:r>
          </w:p>
        </w:tc>
      </w:tr>
      <w:tr>
        <w:trPr>
          <w:trHeight w:val="269"/>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Depreciation expense</w:t>
            </w:r>
          </w:p>
        </w:tc>
        <w:tc>
          <w:tcPr>
            <w:tcW w:w="980" w:type="dxa"/>
            <w:vAlign w:val="bottom"/>
            <w:shd w:val="clear" w:color="auto" w:fill="E0E7ED"/>
          </w:tcPr>
          <w:p>
            <w:pPr>
              <w:jc w:val="right"/>
              <w:ind w:right="784"/>
              <w:spacing w:after="0"/>
              <w:rPr>
                <w:sz w:val="20"/>
                <w:szCs w:val="20"/>
                <w:color w:val="auto"/>
              </w:rPr>
            </w:pPr>
            <w:r>
              <w:rPr>
                <w:rFonts w:ascii="Verdana" w:cs="Verdana" w:eastAsia="Verdana" w:hAnsi="Verdana"/>
                <w:sz w:val="18"/>
                <w:szCs w:val="18"/>
                <w:color w:val="auto"/>
                <w:w w:val="86"/>
              </w:rPr>
              <w:t>$</w:t>
            </w:r>
          </w:p>
        </w:tc>
        <w:tc>
          <w:tcPr>
            <w:tcW w:w="5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5"/>
              </w:rPr>
              <w:t>9,488</w:t>
            </w:r>
          </w:p>
        </w:tc>
        <w:tc>
          <w:tcPr>
            <w:tcW w:w="560" w:type="dxa"/>
            <w:vAlign w:val="bottom"/>
            <w:gridSpan w:val="3"/>
            <w:shd w:val="clear" w:color="auto" w:fill="E0E7ED"/>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10,482</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11,610</w:t>
            </w: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6. LEASES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as The Lessee</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has operating leases consisting primarily of equipment leases and real estate leases for banking centers, ATM locations, and office space. The following table summarizes lease related information and balances Busey reported in its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0000FF"/>
        </w:rPr>
        <w:t xml:space="preserve"> </w:t>
      </w:r>
      <w:r>
        <w:rPr>
          <w:rFonts w:ascii="Verdana" w:cs="Verdana" w:eastAsia="Verdana" w:hAnsi="Verdana"/>
          <w:sz w:val="18"/>
          <w:szCs w:val="18"/>
          <w:color w:val="000000"/>
        </w:rPr>
        <w:t>for the periods presented</w:t>
      </w:r>
      <w:r>
        <w:rPr>
          <w:rFonts w:ascii="Verdana" w:cs="Verdana" w:eastAsia="Verdana" w:hAnsi="Verdana"/>
          <w:sz w:val="18"/>
          <w:szCs w:val="18"/>
          <w:color w:val="0000FF"/>
        </w:rPr>
        <w:t xml:space="preserve"> </w:t>
      </w:r>
      <w:r>
        <w:rPr>
          <w:rFonts w:ascii="Verdana" w:cs="Verdana" w:eastAsia="Verdana" w:hAnsi="Verdana"/>
          <w:sz w:val="18"/>
          <w:szCs w:val="18"/>
          <w:i w:val="1"/>
          <w:iCs w:val="1"/>
          <w:color w:val="000000"/>
        </w:rPr>
        <w:t>(dollars in thousands)</w:t>
      </w:r>
      <w:r>
        <w:rPr>
          <w:rFonts w:ascii="Verdana" w:cs="Verdana" w:eastAsia="Verdana" w:hAnsi="Verdana"/>
          <w:sz w:val="18"/>
          <w:szCs w:val="18"/>
          <w:color w:val="000000"/>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 December 31,</w:t>
            </w:r>
          </w:p>
        </w:tc>
        <w:tc>
          <w:tcPr>
            <w:tcW w:w="1100" w:type="dxa"/>
            <w:vAlign w:val="bottom"/>
            <w:tcBorders>
              <w:bottom w:val="single" w:sz="8" w:color="auto"/>
            </w:tcBorders>
          </w:tcPr>
          <w:p>
            <w:pPr>
              <w:spacing w:after="0"/>
              <w:rPr>
                <w:sz w:val="15"/>
                <w:szCs w:val="15"/>
                <w:color w:val="auto"/>
              </w:rPr>
            </w:pPr>
          </w:p>
        </w:tc>
      </w:tr>
      <w:tr>
        <w:trPr>
          <w:trHeight w:val="170"/>
        </w:trPr>
        <w:tc>
          <w:tcPr>
            <w:tcW w:w="760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8"/>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5"/>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Lease balances</w:t>
            </w:r>
          </w:p>
        </w:tc>
        <w:tc>
          <w:tcPr>
            <w:tcW w:w="420" w:type="dxa"/>
            <w:vAlign w:val="bottom"/>
            <w:shd w:val="clear" w:color="auto" w:fill="E0E7ED"/>
          </w:tcPr>
          <w:p>
            <w:pPr>
              <w:spacing w:after="0"/>
              <w:rPr>
                <w:sz w:val="22"/>
                <w:szCs w:val="22"/>
                <w:color w:val="auto"/>
              </w:rPr>
            </w:pPr>
          </w:p>
        </w:tc>
        <w:tc>
          <w:tcPr>
            <w:tcW w:w="13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660" w:type="dxa"/>
            <w:vAlign w:val="bottom"/>
            <w:shd w:val="clear" w:color="auto" w:fill="E0E7ED"/>
          </w:tcPr>
          <w:p>
            <w:pPr>
              <w:spacing w:after="0"/>
              <w:rPr>
                <w:sz w:val="22"/>
                <w:szCs w:val="22"/>
                <w:color w:val="auto"/>
              </w:rPr>
            </w:pPr>
          </w:p>
        </w:tc>
        <w:tc>
          <w:tcPr>
            <w:tcW w:w="1100" w:type="dxa"/>
            <w:vAlign w:val="bottom"/>
            <w:shd w:val="clear" w:color="auto" w:fill="E0E7ED"/>
          </w:tcPr>
          <w:p>
            <w:pPr>
              <w:spacing w:after="0"/>
              <w:rPr>
                <w:sz w:val="22"/>
                <w:szCs w:val="22"/>
                <w:color w:val="auto"/>
              </w:rPr>
            </w:pPr>
          </w:p>
        </w:tc>
      </w:tr>
      <w:tr>
        <w:trPr>
          <w:trHeight w:val="263"/>
        </w:trPr>
        <w:tc>
          <w:tcPr>
            <w:tcW w:w="7600" w:type="dxa"/>
            <w:vAlign w:val="bottom"/>
          </w:tcPr>
          <w:p>
            <w:pPr>
              <w:ind w:left="180"/>
              <w:spacing w:after="0"/>
              <w:rPr>
                <w:sz w:val="20"/>
                <w:szCs w:val="20"/>
                <w:color w:val="auto"/>
              </w:rPr>
            </w:pPr>
            <w:r>
              <w:rPr>
                <w:rFonts w:ascii="Verdana" w:cs="Verdana" w:eastAsia="Verdana" w:hAnsi="Verdana"/>
                <w:sz w:val="18"/>
                <w:szCs w:val="18"/>
                <w:color w:val="auto"/>
              </w:rPr>
              <w:t>Right of use assets</w:t>
            </w: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198"/>
              <w:spacing w:after="0"/>
              <w:rPr>
                <w:sz w:val="20"/>
                <w:szCs w:val="20"/>
                <w:color w:val="auto"/>
              </w:rPr>
            </w:pPr>
            <w:r>
              <w:rPr>
                <w:rFonts w:ascii="Verdana" w:cs="Verdana" w:eastAsia="Verdana" w:hAnsi="Verdana"/>
                <w:sz w:val="18"/>
                <w:szCs w:val="18"/>
                <w:color w:val="auto"/>
              </w:rPr>
              <w:t>11,027</w:t>
            </w:r>
          </w:p>
        </w:tc>
        <w:tc>
          <w:tcPr>
            <w:tcW w:w="100" w:type="dxa"/>
            <w:vAlign w:val="bottom"/>
          </w:tcPr>
          <w:p>
            <w:pPr>
              <w:spacing w:after="0"/>
              <w:rPr>
                <w:sz w:val="22"/>
                <w:szCs w:val="22"/>
                <w:color w:val="auto"/>
              </w:rPr>
            </w:pPr>
          </w:p>
        </w:tc>
        <w:tc>
          <w:tcPr>
            <w:tcW w:w="660" w:type="dxa"/>
            <w:vAlign w:val="bottom"/>
          </w:tcPr>
          <w:p>
            <w:pPr>
              <w:jc w:val="right"/>
              <w:ind w:right="45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jc w:val="right"/>
              <w:ind w:right="195"/>
              <w:spacing w:after="0"/>
              <w:rPr>
                <w:sz w:val="20"/>
                <w:szCs w:val="20"/>
                <w:color w:val="auto"/>
              </w:rPr>
            </w:pPr>
            <w:r>
              <w:rPr>
                <w:rFonts w:ascii="Verdana" w:cs="Verdana" w:eastAsia="Verdana" w:hAnsi="Verdana"/>
                <w:sz w:val="18"/>
                <w:szCs w:val="18"/>
                <w:color w:val="auto"/>
              </w:rPr>
              <w:t>12,829</w:t>
            </w:r>
          </w:p>
        </w:tc>
      </w:tr>
      <w:tr>
        <w:trPr>
          <w:trHeight w:val="277"/>
        </w:trPr>
        <w:tc>
          <w:tcPr>
            <w:tcW w:w="7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Lease liabilities</w:t>
            </w:r>
          </w:p>
        </w:tc>
        <w:tc>
          <w:tcPr>
            <w:tcW w:w="42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11,308</w:t>
            </w:r>
          </w:p>
        </w:tc>
        <w:tc>
          <w:tcPr>
            <w:tcW w:w="100" w:type="dxa"/>
            <w:vAlign w:val="bottom"/>
            <w:shd w:val="clear" w:color="auto" w:fill="E0E7ED"/>
          </w:tcPr>
          <w:p>
            <w:pPr>
              <w:spacing w:after="0"/>
              <w:rPr>
                <w:sz w:val="24"/>
                <w:szCs w:val="24"/>
                <w:color w:val="auto"/>
              </w:rPr>
            </w:pPr>
          </w:p>
        </w:tc>
        <w:tc>
          <w:tcPr>
            <w:tcW w:w="660" w:type="dxa"/>
            <w:vAlign w:val="bottom"/>
            <w:shd w:val="clear" w:color="auto" w:fill="E0E7ED"/>
          </w:tcPr>
          <w:p>
            <w:pPr>
              <w:spacing w:after="0"/>
              <w:rPr>
                <w:sz w:val="24"/>
                <w:szCs w:val="24"/>
                <w:color w:val="auto"/>
              </w:rPr>
            </w:pPr>
          </w:p>
        </w:tc>
        <w:tc>
          <w:tcPr>
            <w:tcW w:w="11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12,995</w:t>
            </w:r>
          </w:p>
        </w:tc>
      </w:tr>
      <w:tr>
        <w:trPr>
          <w:trHeight w:val="270"/>
        </w:trPr>
        <w:tc>
          <w:tcPr>
            <w:tcW w:w="7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7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Supplemental information</w:t>
            </w:r>
          </w:p>
        </w:tc>
        <w:tc>
          <w:tcPr>
            <w:tcW w:w="420" w:type="dxa"/>
            <w:vAlign w:val="bottom"/>
            <w:shd w:val="clear" w:color="auto" w:fill="E0E7ED"/>
          </w:tcPr>
          <w:p>
            <w:pPr>
              <w:spacing w:after="0"/>
              <w:rPr>
                <w:sz w:val="23"/>
                <w:szCs w:val="23"/>
                <w:color w:val="auto"/>
              </w:rPr>
            </w:pPr>
          </w:p>
        </w:tc>
        <w:tc>
          <w:tcPr>
            <w:tcW w:w="13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6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r>
      <w:tr>
        <w:trPr>
          <w:trHeight w:val="263"/>
        </w:trPr>
        <w:tc>
          <w:tcPr>
            <w:tcW w:w="7600" w:type="dxa"/>
            <w:vAlign w:val="bottom"/>
          </w:tcPr>
          <w:p>
            <w:pPr>
              <w:ind w:left="180"/>
              <w:spacing w:after="0"/>
              <w:rPr>
                <w:sz w:val="20"/>
                <w:szCs w:val="20"/>
                <w:color w:val="auto"/>
              </w:rPr>
            </w:pPr>
            <w:r>
              <w:rPr>
                <w:rFonts w:ascii="Verdana" w:cs="Verdana" w:eastAsia="Verdana" w:hAnsi="Verdana"/>
                <w:sz w:val="18"/>
                <w:szCs w:val="18"/>
                <w:color w:val="auto"/>
              </w:rPr>
              <w:t>Year through which lease terms extend</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2037</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2037</w:t>
            </w:r>
          </w:p>
        </w:tc>
      </w:tr>
      <w:tr>
        <w:trPr>
          <w:trHeight w:val="277"/>
        </w:trPr>
        <w:tc>
          <w:tcPr>
            <w:tcW w:w="7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remaining lease term</w:t>
            </w:r>
          </w:p>
        </w:tc>
        <w:tc>
          <w:tcPr>
            <w:tcW w:w="420" w:type="dxa"/>
            <w:vAlign w:val="bottom"/>
            <w:shd w:val="clear" w:color="auto" w:fill="E0E7ED"/>
          </w:tcPr>
          <w:p>
            <w:pPr>
              <w:spacing w:after="0"/>
              <w:rPr>
                <w:sz w:val="24"/>
                <w:szCs w:val="24"/>
                <w:color w:val="auto"/>
              </w:rPr>
            </w:pPr>
          </w:p>
        </w:tc>
        <w:tc>
          <w:tcPr>
            <w:tcW w:w="14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8.39 years</w:t>
            </w:r>
          </w:p>
        </w:tc>
        <w:tc>
          <w:tcPr>
            <w:tcW w:w="660" w:type="dxa"/>
            <w:vAlign w:val="bottom"/>
            <w:shd w:val="clear" w:color="auto" w:fill="E0E7ED"/>
          </w:tcPr>
          <w:p>
            <w:pPr>
              <w:spacing w:after="0"/>
              <w:rPr>
                <w:sz w:val="24"/>
                <w:szCs w:val="24"/>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8.90 years</w:t>
            </w:r>
          </w:p>
        </w:tc>
      </w:tr>
      <w:tr>
        <w:trPr>
          <w:trHeight w:val="257"/>
        </w:trPr>
        <w:tc>
          <w:tcPr>
            <w:tcW w:w="7600" w:type="dxa"/>
            <w:vAlign w:val="bottom"/>
          </w:tcPr>
          <w:p>
            <w:pPr>
              <w:ind w:left="180"/>
              <w:spacing w:after="0"/>
              <w:rPr>
                <w:sz w:val="20"/>
                <w:szCs w:val="20"/>
                <w:color w:val="auto"/>
              </w:rPr>
            </w:pPr>
            <w:r>
              <w:rPr>
                <w:rFonts w:ascii="Verdana" w:cs="Verdana" w:eastAsia="Verdana" w:hAnsi="Verdana"/>
                <w:sz w:val="18"/>
                <w:szCs w:val="18"/>
                <w:color w:val="auto"/>
              </w:rPr>
              <w:t>Weighted average discount rate</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3.59 %</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3.45 %</w:t>
            </w:r>
          </w:p>
        </w:tc>
      </w:tr>
    </w:tbl>
    <w:p>
      <w:pPr>
        <w:spacing w:after="0" w:line="33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6" w:name="page137"/>
    <w:bookmarkEnd w:id="13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 represents lease costs and cash flows related to leases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3"/>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3"/>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Lease costs</w:t>
            </w:r>
          </w:p>
        </w:tc>
        <w:tc>
          <w:tcPr>
            <w:tcW w:w="980" w:type="dxa"/>
            <w:vAlign w:val="bottom"/>
            <w:shd w:val="clear" w:color="auto" w:fill="E0E7ED"/>
          </w:tcPr>
          <w:p>
            <w:pPr>
              <w:spacing w:after="0"/>
              <w:rPr>
                <w:sz w:val="22"/>
                <w:szCs w:val="22"/>
                <w:color w:val="auto"/>
              </w:rPr>
            </w:pPr>
          </w:p>
        </w:tc>
        <w:tc>
          <w:tcPr>
            <w:tcW w:w="5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Operating lease costs</w:t>
            </w:r>
          </w:p>
        </w:tc>
        <w:tc>
          <w:tcPr>
            <w:tcW w:w="980" w:type="dxa"/>
            <w:vAlign w:val="bottom"/>
          </w:tcPr>
          <w:p>
            <w:pPr>
              <w:jc w:val="right"/>
              <w:ind w:right="777"/>
              <w:spacing w:after="0"/>
              <w:rPr>
                <w:sz w:val="20"/>
                <w:szCs w:val="20"/>
                <w:color w:val="auto"/>
              </w:rPr>
            </w:pPr>
            <w:r>
              <w:rPr>
                <w:rFonts w:ascii="Verdana" w:cs="Verdana" w:eastAsia="Verdana" w:hAnsi="Verdana"/>
                <w:sz w:val="18"/>
                <w:szCs w:val="18"/>
                <w:color w:val="auto"/>
                <w:w w:val="86"/>
              </w:rPr>
              <w:t>$</w:t>
            </w:r>
          </w:p>
        </w:tc>
        <w:tc>
          <w:tcPr>
            <w:tcW w:w="540" w:type="dxa"/>
            <w:vAlign w:val="bottom"/>
          </w:tcPr>
          <w:p>
            <w:pPr>
              <w:jc w:val="right"/>
              <w:spacing w:after="0"/>
              <w:rPr>
                <w:sz w:val="20"/>
                <w:szCs w:val="20"/>
                <w:color w:val="auto"/>
              </w:rPr>
            </w:pPr>
            <w:r>
              <w:rPr>
                <w:rFonts w:ascii="Verdana" w:cs="Verdana" w:eastAsia="Verdana" w:hAnsi="Verdana"/>
                <w:sz w:val="18"/>
                <w:szCs w:val="18"/>
                <w:color w:val="auto"/>
                <w:w w:val="95"/>
              </w:rPr>
              <w:t>2,395</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3"/>
              <w:spacing w:after="0"/>
              <w:rPr>
                <w:sz w:val="20"/>
                <w:szCs w:val="20"/>
                <w:color w:val="auto"/>
              </w:rPr>
            </w:pPr>
            <w:r>
              <w:rPr>
                <w:rFonts w:ascii="Verdana" w:cs="Verdana" w:eastAsia="Verdana" w:hAnsi="Verdana"/>
                <w:sz w:val="18"/>
                <w:szCs w:val="18"/>
                <w:color w:val="auto"/>
              </w:rPr>
              <w:t>2,495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3"/>
              <w:spacing w:after="0"/>
              <w:rPr>
                <w:sz w:val="20"/>
                <w:szCs w:val="20"/>
                <w:color w:val="auto"/>
              </w:rPr>
            </w:pPr>
            <w:r>
              <w:rPr>
                <w:rFonts w:ascii="Verdana" w:cs="Verdana" w:eastAsia="Verdana" w:hAnsi="Verdana"/>
                <w:sz w:val="18"/>
                <w:szCs w:val="18"/>
                <w:color w:val="auto"/>
              </w:rPr>
              <w:t>2,464</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Variable lease costs</w:t>
            </w:r>
          </w:p>
        </w:tc>
        <w:tc>
          <w:tcPr>
            <w:tcW w:w="980" w:type="dxa"/>
            <w:vAlign w:val="bottom"/>
            <w:shd w:val="clear" w:color="auto" w:fill="E0E7ED"/>
          </w:tcPr>
          <w:p>
            <w:pPr>
              <w:spacing w:after="0"/>
              <w:rPr>
                <w:sz w:val="24"/>
                <w:szCs w:val="24"/>
                <w:color w:val="auto"/>
              </w:rPr>
            </w:pPr>
          </w:p>
        </w:tc>
        <w:tc>
          <w:tcPr>
            <w:tcW w:w="5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w:t>
            </w:r>
          </w:p>
        </w:tc>
        <w:tc>
          <w:tcPr>
            <w:tcW w:w="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365</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540</w:t>
            </w:r>
          </w:p>
        </w:tc>
      </w:tr>
      <w:tr>
        <w:trPr>
          <w:trHeight w:val="264"/>
        </w:trPr>
        <w:tc>
          <w:tcPr>
            <w:tcW w:w="62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Short-term lease costs</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22</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49</w:t>
            </w:r>
          </w:p>
        </w:tc>
      </w:tr>
      <w:tr>
        <w:trPr>
          <w:trHeight w:val="290"/>
        </w:trPr>
        <w:tc>
          <w:tcPr>
            <w:tcW w:w="6240" w:type="dxa"/>
            <w:vAlign w:val="bottom"/>
            <w:shd w:val="clear" w:color="auto" w:fill="E0E7ED"/>
          </w:tcPr>
          <w:p>
            <w:pPr>
              <w:ind w:left="20"/>
              <w:spacing w:after="0" w:line="270" w:lineRule="exact"/>
              <w:rPr>
                <w:sz w:val="20"/>
                <w:szCs w:val="20"/>
                <w:color w:val="auto"/>
              </w:rPr>
            </w:pPr>
            <w:r>
              <w:rPr>
                <w:rFonts w:ascii="Verdana" w:cs="Verdana" w:eastAsia="Verdana" w:hAnsi="Verdana"/>
                <w:sz w:val="18"/>
                <w:szCs w:val="18"/>
                <w:color w:val="auto"/>
              </w:rPr>
              <w:t>Total lease cost</w:t>
            </w:r>
            <w:r>
              <w:rPr>
                <w:rFonts w:ascii="Verdana" w:cs="Verdana" w:eastAsia="Verdana" w:hAnsi="Verdana"/>
                <w:sz w:val="23"/>
                <w:szCs w:val="23"/>
                <w:color w:val="auto"/>
                <w:vertAlign w:val="superscript"/>
              </w:rPr>
              <w:t>1</w:t>
            </w:r>
          </w:p>
        </w:tc>
        <w:tc>
          <w:tcPr>
            <w:tcW w:w="980" w:type="dxa"/>
            <w:vAlign w:val="bottom"/>
            <w:shd w:val="clear" w:color="auto" w:fill="E0E7ED"/>
          </w:tcPr>
          <w:p>
            <w:pPr>
              <w:jc w:val="right"/>
              <w:ind w:right="777"/>
              <w:spacing w:after="0"/>
              <w:rPr>
                <w:sz w:val="20"/>
                <w:szCs w:val="20"/>
                <w:color w:val="auto"/>
              </w:rPr>
            </w:pPr>
            <w:r>
              <w:rPr>
                <w:rFonts w:ascii="Verdana" w:cs="Verdana" w:eastAsia="Verdana" w:hAnsi="Verdana"/>
                <w:sz w:val="18"/>
                <w:szCs w:val="18"/>
                <w:color w:val="auto"/>
                <w:w w:val="86"/>
              </w:rPr>
              <w:t>$</w:t>
            </w:r>
          </w:p>
        </w:tc>
        <w:tc>
          <w:tcPr>
            <w:tcW w:w="5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5"/>
              </w:rPr>
              <w:t>2,483</w:t>
            </w:r>
          </w:p>
        </w:tc>
        <w:tc>
          <w:tcPr>
            <w:tcW w:w="560" w:type="dxa"/>
            <w:vAlign w:val="bottom"/>
            <w:gridSpan w:val="3"/>
            <w:shd w:val="clear" w:color="auto" w:fill="E0E7ED"/>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2,882</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3,053</w:t>
            </w:r>
          </w:p>
        </w:tc>
      </w:tr>
      <w:tr>
        <w:trPr>
          <w:trHeight w:val="20"/>
        </w:trPr>
        <w:tc>
          <w:tcPr>
            <w:tcW w:w="6240" w:type="dxa"/>
            <w:vAlign w:val="bottom"/>
            <w:tcBorders>
              <w:top w:val="single" w:sz="8" w:color="E0E7ED"/>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Cash flows related to leases</w:t>
            </w:r>
          </w:p>
        </w:tc>
        <w:tc>
          <w:tcPr>
            <w:tcW w:w="980" w:type="dxa"/>
            <w:vAlign w:val="bottom"/>
            <w:shd w:val="clear" w:color="auto" w:fill="E0E7ED"/>
          </w:tcPr>
          <w:p>
            <w:pPr>
              <w:spacing w:after="0"/>
              <w:rPr>
                <w:sz w:val="23"/>
                <w:szCs w:val="23"/>
                <w:color w:val="auto"/>
              </w:rPr>
            </w:pPr>
          </w:p>
        </w:tc>
        <w:tc>
          <w:tcPr>
            <w:tcW w:w="5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r>
      <w:tr>
        <w:trPr>
          <w:trHeight w:val="238"/>
        </w:trPr>
        <w:tc>
          <w:tcPr>
            <w:tcW w:w="6240" w:type="dxa"/>
            <w:vAlign w:val="bottom"/>
          </w:tcPr>
          <w:p>
            <w:pPr>
              <w:ind w:left="180"/>
              <w:spacing w:after="0"/>
              <w:rPr>
                <w:sz w:val="20"/>
                <w:szCs w:val="20"/>
                <w:color w:val="auto"/>
              </w:rPr>
            </w:pPr>
            <w:r>
              <w:rPr>
                <w:rFonts w:ascii="Verdana" w:cs="Verdana" w:eastAsia="Verdana" w:hAnsi="Verdana"/>
                <w:sz w:val="18"/>
                <w:szCs w:val="18"/>
                <w:color w:val="auto"/>
              </w:rPr>
              <w:t>Cash paid for amounts included in the measurement of lease</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2"/>
        </w:trPr>
        <w:tc>
          <w:tcPr>
            <w:tcW w:w="6240" w:type="dxa"/>
            <w:vAlign w:val="bottom"/>
          </w:tcPr>
          <w:p>
            <w:pPr>
              <w:ind w:left="180"/>
              <w:spacing w:after="0"/>
              <w:rPr>
                <w:sz w:val="20"/>
                <w:szCs w:val="20"/>
                <w:color w:val="auto"/>
              </w:rPr>
            </w:pPr>
            <w:r>
              <w:rPr>
                <w:rFonts w:ascii="Verdana" w:cs="Verdana" w:eastAsia="Verdana" w:hAnsi="Verdana"/>
                <w:sz w:val="18"/>
                <w:szCs w:val="18"/>
                <w:color w:val="auto"/>
              </w:rPr>
              <w:t>liabilities:</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Operating lease cash flows – Fixed payments</w:t>
            </w:r>
          </w:p>
        </w:tc>
        <w:tc>
          <w:tcPr>
            <w:tcW w:w="980" w:type="dxa"/>
            <w:vAlign w:val="bottom"/>
            <w:shd w:val="clear" w:color="auto" w:fill="E0E7ED"/>
          </w:tcPr>
          <w:p>
            <w:pPr>
              <w:jc w:val="right"/>
              <w:ind w:right="777"/>
              <w:spacing w:after="0"/>
              <w:rPr>
                <w:sz w:val="20"/>
                <w:szCs w:val="20"/>
                <w:color w:val="auto"/>
              </w:rPr>
            </w:pPr>
            <w:r>
              <w:rPr>
                <w:rFonts w:ascii="Verdana" w:cs="Verdana" w:eastAsia="Verdana" w:hAnsi="Verdana"/>
                <w:sz w:val="18"/>
                <w:szCs w:val="18"/>
                <w:color w:val="auto"/>
                <w:w w:val="86"/>
              </w:rPr>
              <w:t>$</w:t>
            </w:r>
          </w:p>
        </w:tc>
        <w:tc>
          <w:tcPr>
            <w:tcW w:w="5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5"/>
              </w:rPr>
              <w:t>2,290</w:t>
            </w:r>
          </w:p>
        </w:tc>
        <w:tc>
          <w:tcPr>
            <w:tcW w:w="560" w:type="dxa"/>
            <w:vAlign w:val="bottom"/>
            <w:gridSpan w:val="3"/>
            <w:shd w:val="clear" w:color="auto" w:fill="E0E7ED"/>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3,080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2,417</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Operating lease cash flows – Liability reduction</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Verdana" w:cs="Verdana" w:eastAsia="Verdana" w:hAnsi="Verdana"/>
                <w:sz w:val="18"/>
                <w:szCs w:val="18"/>
                <w:color w:val="auto"/>
                <w:w w:val="95"/>
              </w:rPr>
              <w:t>1,883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Verdana" w:cs="Verdana" w:eastAsia="Verdana" w:hAnsi="Verdana"/>
                <w:sz w:val="18"/>
                <w:szCs w:val="18"/>
                <w:color w:val="auto"/>
              </w:rPr>
              <w:t>2,285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Verdana" w:cs="Verdana" w:eastAsia="Verdana" w:hAnsi="Verdana"/>
                <w:sz w:val="18"/>
                <w:szCs w:val="18"/>
                <w:color w:val="auto"/>
              </w:rPr>
              <w:t>2,217</w:t>
            </w:r>
          </w:p>
        </w:tc>
      </w:tr>
      <w:tr>
        <w:trPr>
          <w:trHeight w:val="24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Right of use assets obtained during the period in exchange for</w:t>
            </w:r>
          </w:p>
        </w:tc>
        <w:tc>
          <w:tcPr>
            <w:tcW w:w="980" w:type="dxa"/>
            <w:vAlign w:val="bottom"/>
            <w:shd w:val="clear" w:color="auto" w:fill="E0E7ED"/>
          </w:tcPr>
          <w:p>
            <w:pPr>
              <w:spacing w:after="0"/>
              <w:rPr>
                <w:sz w:val="20"/>
                <w:szCs w:val="20"/>
                <w:color w:val="auto"/>
              </w:rPr>
            </w:pPr>
          </w:p>
        </w:tc>
        <w:tc>
          <w:tcPr>
            <w:tcW w:w="5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r>
      <w:tr>
        <w:trPr>
          <w:trHeight w:val="252"/>
        </w:trPr>
        <w:tc>
          <w:tcPr>
            <w:tcW w:w="6240" w:type="dxa"/>
            <w:vAlign w:val="bottom"/>
            <w:shd w:val="clear" w:color="auto" w:fill="E0E7ED"/>
          </w:tcPr>
          <w:p>
            <w:pPr>
              <w:ind w:left="180"/>
              <w:spacing w:after="0" w:line="252" w:lineRule="exact"/>
              <w:rPr>
                <w:sz w:val="20"/>
                <w:szCs w:val="20"/>
                <w:color w:val="auto"/>
              </w:rPr>
            </w:pPr>
            <w:r>
              <w:rPr>
                <w:rFonts w:ascii="Verdana" w:cs="Verdana" w:eastAsia="Verdana" w:hAnsi="Verdana"/>
                <w:sz w:val="18"/>
                <w:szCs w:val="18"/>
                <w:color w:val="auto"/>
              </w:rPr>
              <w:t>operating lease liabilities</w:t>
            </w:r>
            <w:r>
              <w:rPr>
                <w:rFonts w:ascii="Verdana" w:cs="Verdana" w:eastAsia="Verdana" w:hAnsi="Verdana"/>
                <w:sz w:val="23"/>
                <w:szCs w:val="23"/>
                <w:color w:val="auto"/>
                <w:vertAlign w:val="superscript"/>
              </w:rPr>
              <w:t>2</w:t>
            </w:r>
          </w:p>
        </w:tc>
        <w:tc>
          <w:tcPr>
            <w:tcW w:w="980" w:type="dxa"/>
            <w:vAlign w:val="bottom"/>
            <w:shd w:val="clear" w:color="auto" w:fill="E0E7ED"/>
          </w:tcPr>
          <w:p>
            <w:pPr>
              <w:spacing w:after="0"/>
              <w:rPr>
                <w:sz w:val="21"/>
                <w:szCs w:val="21"/>
                <w:color w:val="auto"/>
              </w:rPr>
            </w:pPr>
          </w:p>
        </w:tc>
        <w:tc>
          <w:tcPr>
            <w:tcW w:w="5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231</w:t>
            </w:r>
          </w:p>
        </w:tc>
        <w:tc>
          <w:tcPr>
            <w:tcW w:w="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6,206</w:t>
            </w: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5,818</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59"/>
        </w:numPr>
        <w:rPr>
          <w:rFonts w:ascii="Verdana" w:cs="Verdana" w:eastAsia="Verdana" w:hAnsi="Verdana"/>
          <w:sz w:val="13"/>
          <w:szCs w:val="13"/>
          <w:color w:val="auto"/>
        </w:rPr>
      </w:pPr>
      <w:r>
        <w:rPr>
          <w:rFonts w:ascii="Verdana" w:cs="Verdana" w:eastAsia="Verdana" w:hAnsi="Verdana"/>
          <w:sz w:val="13"/>
          <w:szCs w:val="13"/>
          <w:color w:val="auto"/>
        </w:rPr>
        <w:t xml:space="preserve">Lease costs are included in net occupancy and equipment expense in the </w:t>
      </w:r>
      <w:r>
        <w:rPr>
          <w:rFonts w:ascii="Verdana" w:cs="Verdana" w:eastAsia="Verdana" w:hAnsi="Verdana"/>
          <w:sz w:val="13"/>
          <w:szCs w:val="13"/>
          <w:u w:val="single" w:color="auto"/>
          <w:color w:val="0000FF"/>
        </w:rPr>
        <w:t>Consolidated Statements of Income</w:t>
      </w:r>
      <w:r>
        <w:rPr>
          <w:rFonts w:ascii="Verdana" w:cs="Verdana" w:eastAsia="Verdana" w:hAnsi="Verdana"/>
          <w:sz w:val="13"/>
          <w:szCs w:val="13"/>
          <w:color w:val="auto"/>
        </w:rPr>
        <w:t>.</w:t>
      </w:r>
    </w:p>
    <w:p>
      <w:pPr>
        <w:ind w:left="480" w:hanging="310"/>
        <w:spacing w:after="0"/>
        <w:tabs>
          <w:tab w:leader="none" w:pos="480" w:val="left"/>
        </w:tabs>
        <w:numPr>
          <w:ilvl w:val="0"/>
          <w:numId w:val="59"/>
        </w:numPr>
        <w:rPr>
          <w:rFonts w:ascii="Verdana" w:cs="Verdana" w:eastAsia="Verdana" w:hAnsi="Verdana"/>
          <w:sz w:val="13"/>
          <w:szCs w:val="13"/>
          <w:color w:val="auto"/>
        </w:rPr>
      </w:pPr>
      <w:r>
        <w:rPr>
          <w:rFonts w:ascii="Verdana" w:cs="Verdana" w:eastAsia="Verdana" w:hAnsi="Verdana"/>
          <w:sz w:val="13"/>
          <w:szCs w:val="13"/>
          <w:color w:val="auto"/>
        </w:rPr>
        <w:t>The year ended December 31, 2021, includes $0.4 million related to a lease obtained in the acquisition of CAC.</w:t>
      </w:r>
    </w:p>
    <w:p>
      <w:pPr>
        <w:spacing w:after="0" w:line="179"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Busey was obligated under noncancelable operating leases for office space and other commitments. Future undiscounted lease payments with initial terms of one year or more, are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573"/>
              <w:spacing w:after="0"/>
              <w:rPr>
                <w:sz w:val="20"/>
                <w:szCs w:val="20"/>
                <w:color w:val="auto"/>
              </w:rPr>
            </w:pPr>
            <w:r>
              <w:rPr>
                <w:rFonts w:ascii="Verdana" w:cs="Verdana" w:eastAsia="Verdana" w:hAnsi="Verdana"/>
                <w:sz w:val="13"/>
                <w:szCs w:val="13"/>
                <w:b w:val="1"/>
                <w:bCs w:val="1"/>
                <w:color w:val="auto"/>
              </w:rPr>
              <w:t>As of</w:t>
            </w:r>
          </w:p>
        </w:tc>
      </w:tr>
      <w:tr>
        <w:trPr>
          <w:trHeight w:val="170"/>
        </w:trPr>
        <w:tc>
          <w:tcPr>
            <w:tcW w:w="9620" w:type="dxa"/>
            <w:vAlign w:val="bottom"/>
            <w:tcBorders>
              <w:bottom w:val="single" w:sz="8" w:color="E0E7ED"/>
            </w:tcBorders>
          </w:tcPr>
          <w:p>
            <w:pPr>
              <w:spacing w:after="0"/>
              <w:rPr>
                <w:sz w:val="14"/>
                <w:szCs w:val="14"/>
                <w:color w:val="auto"/>
              </w:rPr>
            </w:pPr>
          </w:p>
        </w:tc>
        <w:tc>
          <w:tcPr>
            <w:tcW w:w="1620" w:type="dxa"/>
            <w:vAlign w:val="bottom"/>
            <w:tcBorders>
              <w:bottom w:val="single" w:sz="8" w:color="auto"/>
            </w:tcBorders>
            <w:gridSpan w:val="2"/>
          </w:tcPr>
          <w:p>
            <w:pPr>
              <w:jc w:val="right"/>
              <w:ind w:right="33"/>
              <w:spacing w:after="0"/>
              <w:rPr>
                <w:sz w:val="20"/>
                <w:szCs w:val="20"/>
                <w:color w:val="auto"/>
              </w:rPr>
            </w:pPr>
            <w:r>
              <w:rPr>
                <w:rFonts w:ascii="Verdana" w:cs="Verdana" w:eastAsia="Verdana" w:hAnsi="Verdana"/>
                <w:sz w:val="13"/>
                <w:szCs w:val="13"/>
                <w:b w:val="1"/>
                <w:bCs w:val="1"/>
                <w:color w:val="auto"/>
              </w:rPr>
              <w:t>December 31, 2023</w:t>
            </w:r>
          </w:p>
        </w:tc>
      </w:tr>
      <w:tr>
        <w:trPr>
          <w:trHeight w:val="255"/>
        </w:trPr>
        <w:tc>
          <w:tcPr>
            <w:tcW w:w="9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Rent commitments</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r>
      <w:tr>
        <w:trPr>
          <w:trHeight w:val="263"/>
        </w:trPr>
        <w:tc>
          <w:tcPr>
            <w:tcW w:w="9620" w:type="dxa"/>
            <w:vAlign w:val="bottom"/>
          </w:tcPr>
          <w:p>
            <w:pPr>
              <w:ind w:left="180"/>
              <w:spacing w:after="0"/>
              <w:rPr>
                <w:sz w:val="20"/>
                <w:szCs w:val="20"/>
                <w:color w:val="auto"/>
              </w:rPr>
            </w:pPr>
            <w:r>
              <w:rPr>
                <w:rFonts w:ascii="Verdana" w:cs="Verdana" w:eastAsia="Verdana" w:hAnsi="Verdana"/>
                <w:sz w:val="18"/>
                <w:szCs w:val="18"/>
                <w:color w:val="auto"/>
              </w:rPr>
              <w:t>2024</w:t>
            </w:r>
          </w:p>
        </w:tc>
        <w:tc>
          <w:tcPr>
            <w:tcW w:w="380" w:type="dxa"/>
            <w:vAlign w:val="bottom"/>
          </w:tcPr>
          <w:p>
            <w:pPr>
              <w:jc w:val="right"/>
              <w:ind w:right="159"/>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2,023</w:t>
            </w:r>
          </w:p>
        </w:tc>
      </w:tr>
      <w:tr>
        <w:trPr>
          <w:trHeight w:val="277"/>
        </w:trPr>
        <w:tc>
          <w:tcPr>
            <w:tcW w:w="9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1,768</w:t>
            </w:r>
          </w:p>
        </w:tc>
      </w:tr>
      <w:tr>
        <w:trPr>
          <w:trHeight w:val="263"/>
        </w:trPr>
        <w:tc>
          <w:tcPr>
            <w:tcW w:w="962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3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1,443</w:t>
            </w:r>
          </w:p>
        </w:tc>
      </w:tr>
      <w:tr>
        <w:trPr>
          <w:trHeight w:val="277"/>
        </w:trPr>
        <w:tc>
          <w:tcPr>
            <w:tcW w:w="9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1,277</w:t>
            </w:r>
          </w:p>
        </w:tc>
      </w:tr>
      <w:tr>
        <w:trPr>
          <w:trHeight w:val="263"/>
        </w:trPr>
        <w:tc>
          <w:tcPr>
            <w:tcW w:w="9620" w:type="dxa"/>
            <w:vAlign w:val="bottom"/>
          </w:tcPr>
          <w:p>
            <w:pPr>
              <w:ind w:left="180"/>
              <w:spacing w:after="0"/>
              <w:rPr>
                <w:sz w:val="20"/>
                <w:szCs w:val="20"/>
                <w:color w:val="auto"/>
              </w:rPr>
            </w:pPr>
            <w:r>
              <w:rPr>
                <w:rFonts w:ascii="Verdana" w:cs="Verdana" w:eastAsia="Verdana" w:hAnsi="Verdana"/>
                <w:sz w:val="18"/>
                <w:szCs w:val="18"/>
                <w:color w:val="auto"/>
              </w:rPr>
              <w:t>2028</w:t>
            </w:r>
          </w:p>
        </w:tc>
        <w:tc>
          <w:tcPr>
            <w:tcW w:w="3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1,255</w:t>
            </w:r>
          </w:p>
        </w:tc>
      </w:tr>
      <w:tr>
        <w:trPr>
          <w:trHeight w:val="270"/>
        </w:trPr>
        <w:tc>
          <w:tcPr>
            <w:tcW w:w="9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Thereafter</w:t>
            </w:r>
          </w:p>
        </w:tc>
        <w:tc>
          <w:tcPr>
            <w:tcW w:w="3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5,478</w:t>
            </w:r>
          </w:p>
        </w:tc>
      </w:tr>
      <w:tr>
        <w:trPr>
          <w:trHeight w:val="263"/>
        </w:trPr>
        <w:tc>
          <w:tcPr>
            <w:tcW w:w="9620" w:type="dxa"/>
            <w:vAlign w:val="bottom"/>
          </w:tcPr>
          <w:p>
            <w:pPr>
              <w:ind w:left="20"/>
              <w:spacing w:after="0"/>
              <w:rPr>
                <w:sz w:val="20"/>
                <w:szCs w:val="20"/>
                <w:color w:val="auto"/>
              </w:rPr>
            </w:pPr>
            <w:r>
              <w:rPr>
                <w:rFonts w:ascii="Verdana" w:cs="Verdana" w:eastAsia="Verdana" w:hAnsi="Verdana"/>
                <w:sz w:val="18"/>
                <w:szCs w:val="18"/>
                <w:color w:val="auto"/>
              </w:rPr>
              <w:t>Total undiscounted cash flows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13,244</w:t>
            </w:r>
          </w:p>
        </w:tc>
      </w:tr>
      <w:tr>
        <w:trPr>
          <w:trHeight w:val="270"/>
        </w:trPr>
        <w:tc>
          <w:tcPr>
            <w:tcW w:w="9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Less: Amounts representing interest</w:t>
            </w:r>
          </w:p>
        </w:tc>
        <w:tc>
          <w:tcPr>
            <w:tcW w:w="3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1,936</w:t>
            </w:r>
          </w:p>
        </w:tc>
      </w:tr>
      <w:tr>
        <w:trPr>
          <w:trHeight w:val="270"/>
        </w:trPr>
        <w:tc>
          <w:tcPr>
            <w:tcW w:w="9620" w:type="dxa"/>
            <w:vAlign w:val="bottom"/>
          </w:tcPr>
          <w:p>
            <w:pPr>
              <w:ind w:left="20"/>
              <w:spacing w:after="0"/>
              <w:rPr>
                <w:sz w:val="20"/>
                <w:szCs w:val="20"/>
                <w:color w:val="auto"/>
              </w:rPr>
            </w:pPr>
            <w:r>
              <w:rPr>
                <w:rFonts w:ascii="Verdana" w:cs="Verdana" w:eastAsia="Verdana" w:hAnsi="Verdana"/>
                <w:sz w:val="18"/>
                <w:szCs w:val="18"/>
                <w:color w:val="auto"/>
              </w:rPr>
              <w:t>Present value of net future minimum lease payments</w:t>
            </w:r>
          </w:p>
        </w:tc>
        <w:tc>
          <w:tcPr>
            <w:tcW w:w="380" w:type="dxa"/>
            <w:vAlign w:val="bottom"/>
            <w:tcBorders>
              <w:bottom w:val="single" w:sz="8" w:color="auto"/>
            </w:tcBorders>
          </w:tcPr>
          <w:p>
            <w:pPr>
              <w:jc w:val="right"/>
              <w:ind w:right="159"/>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11,308</w:t>
            </w:r>
          </w:p>
        </w:tc>
      </w:tr>
      <w:tr>
        <w:trPr>
          <w:trHeight w:val="21"/>
        </w:trPr>
        <w:tc>
          <w:tcPr>
            <w:tcW w:w="9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as The Lessor</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occasionally leases parking lots and office space to outside parties. Revenues recorded in connection with these leases, reported in other income on our </w:t>
      </w:r>
      <w:r>
        <w:rPr>
          <w:rFonts w:ascii="Verdana" w:cs="Verdana" w:eastAsia="Verdana" w:hAnsi="Verdana"/>
          <w:sz w:val="18"/>
          <w:szCs w:val="18"/>
          <w:u w:val="single" w:color="auto"/>
          <w:color w:val="0000FF"/>
        </w:rPr>
        <w:t>Consolidated Statements of Income</w:t>
      </w:r>
      <w:r>
        <w:rPr>
          <w:rFonts w:ascii="Verdana" w:cs="Verdana" w:eastAsia="Verdana" w:hAnsi="Verdana"/>
          <w:sz w:val="18"/>
          <w:szCs w:val="18"/>
          <w:color w:val="auto"/>
        </w:rPr>
        <w:t xml:space="preserve">, are summarized as follows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right="23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106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2021</w:t>
            </w:r>
          </w:p>
        </w:tc>
      </w:tr>
      <w:tr>
        <w:trPr>
          <w:trHeight w:val="269"/>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Rental income</w:t>
            </w:r>
          </w:p>
        </w:tc>
        <w:tc>
          <w:tcPr>
            <w:tcW w:w="1060" w:type="dxa"/>
            <w:vAlign w:val="bottom"/>
            <w:shd w:val="clear" w:color="auto" w:fill="E0E7ED"/>
          </w:tcPr>
          <w:p>
            <w:pPr>
              <w:jc w:val="right"/>
              <w:ind w:right="864"/>
              <w:spacing w:after="0"/>
              <w:rPr>
                <w:sz w:val="20"/>
                <w:szCs w:val="20"/>
                <w:color w:val="auto"/>
              </w:rPr>
            </w:pPr>
            <w:r>
              <w:rPr>
                <w:rFonts w:ascii="Verdana" w:cs="Verdana" w:eastAsia="Verdana" w:hAnsi="Verdana"/>
                <w:sz w:val="18"/>
                <w:szCs w:val="18"/>
                <w:color w:val="auto"/>
                <w:w w:val="86"/>
              </w:rPr>
              <w:t>$</w:t>
            </w:r>
          </w:p>
        </w:tc>
        <w:tc>
          <w:tcPr>
            <w:tcW w:w="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724</w:t>
            </w:r>
          </w:p>
        </w:tc>
        <w:tc>
          <w:tcPr>
            <w:tcW w:w="560" w:type="dxa"/>
            <w:vAlign w:val="bottom"/>
            <w:gridSpan w:val="3"/>
            <w:shd w:val="clear" w:color="auto" w:fill="E0E7ED"/>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707</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566</w:t>
            </w:r>
          </w:p>
        </w:tc>
      </w:tr>
    </w:tbl>
    <w:p>
      <w:pPr>
        <w:spacing w:after="0" w:line="30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7" w:name="page138"/>
    <w:bookmarkEnd w:id="13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7. GOODWILL AND OTHER INTANGIBLE ASSETS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Goodwill</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Busey’s goodwill is associated with its three operating segments, Banking, Wealth Management, and FirsTech. Goodwill is tested annually for impairment, and as part of this analysis, the reporting unit's carrying value is compared to its estimated fair value. Based on the impairment testing performed at December 31, 2023, there were no indicators of potential impairment.</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color w:val="auto"/>
        </w:rPr>
        <w:t>Busey did not record any new goodwill during the years ended December 31, 2023, or 2022.</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carrying amount of goodwill by operating segment is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5"/>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9"/>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Goodwill</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294,773</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294,773</w:t>
            </w: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14,108</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14,108</w:t>
            </w:r>
          </w:p>
        </w:tc>
      </w:tr>
      <w:tr>
        <w:trPr>
          <w:trHeight w:val="263"/>
        </w:trPr>
        <w:tc>
          <w:tcPr>
            <w:tcW w:w="7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FirsTech</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8,992</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8,992</w:t>
            </w:r>
          </w:p>
        </w:tc>
      </w:tr>
      <w:tr>
        <w:trPr>
          <w:trHeight w:val="295"/>
        </w:trPr>
        <w:tc>
          <w:tcPr>
            <w:tcW w:w="79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goodwill</w:t>
            </w: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317,873</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317,873</w:t>
            </w:r>
          </w:p>
        </w:tc>
      </w:tr>
      <w:tr>
        <w:trPr>
          <w:trHeight w:val="20"/>
        </w:trPr>
        <w:tc>
          <w:tcPr>
            <w:tcW w:w="79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Indefinite-lived intangible assets, such as goodwill, are not amortized. Goodwill is Busey's only indefinite-lived intangible asset.</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Intangible Assets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Core deposit and customer relationship intangible assets are amortized over the estimated period during which Busey expects to benefit from the assets. Intangible asset disclosures are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Verdana" w:cs="Verdana" w:eastAsia="Verdana" w:hAnsi="Verdana"/>
                <w:sz w:val="13"/>
                <w:szCs w:val="13"/>
                <w:b w:val="1"/>
                <w:bCs w:val="1"/>
                <w:color w:val="auto"/>
                <w:w w:val="96"/>
              </w:rPr>
              <w:t>As of December 31, 2023</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vMerge w:val="restart"/>
          </w:tcPr>
          <w:p>
            <w:pPr>
              <w:jc w:val="center"/>
              <w:ind w:right="161"/>
              <w:spacing w:after="0"/>
              <w:rPr>
                <w:sz w:val="20"/>
                <w:szCs w:val="20"/>
                <w:color w:val="auto"/>
              </w:rPr>
            </w:pPr>
            <w:r>
              <w:rPr>
                <w:rFonts w:ascii="Verdana" w:cs="Verdana" w:eastAsia="Verdana" w:hAnsi="Verdana"/>
                <w:sz w:val="13"/>
                <w:szCs w:val="13"/>
                <w:b w:val="1"/>
                <w:bCs w:val="1"/>
                <w:color w:val="auto"/>
                <w:w w:val="95"/>
              </w:rPr>
              <w:t>Core deposit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6"/>
              </w:rPr>
              <w:t>Customer</w:t>
            </w: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6"/>
              </w:rPr>
              <w:t>relationship</w:t>
            </w:r>
          </w:p>
        </w:tc>
        <w:tc>
          <w:tcPr>
            <w:tcW w:w="380" w:type="dxa"/>
            <w:vAlign w:val="bottom"/>
          </w:tcPr>
          <w:p>
            <w:pPr>
              <w:spacing w:after="0"/>
              <w:rPr>
                <w:sz w:val="10"/>
                <w:szCs w:val="10"/>
                <w:color w:val="auto"/>
              </w:rPr>
            </w:pPr>
          </w:p>
        </w:tc>
        <w:tc>
          <w:tcPr>
            <w:tcW w:w="1220" w:type="dxa"/>
            <w:vAlign w:val="bottom"/>
            <w:vMerge w:val="restart"/>
          </w:tcPr>
          <w:p>
            <w:pPr>
              <w:jc w:val="right"/>
              <w:ind w:right="537"/>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81"/>
              <w:spacing w:after="0"/>
              <w:rPr>
                <w:sz w:val="20"/>
                <w:szCs w:val="20"/>
                <w:color w:val="auto"/>
              </w:rPr>
            </w:pPr>
            <w:r>
              <w:rPr>
                <w:rFonts w:ascii="Verdana" w:cs="Verdana" w:eastAsia="Verdana" w:hAnsi="Verdana"/>
                <w:sz w:val="13"/>
                <w:szCs w:val="13"/>
                <w:b w:val="1"/>
                <w:bCs w:val="1"/>
                <w:color w:val="auto"/>
                <w:w w:val="95"/>
              </w:rPr>
              <w:t>intangible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8"/>
              </w:rPr>
              <w:t>intangible</w:t>
            </w:r>
          </w:p>
        </w:tc>
        <w:tc>
          <w:tcPr>
            <w:tcW w:w="3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Intangible Assets</w:t>
            </w:r>
          </w:p>
        </w:tc>
        <w:tc>
          <w:tcPr>
            <w:tcW w:w="240" w:type="dxa"/>
            <w:vAlign w:val="bottom"/>
            <w:tcBorders>
              <w:top w:val="single" w:sz="8" w:color="auto"/>
            </w:tcBorders>
            <w:shd w:val="clear" w:color="auto" w:fill="E0E7ED"/>
          </w:tcPr>
          <w:p>
            <w:pPr>
              <w:spacing w:after="0"/>
              <w:rPr>
                <w:sz w:val="22"/>
                <w:szCs w:val="22"/>
                <w:color w:val="auto"/>
              </w:rPr>
            </w:pPr>
          </w:p>
        </w:tc>
        <w:tc>
          <w:tcPr>
            <w:tcW w:w="13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3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Intangible assets, gross</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60" w:type="dxa"/>
            <w:vAlign w:val="bottom"/>
          </w:tcPr>
          <w:p>
            <w:pPr>
              <w:jc w:val="right"/>
              <w:ind w:right="21"/>
              <w:spacing w:after="0"/>
              <w:rPr>
                <w:sz w:val="20"/>
                <w:szCs w:val="20"/>
                <w:color w:val="auto"/>
              </w:rPr>
            </w:pPr>
            <w:r>
              <w:rPr>
                <w:rFonts w:ascii="Verdana" w:cs="Verdana" w:eastAsia="Verdana" w:hAnsi="Verdana"/>
                <w:sz w:val="18"/>
                <w:szCs w:val="18"/>
                <w:color w:val="auto"/>
              </w:rPr>
              <w:t>99,065</w:t>
            </w:r>
          </w:p>
        </w:tc>
        <w:tc>
          <w:tcPr>
            <w:tcW w:w="34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24"/>
              <w:spacing w:after="0"/>
              <w:rPr>
                <w:sz w:val="20"/>
                <w:szCs w:val="20"/>
                <w:color w:val="auto"/>
              </w:rPr>
            </w:pPr>
            <w:r>
              <w:rPr>
                <w:rFonts w:ascii="Verdana" w:cs="Verdana" w:eastAsia="Verdana" w:hAnsi="Verdana"/>
                <w:sz w:val="18"/>
                <w:szCs w:val="18"/>
                <w:color w:val="auto"/>
              </w:rPr>
              <w:t>33,138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132,203</w:t>
            </w:r>
          </w:p>
        </w:tc>
        <w:tc>
          <w:tcPr>
            <w:tcW w:w="0" w:type="dxa"/>
            <w:vAlign w:val="bottom"/>
          </w:tcPr>
          <w:p>
            <w:pPr>
              <w:spacing w:after="0"/>
              <w:rPr>
                <w:sz w:val="1"/>
                <w:szCs w:val="1"/>
                <w:color w:val="auto"/>
              </w:rPr>
            </w:pP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Accumulated amortization</w:t>
            </w:r>
          </w:p>
        </w:tc>
        <w:tc>
          <w:tcPr>
            <w:tcW w:w="240" w:type="dxa"/>
            <w:vAlign w:val="bottom"/>
            <w:tcBorders>
              <w:bottom w:val="single" w:sz="8" w:color="auto"/>
            </w:tcBorders>
            <w:shd w:val="clear" w:color="auto" w:fill="E0E7ED"/>
          </w:tcPr>
          <w:p>
            <w:pPr>
              <w:spacing w:after="0"/>
              <w:rPr>
                <w:sz w:val="23"/>
                <w:szCs w:val="23"/>
                <w:color w:val="auto"/>
              </w:rPr>
            </w:pPr>
          </w:p>
        </w:tc>
        <w:tc>
          <w:tcPr>
            <w:tcW w:w="136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71,092</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36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25,120</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96,212</w:t>
            </w:r>
          </w:p>
        </w:tc>
        <w:tc>
          <w:tcPr>
            <w:tcW w:w="0" w:type="dxa"/>
            <w:vAlign w:val="bottom"/>
          </w:tcPr>
          <w:p>
            <w:pPr>
              <w:spacing w:after="0"/>
              <w:rPr>
                <w:sz w:val="1"/>
                <w:szCs w:val="1"/>
                <w:color w:val="auto"/>
              </w:rPr>
            </w:pP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Intangible assets, net</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60" w:type="dxa"/>
            <w:vAlign w:val="bottom"/>
          </w:tcPr>
          <w:p>
            <w:pPr>
              <w:jc w:val="right"/>
              <w:ind w:right="21"/>
              <w:spacing w:after="0"/>
              <w:rPr>
                <w:sz w:val="20"/>
                <w:szCs w:val="20"/>
                <w:color w:val="auto"/>
              </w:rPr>
            </w:pPr>
            <w:r>
              <w:rPr>
                <w:rFonts w:ascii="Verdana" w:cs="Verdana" w:eastAsia="Verdana" w:hAnsi="Verdana"/>
                <w:sz w:val="18"/>
                <w:szCs w:val="18"/>
                <w:color w:val="auto"/>
              </w:rPr>
              <w:t>27,973</w:t>
            </w:r>
          </w:p>
        </w:tc>
        <w:tc>
          <w:tcPr>
            <w:tcW w:w="34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24"/>
              <w:spacing w:after="0"/>
              <w:rPr>
                <w:sz w:val="20"/>
                <w:szCs w:val="20"/>
                <w:color w:val="auto"/>
              </w:rPr>
            </w:pPr>
            <w:r>
              <w:rPr>
                <w:rFonts w:ascii="Verdana" w:cs="Verdana" w:eastAsia="Verdana" w:hAnsi="Verdana"/>
                <w:sz w:val="18"/>
                <w:szCs w:val="18"/>
                <w:color w:val="auto"/>
              </w:rPr>
              <w:t>8,018</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35,991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6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Verdana" w:cs="Verdana" w:eastAsia="Verdana" w:hAnsi="Verdana"/>
                <w:sz w:val="13"/>
                <w:szCs w:val="13"/>
                <w:b w:val="1"/>
                <w:bCs w:val="1"/>
                <w:color w:val="auto"/>
                <w:w w:val="96"/>
              </w:rPr>
              <w:t>As of December 31, 2022</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vMerge w:val="restart"/>
          </w:tcPr>
          <w:p>
            <w:pPr>
              <w:jc w:val="center"/>
              <w:ind w:right="161"/>
              <w:spacing w:after="0"/>
              <w:rPr>
                <w:sz w:val="20"/>
                <w:szCs w:val="20"/>
                <w:color w:val="auto"/>
              </w:rPr>
            </w:pPr>
            <w:r>
              <w:rPr>
                <w:rFonts w:ascii="Verdana" w:cs="Verdana" w:eastAsia="Verdana" w:hAnsi="Verdana"/>
                <w:sz w:val="13"/>
                <w:szCs w:val="13"/>
                <w:b w:val="1"/>
                <w:bCs w:val="1"/>
                <w:color w:val="auto"/>
                <w:w w:val="95"/>
              </w:rPr>
              <w:t>Core deposit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6"/>
              </w:rPr>
              <w:t>Customer</w:t>
            </w: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6"/>
              </w:rPr>
              <w:t>relationship</w:t>
            </w:r>
          </w:p>
        </w:tc>
        <w:tc>
          <w:tcPr>
            <w:tcW w:w="380" w:type="dxa"/>
            <w:vAlign w:val="bottom"/>
          </w:tcPr>
          <w:p>
            <w:pPr>
              <w:spacing w:after="0"/>
              <w:rPr>
                <w:sz w:val="10"/>
                <w:szCs w:val="10"/>
                <w:color w:val="auto"/>
              </w:rPr>
            </w:pPr>
          </w:p>
        </w:tc>
        <w:tc>
          <w:tcPr>
            <w:tcW w:w="1220" w:type="dxa"/>
            <w:vAlign w:val="bottom"/>
            <w:vMerge w:val="restart"/>
          </w:tcPr>
          <w:p>
            <w:pPr>
              <w:jc w:val="right"/>
              <w:ind w:right="537"/>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81"/>
              <w:spacing w:after="0"/>
              <w:rPr>
                <w:sz w:val="20"/>
                <w:szCs w:val="20"/>
                <w:color w:val="auto"/>
              </w:rPr>
            </w:pPr>
            <w:r>
              <w:rPr>
                <w:rFonts w:ascii="Verdana" w:cs="Verdana" w:eastAsia="Verdana" w:hAnsi="Verdana"/>
                <w:sz w:val="13"/>
                <w:szCs w:val="13"/>
                <w:b w:val="1"/>
                <w:bCs w:val="1"/>
                <w:color w:val="auto"/>
                <w:w w:val="95"/>
              </w:rPr>
              <w:t>intangible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8"/>
              </w:rPr>
              <w:t>intangible</w:t>
            </w:r>
          </w:p>
        </w:tc>
        <w:tc>
          <w:tcPr>
            <w:tcW w:w="3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Intangible Assets</w:t>
            </w:r>
          </w:p>
        </w:tc>
        <w:tc>
          <w:tcPr>
            <w:tcW w:w="240" w:type="dxa"/>
            <w:vAlign w:val="bottom"/>
            <w:tcBorders>
              <w:top w:val="single" w:sz="8" w:color="auto"/>
            </w:tcBorders>
            <w:shd w:val="clear" w:color="auto" w:fill="E0E7ED"/>
          </w:tcPr>
          <w:p>
            <w:pPr>
              <w:spacing w:after="0"/>
              <w:rPr>
                <w:sz w:val="22"/>
                <w:szCs w:val="22"/>
                <w:color w:val="auto"/>
              </w:rPr>
            </w:pPr>
          </w:p>
        </w:tc>
        <w:tc>
          <w:tcPr>
            <w:tcW w:w="13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3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Intangible assets, gross</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60" w:type="dxa"/>
            <w:vAlign w:val="bottom"/>
          </w:tcPr>
          <w:p>
            <w:pPr>
              <w:jc w:val="right"/>
              <w:ind w:right="21"/>
              <w:spacing w:after="0"/>
              <w:rPr>
                <w:sz w:val="20"/>
                <w:szCs w:val="20"/>
                <w:color w:val="auto"/>
              </w:rPr>
            </w:pPr>
            <w:r>
              <w:rPr>
                <w:rFonts w:ascii="Verdana" w:cs="Verdana" w:eastAsia="Verdana" w:hAnsi="Verdana"/>
                <w:sz w:val="18"/>
                <w:szCs w:val="18"/>
                <w:color w:val="auto"/>
              </w:rPr>
              <w:t>99,065</w:t>
            </w:r>
          </w:p>
        </w:tc>
        <w:tc>
          <w:tcPr>
            <w:tcW w:w="34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24"/>
              <w:spacing w:after="0"/>
              <w:rPr>
                <w:sz w:val="20"/>
                <w:szCs w:val="20"/>
                <w:color w:val="auto"/>
              </w:rPr>
            </w:pPr>
            <w:r>
              <w:rPr>
                <w:rFonts w:ascii="Verdana" w:cs="Verdana" w:eastAsia="Verdana" w:hAnsi="Verdana"/>
                <w:sz w:val="18"/>
                <w:szCs w:val="18"/>
                <w:color w:val="auto"/>
              </w:rPr>
              <w:t>33,138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132,203</w:t>
            </w:r>
          </w:p>
        </w:tc>
        <w:tc>
          <w:tcPr>
            <w:tcW w:w="0" w:type="dxa"/>
            <w:vAlign w:val="bottom"/>
          </w:tcPr>
          <w:p>
            <w:pPr>
              <w:spacing w:after="0"/>
              <w:rPr>
                <w:sz w:val="1"/>
                <w:szCs w:val="1"/>
                <w:color w:val="auto"/>
              </w:rPr>
            </w:pP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Accumulated amortization</w:t>
            </w:r>
          </w:p>
        </w:tc>
        <w:tc>
          <w:tcPr>
            <w:tcW w:w="240" w:type="dxa"/>
            <w:vAlign w:val="bottom"/>
            <w:tcBorders>
              <w:bottom w:val="single" w:sz="8" w:color="auto"/>
            </w:tcBorders>
            <w:shd w:val="clear" w:color="auto" w:fill="E0E7ED"/>
          </w:tcPr>
          <w:p>
            <w:pPr>
              <w:spacing w:after="0"/>
              <w:rPr>
                <w:sz w:val="23"/>
                <w:szCs w:val="23"/>
                <w:color w:val="auto"/>
              </w:rPr>
            </w:pPr>
          </w:p>
        </w:tc>
        <w:tc>
          <w:tcPr>
            <w:tcW w:w="136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63,476</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36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22,304</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85,780</w:t>
            </w:r>
          </w:p>
        </w:tc>
        <w:tc>
          <w:tcPr>
            <w:tcW w:w="0" w:type="dxa"/>
            <w:vAlign w:val="bottom"/>
          </w:tcPr>
          <w:p>
            <w:pPr>
              <w:spacing w:after="0"/>
              <w:rPr>
                <w:sz w:val="1"/>
                <w:szCs w:val="1"/>
                <w:color w:val="auto"/>
              </w:rPr>
            </w:pP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Intangible assets, net</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60" w:type="dxa"/>
            <w:vAlign w:val="bottom"/>
          </w:tcPr>
          <w:p>
            <w:pPr>
              <w:jc w:val="right"/>
              <w:ind w:right="21"/>
              <w:spacing w:after="0"/>
              <w:rPr>
                <w:sz w:val="20"/>
                <w:szCs w:val="20"/>
                <w:color w:val="auto"/>
              </w:rPr>
            </w:pPr>
            <w:r>
              <w:rPr>
                <w:rFonts w:ascii="Verdana" w:cs="Verdana" w:eastAsia="Verdana" w:hAnsi="Verdana"/>
                <w:sz w:val="18"/>
                <w:szCs w:val="18"/>
                <w:color w:val="auto"/>
              </w:rPr>
              <w:t>35,589</w:t>
            </w:r>
          </w:p>
        </w:tc>
        <w:tc>
          <w:tcPr>
            <w:tcW w:w="34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24"/>
              <w:spacing w:after="0"/>
              <w:rPr>
                <w:sz w:val="20"/>
                <w:szCs w:val="20"/>
                <w:color w:val="auto"/>
              </w:rPr>
            </w:pPr>
            <w:r>
              <w:rPr>
                <w:rFonts w:ascii="Verdana" w:cs="Verdana" w:eastAsia="Verdana" w:hAnsi="Verdana"/>
                <w:sz w:val="18"/>
                <w:szCs w:val="18"/>
                <w:color w:val="auto"/>
              </w:rPr>
              <w:t>10,834</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46,423</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8" w:name="page139"/>
    <w:bookmarkEnd w:id="13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Amortization expense related to intangible assets, as reflected in Busey's </w:t>
      </w:r>
      <w:r>
        <w:rPr>
          <w:rFonts w:ascii="Verdana" w:cs="Verdana" w:eastAsia="Verdana" w:hAnsi="Verdana"/>
          <w:sz w:val="18"/>
          <w:szCs w:val="18"/>
          <w:u w:val="single" w:color="auto"/>
          <w:color w:val="0000FF"/>
        </w:rPr>
        <w:t>Consolidated Statements of Income</w:t>
      </w:r>
      <w:r>
        <w:rPr>
          <w:rFonts w:ascii="Verdana" w:cs="Verdana" w:eastAsia="Verdana" w:hAnsi="Verdana"/>
          <w:sz w:val="18"/>
          <w:szCs w:val="18"/>
          <w:color w:val="auto"/>
        </w:rPr>
        <w:t xml:space="preserve">, is presented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Amortization Expense</w:t>
            </w:r>
          </w:p>
        </w:tc>
        <w:tc>
          <w:tcPr>
            <w:tcW w:w="36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Core deposit intangible</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7,616</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8,315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8,253</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Customer relationship intangible</w:t>
            </w:r>
          </w:p>
        </w:tc>
        <w:tc>
          <w:tcPr>
            <w:tcW w:w="36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2,816</w:t>
            </w:r>
          </w:p>
        </w:tc>
        <w:tc>
          <w:tcPr>
            <w:tcW w:w="80" w:type="dxa"/>
            <w:vAlign w:val="bottom"/>
            <w:tcBorders>
              <w:bottom w:val="single" w:sz="8" w:color="auto"/>
            </w:tcBorders>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3,313</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3,021</w:t>
            </w: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Amortization of intangible assets</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10,432</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11,628</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11,274</w:t>
            </w:r>
          </w:p>
        </w:tc>
      </w:tr>
      <w:tr>
        <w:trPr>
          <w:trHeight w:val="20"/>
        </w:trPr>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Future expense for the amortization of intangible assets, as estimated, is summarized in the table below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7"/>
          </w:tcPr>
          <w:p>
            <w:pPr>
              <w:jc w:val="center"/>
              <w:ind w:right="20"/>
              <w:spacing w:after="0"/>
              <w:rPr>
                <w:sz w:val="20"/>
                <w:szCs w:val="20"/>
                <w:color w:val="auto"/>
              </w:rPr>
            </w:pPr>
            <w:r>
              <w:rPr>
                <w:rFonts w:ascii="Verdana" w:cs="Verdana" w:eastAsia="Verdana" w:hAnsi="Verdana"/>
                <w:sz w:val="13"/>
                <w:szCs w:val="13"/>
                <w:b w:val="1"/>
                <w:bCs w:val="1"/>
                <w:color w:val="auto"/>
                <w:w w:val="96"/>
              </w:rPr>
              <w:t>As of December 31, 2023</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6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vMerge w:val="restart"/>
          </w:tcPr>
          <w:p>
            <w:pPr>
              <w:jc w:val="right"/>
              <w:ind w:right="276"/>
              <w:spacing w:after="0"/>
              <w:rPr>
                <w:sz w:val="20"/>
                <w:szCs w:val="20"/>
                <w:color w:val="auto"/>
              </w:rPr>
            </w:pPr>
            <w:r>
              <w:rPr>
                <w:rFonts w:ascii="Verdana" w:cs="Verdana" w:eastAsia="Verdana" w:hAnsi="Verdana"/>
                <w:sz w:val="13"/>
                <w:szCs w:val="13"/>
                <w:b w:val="1"/>
                <w:bCs w:val="1"/>
                <w:color w:val="auto"/>
                <w:w w:val="95"/>
              </w:rPr>
              <w:t>Core deposit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4"/>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6"/>
              </w:rPr>
              <w:t>Customer</w:t>
            </w: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4"/>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6"/>
              </w:rPr>
              <w:t>relationship</w:t>
            </w:r>
          </w:p>
        </w:tc>
        <w:tc>
          <w:tcPr>
            <w:tcW w:w="300" w:type="dxa"/>
            <w:vAlign w:val="bottom"/>
          </w:tcPr>
          <w:p>
            <w:pPr>
              <w:spacing w:after="0"/>
              <w:rPr>
                <w:sz w:val="10"/>
                <w:szCs w:val="10"/>
                <w:color w:val="auto"/>
              </w:rPr>
            </w:pPr>
          </w:p>
        </w:tc>
        <w:tc>
          <w:tcPr>
            <w:tcW w:w="1300" w:type="dxa"/>
            <w:vAlign w:val="bottom"/>
            <w:vMerge w:val="restart"/>
          </w:tcPr>
          <w:p>
            <w:pPr>
              <w:jc w:val="right"/>
              <w:ind w:right="534"/>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6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376"/>
              <w:spacing w:after="0"/>
              <w:rPr>
                <w:sz w:val="20"/>
                <w:szCs w:val="20"/>
                <w:color w:val="auto"/>
              </w:rPr>
            </w:pPr>
            <w:r>
              <w:rPr>
                <w:rFonts w:ascii="Verdana" w:cs="Verdana" w:eastAsia="Verdana" w:hAnsi="Verdana"/>
                <w:sz w:val="13"/>
                <w:szCs w:val="13"/>
                <w:b w:val="1"/>
                <w:bCs w:val="1"/>
                <w:color w:val="auto"/>
              </w:rPr>
              <w:t>intangible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tcPr>
          <w:p>
            <w:pPr>
              <w:jc w:val="center"/>
              <w:ind w:right="340"/>
              <w:spacing w:after="0"/>
              <w:rPr>
                <w:sz w:val="20"/>
                <w:szCs w:val="20"/>
                <w:color w:val="auto"/>
              </w:rPr>
            </w:pPr>
            <w:r>
              <w:rPr>
                <w:rFonts w:ascii="Verdana" w:cs="Verdana" w:eastAsia="Verdana" w:hAnsi="Verdana"/>
                <w:sz w:val="13"/>
                <w:szCs w:val="13"/>
                <w:b w:val="1"/>
                <w:bCs w:val="1"/>
                <w:color w:val="auto"/>
                <w:w w:val="98"/>
              </w:rPr>
              <w:t>intangible</w:t>
            </w:r>
          </w:p>
        </w:tc>
        <w:tc>
          <w:tcPr>
            <w:tcW w:w="3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Estimated amortization expense</w:t>
            </w:r>
          </w:p>
        </w:tc>
        <w:tc>
          <w:tcPr>
            <w:tcW w:w="3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6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3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3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2024</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6,902</w:t>
            </w:r>
          </w:p>
        </w:tc>
        <w:tc>
          <w:tcPr>
            <w:tcW w:w="340" w:type="dxa"/>
            <w:vAlign w:val="bottom"/>
            <w:gridSpan w:val="3"/>
          </w:tcPr>
          <w:p>
            <w:pPr>
              <w:jc w:val="right"/>
              <w:ind w:right="12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2,318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ind w:right="14"/>
              <w:spacing w:after="0"/>
              <w:rPr>
                <w:sz w:val="20"/>
                <w:szCs w:val="20"/>
                <w:color w:val="auto"/>
              </w:rPr>
            </w:pPr>
            <w:r>
              <w:rPr>
                <w:rFonts w:ascii="Verdana" w:cs="Verdana" w:eastAsia="Verdana" w:hAnsi="Verdana"/>
                <w:sz w:val="18"/>
                <w:szCs w:val="18"/>
                <w:color w:val="auto"/>
              </w:rPr>
              <w:t>9,220</w:t>
            </w:r>
          </w:p>
        </w:tc>
        <w:tc>
          <w:tcPr>
            <w:tcW w:w="0" w:type="dxa"/>
            <w:vAlign w:val="bottom"/>
          </w:tcPr>
          <w:p>
            <w:pPr>
              <w:spacing w:after="0"/>
              <w:rPr>
                <w:sz w:val="1"/>
                <w:szCs w:val="1"/>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5,956</w:t>
            </w:r>
          </w:p>
        </w:tc>
        <w:tc>
          <w:tcPr>
            <w:tcW w:w="6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1,887</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7,843</w:t>
            </w:r>
          </w:p>
        </w:tc>
        <w:tc>
          <w:tcPr>
            <w:tcW w:w="0" w:type="dxa"/>
            <w:vAlign w:val="bottom"/>
          </w:tcPr>
          <w:p>
            <w:pPr>
              <w:spacing w:after="0"/>
              <w:rPr>
                <w:sz w:val="1"/>
                <w:szCs w:val="1"/>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34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5,227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1,479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Verdana" w:cs="Verdana" w:eastAsia="Verdana" w:hAnsi="Verdana"/>
                <w:sz w:val="18"/>
                <w:szCs w:val="18"/>
                <w:color w:val="auto"/>
              </w:rPr>
              <w:t>6,706</w:t>
            </w:r>
          </w:p>
        </w:tc>
        <w:tc>
          <w:tcPr>
            <w:tcW w:w="0" w:type="dxa"/>
            <w:vAlign w:val="bottom"/>
          </w:tcPr>
          <w:p>
            <w:pPr>
              <w:spacing w:after="0"/>
              <w:rPr>
                <w:sz w:val="1"/>
                <w:szCs w:val="1"/>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4,490</w:t>
            </w:r>
          </w:p>
        </w:tc>
        <w:tc>
          <w:tcPr>
            <w:tcW w:w="6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1,091</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5,581</w:t>
            </w:r>
          </w:p>
        </w:tc>
        <w:tc>
          <w:tcPr>
            <w:tcW w:w="0" w:type="dxa"/>
            <w:vAlign w:val="bottom"/>
          </w:tcPr>
          <w:p>
            <w:pPr>
              <w:spacing w:after="0"/>
              <w:rPr>
                <w:sz w:val="1"/>
                <w:szCs w:val="1"/>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2028</w:t>
            </w:r>
          </w:p>
        </w:tc>
        <w:tc>
          <w:tcPr>
            <w:tcW w:w="34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3,740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703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Verdana" w:cs="Verdana" w:eastAsia="Verdana" w:hAnsi="Verdana"/>
                <w:sz w:val="18"/>
                <w:szCs w:val="18"/>
                <w:color w:val="auto"/>
              </w:rPr>
              <w:t>4,443</w:t>
            </w:r>
          </w:p>
        </w:tc>
        <w:tc>
          <w:tcPr>
            <w:tcW w:w="0" w:type="dxa"/>
            <w:vAlign w:val="bottom"/>
          </w:tcPr>
          <w:p>
            <w:pPr>
              <w:spacing w:after="0"/>
              <w:rPr>
                <w:sz w:val="1"/>
                <w:szCs w:val="1"/>
                <w:color w:val="auto"/>
              </w:rPr>
            </w:pP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Thereafter</w:t>
            </w: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1,658</w:t>
            </w:r>
          </w:p>
        </w:tc>
        <w:tc>
          <w:tcPr>
            <w:tcW w:w="6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540</w:t>
            </w:r>
          </w:p>
        </w:tc>
        <w:tc>
          <w:tcPr>
            <w:tcW w:w="20" w:type="dxa"/>
            <w:vAlign w:val="bottom"/>
            <w:tcBorders>
              <w:bottom w:val="single" w:sz="8" w:color="auto"/>
            </w:tcBorders>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2,198</w:t>
            </w:r>
          </w:p>
        </w:tc>
        <w:tc>
          <w:tcPr>
            <w:tcW w:w="0" w:type="dxa"/>
            <w:vAlign w:val="bottom"/>
          </w:tcPr>
          <w:p>
            <w:pPr>
              <w:spacing w:after="0"/>
              <w:rPr>
                <w:sz w:val="1"/>
                <w:szCs w:val="1"/>
                <w:color w:val="auto"/>
              </w:rPr>
            </w:pP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Total estimated amortization expense</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27,973</w:t>
            </w:r>
          </w:p>
        </w:tc>
        <w:tc>
          <w:tcPr>
            <w:tcW w:w="340" w:type="dxa"/>
            <w:vAlign w:val="bottom"/>
            <w:gridSpan w:val="3"/>
          </w:tcPr>
          <w:p>
            <w:pPr>
              <w:jc w:val="right"/>
              <w:ind w:right="12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8,018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35,991</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Verdana" w:cs="Verdana" w:eastAsia="Verdana" w:hAnsi="Verdana"/>
                <w:sz w:val="18"/>
                <w:szCs w:val="18"/>
                <w:b w:val="1"/>
                <w:bCs w:val="1"/>
                <w:color w:val="auto"/>
              </w:rPr>
              <w:t>NOTE 8. DEPOSITS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6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580" w:type="dxa"/>
            <w:vAlign w:val="bottom"/>
            <w:gridSpan w:val="2"/>
          </w:tcPr>
          <w:p>
            <w:pPr>
              <w:spacing w:after="0"/>
              <w:rPr>
                <w:sz w:val="20"/>
                <w:szCs w:val="20"/>
                <w:color w:val="auto"/>
              </w:rPr>
            </w:pPr>
            <w:r>
              <w:rPr>
                <w:rFonts w:ascii="Verdana" w:cs="Verdana" w:eastAsia="Verdana" w:hAnsi="Verdana"/>
                <w:sz w:val="18"/>
                <w:szCs w:val="18"/>
                <w:color w:val="auto"/>
                <w:w w:val="99"/>
              </w:rPr>
              <w:t xml:space="preserve">The composition of Busey’s deposits is as follows </w:t>
            </w:r>
            <w:r>
              <w:rPr>
                <w:rFonts w:ascii="Verdana" w:cs="Verdana" w:eastAsia="Verdana" w:hAnsi="Verdana"/>
                <w:sz w:val="18"/>
                <w:szCs w:val="18"/>
                <w:i w:val="1"/>
                <w:iCs w:val="1"/>
                <w:color w:val="auto"/>
                <w:w w:val="99"/>
              </w:rPr>
              <w:t>(dollars in thousands)</w:t>
            </w:r>
            <w:r>
              <w:rPr>
                <w:rFonts w:ascii="Verdana" w:cs="Verdana" w:eastAsia="Verdana" w:hAnsi="Verdana"/>
                <w:sz w:val="18"/>
                <w:szCs w:val="18"/>
                <w:color w:val="auto"/>
                <w:w w:val="99"/>
              </w:rPr>
              <w:t>:</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894"/>
              <w:spacing w:after="0"/>
              <w:rPr>
                <w:sz w:val="20"/>
                <w:szCs w:val="20"/>
                <w:color w:val="auto"/>
              </w:rPr>
            </w:pPr>
            <w:r>
              <w:rPr>
                <w:rFonts w:ascii="Verdana" w:cs="Verdana" w:eastAsia="Verdana" w:hAnsi="Verdana"/>
                <w:sz w:val="13"/>
                <w:szCs w:val="13"/>
                <w:b w:val="1"/>
                <w:bCs w:val="1"/>
                <w:color w:val="auto"/>
              </w:rPr>
              <w:t>As of December 31,</w:t>
            </w:r>
          </w:p>
        </w:tc>
        <w:tc>
          <w:tcPr>
            <w:tcW w:w="0" w:type="dxa"/>
            <w:vAlign w:val="bottom"/>
          </w:tcPr>
          <w:p>
            <w:pPr>
              <w:spacing w:after="0"/>
              <w:rPr>
                <w:sz w:val="1"/>
                <w:szCs w:val="1"/>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340" w:type="dxa"/>
            <w:vAlign w:val="bottom"/>
            <w:tcBorders>
              <w:bottom w:val="single" w:sz="8" w:color="E0E7ED"/>
            </w:tcBorders>
          </w:tcPr>
          <w:p>
            <w:pPr>
              <w:spacing w:after="0"/>
              <w:rPr>
                <w:sz w:val="14"/>
                <w:szCs w:val="14"/>
                <w:color w:val="auto"/>
              </w:rPr>
            </w:pPr>
          </w:p>
        </w:tc>
        <w:tc>
          <w:tcPr>
            <w:tcW w:w="1260" w:type="dxa"/>
            <w:vAlign w:val="bottom"/>
            <w:tcBorders>
              <w:bottom w:val="single" w:sz="8" w:color="E0E7ED"/>
            </w:tcBorders>
          </w:tcPr>
          <w:p>
            <w:pPr>
              <w:spacing w:after="0"/>
              <w:rPr>
                <w:sz w:val="14"/>
                <w:szCs w:val="14"/>
                <w:color w:val="auto"/>
              </w:rPr>
            </w:pPr>
          </w:p>
        </w:tc>
        <w:tc>
          <w:tcPr>
            <w:tcW w:w="60" w:type="dxa"/>
            <w:vAlign w:val="bottom"/>
            <w:tcBorders>
              <w:bottom w:val="single" w:sz="8" w:color="E0E7ED"/>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8"/>
              <w:spacing w:after="0"/>
              <w:rPr>
                <w:sz w:val="20"/>
                <w:szCs w:val="20"/>
                <w:color w:val="auto"/>
              </w:rPr>
            </w:pPr>
            <w:r>
              <w:rPr>
                <w:rFonts w:ascii="Verdana" w:cs="Verdana" w:eastAsia="Verdana" w:hAnsi="Verdana"/>
                <w:sz w:val="13"/>
                <w:szCs w:val="13"/>
                <w:b w:val="1"/>
                <w:bCs w:val="1"/>
                <w:color w:val="auto"/>
                <w:w w:val="97"/>
              </w:rPr>
              <w:t>2023</w:t>
            </w:r>
          </w:p>
        </w:tc>
        <w:tc>
          <w:tcPr>
            <w:tcW w:w="2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4"/>
              <w:spacing w:after="0"/>
              <w:rPr>
                <w:sz w:val="20"/>
                <w:szCs w:val="20"/>
                <w:color w:val="auto"/>
              </w:rPr>
            </w:pPr>
            <w:r>
              <w:rPr>
                <w:rFonts w:ascii="Verdana" w:cs="Verdana" w:eastAsia="Verdana" w:hAnsi="Verdana"/>
                <w:sz w:val="13"/>
                <w:szCs w:val="13"/>
                <w:b w:val="1"/>
                <w:bCs w:val="1"/>
                <w:color w:val="auto"/>
              </w:rPr>
              <w:t>2022</w:t>
            </w:r>
          </w:p>
        </w:tc>
        <w:tc>
          <w:tcPr>
            <w:tcW w:w="0" w:type="dxa"/>
            <w:vAlign w:val="bottom"/>
          </w:tcPr>
          <w:p>
            <w:pPr>
              <w:spacing w:after="0"/>
              <w:rPr>
                <w:sz w:val="1"/>
                <w:szCs w:val="1"/>
                <w:color w:val="auto"/>
              </w:rPr>
            </w:pP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Deposits</w:t>
            </w:r>
          </w:p>
        </w:tc>
        <w:tc>
          <w:tcPr>
            <w:tcW w:w="3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60" w:type="dxa"/>
            <w:vAlign w:val="bottom"/>
            <w:shd w:val="clear" w:color="auto" w:fill="E0E7ED"/>
          </w:tcPr>
          <w:p>
            <w:pPr>
              <w:spacing w:after="0"/>
              <w:rPr>
                <w:sz w:val="22"/>
                <w:szCs w:val="22"/>
                <w:color w:val="auto"/>
              </w:rPr>
            </w:pPr>
          </w:p>
        </w:tc>
        <w:tc>
          <w:tcPr>
            <w:tcW w:w="4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Noninterest-bearing demand deposits</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gridSpan w:val="3"/>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2,834,655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3,393,666</w:t>
            </w:r>
          </w:p>
        </w:tc>
        <w:tc>
          <w:tcPr>
            <w:tcW w:w="0" w:type="dxa"/>
            <w:vAlign w:val="bottom"/>
          </w:tcPr>
          <w:p>
            <w:pPr>
              <w:spacing w:after="0"/>
              <w:rPr>
                <w:sz w:val="1"/>
                <w:szCs w:val="1"/>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Interest-bearing transaction deposits</w:t>
            </w: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6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2,717,139</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2,857,818</w:t>
            </w:r>
          </w:p>
        </w:tc>
        <w:tc>
          <w:tcPr>
            <w:tcW w:w="0" w:type="dxa"/>
            <w:vAlign w:val="bottom"/>
          </w:tcPr>
          <w:p>
            <w:pPr>
              <w:spacing w:after="0"/>
              <w:rPr>
                <w:sz w:val="1"/>
                <w:szCs w:val="1"/>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Saving deposits and money market deposits</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2,920,088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2,964,421</w:t>
            </w:r>
          </w:p>
        </w:tc>
        <w:tc>
          <w:tcPr>
            <w:tcW w:w="0" w:type="dxa"/>
            <w:vAlign w:val="bottom"/>
          </w:tcPr>
          <w:p>
            <w:pPr>
              <w:spacing w:after="0"/>
              <w:rPr>
                <w:sz w:val="1"/>
                <w:szCs w:val="1"/>
                <w:color w:val="auto"/>
              </w:rPr>
            </w:pP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Time deposits</w:t>
            </w:r>
          </w:p>
        </w:tc>
        <w:tc>
          <w:tcPr>
            <w:tcW w:w="3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60" w:type="dxa"/>
            <w:vAlign w:val="bottom"/>
            <w:shd w:val="clear" w:color="auto" w:fill="E0E7ED"/>
          </w:tcPr>
          <w:p>
            <w:pPr>
              <w:spacing w:after="0"/>
              <w:rPr>
                <w:sz w:val="23"/>
                <w:szCs w:val="23"/>
                <w:color w:val="auto"/>
              </w:rPr>
            </w:pPr>
          </w:p>
        </w:tc>
        <w:tc>
          <w:tcPr>
            <w:tcW w:w="40" w:type="dxa"/>
            <w:vAlign w:val="bottom"/>
            <w:tcBorders>
              <w:bottom w:val="single" w:sz="8" w:color="auto"/>
            </w:tcBorders>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1,819,274</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tcBorders>
              <w:bottom w:val="single" w:sz="8" w:color="auto"/>
            </w:tcBorders>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855,375</w:t>
            </w:r>
          </w:p>
        </w:tc>
        <w:tc>
          <w:tcPr>
            <w:tcW w:w="0" w:type="dxa"/>
            <w:vAlign w:val="bottom"/>
          </w:tcPr>
          <w:p>
            <w:pPr>
              <w:spacing w:after="0"/>
              <w:rPr>
                <w:sz w:val="1"/>
                <w:szCs w:val="1"/>
                <w:color w:val="auto"/>
              </w:rPr>
            </w:pP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Total deposits</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gridSpan w:val="3"/>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10,291,156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10,071,280</w:t>
            </w:r>
          </w:p>
        </w:tc>
        <w:tc>
          <w:tcPr>
            <w:tcW w:w="0" w:type="dxa"/>
            <w:vAlign w:val="bottom"/>
          </w:tcPr>
          <w:p>
            <w:pPr>
              <w:spacing w:after="0"/>
              <w:rPr>
                <w:sz w:val="1"/>
                <w:szCs w:val="1"/>
                <w:color w:val="auto"/>
              </w:rPr>
            </w:pPr>
          </w:p>
        </w:tc>
      </w:tr>
      <w:tr>
        <w:trPr>
          <w:trHeight w:val="20"/>
        </w:trPr>
        <w:tc>
          <w:tcPr>
            <w:tcW w:w="7840" w:type="dxa"/>
            <w:vAlign w:val="bottom"/>
            <w:gridSpan w:val="3"/>
            <w:vMerge w:val="restart"/>
          </w:tcPr>
          <w:p>
            <w:pPr>
              <w:spacing w:after="0"/>
              <w:rPr>
                <w:sz w:val="20"/>
                <w:szCs w:val="20"/>
                <w:color w:val="auto"/>
              </w:rPr>
            </w:pPr>
            <w:r>
              <w:rPr>
                <w:rFonts w:ascii="Verdana" w:cs="Verdana" w:eastAsia="Verdana" w:hAnsi="Verdana"/>
                <w:sz w:val="18"/>
                <w:szCs w:val="18"/>
                <w:color w:val="auto"/>
              </w:rPr>
              <w:t xml:space="preserve">Additional information about Busey’s deposits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8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894"/>
              <w:spacing w:after="0"/>
              <w:rPr>
                <w:sz w:val="20"/>
                <w:szCs w:val="20"/>
                <w:color w:val="auto"/>
              </w:rPr>
            </w:pPr>
            <w:r>
              <w:rPr>
                <w:rFonts w:ascii="Verdana" w:cs="Verdana" w:eastAsia="Verdana" w:hAnsi="Verdana"/>
                <w:sz w:val="13"/>
                <w:szCs w:val="13"/>
                <w:b w:val="1"/>
                <w:bCs w:val="1"/>
                <w:color w:val="auto"/>
              </w:rPr>
              <w:t>As of December 31,</w:t>
            </w:r>
          </w:p>
        </w:tc>
        <w:tc>
          <w:tcPr>
            <w:tcW w:w="0" w:type="dxa"/>
            <w:vAlign w:val="bottom"/>
          </w:tcPr>
          <w:p>
            <w:pPr>
              <w:spacing w:after="0"/>
              <w:rPr>
                <w:sz w:val="1"/>
                <w:szCs w:val="1"/>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340" w:type="dxa"/>
            <w:vAlign w:val="bottom"/>
            <w:tcBorders>
              <w:bottom w:val="single" w:sz="8" w:color="E0E7ED"/>
            </w:tcBorders>
          </w:tcPr>
          <w:p>
            <w:pPr>
              <w:spacing w:after="0"/>
              <w:rPr>
                <w:sz w:val="14"/>
                <w:szCs w:val="14"/>
                <w:color w:val="auto"/>
              </w:rPr>
            </w:pPr>
          </w:p>
        </w:tc>
        <w:tc>
          <w:tcPr>
            <w:tcW w:w="1260" w:type="dxa"/>
            <w:vAlign w:val="bottom"/>
            <w:tcBorders>
              <w:bottom w:val="single" w:sz="8" w:color="E0E7ED"/>
            </w:tcBorders>
          </w:tcPr>
          <w:p>
            <w:pPr>
              <w:spacing w:after="0"/>
              <w:rPr>
                <w:sz w:val="14"/>
                <w:szCs w:val="14"/>
                <w:color w:val="auto"/>
              </w:rPr>
            </w:pPr>
          </w:p>
        </w:tc>
        <w:tc>
          <w:tcPr>
            <w:tcW w:w="60" w:type="dxa"/>
            <w:vAlign w:val="bottom"/>
            <w:tcBorders>
              <w:bottom w:val="single" w:sz="8" w:color="E0E7ED"/>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8"/>
              <w:spacing w:after="0"/>
              <w:rPr>
                <w:sz w:val="20"/>
                <w:szCs w:val="20"/>
                <w:color w:val="auto"/>
              </w:rPr>
            </w:pPr>
            <w:r>
              <w:rPr>
                <w:rFonts w:ascii="Verdana" w:cs="Verdana" w:eastAsia="Verdana" w:hAnsi="Verdana"/>
                <w:sz w:val="13"/>
                <w:szCs w:val="13"/>
                <w:b w:val="1"/>
                <w:bCs w:val="1"/>
                <w:color w:val="auto"/>
                <w:w w:val="97"/>
              </w:rPr>
              <w:t>2023</w:t>
            </w:r>
          </w:p>
        </w:tc>
        <w:tc>
          <w:tcPr>
            <w:tcW w:w="2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4"/>
              <w:spacing w:after="0"/>
              <w:rPr>
                <w:sz w:val="20"/>
                <w:szCs w:val="20"/>
                <w:color w:val="auto"/>
              </w:rPr>
            </w:pPr>
            <w:r>
              <w:rPr>
                <w:rFonts w:ascii="Verdana" w:cs="Verdana" w:eastAsia="Verdana" w:hAnsi="Verdana"/>
                <w:sz w:val="13"/>
                <w:szCs w:val="13"/>
                <w:b w:val="1"/>
                <w:bCs w:val="1"/>
                <w:color w:val="auto"/>
              </w:rPr>
              <w:t>2022</w:t>
            </w:r>
          </w:p>
        </w:tc>
        <w:tc>
          <w:tcPr>
            <w:tcW w:w="0" w:type="dxa"/>
            <w:vAlign w:val="bottom"/>
          </w:tcPr>
          <w:p>
            <w:pPr>
              <w:spacing w:after="0"/>
              <w:rPr>
                <w:sz w:val="1"/>
                <w:szCs w:val="1"/>
                <w:color w:val="auto"/>
              </w:rPr>
            </w:pPr>
          </w:p>
        </w:tc>
      </w:tr>
      <w:tr>
        <w:trPr>
          <w:trHeight w:val="269"/>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Brokered savings deposits and money market deposits</w:t>
            </w:r>
          </w:p>
        </w:tc>
        <w:tc>
          <w:tcPr>
            <w:tcW w:w="3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340" w:type="dxa"/>
            <w:vAlign w:val="bottom"/>
            <w:gridSpan w:val="3"/>
            <w:shd w:val="clear" w:color="auto" w:fill="E0E7ED"/>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6,001</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1,303</w:t>
            </w:r>
          </w:p>
        </w:tc>
        <w:tc>
          <w:tcPr>
            <w:tcW w:w="0" w:type="dxa"/>
            <w:vAlign w:val="bottom"/>
          </w:tcPr>
          <w:p>
            <w:pPr>
              <w:spacing w:after="0"/>
              <w:rPr>
                <w:sz w:val="1"/>
                <w:szCs w:val="1"/>
                <w:color w:val="auto"/>
              </w:rPr>
            </w:pPr>
          </w:p>
        </w:tc>
      </w:tr>
      <w:tr>
        <w:trPr>
          <w:trHeight w:val="263"/>
        </w:trPr>
        <w:tc>
          <w:tcPr>
            <w:tcW w:w="6240" w:type="dxa"/>
            <w:vAlign w:val="bottom"/>
          </w:tcPr>
          <w:p>
            <w:pPr>
              <w:ind w:left="20"/>
              <w:spacing w:after="0"/>
              <w:rPr>
                <w:sz w:val="20"/>
                <w:szCs w:val="20"/>
                <w:color w:val="auto"/>
              </w:rPr>
            </w:pPr>
            <w:r>
              <w:rPr>
                <w:rFonts w:ascii="Verdana" w:cs="Verdana" w:eastAsia="Verdana" w:hAnsi="Verdana"/>
                <w:sz w:val="18"/>
                <w:szCs w:val="18"/>
                <w:color w:val="auto"/>
              </w:rPr>
              <w:t>Brokered time deposits</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275</w:t>
            </w:r>
          </w:p>
        </w:tc>
        <w:tc>
          <w:tcPr>
            <w:tcW w:w="0" w:type="dxa"/>
            <w:vAlign w:val="bottom"/>
          </w:tcPr>
          <w:p>
            <w:pPr>
              <w:spacing w:after="0"/>
              <w:rPr>
                <w:sz w:val="1"/>
                <w:szCs w:val="1"/>
                <w:color w:val="auto"/>
              </w:rPr>
            </w:pPr>
          </w:p>
        </w:tc>
      </w:tr>
      <w:tr>
        <w:trPr>
          <w:trHeight w:val="277"/>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time deposits with a minimum denomination of $100,000</w:t>
            </w: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6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1,072,189</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416,445</w:t>
            </w:r>
          </w:p>
        </w:tc>
        <w:tc>
          <w:tcPr>
            <w:tcW w:w="0" w:type="dxa"/>
            <w:vAlign w:val="bottom"/>
          </w:tcPr>
          <w:p>
            <w:pPr>
              <w:spacing w:after="0"/>
              <w:rPr>
                <w:sz w:val="1"/>
                <w:szCs w:val="1"/>
                <w:color w:val="auto"/>
              </w:rPr>
            </w:pPr>
          </w:p>
        </w:tc>
      </w:tr>
      <w:tr>
        <w:trPr>
          <w:trHeight w:val="238"/>
        </w:trPr>
        <w:tc>
          <w:tcPr>
            <w:tcW w:w="7840" w:type="dxa"/>
            <w:vAlign w:val="bottom"/>
            <w:gridSpan w:val="3"/>
          </w:tcPr>
          <w:p>
            <w:pPr>
              <w:ind w:left="20"/>
              <w:spacing w:after="0"/>
              <w:rPr>
                <w:sz w:val="20"/>
                <w:szCs w:val="20"/>
                <w:color w:val="auto"/>
              </w:rPr>
            </w:pPr>
            <w:r>
              <w:rPr>
                <w:rFonts w:ascii="Verdana" w:cs="Verdana" w:eastAsia="Verdana" w:hAnsi="Verdana"/>
                <w:sz w:val="18"/>
                <w:szCs w:val="18"/>
                <w:color w:val="auto"/>
              </w:rPr>
              <w:t>Total time deposits with a minimum denomination that meets or exceeds the FDIC</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40" w:type="dxa"/>
            <w:vAlign w:val="bottom"/>
          </w:tcPr>
          <w:p>
            <w:pPr>
              <w:ind w:left="20"/>
              <w:spacing w:after="0"/>
              <w:rPr>
                <w:sz w:val="20"/>
                <w:szCs w:val="20"/>
                <w:color w:val="auto"/>
              </w:rPr>
            </w:pPr>
            <w:r>
              <w:rPr>
                <w:rFonts w:ascii="Verdana" w:cs="Verdana" w:eastAsia="Verdana" w:hAnsi="Verdana"/>
                <w:sz w:val="18"/>
                <w:szCs w:val="18"/>
                <w:color w:val="auto"/>
              </w:rPr>
              <w:t>insurance limit of $250,000</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386,286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120,377</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9"/>
        </w:trPr>
        <w:tc>
          <w:tcPr>
            <w:tcW w:w="1580" w:type="dxa"/>
            <w:vAlign w:val="bottom"/>
          </w:tcPr>
          <w:p>
            <w:pPr>
              <w:spacing w:after="0"/>
              <w:rPr>
                <w:sz w:val="20"/>
                <w:szCs w:val="20"/>
                <w:color w:val="auto"/>
              </w:rPr>
            </w:pPr>
            <w:r>
              <w:rPr>
                <w:rFonts w:ascii="Verdana" w:cs="Verdana" w:eastAsia="Verdana" w:hAnsi="Verdana"/>
                <w:sz w:val="18"/>
                <w:szCs w:val="18"/>
                <w:color w:val="0000FF"/>
                <w:w w:val="97"/>
              </w:rPr>
              <w:t>Table of Contents</w:t>
            </w:r>
          </w:p>
        </w:tc>
        <w:tc>
          <w:tcPr>
            <w:tcW w:w="260" w:type="dxa"/>
            <w:vAlign w:val="bottom"/>
          </w:tcPr>
          <w:p>
            <w:pPr>
              <w:spacing w:after="0"/>
              <w:rPr>
                <w:sz w:val="19"/>
                <w:szCs w:val="19"/>
                <w:color w:val="auto"/>
              </w:rPr>
            </w:pPr>
          </w:p>
        </w:tc>
        <w:tc>
          <w:tcPr>
            <w:tcW w:w="8140" w:type="dxa"/>
            <w:vAlign w:val="bottom"/>
            <w:gridSpan w:val="3"/>
          </w:tcPr>
          <w:p>
            <w:pPr>
              <w:jc w:val="right"/>
              <w:ind w:right="2237"/>
              <w:spacing w:after="0"/>
              <w:rPr>
                <w:sz w:val="20"/>
                <w:szCs w:val="20"/>
                <w:color w:val="auto"/>
              </w:rPr>
            </w:pPr>
            <w:r>
              <w:rPr>
                <w:rFonts w:ascii="Verdana" w:cs="Verdana" w:eastAsia="Verdana" w:hAnsi="Verdana"/>
                <w:sz w:val="18"/>
                <w:szCs w:val="18"/>
                <w:color w:val="0000FF"/>
                <w:w w:val="99"/>
              </w:rPr>
              <w:t>Contents of Item 8. Financial Statements &amp; Supplementary Data</w:t>
            </w:r>
          </w:p>
        </w:tc>
        <w:tc>
          <w:tcPr>
            <w:tcW w:w="1260" w:type="dxa"/>
            <w:vAlign w:val="bottom"/>
          </w:tcPr>
          <w:p>
            <w:pPr>
              <w:spacing w:after="0"/>
              <w:rPr>
                <w:sz w:val="19"/>
                <w:szCs w:val="19"/>
                <w:color w:val="auto"/>
              </w:rPr>
            </w:pPr>
          </w:p>
        </w:tc>
      </w:tr>
      <w:tr>
        <w:trPr>
          <w:trHeight w:val="461"/>
        </w:trPr>
        <w:tc>
          <w:tcPr>
            <w:tcW w:w="15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840" w:type="dxa"/>
            <w:vAlign w:val="bottom"/>
            <w:tcBorders>
              <w:top w:val="single" w:sz="8" w:color="0000FF"/>
            </w:tcBorders>
          </w:tcPr>
          <w:p>
            <w:pPr>
              <w:ind w:left="2320"/>
              <w:spacing w:after="0"/>
              <w:rPr>
                <w:sz w:val="20"/>
                <w:szCs w:val="20"/>
                <w:color w:val="auto"/>
              </w:rPr>
            </w:pPr>
            <w:r>
              <w:rPr>
                <w:rFonts w:ascii="Verdana" w:cs="Verdana" w:eastAsia="Verdana" w:hAnsi="Verdana"/>
                <w:sz w:val="18"/>
                <w:szCs w:val="18"/>
                <w:b w:val="1"/>
                <w:bCs w:val="1"/>
                <w:color w:val="auto"/>
              </w:rPr>
              <w:t>FIRST BUSEY CORPORATION</w:t>
            </w:r>
          </w:p>
        </w:tc>
        <w:tc>
          <w:tcPr>
            <w:tcW w:w="230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r>
      <w:tr>
        <w:trPr>
          <w:trHeight w:val="235"/>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140" w:type="dxa"/>
            <w:vAlign w:val="bottom"/>
            <w:gridSpan w:val="3"/>
          </w:tcPr>
          <w:p>
            <w:pPr>
              <w:jc w:val="right"/>
              <w:ind w:right="1657"/>
              <w:spacing w:after="0"/>
              <w:rPr>
                <w:sz w:val="20"/>
                <w:szCs w:val="20"/>
                <w:color w:val="auto"/>
              </w:rPr>
            </w:pPr>
            <w:r>
              <w:rPr>
                <w:rFonts w:ascii="Verdana" w:cs="Verdana" w:eastAsia="Verdana" w:hAnsi="Verdana"/>
                <w:sz w:val="18"/>
                <w:szCs w:val="18"/>
                <w:b w:val="1"/>
                <w:bCs w:val="1"/>
                <w:color w:val="auto"/>
              </w:rPr>
              <w:t>NOTES TO CONSOLIDATED FINANCIAL STATEMENTS</w:t>
            </w:r>
          </w:p>
        </w:tc>
        <w:tc>
          <w:tcPr>
            <w:tcW w:w="1260" w:type="dxa"/>
            <w:vAlign w:val="bottom"/>
          </w:tcPr>
          <w:p>
            <w:pPr>
              <w:spacing w:after="0"/>
              <w:rPr>
                <w:sz w:val="20"/>
                <w:szCs w:val="20"/>
                <w:color w:val="auto"/>
              </w:rPr>
            </w:pPr>
          </w:p>
        </w:tc>
      </w:tr>
      <w:tr>
        <w:trPr>
          <w:trHeight w:val="810"/>
        </w:trPr>
        <w:tc>
          <w:tcPr>
            <w:tcW w:w="9980" w:type="dxa"/>
            <w:vAlign w:val="bottom"/>
            <w:gridSpan w:val="5"/>
          </w:tcPr>
          <w:p>
            <w:pPr>
              <w:spacing w:after="0"/>
              <w:rPr>
                <w:sz w:val="20"/>
                <w:szCs w:val="20"/>
                <w:color w:val="auto"/>
              </w:rPr>
            </w:pPr>
            <w:r>
              <w:rPr>
                <w:rFonts w:ascii="Verdana" w:cs="Verdana" w:eastAsia="Verdana" w:hAnsi="Verdana"/>
                <w:sz w:val="18"/>
                <w:szCs w:val="18"/>
                <w:color w:val="auto"/>
              </w:rPr>
              <w:t xml:space="preserve">Scheduled maturities of time deposits are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tc>
        <w:tc>
          <w:tcPr>
            <w:tcW w:w="1260" w:type="dxa"/>
            <w:vAlign w:val="bottom"/>
          </w:tcPr>
          <w:p>
            <w:pPr>
              <w:spacing w:after="0"/>
              <w:rPr>
                <w:sz w:val="24"/>
                <w:szCs w:val="24"/>
                <w:color w:val="auto"/>
              </w:rPr>
            </w:pPr>
          </w:p>
        </w:tc>
      </w:tr>
      <w:tr>
        <w:trPr>
          <w:trHeight w:val="310"/>
        </w:trPr>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73"/>
              <w:spacing w:after="0"/>
              <w:rPr>
                <w:sz w:val="20"/>
                <w:szCs w:val="20"/>
                <w:color w:val="auto"/>
              </w:rPr>
            </w:pPr>
            <w:r>
              <w:rPr>
                <w:rFonts w:ascii="Verdana" w:cs="Verdana" w:eastAsia="Verdana" w:hAnsi="Verdana"/>
                <w:sz w:val="13"/>
                <w:szCs w:val="13"/>
                <w:b w:val="1"/>
                <w:bCs w:val="1"/>
                <w:color w:val="auto"/>
              </w:rPr>
              <w:t>As of</w:t>
            </w:r>
          </w:p>
        </w:tc>
      </w:tr>
      <w:tr>
        <w:trPr>
          <w:trHeight w:val="170"/>
        </w:trPr>
        <w:tc>
          <w:tcPr>
            <w:tcW w:w="1580" w:type="dxa"/>
            <w:vAlign w:val="bottom"/>
            <w:tcBorders>
              <w:bottom w:val="single" w:sz="8" w:color="E0E7ED"/>
            </w:tcBorders>
          </w:tcPr>
          <w:p>
            <w:pPr>
              <w:spacing w:after="0"/>
              <w:rPr>
                <w:sz w:val="14"/>
                <w:szCs w:val="14"/>
                <w:color w:val="auto"/>
              </w:rPr>
            </w:pPr>
          </w:p>
        </w:tc>
        <w:tc>
          <w:tcPr>
            <w:tcW w:w="260" w:type="dxa"/>
            <w:vAlign w:val="bottom"/>
            <w:tcBorders>
              <w:bottom w:val="single" w:sz="8" w:color="E0E7ED"/>
            </w:tcBorders>
          </w:tcPr>
          <w:p>
            <w:pPr>
              <w:spacing w:after="0"/>
              <w:rPr>
                <w:sz w:val="14"/>
                <w:szCs w:val="14"/>
                <w:color w:val="auto"/>
              </w:rPr>
            </w:pPr>
          </w:p>
        </w:tc>
        <w:tc>
          <w:tcPr>
            <w:tcW w:w="5840" w:type="dxa"/>
            <w:vAlign w:val="bottom"/>
            <w:tcBorders>
              <w:bottom w:val="single" w:sz="8" w:color="E0E7ED"/>
            </w:tcBorders>
          </w:tcPr>
          <w:p>
            <w:pPr>
              <w:spacing w:after="0"/>
              <w:rPr>
                <w:sz w:val="14"/>
                <w:szCs w:val="14"/>
                <w:color w:val="auto"/>
              </w:rPr>
            </w:pPr>
          </w:p>
        </w:tc>
        <w:tc>
          <w:tcPr>
            <w:tcW w:w="1940" w:type="dxa"/>
            <w:vAlign w:val="bottom"/>
            <w:tcBorders>
              <w:bottom w:val="single" w:sz="8" w:color="E0E7ED"/>
            </w:tcBorders>
          </w:tcPr>
          <w:p>
            <w:pPr>
              <w:spacing w:after="0"/>
              <w:rPr>
                <w:sz w:val="14"/>
                <w:szCs w:val="14"/>
                <w:color w:val="auto"/>
              </w:rPr>
            </w:pPr>
          </w:p>
        </w:tc>
        <w:tc>
          <w:tcPr>
            <w:tcW w:w="1620" w:type="dxa"/>
            <w:vAlign w:val="bottom"/>
            <w:tcBorders>
              <w:bottom w:val="single" w:sz="8" w:color="auto"/>
            </w:tcBorders>
            <w:gridSpan w:val="2"/>
          </w:tcPr>
          <w:p>
            <w:pPr>
              <w:jc w:val="right"/>
              <w:ind w:right="33"/>
              <w:spacing w:after="0"/>
              <w:rPr>
                <w:sz w:val="20"/>
                <w:szCs w:val="20"/>
                <w:color w:val="auto"/>
              </w:rPr>
            </w:pPr>
            <w:r>
              <w:rPr>
                <w:rFonts w:ascii="Verdana" w:cs="Verdana" w:eastAsia="Verdana" w:hAnsi="Verdana"/>
                <w:sz w:val="13"/>
                <w:szCs w:val="13"/>
                <w:b w:val="1"/>
                <w:bCs w:val="1"/>
                <w:color w:val="auto"/>
              </w:rPr>
              <w:t>December 31, 2023</w:t>
            </w:r>
          </w:p>
        </w:tc>
      </w:tr>
      <w:tr>
        <w:trPr>
          <w:trHeight w:val="255"/>
        </w:trPr>
        <w:tc>
          <w:tcPr>
            <w:tcW w:w="9980" w:type="dxa"/>
            <w:vAlign w:val="bottom"/>
            <w:gridSpan w:val="5"/>
            <w:shd w:val="clear" w:color="auto" w:fill="E0E7ED"/>
          </w:tcPr>
          <w:p>
            <w:pPr>
              <w:ind w:left="20"/>
              <w:spacing w:after="0"/>
              <w:rPr>
                <w:sz w:val="20"/>
                <w:szCs w:val="20"/>
                <w:color w:val="auto"/>
              </w:rPr>
            </w:pPr>
            <w:r>
              <w:rPr>
                <w:rFonts w:ascii="Verdana" w:cs="Verdana" w:eastAsia="Verdana" w:hAnsi="Verdana"/>
                <w:sz w:val="18"/>
                <w:szCs w:val="18"/>
                <w:b w:val="1"/>
                <w:bCs w:val="1"/>
                <w:color w:val="auto"/>
              </w:rPr>
              <w:t>Time deposits by schedule of maturities</w:t>
            </w:r>
          </w:p>
        </w:tc>
        <w:tc>
          <w:tcPr>
            <w:tcW w:w="1260" w:type="dxa"/>
            <w:vAlign w:val="bottom"/>
            <w:shd w:val="clear" w:color="auto" w:fill="E0E7ED"/>
          </w:tcPr>
          <w:p>
            <w:pPr>
              <w:spacing w:after="0"/>
              <w:rPr>
                <w:sz w:val="22"/>
                <w:szCs w:val="22"/>
                <w:color w:val="auto"/>
              </w:rPr>
            </w:pPr>
          </w:p>
        </w:tc>
      </w:tr>
      <w:tr>
        <w:trPr>
          <w:trHeight w:val="263"/>
        </w:trPr>
        <w:tc>
          <w:tcPr>
            <w:tcW w:w="1580" w:type="dxa"/>
            <w:vAlign w:val="bottom"/>
          </w:tcPr>
          <w:p>
            <w:pPr>
              <w:ind w:left="180"/>
              <w:spacing w:after="0"/>
              <w:rPr>
                <w:sz w:val="20"/>
                <w:szCs w:val="20"/>
                <w:color w:val="auto"/>
              </w:rPr>
            </w:pPr>
            <w:r>
              <w:rPr>
                <w:rFonts w:ascii="Verdana" w:cs="Verdana" w:eastAsia="Verdana" w:hAnsi="Verdana"/>
                <w:sz w:val="18"/>
                <w:szCs w:val="18"/>
                <w:color w:val="auto"/>
              </w:rPr>
              <w:t>2024</w:t>
            </w:r>
          </w:p>
        </w:tc>
        <w:tc>
          <w:tcPr>
            <w:tcW w:w="260" w:type="dxa"/>
            <w:vAlign w:val="bottom"/>
          </w:tcPr>
          <w:p>
            <w:pPr>
              <w:spacing w:after="0"/>
              <w:rPr>
                <w:sz w:val="22"/>
                <w:szCs w:val="22"/>
                <w:color w:val="auto"/>
              </w:rPr>
            </w:pPr>
          </w:p>
        </w:tc>
        <w:tc>
          <w:tcPr>
            <w:tcW w:w="8140" w:type="dxa"/>
            <w:vAlign w:val="bottom"/>
            <w:gridSpan w:val="3"/>
          </w:tcPr>
          <w:p>
            <w:pPr>
              <w:jc w:val="right"/>
              <w:ind w:right="157"/>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1,705,846</w:t>
            </w:r>
          </w:p>
        </w:tc>
      </w:tr>
      <w:tr>
        <w:trPr>
          <w:trHeight w:val="277"/>
        </w:trPr>
        <w:tc>
          <w:tcPr>
            <w:tcW w:w="1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260" w:type="dxa"/>
            <w:vAlign w:val="bottom"/>
            <w:shd w:val="clear" w:color="auto" w:fill="E0E7ED"/>
          </w:tcPr>
          <w:p>
            <w:pPr>
              <w:spacing w:after="0"/>
              <w:rPr>
                <w:sz w:val="24"/>
                <w:szCs w:val="24"/>
                <w:color w:val="auto"/>
              </w:rPr>
            </w:pPr>
          </w:p>
        </w:tc>
        <w:tc>
          <w:tcPr>
            <w:tcW w:w="5840" w:type="dxa"/>
            <w:vAlign w:val="bottom"/>
            <w:shd w:val="clear" w:color="auto" w:fill="E0E7ED"/>
          </w:tcPr>
          <w:p>
            <w:pPr>
              <w:spacing w:after="0"/>
              <w:rPr>
                <w:sz w:val="24"/>
                <w:szCs w:val="24"/>
                <w:color w:val="auto"/>
              </w:rPr>
            </w:pPr>
          </w:p>
        </w:tc>
        <w:tc>
          <w:tcPr>
            <w:tcW w:w="194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68,738</w:t>
            </w:r>
          </w:p>
        </w:tc>
      </w:tr>
      <w:tr>
        <w:trPr>
          <w:trHeight w:val="263"/>
        </w:trPr>
        <w:tc>
          <w:tcPr>
            <w:tcW w:w="158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26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21,222</w:t>
            </w:r>
          </w:p>
        </w:tc>
      </w:tr>
      <w:tr>
        <w:trPr>
          <w:trHeight w:val="277"/>
        </w:trPr>
        <w:tc>
          <w:tcPr>
            <w:tcW w:w="1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260" w:type="dxa"/>
            <w:vAlign w:val="bottom"/>
            <w:shd w:val="clear" w:color="auto" w:fill="E0E7ED"/>
          </w:tcPr>
          <w:p>
            <w:pPr>
              <w:spacing w:after="0"/>
              <w:rPr>
                <w:sz w:val="24"/>
                <w:szCs w:val="24"/>
                <w:color w:val="auto"/>
              </w:rPr>
            </w:pPr>
          </w:p>
        </w:tc>
        <w:tc>
          <w:tcPr>
            <w:tcW w:w="5840" w:type="dxa"/>
            <w:vAlign w:val="bottom"/>
            <w:shd w:val="clear" w:color="auto" w:fill="E0E7ED"/>
          </w:tcPr>
          <w:p>
            <w:pPr>
              <w:spacing w:after="0"/>
              <w:rPr>
                <w:sz w:val="24"/>
                <w:szCs w:val="24"/>
                <w:color w:val="auto"/>
              </w:rPr>
            </w:pPr>
          </w:p>
        </w:tc>
        <w:tc>
          <w:tcPr>
            <w:tcW w:w="194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12,470</w:t>
            </w:r>
          </w:p>
        </w:tc>
      </w:tr>
      <w:tr>
        <w:trPr>
          <w:trHeight w:val="263"/>
        </w:trPr>
        <w:tc>
          <w:tcPr>
            <w:tcW w:w="1580" w:type="dxa"/>
            <w:vAlign w:val="bottom"/>
          </w:tcPr>
          <w:p>
            <w:pPr>
              <w:ind w:left="180"/>
              <w:spacing w:after="0"/>
              <w:rPr>
                <w:sz w:val="20"/>
                <w:szCs w:val="20"/>
                <w:color w:val="auto"/>
              </w:rPr>
            </w:pPr>
            <w:r>
              <w:rPr>
                <w:rFonts w:ascii="Verdana" w:cs="Verdana" w:eastAsia="Verdana" w:hAnsi="Verdana"/>
                <w:sz w:val="18"/>
                <w:szCs w:val="18"/>
                <w:color w:val="auto"/>
              </w:rPr>
              <w:t>2028</w:t>
            </w:r>
          </w:p>
        </w:tc>
        <w:tc>
          <w:tcPr>
            <w:tcW w:w="26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10,451</w:t>
            </w:r>
          </w:p>
        </w:tc>
      </w:tr>
      <w:tr>
        <w:trPr>
          <w:trHeight w:val="270"/>
        </w:trPr>
        <w:tc>
          <w:tcPr>
            <w:tcW w:w="18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Thereafter</w:t>
            </w:r>
          </w:p>
        </w:tc>
        <w:tc>
          <w:tcPr>
            <w:tcW w:w="5840" w:type="dxa"/>
            <w:vAlign w:val="bottom"/>
            <w:shd w:val="clear" w:color="auto" w:fill="E0E7ED"/>
          </w:tcPr>
          <w:p>
            <w:pPr>
              <w:spacing w:after="0"/>
              <w:rPr>
                <w:sz w:val="23"/>
                <w:szCs w:val="23"/>
                <w:color w:val="auto"/>
              </w:rPr>
            </w:pPr>
          </w:p>
        </w:tc>
        <w:tc>
          <w:tcPr>
            <w:tcW w:w="194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547</w:t>
            </w:r>
          </w:p>
        </w:tc>
      </w:tr>
      <w:tr>
        <w:trPr>
          <w:trHeight w:val="270"/>
        </w:trPr>
        <w:tc>
          <w:tcPr>
            <w:tcW w:w="1840" w:type="dxa"/>
            <w:vAlign w:val="bottom"/>
            <w:gridSpan w:val="2"/>
          </w:tcPr>
          <w:p>
            <w:pPr>
              <w:ind w:left="20"/>
              <w:spacing w:after="0"/>
              <w:rPr>
                <w:sz w:val="20"/>
                <w:szCs w:val="20"/>
                <w:color w:val="auto"/>
              </w:rPr>
            </w:pPr>
            <w:r>
              <w:rPr>
                <w:rFonts w:ascii="Verdana" w:cs="Verdana" w:eastAsia="Verdana" w:hAnsi="Verdana"/>
                <w:sz w:val="18"/>
                <w:szCs w:val="18"/>
                <w:color w:val="auto"/>
              </w:rPr>
              <w:t>Time deposits</w:t>
            </w:r>
          </w:p>
        </w:tc>
        <w:tc>
          <w:tcPr>
            <w:tcW w:w="8140" w:type="dxa"/>
            <w:vAlign w:val="bottom"/>
            <w:gridSpan w:val="3"/>
          </w:tcPr>
          <w:p>
            <w:pPr>
              <w:jc w:val="right"/>
              <w:ind w:right="157"/>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1,819,274</w:t>
            </w:r>
          </w:p>
        </w:tc>
      </w:tr>
      <w:tr>
        <w:trPr>
          <w:trHeight w:val="20"/>
        </w:trPr>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9. BORROWINGS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Securities Sold Under Agreements to Repurchase</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 Securities sold under agreements to repurchase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 December 31,</w:t>
            </w:r>
          </w:p>
        </w:tc>
        <w:tc>
          <w:tcPr>
            <w:tcW w:w="1100" w:type="dxa"/>
            <w:vAlign w:val="bottom"/>
            <w:tcBorders>
              <w:bottom w:val="single" w:sz="8" w:color="auto"/>
            </w:tcBorders>
          </w:tcPr>
          <w:p>
            <w:pPr>
              <w:spacing w:after="0"/>
              <w:rPr>
                <w:sz w:val="15"/>
                <w:szCs w:val="15"/>
                <w:color w:val="auto"/>
              </w:rPr>
            </w:pPr>
          </w:p>
        </w:tc>
      </w:tr>
      <w:tr>
        <w:trPr>
          <w:trHeight w:val="170"/>
        </w:trPr>
        <w:tc>
          <w:tcPr>
            <w:tcW w:w="758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2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9"/>
              <w:spacing w:after="0"/>
              <w:rPr>
                <w:sz w:val="20"/>
                <w:szCs w:val="20"/>
                <w:color w:val="auto"/>
              </w:rPr>
            </w:pPr>
            <w:r>
              <w:rPr>
                <w:rFonts w:ascii="Verdana" w:cs="Verdana" w:eastAsia="Verdana" w:hAnsi="Verdana"/>
                <w:sz w:val="13"/>
                <w:szCs w:val="13"/>
                <w:b w:val="1"/>
                <w:bCs w:val="1"/>
                <w:color w:val="auto"/>
                <w:w w:val="97"/>
              </w:rPr>
              <w:t>2022</w:t>
            </w:r>
          </w:p>
        </w:tc>
      </w:tr>
      <w:tr>
        <w:trPr>
          <w:trHeight w:val="269"/>
        </w:trPr>
        <w:tc>
          <w:tcPr>
            <w:tcW w:w="7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Securities sold under agreements to repurchase</w:t>
            </w: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ind w:right="204"/>
              <w:spacing w:after="0"/>
              <w:rPr>
                <w:sz w:val="20"/>
                <w:szCs w:val="20"/>
                <w:color w:val="auto"/>
              </w:rPr>
            </w:pPr>
            <w:r>
              <w:rPr>
                <w:rFonts w:ascii="Verdana" w:cs="Verdana" w:eastAsia="Verdana" w:hAnsi="Verdana"/>
                <w:sz w:val="18"/>
                <w:szCs w:val="18"/>
                <w:color w:val="auto"/>
              </w:rPr>
              <w:t>187,396</w:t>
            </w:r>
          </w:p>
        </w:tc>
        <w:tc>
          <w:tcPr>
            <w:tcW w:w="100" w:type="dxa"/>
            <w:vAlign w:val="bottom"/>
            <w:shd w:val="clear" w:color="auto" w:fill="E0E7ED"/>
          </w:tcPr>
          <w:p>
            <w:pPr>
              <w:spacing w:after="0"/>
              <w:rPr>
                <w:sz w:val="23"/>
                <w:szCs w:val="23"/>
                <w:color w:val="auto"/>
              </w:rPr>
            </w:pPr>
          </w:p>
        </w:tc>
        <w:tc>
          <w:tcPr>
            <w:tcW w:w="680" w:type="dxa"/>
            <w:vAlign w:val="bottom"/>
            <w:shd w:val="clear" w:color="auto" w:fill="E0E7ED"/>
          </w:tcPr>
          <w:p>
            <w:pPr>
              <w:jc w:val="right"/>
              <w:ind w:right="450"/>
              <w:spacing w:after="0"/>
              <w:rPr>
                <w:sz w:val="20"/>
                <w:szCs w:val="20"/>
                <w:color w:val="auto"/>
              </w:rPr>
            </w:pPr>
            <w:r>
              <w:rPr>
                <w:rFonts w:ascii="Verdana" w:cs="Verdana" w:eastAsia="Verdana" w:hAnsi="Verdana"/>
                <w:sz w:val="18"/>
                <w:szCs w:val="18"/>
                <w:color w:val="auto"/>
              </w:rPr>
              <w:t>$</w:t>
            </w:r>
          </w:p>
        </w:tc>
        <w:tc>
          <w:tcPr>
            <w:tcW w:w="1100" w:type="dxa"/>
            <w:vAlign w:val="bottom"/>
            <w:shd w:val="clear" w:color="auto" w:fill="E0E7ED"/>
          </w:tcPr>
          <w:p>
            <w:pPr>
              <w:jc w:val="right"/>
              <w:ind w:right="199"/>
              <w:spacing w:after="0"/>
              <w:rPr>
                <w:sz w:val="20"/>
                <w:szCs w:val="20"/>
                <w:color w:val="auto"/>
              </w:rPr>
            </w:pPr>
            <w:r>
              <w:rPr>
                <w:rFonts w:ascii="Verdana" w:cs="Verdana" w:eastAsia="Verdana" w:hAnsi="Verdana"/>
                <w:sz w:val="18"/>
                <w:szCs w:val="18"/>
                <w:color w:val="auto"/>
              </w:rPr>
              <w:t>229,806</w:t>
            </w:r>
          </w:p>
        </w:tc>
      </w:tr>
      <w:tr>
        <w:trPr>
          <w:trHeight w:val="257"/>
        </w:trPr>
        <w:tc>
          <w:tcPr>
            <w:tcW w:w="7580" w:type="dxa"/>
            <w:vAlign w:val="bottom"/>
          </w:tcPr>
          <w:p>
            <w:pPr>
              <w:ind w:left="20"/>
              <w:spacing w:after="0"/>
              <w:rPr>
                <w:sz w:val="20"/>
                <w:szCs w:val="20"/>
                <w:color w:val="auto"/>
              </w:rPr>
            </w:pPr>
            <w:r>
              <w:rPr>
                <w:rFonts w:ascii="Verdana" w:cs="Verdana" w:eastAsia="Verdana" w:hAnsi="Verdana"/>
                <w:sz w:val="18"/>
                <w:szCs w:val="18"/>
                <w:color w:val="auto"/>
              </w:rPr>
              <w:t>Weighted average rate for securities sold under agreements to repurchase</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3.26 %</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1.91 %</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Term Loan</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May 28, 2021, Busey entered into a Second Amended and Restated Credit Agreement, pursuant to which Busey has access to (1) a $40.0 million revolving line of credit with an initial termination date of April 30, 2022, and (2)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loans now have an annual interest rate of 1.80% plus the one-month forward-looking term rate based on SOFR. On April 30, 2023, the agreement was further amended to extend the term for the revolving line of credit to April 30, 2024.</w:t>
      </w:r>
    </w:p>
    <w:p>
      <w:pPr>
        <w:spacing w:after="0" w:line="17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Proceeds of the Term Loan were used to fund a part of the cash portion of the merger consideration related to the acquisition of CAC in the second quarter of 2021, and for general corporate purposes. The total outstanding balance on the Term Loan was $30.0 million as of December 31, 2023, of which $12.0 million was short-term and $18.0 million was long-term. Quarterly payments on the Term Loan reduce the outstanding principal balance by $3.0 million each quarter.</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of December 31, 2023, there was no balance outstanding on the revolving credit facility. The revolving credit facility incurs a non-usage fee based on any undrawn amounts.</w:t>
      </w:r>
    </w:p>
    <w:p>
      <w:pPr>
        <w:spacing w:after="0" w:line="19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140" w:name="page141"/>
    <w:bookmarkEnd w:id="14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Short-Term Borrowings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short-term borrowings include loans maturing within one year of the loan origination date, as well as the current portion of long-term debt that is due within 12 months. Short-term borrowings are summarized as follows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7"/>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1"/>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7"/>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Short-term borrowings</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r>
      <w:tr>
        <w:trPr>
          <w:trHeight w:val="238"/>
        </w:trPr>
        <w:tc>
          <w:tcPr>
            <w:tcW w:w="7900" w:type="dxa"/>
            <w:vAlign w:val="bottom"/>
          </w:tcPr>
          <w:p>
            <w:pPr>
              <w:ind w:left="180"/>
              <w:spacing w:after="0"/>
              <w:rPr>
                <w:sz w:val="20"/>
                <w:szCs w:val="20"/>
                <w:color w:val="auto"/>
              </w:rPr>
            </w:pPr>
            <w:r>
              <w:rPr>
                <w:rFonts w:ascii="Verdana" w:cs="Verdana" w:eastAsia="Verdana" w:hAnsi="Verdana"/>
                <w:sz w:val="18"/>
                <w:szCs w:val="18"/>
                <w:color w:val="auto"/>
              </w:rPr>
              <w:t>FHLB advances maturing in less than one year from date of origination, and the</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7900" w:type="dxa"/>
            <w:vAlign w:val="bottom"/>
          </w:tcPr>
          <w:p>
            <w:pPr>
              <w:ind w:left="180"/>
              <w:spacing w:after="0"/>
              <w:rPr>
                <w:sz w:val="20"/>
                <w:szCs w:val="20"/>
                <w:color w:val="auto"/>
              </w:rPr>
            </w:pPr>
            <w:r>
              <w:rPr>
                <w:rFonts w:ascii="Verdana" w:cs="Verdana" w:eastAsia="Verdana" w:hAnsi="Verdana"/>
                <w:sz w:val="18"/>
                <w:szCs w:val="18"/>
                <w:color w:val="auto"/>
              </w:rPr>
              <w:t>current portion of long-term FHLB advances due within 12 months</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339,054</w:t>
            </w:r>
          </w:p>
        </w:tc>
      </w:tr>
      <w:tr>
        <w:trPr>
          <w:trHeight w:val="270"/>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Term Loan, current portion due within 12 months</w:t>
            </w:r>
          </w:p>
        </w:tc>
        <w:tc>
          <w:tcPr>
            <w:tcW w:w="3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12,000</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12,000</w:t>
            </w:r>
          </w:p>
        </w:tc>
      </w:tr>
      <w:tr>
        <w:trPr>
          <w:trHeight w:val="270"/>
        </w:trPr>
        <w:tc>
          <w:tcPr>
            <w:tcW w:w="7900" w:type="dxa"/>
            <w:vAlign w:val="bottom"/>
          </w:tcPr>
          <w:p>
            <w:pPr>
              <w:ind w:left="20"/>
              <w:spacing w:after="0"/>
              <w:rPr>
                <w:sz w:val="20"/>
                <w:szCs w:val="20"/>
                <w:color w:val="auto"/>
              </w:rPr>
            </w:pPr>
            <w:r>
              <w:rPr>
                <w:rFonts w:ascii="Verdana" w:cs="Verdana" w:eastAsia="Verdana" w:hAnsi="Verdana"/>
                <w:sz w:val="18"/>
                <w:szCs w:val="18"/>
                <w:color w:val="auto"/>
              </w:rPr>
              <w:t>Total short-term debt</w:t>
            </w: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8"/>
                <w:szCs w:val="18"/>
                <w:color w:val="auto"/>
              </w:rPr>
              <w:t>12,000</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351,054</w:t>
            </w:r>
          </w:p>
        </w:tc>
      </w:tr>
      <w:tr>
        <w:trPr>
          <w:trHeight w:val="21"/>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Funds borrowed from the FHLB, listed above, consisted of four notes with a weighted average interest rate of 4.28% and a weighted average maturity period of five days as of December 31, 2022.</w:t>
      </w:r>
    </w:p>
    <w:p>
      <w:pPr>
        <w:spacing w:after="0" w:line="15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Federal funds purchased are short-term borrowings that generally mature between one day and 90 days. During the first quarter of 2023, Busey purchased federal funds to test operational availability to access funds if needed. Busey had no federal funds purchased as of December 31, 2023, or 2022.</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Long-Term Debt</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Busey’s long-term debt consists of loans maturing more than one year from the loan origination date, excluding the current portion that is due within 12 months. Long-term debt is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9"/>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9"/>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Long-term debt</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r>
      <w:tr>
        <w:trPr>
          <w:trHeight w:val="264"/>
        </w:trPr>
        <w:tc>
          <w:tcPr>
            <w:tcW w:w="7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Term Loan</w:t>
            </w: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8"/>
                <w:szCs w:val="18"/>
                <w:color w:val="auto"/>
              </w:rPr>
              <w:t>18,000</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30,000</w:t>
            </w:r>
          </w:p>
        </w:tc>
      </w:tr>
      <w:tr>
        <w:trPr>
          <w:trHeight w:val="295"/>
        </w:trPr>
        <w:tc>
          <w:tcPr>
            <w:tcW w:w="79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long-term debt</w:t>
            </w: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ind w:right="4"/>
              <w:spacing w:after="0"/>
              <w:rPr>
                <w:sz w:val="20"/>
                <w:szCs w:val="20"/>
                <w:color w:val="auto"/>
              </w:rPr>
            </w:pPr>
            <w:r>
              <w:rPr>
                <w:rFonts w:ascii="Verdana" w:cs="Verdana" w:eastAsia="Verdana" w:hAnsi="Verdana"/>
                <w:sz w:val="18"/>
                <w:szCs w:val="18"/>
                <w:color w:val="auto"/>
              </w:rPr>
              <w:t>18,000</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30,000</w:t>
            </w:r>
          </w:p>
        </w:tc>
      </w:tr>
      <w:tr>
        <w:trPr>
          <w:trHeight w:val="20"/>
        </w:trPr>
        <w:tc>
          <w:tcPr>
            <w:tcW w:w="79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Subordinated Notes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June 1, 2020, Busey issued $125.0 million of fixed-to-floating rate subordinated notes that mature on June 1, 2030. The subordinated notes, which qualify as Tier 2 capital for regulatory purposes,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21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1" w:name="page142"/>
    <w:bookmarkEnd w:id="14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(1) 5.000% per annum from the original issue date to, but excluding, June 15, 2027, payable semiannually in arrears, and (2) a floating rate per annum equal to a benchmark rate, which is expected to be the Three-Month Term SOFR (as defined in the subordinated notes), plus a spread of 252 basis points from and including, June 15, 2027, payable quarterly in arrears. The subordinated notes have an optional redemption in whole or in part on any interest payment date on or after June 15, 2027.</w:t>
      </w:r>
    </w:p>
    <w:p>
      <w:pPr>
        <w:spacing w:after="0" w:line="161"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Unamortized debt issuance costs related to Busey’s subordinated notes are presented in the following table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279"/>
              <w:spacing w:after="0"/>
              <w:rPr>
                <w:sz w:val="20"/>
                <w:szCs w:val="20"/>
                <w:color w:val="auto"/>
              </w:rPr>
            </w:pPr>
            <w:r>
              <w:rPr>
                <w:rFonts w:ascii="Verdana" w:cs="Verdana" w:eastAsia="Verdana" w:hAnsi="Verdana"/>
                <w:sz w:val="13"/>
                <w:szCs w:val="13"/>
                <w:b w:val="1"/>
                <w:bCs w:val="1"/>
                <w:color w:val="auto"/>
              </w:rPr>
              <w:t>As of December 31,</w:t>
            </w:r>
          </w:p>
        </w:tc>
        <w:tc>
          <w:tcPr>
            <w:tcW w:w="620" w:type="dxa"/>
            <w:vAlign w:val="bottom"/>
            <w:tcBorders>
              <w:bottom w:val="single" w:sz="8" w:color="auto"/>
            </w:tcBorders>
          </w:tcPr>
          <w:p>
            <w:pPr>
              <w:spacing w:after="0"/>
              <w:rPr>
                <w:sz w:val="15"/>
                <w:szCs w:val="15"/>
                <w:color w:val="auto"/>
              </w:rPr>
            </w:pPr>
          </w:p>
        </w:tc>
      </w:tr>
      <w:tr>
        <w:trPr>
          <w:trHeight w:val="170"/>
        </w:trPr>
        <w:tc>
          <w:tcPr>
            <w:tcW w:w="7900" w:type="dxa"/>
            <w:vAlign w:val="bottom"/>
            <w:tcBorders>
              <w:bottom w:val="single" w:sz="8" w:color="E0E7ED"/>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2022</w:t>
            </w:r>
          </w:p>
        </w:tc>
        <w:tc>
          <w:tcPr>
            <w:tcW w:w="620" w:type="dxa"/>
            <w:vAlign w:val="bottom"/>
            <w:tcBorders>
              <w:bottom w:val="single" w:sz="8" w:color="auto"/>
            </w:tcBorders>
          </w:tcPr>
          <w:p>
            <w:pPr>
              <w:spacing w:after="0"/>
              <w:rPr>
                <w:sz w:val="14"/>
                <w:szCs w:val="14"/>
                <w:color w:val="auto"/>
              </w:rPr>
            </w:pP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Unamortized debt issuance costs</w:t>
            </w:r>
          </w:p>
        </w:tc>
        <w:tc>
          <w:tcPr>
            <w:tcW w:w="1000" w:type="dxa"/>
            <w:vAlign w:val="bottom"/>
            <w:shd w:val="clear" w:color="auto" w:fill="E0E7ED"/>
          </w:tcPr>
          <w:p>
            <w:pPr>
              <w:spacing w:after="0"/>
              <w:rPr>
                <w:sz w:val="22"/>
                <w:szCs w:val="22"/>
                <w:color w:val="auto"/>
              </w:rPr>
            </w:pPr>
          </w:p>
        </w:tc>
        <w:tc>
          <w:tcPr>
            <w:tcW w:w="6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000" w:type="dxa"/>
            <w:vAlign w:val="bottom"/>
            <w:shd w:val="clear" w:color="auto" w:fill="E0E7ED"/>
          </w:tcPr>
          <w:p>
            <w:pPr>
              <w:spacing w:after="0"/>
              <w:rPr>
                <w:sz w:val="22"/>
                <w:szCs w:val="22"/>
                <w:color w:val="auto"/>
              </w:rPr>
            </w:pPr>
          </w:p>
        </w:tc>
        <w:tc>
          <w:tcPr>
            <w:tcW w:w="620" w:type="dxa"/>
            <w:vAlign w:val="bottom"/>
            <w:shd w:val="clear" w:color="auto" w:fill="E0E7ED"/>
          </w:tcPr>
          <w:p>
            <w:pPr>
              <w:spacing w:after="0"/>
              <w:rPr>
                <w:sz w:val="22"/>
                <w:szCs w:val="22"/>
                <w:color w:val="auto"/>
              </w:rPr>
            </w:pPr>
          </w:p>
        </w:tc>
      </w:tr>
      <w:tr>
        <w:trPr>
          <w:trHeight w:val="263"/>
        </w:trPr>
        <w:tc>
          <w:tcPr>
            <w:tcW w:w="7900" w:type="dxa"/>
            <w:vAlign w:val="bottom"/>
          </w:tcPr>
          <w:p>
            <w:pPr>
              <w:jc w:val="center"/>
              <w:ind w:right="4290"/>
              <w:spacing w:after="0"/>
              <w:rPr>
                <w:sz w:val="20"/>
                <w:szCs w:val="20"/>
                <w:color w:val="auto"/>
              </w:rPr>
            </w:pPr>
            <w:r>
              <w:rPr>
                <w:rFonts w:ascii="Verdana" w:cs="Verdana" w:eastAsia="Verdana" w:hAnsi="Verdana"/>
                <w:sz w:val="18"/>
                <w:szCs w:val="18"/>
                <w:color w:val="auto"/>
              </w:rPr>
              <w:t>Subordinated notes issued in 2020</w:t>
            </w:r>
          </w:p>
        </w:tc>
        <w:tc>
          <w:tcPr>
            <w:tcW w:w="1000" w:type="dxa"/>
            <w:vAlign w:val="bottom"/>
          </w:tcPr>
          <w:p>
            <w:pPr>
              <w:jc w:val="right"/>
              <w:ind w:right="784"/>
              <w:spacing w:after="0"/>
              <w:rPr>
                <w:sz w:val="20"/>
                <w:szCs w:val="20"/>
                <w:color w:val="auto"/>
              </w:rPr>
            </w:pPr>
            <w:r>
              <w:rPr>
                <w:rFonts w:ascii="Verdana" w:cs="Verdana" w:eastAsia="Verdana" w:hAnsi="Verdana"/>
                <w:sz w:val="18"/>
                <w:szCs w:val="18"/>
                <w:color w:val="auto"/>
              </w:rPr>
              <w:t>$</w:t>
            </w:r>
          </w:p>
        </w:tc>
        <w:tc>
          <w:tcPr>
            <w:tcW w:w="620" w:type="dxa"/>
            <w:vAlign w:val="bottom"/>
          </w:tcPr>
          <w:p>
            <w:pPr>
              <w:jc w:val="right"/>
              <w:spacing w:after="0"/>
              <w:rPr>
                <w:sz w:val="20"/>
                <w:szCs w:val="20"/>
                <w:color w:val="auto"/>
              </w:rPr>
            </w:pPr>
            <w:r>
              <w:rPr>
                <w:rFonts w:ascii="Verdana" w:cs="Verdana" w:eastAsia="Verdana" w:hAnsi="Verdana"/>
                <w:sz w:val="18"/>
                <w:szCs w:val="18"/>
                <w:color w:val="auto"/>
              </w:rPr>
              <w:t>735</w:t>
            </w:r>
          </w:p>
        </w:tc>
        <w:tc>
          <w:tcPr>
            <w:tcW w:w="100" w:type="dxa"/>
            <w:vAlign w:val="bottom"/>
          </w:tcPr>
          <w:p>
            <w:pPr>
              <w:spacing w:after="0"/>
              <w:rPr>
                <w:sz w:val="22"/>
                <w:szCs w:val="22"/>
                <w:color w:val="auto"/>
              </w:rPr>
            </w:pPr>
          </w:p>
        </w:tc>
        <w:tc>
          <w:tcPr>
            <w:tcW w:w="1000" w:type="dxa"/>
            <w:vAlign w:val="bottom"/>
          </w:tcPr>
          <w:p>
            <w:pPr>
              <w:jc w:val="right"/>
              <w:ind w:right="779"/>
              <w:spacing w:after="0"/>
              <w:rPr>
                <w:sz w:val="20"/>
                <w:szCs w:val="20"/>
                <w:color w:val="auto"/>
              </w:rPr>
            </w:pPr>
            <w:r>
              <w:rPr>
                <w:rFonts w:ascii="Verdana" w:cs="Verdana" w:eastAsia="Verdana" w:hAnsi="Verdana"/>
                <w:sz w:val="18"/>
                <w:szCs w:val="18"/>
                <w:color w:val="auto"/>
              </w:rPr>
              <w:t>$</w:t>
            </w:r>
          </w:p>
        </w:tc>
        <w:tc>
          <w:tcPr>
            <w:tcW w:w="620" w:type="dxa"/>
            <w:vAlign w:val="bottom"/>
          </w:tcPr>
          <w:p>
            <w:pPr>
              <w:jc w:val="right"/>
              <w:ind w:right="10"/>
              <w:spacing w:after="0"/>
              <w:rPr>
                <w:sz w:val="20"/>
                <w:szCs w:val="20"/>
                <w:color w:val="auto"/>
              </w:rPr>
            </w:pPr>
            <w:r>
              <w:rPr>
                <w:rFonts w:ascii="Verdana" w:cs="Verdana" w:eastAsia="Verdana" w:hAnsi="Verdana"/>
                <w:sz w:val="18"/>
                <w:szCs w:val="18"/>
                <w:color w:val="auto"/>
                <w:w w:val="95"/>
              </w:rPr>
              <w:t>1,220</w:t>
            </w:r>
          </w:p>
        </w:tc>
      </w:tr>
      <w:tr>
        <w:trPr>
          <w:trHeight w:val="270"/>
        </w:trPr>
        <w:tc>
          <w:tcPr>
            <w:tcW w:w="7900" w:type="dxa"/>
            <w:vAlign w:val="bottom"/>
            <w:shd w:val="clear" w:color="auto" w:fill="E0E7ED"/>
          </w:tcPr>
          <w:p>
            <w:pPr>
              <w:jc w:val="center"/>
              <w:ind w:right="4290"/>
              <w:spacing w:after="0"/>
              <w:rPr>
                <w:sz w:val="20"/>
                <w:szCs w:val="20"/>
                <w:color w:val="auto"/>
              </w:rPr>
            </w:pPr>
            <w:r>
              <w:rPr>
                <w:rFonts w:ascii="Verdana" w:cs="Verdana" w:eastAsia="Verdana" w:hAnsi="Verdana"/>
                <w:sz w:val="18"/>
                <w:szCs w:val="18"/>
                <w:color w:val="auto"/>
              </w:rPr>
              <w:t>Subordinated notes issued in 2022</w:t>
            </w:r>
          </w:p>
        </w:tc>
        <w:tc>
          <w:tcPr>
            <w:tcW w:w="1000" w:type="dxa"/>
            <w:vAlign w:val="bottom"/>
            <w:tcBorders>
              <w:bottom w:val="single" w:sz="8" w:color="auto"/>
            </w:tcBorders>
            <w:shd w:val="clear" w:color="auto" w:fill="E0E7ED"/>
          </w:tcPr>
          <w:p>
            <w:pPr>
              <w:spacing w:after="0"/>
              <w:rPr>
                <w:sz w:val="23"/>
                <w:szCs w:val="23"/>
                <w:color w:val="auto"/>
              </w:rPr>
            </w:pPr>
          </w:p>
        </w:tc>
        <w:tc>
          <w:tcPr>
            <w:tcW w:w="6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99"/>
              </w:rPr>
              <w:t>1,383</w:t>
            </w:r>
          </w:p>
        </w:tc>
        <w:tc>
          <w:tcPr>
            <w:tcW w:w="100" w:type="dxa"/>
            <w:vAlign w:val="bottom"/>
            <w:shd w:val="clear" w:color="auto" w:fill="E0E7ED"/>
          </w:tcPr>
          <w:p>
            <w:pPr>
              <w:spacing w:after="0"/>
              <w:rPr>
                <w:sz w:val="23"/>
                <w:szCs w:val="23"/>
                <w:color w:val="auto"/>
              </w:rPr>
            </w:pPr>
          </w:p>
        </w:tc>
        <w:tc>
          <w:tcPr>
            <w:tcW w:w="1000" w:type="dxa"/>
            <w:vAlign w:val="bottom"/>
            <w:tcBorders>
              <w:bottom w:val="single" w:sz="8" w:color="auto"/>
            </w:tcBorders>
            <w:shd w:val="clear" w:color="auto" w:fill="E0E7ED"/>
          </w:tcPr>
          <w:p>
            <w:pPr>
              <w:spacing w:after="0"/>
              <w:rPr>
                <w:sz w:val="23"/>
                <w:szCs w:val="23"/>
                <w:color w:val="auto"/>
              </w:rPr>
            </w:pPr>
          </w:p>
        </w:tc>
        <w:tc>
          <w:tcPr>
            <w:tcW w:w="6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95"/>
              </w:rPr>
              <w:t>1,742</w:t>
            </w:r>
          </w:p>
        </w:tc>
      </w:tr>
      <w:tr>
        <w:trPr>
          <w:trHeight w:val="270"/>
        </w:trPr>
        <w:tc>
          <w:tcPr>
            <w:tcW w:w="7900" w:type="dxa"/>
            <w:vAlign w:val="bottom"/>
          </w:tcPr>
          <w:p>
            <w:pPr>
              <w:jc w:val="center"/>
              <w:ind w:right="4310"/>
              <w:spacing w:after="0"/>
              <w:rPr>
                <w:sz w:val="20"/>
                <w:szCs w:val="20"/>
                <w:color w:val="auto"/>
              </w:rPr>
            </w:pPr>
            <w:r>
              <w:rPr>
                <w:rFonts w:ascii="Verdana" w:cs="Verdana" w:eastAsia="Verdana" w:hAnsi="Verdana"/>
                <w:sz w:val="18"/>
                <w:szCs w:val="18"/>
                <w:color w:val="auto"/>
                <w:w w:val="99"/>
              </w:rPr>
              <w:t>Total unamortized debt issuance costs</w:t>
            </w:r>
          </w:p>
        </w:tc>
        <w:tc>
          <w:tcPr>
            <w:tcW w:w="1000" w:type="dxa"/>
            <w:vAlign w:val="bottom"/>
            <w:tcBorders>
              <w:bottom w:val="single" w:sz="8" w:color="auto"/>
            </w:tcBorders>
          </w:tcPr>
          <w:p>
            <w:pPr>
              <w:jc w:val="right"/>
              <w:ind w:right="784"/>
              <w:spacing w:after="0"/>
              <w:rPr>
                <w:sz w:val="20"/>
                <w:szCs w:val="20"/>
                <w:color w:val="auto"/>
              </w:rPr>
            </w:pPr>
            <w:r>
              <w:rPr>
                <w:rFonts w:ascii="Verdana" w:cs="Verdana" w:eastAsia="Verdana" w:hAnsi="Verdana"/>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9"/>
              </w:rPr>
              <w:t>2,118</w:t>
            </w: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ind w:right="779"/>
              <w:spacing w:after="0"/>
              <w:rPr>
                <w:sz w:val="20"/>
                <w:szCs w:val="20"/>
                <w:color w:val="auto"/>
              </w:rPr>
            </w:pPr>
            <w:r>
              <w:rPr>
                <w:rFonts w:ascii="Verdana" w:cs="Verdana" w:eastAsia="Verdana" w:hAnsi="Verdana"/>
                <w:sz w:val="18"/>
                <w:szCs w:val="18"/>
                <w:color w:val="auto"/>
              </w:rPr>
              <w:t>$</w:t>
            </w:r>
          </w:p>
        </w:tc>
        <w:tc>
          <w:tcPr>
            <w:tcW w:w="6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w w:val="95"/>
              </w:rPr>
              <w:t>2,962</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10. JUNIOR SUBORDINATED DEBT OWED TO UNCONSOLIDATED TRUSTS</w:t>
      </w:r>
    </w:p>
    <w:p>
      <w:pPr>
        <w:spacing w:after="0" w:line="18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Busey maintains statutory trusts for the sole purpose of issuing and servicing trust preferred securities and related trust common securities. Proceeds from such issuances were used by the trusts to purchase junior subordinated notes issued by Busey, which are the sole assets of each trust. Concurrent with the issuance of the trust preferred securities, Busey issued guarantees for the benefit of the holders of the trust preferred securities. The trust preferred securities are instruments that qualify and are treated as Tier 1 regulatory capital. Busey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Busey acquired similar statutory trusts previously maintained by Pulaski and the fair value adjustment is being accreted over their weighted average remaining life, with a balance of $2.6 million remaining to be accreted. Busey had $72.0 million and $71.8 million of junior subordinated debt owed to unconsolidated trusts at December 31, 2023, and 2022, respectively, maturing in 2034 through 2036.</w:t>
      </w:r>
    </w:p>
    <w:p>
      <w:pPr>
        <w:spacing w:after="0" w:line="16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Busey’s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Busey making payments on the related junior subordinated notes. Busey’s obligations under the junior subordinated notes and other relevant trust agreements, in aggregate, constitute a full and unconditional guarantee by Busey of each trust’s obligations under the trust preferred securities issued by each trust. Busey has the right to defer payment of interest on the notes, in which case the distributions on the trust preferred securities will also be deferred, for up to five years, but not beyond the stated maturity date.</w:t>
      </w:r>
    </w:p>
    <w:p>
      <w:pPr>
        <w:spacing w:after="0" w:line="16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For regulatory capital purposes, current banking regulations allow for the inclusion in Tier 1 Capital of qualifying trust preferred securities issued prior to May 19, 2010, by bank holding companies with less than $15.0 billion of assets, but do not allow for additional Tier 1 Capital to be raised through the future issuance of trust preferred securities. As of December 31, 2023, 100% of the trust preferred securities qualified as Tier 1 Capital; however, once Busey reaches $15.0 billion in assets, its trust preferred securities will no longer quality as Tier 1 Capital.</w:t>
      </w:r>
    </w:p>
    <w:p>
      <w:pPr>
        <w:spacing w:after="0" w:line="225"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2" w:name="page143"/>
    <w:bookmarkEnd w:id="14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11. REGULATORY CAPITAL</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Busey and its subsidiary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Busey's </w:t>
      </w:r>
      <w:r>
        <w:rPr>
          <w:rFonts w:ascii="Verdana" w:cs="Verdana" w:eastAsia="Verdana" w:hAnsi="Verdana"/>
          <w:sz w:val="18"/>
          <w:szCs w:val="18"/>
          <w:u w:val="single" w:color="auto"/>
          <w:color w:val="0000FF"/>
        </w:rPr>
        <w:t>Consolidated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Financial Statements</w:t>
      </w:r>
      <w:r>
        <w:rPr>
          <w:rFonts w:ascii="Verdana" w:cs="Verdana" w:eastAsia="Verdana" w:hAnsi="Verdana"/>
          <w:sz w:val="18"/>
          <w:szCs w:val="18"/>
          <w:color w:val="000000"/>
        </w:rPr>
        <w:t>. Capital amounts and classification also are subject to qualitative judgments by regulators about</w:t>
      </w:r>
      <w:r>
        <w:rPr>
          <w:rFonts w:ascii="Verdana" w:cs="Verdana" w:eastAsia="Verdana" w:hAnsi="Verdana"/>
          <w:sz w:val="18"/>
          <w:szCs w:val="18"/>
          <w:color w:val="0000FF"/>
        </w:rPr>
        <w:t xml:space="preserve"> </w:t>
      </w:r>
      <w:r>
        <w:rPr>
          <w:rFonts w:ascii="Verdana" w:cs="Verdana" w:eastAsia="Verdana" w:hAnsi="Verdana"/>
          <w:sz w:val="18"/>
          <w:szCs w:val="18"/>
          <w:color w:val="000000"/>
        </w:rPr>
        <w:t>components, risk weightings, and other factors.</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Banking regulations identify five capital categories for insured depository institutions: well capitalized, adequately capitalized, undercapitalized, significantly undercapitalized, and critically undercapitalized. As of December 31, 2023, and December 31, 2022, all capital ratios of Busey and its subsidiary bank exceeded well capitalized levels under the applicable regulatory capital adequacy guidelines. Management believes that no events or changes have occurred subsequent to December 31, 2023, that would change this designation.</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Current Expected Credit Loss Model</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On August 26, 2020, the FDIC and other federal banking agencies adopted a final rule which provided banking organizations that adopted CECL during 2020 with the option to delay for two years the estimated impact of CECL on regulatory capital and to phase in the aggregate impact of the deferral on regulatory capital over a subsequent three-year period. Under this final rule, because Busey elected to use the deferral option, the regulatory capital impact of our transition adjustments recorded on January 1, 2020, arising from the adoption of CECL was deferred for two years. In addition, 25 percent of the ongoing impact of CECL on our ACL, retained earnings, and average total consolidated assets from January 1, 2020, through the end of the two-year deferral period, each as reported for regulatory capital purposes, has been added to the deferred transition amounts (“adjusted transition amounts”) and deferred for the two-year period. On January 1, 2022, at the conclusion of the two-year period, the adjusted transition amounts began to be phased-in for regulatory capital purposes at a rate of 25 percent per year, with the phased-in amounts included in regulatory capital at the beginning of each year.</w:t>
      </w:r>
    </w:p>
    <w:p>
      <w:pPr>
        <w:spacing w:after="0" w:line="2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3" w:name="page144"/>
    <w:bookmarkEnd w:id="14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Amounts and Ratios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tables summarize regulatory capital requirements applicable to Busey and its subsidiary bank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p>
      <w:pPr>
        <w:ind w:left="5940"/>
        <w:spacing w:after="0"/>
        <w:rPr>
          <w:sz w:val="20"/>
          <w:szCs w:val="20"/>
          <w:color w:val="auto"/>
        </w:rPr>
      </w:pPr>
      <w:r>
        <w:rPr>
          <w:rFonts w:ascii="Verdana" w:cs="Verdana" w:eastAsia="Verdana" w:hAnsi="Verdana"/>
          <w:sz w:val="13"/>
          <w:szCs w:val="13"/>
          <w:b w:val="1"/>
          <w:bCs w:val="1"/>
          <w:color w:val="auto"/>
        </w:rPr>
        <w:t>As of December 31, 2023</w:t>
      </w:r>
    </w:p>
    <w:p>
      <w:pPr>
        <w:spacing w:after="0" w:line="7" w:lineRule="exact"/>
        <w:rPr>
          <w:sz w:val="20"/>
          <w:szCs w:val="20"/>
          <w:color w:val="auto"/>
        </w:rPr>
      </w:pPr>
    </w:p>
    <w:tbl>
      <w:tblPr>
        <w:tblLayout w:type="fixed"/>
        <w:tblInd w:w="2420" w:type="dxa"/>
        <w:tblCellMar>
          <w:top w:w="0" w:type="dxa"/>
          <w:left w:w="0" w:type="dxa"/>
          <w:bottom w:w="0" w:type="dxa"/>
          <w:right w:w="0" w:type="dxa"/>
        </w:tblCellMar>
      </w:tblPr>
      <w:tr>
        <w:trPr>
          <w:trHeight w:val="131"/>
        </w:trPr>
        <w:tc>
          <w:tcPr>
            <w:tcW w:w="114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2"/>
            <w:vMerge w:val="restart"/>
          </w:tcPr>
          <w:p>
            <w:pPr>
              <w:jc w:val="center"/>
              <w:ind w:right="1180"/>
              <w:spacing w:after="0"/>
              <w:rPr>
                <w:sz w:val="20"/>
                <w:szCs w:val="20"/>
                <w:color w:val="auto"/>
              </w:rPr>
            </w:pPr>
            <w:r>
              <w:rPr>
                <w:rFonts w:ascii="Verdana" w:cs="Verdana" w:eastAsia="Verdana" w:hAnsi="Verdana"/>
                <w:sz w:val="13"/>
                <w:szCs w:val="13"/>
                <w:b w:val="1"/>
                <w:bCs w:val="1"/>
                <w:color w:val="auto"/>
                <w:w w:val="98"/>
              </w:rPr>
              <w:t>Minimum</w:t>
            </w:r>
          </w:p>
        </w:tc>
        <w:tc>
          <w:tcPr>
            <w:tcW w:w="10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jc w:val="center"/>
              <w:ind w:right="997"/>
              <w:spacing w:after="0" w:line="131" w:lineRule="exact"/>
              <w:rPr>
                <w:sz w:val="20"/>
                <w:szCs w:val="20"/>
                <w:color w:val="auto"/>
              </w:rPr>
            </w:pPr>
            <w:r>
              <w:rPr>
                <w:rFonts w:ascii="Verdana" w:cs="Verdana" w:eastAsia="Verdana" w:hAnsi="Verdana"/>
                <w:sz w:val="13"/>
                <w:szCs w:val="13"/>
                <w:b w:val="1"/>
                <w:bCs w:val="1"/>
                <w:color w:val="auto"/>
                <w:w w:val="98"/>
              </w:rPr>
              <w:t>Minimum</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84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Actual</w:t>
            </w:r>
          </w:p>
        </w:tc>
        <w:tc>
          <w:tcPr>
            <w:tcW w:w="108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jc w:val="center"/>
              <w:ind w:right="977"/>
              <w:spacing w:after="0" w:line="122" w:lineRule="exact"/>
              <w:rPr>
                <w:sz w:val="20"/>
                <w:szCs w:val="20"/>
                <w:color w:val="auto"/>
              </w:rPr>
            </w:pPr>
            <w:r>
              <w:rPr>
                <w:rFonts w:ascii="Verdana" w:cs="Verdana" w:eastAsia="Verdana" w:hAnsi="Verdana"/>
                <w:sz w:val="13"/>
                <w:szCs w:val="13"/>
                <w:b w:val="1"/>
                <w:bCs w:val="1"/>
                <w:color w:val="auto"/>
                <w:w w:val="98"/>
              </w:rPr>
              <w:t>To Be Well</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960" w:type="dxa"/>
            <w:vAlign w:val="bottom"/>
            <w:gridSpan w:val="3"/>
          </w:tcPr>
          <w:p>
            <w:pPr>
              <w:jc w:val="center"/>
              <w:ind w:right="100"/>
              <w:spacing w:after="0"/>
              <w:rPr>
                <w:sz w:val="20"/>
                <w:szCs w:val="20"/>
                <w:color w:val="auto"/>
              </w:rPr>
            </w:pPr>
            <w:r>
              <w:rPr>
                <w:rFonts w:ascii="Verdana" w:cs="Verdana" w:eastAsia="Verdana" w:hAnsi="Verdana"/>
                <w:sz w:val="13"/>
                <w:szCs w:val="13"/>
                <w:b w:val="1"/>
                <w:bCs w:val="1"/>
                <w:color w:val="auto"/>
                <w:w w:val="97"/>
              </w:rPr>
              <w:t>Capital Requirement</w:t>
            </w:r>
          </w:p>
        </w:tc>
        <w:tc>
          <w:tcPr>
            <w:tcW w:w="1040" w:type="dxa"/>
            <w:vAlign w:val="bottom"/>
          </w:tcPr>
          <w:p>
            <w:pPr>
              <w:spacing w:after="0"/>
              <w:rPr>
                <w:sz w:val="14"/>
                <w:szCs w:val="14"/>
                <w:color w:val="auto"/>
              </w:rPr>
            </w:pPr>
          </w:p>
        </w:tc>
        <w:tc>
          <w:tcPr>
            <w:tcW w:w="1840" w:type="dxa"/>
            <w:vAlign w:val="bottom"/>
          </w:tcPr>
          <w:p>
            <w:pPr>
              <w:jc w:val="center"/>
              <w:ind w:right="997"/>
              <w:spacing w:after="0"/>
              <w:rPr>
                <w:sz w:val="20"/>
                <w:szCs w:val="20"/>
                <w:color w:val="auto"/>
              </w:rPr>
            </w:pPr>
            <w:r>
              <w:rPr>
                <w:rFonts w:ascii="Verdana" w:cs="Verdana" w:eastAsia="Verdana" w:hAnsi="Verdana"/>
                <w:sz w:val="13"/>
                <w:szCs w:val="13"/>
                <w:b w:val="1"/>
                <w:bCs w:val="1"/>
                <w:color w:val="auto"/>
                <w:w w:val="96"/>
              </w:rPr>
              <w:t>Capitalized</w:t>
            </w:r>
          </w:p>
        </w:tc>
        <w:tc>
          <w:tcPr>
            <w:tcW w:w="0" w:type="dxa"/>
            <w:vAlign w:val="bottom"/>
          </w:tcPr>
          <w:p>
            <w:pPr>
              <w:spacing w:after="0"/>
              <w:rPr>
                <w:sz w:val="1"/>
                <w:szCs w:val="1"/>
                <w:color w:val="auto"/>
              </w:rPr>
            </w:pPr>
          </w:p>
        </w:tc>
      </w:tr>
      <w:tr>
        <w:trPr>
          <w:trHeight w:val="164"/>
        </w:trPr>
        <w:tc>
          <w:tcPr>
            <w:tcW w:w="1140" w:type="dxa"/>
            <w:vAlign w:val="bottom"/>
            <w:tcBorders>
              <w:top w:val="single" w:sz="8" w:color="auto"/>
            </w:tcBorders>
          </w:tcPr>
          <w:p>
            <w:pPr>
              <w:ind w:left="500"/>
              <w:spacing w:after="0"/>
              <w:rPr>
                <w:sz w:val="20"/>
                <w:szCs w:val="20"/>
                <w:color w:val="auto"/>
              </w:rPr>
            </w:pPr>
            <w:r>
              <w:rPr>
                <w:rFonts w:ascii="Verdana" w:cs="Verdana" w:eastAsia="Verdana" w:hAnsi="Verdana"/>
                <w:sz w:val="13"/>
                <w:szCs w:val="13"/>
                <w:b w:val="1"/>
                <w:bCs w:val="1"/>
                <w:color w:val="auto"/>
              </w:rPr>
              <w:t>Amount</w:t>
            </w:r>
          </w:p>
        </w:tc>
        <w:tc>
          <w:tcPr>
            <w:tcW w:w="1760" w:type="dxa"/>
            <w:vAlign w:val="bottom"/>
            <w:tcBorders>
              <w:top w:val="single" w:sz="8" w:color="auto"/>
            </w:tcBorders>
          </w:tcPr>
          <w:p>
            <w:pPr>
              <w:ind w:left="940"/>
              <w:spacing w:after="0"/>
              <w:rPr>
                <w:sz w:val="20"/>
                <w:szCs w:val="20"/>
                <w:color w:val="auto"/>
              </w:rPr>
            </w:pPr>
            <w:r>
              <w:rPr>
                <w:rFonts w:ascii="Verdana" w:cs="Verdana" w:eastAsia="Verdana" w:hAnsi="Verdana"/>
                <w:sz w:val="13"/>
                <w:szCs w:val="13"/>
                <w:b w:val="1"/>
                <w:bCs w:val="1"/>
                <w:color w:val="auto"/>
              </w:rPr>
              <w:t>Ratio</w:t>
            </w:r>
          </w:p>
        </w:tc>
        <w:tc>
          <w:tcPr>
            <w:tcW w:w="80" w:type="dxa"/>
            <w:vAlign w:val="bottom"/>
          </w:tcPr>
          <w:p>
            <w:pPr>
              <w:spacing w:after="0"/>
              <w:rPr>
                <w:sz w:val="14"/>
                <w:szCs w:val="14"/>
                <w:color w:val="auto"/>
              </w:rPr>
            </w:pPr>
          </w:p>
        </w:tc>
        <w:tc>
          <w:tcPr>
            <w:tcW w:w="1080" w:type="dxa"/>
            <w:vAlign w:val="bottom"/>
            <w:tcBorders>
              <w:top w:val="single" w:sz="8" w:color="auto"/>
            </w:tcBorders>
          </w:tcPr>
          <w:p>
            <w:pPr>
              <w:ind w:left="480"/>
              <w:spacing w:after="0"/>
              <w:rPr>
                <w:sz w:val="20"/>
                <w:szCs w:val="20"/>
                <w:color w:val="auto"/>
              </w:rPr>
            </w:pPr>
            <w:r>
              <w:rPr>
                <w:rFonts w:ascii="Verdana" w:cs="Verdana" w:eastAsia="Verdana" w:hAnsi="Verdana"/>
                <w:sz w:val="13"/>
                <w:szCs w:val="13"/>
                <w:b w:val="1"/>
                <w:bCs w:val="1"/>
                <w:color w:val="auto"/>
              </w:rPr>
              <w:t>Amount</w:t>
            </w:r>
          </w:p>
        </w:tc>
        <w:tc>
          <w:tcPr>
            <w:tcW w:w="1780" w:type="dxa"/>
            <w:vAlign w:val="bottom"/>
            <w:tcBorders>
              <w:top w:val="single" w:sz="8" w:color="auto"/>
            </w:tcBorders>
          </w:tcPr>
          <w:p>
            <w:pPr>
              <w:ind w:left="980"/>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1040" w:type="dxa"/>
            <w:vAlign w:val="bottom"/>
            <w:tcBorders>
              <w:top w:val="single" w:sz="8" w:color="auto"/>
            </w:tcBorders>
          </w:tcPr>
          <w:p>
            <w:pPr>
              <w:ind w:left="480"/>
              <w:spacing w:after="0"/>
              <w:rPr>
                <w:sz w:val="20"/>
                <w:szCs w:val="20"/>
                <w:color w:val="auto"/>
              </w:rPr>
            </w:pPr>
            <w:r>
              <w:rPr>
                <w:rFonts w:ascii="Verdana" w:cs="Verdana" w:eastAsia="Verdana" w:hAnsi="Verdana"/>
                <w:sz w:val="13"/>
                <w:szCs w:val="13"/>
                <w:b w:val="1"/>
                <w:bCs w:val="1"/>
                <w:color w:val="auto"/>
                <w:w w:val="94"/>
              </w:rPr>
              <w:t>Amount</w:t>
            </w:r>
          </w:p>
        </w:tc>
        <w:tc>
          <w:tcPr>
            <w:tcW w:w="1840" w:type="dxa"/>
            <w:vAlign w:val="bottom"/>
            <w:tcBorders>
              <w:top w:val="single" w:sz="8" w:color="auto"/>
            </w:tcBorders>
          </w:tcPr>
          <w:p>
            <w:pPr>
              <w:ind w:left="1020"/>
              <w:spacing w:after="0"/>
              <w:rPr>
                <w:sz w:val="20"/>
                <w:szCs w:val="20"/>
                <w:color w:val="auto"/>
              </w:rPr>
            </w:pPr>
            <w:r>
              <w:rPr>
                <w:rFonts w:ascii="Verdana" w:cs="Verdana" w:eastAsia="Verdana" w:hAnsi="Verdana"/>
                <w:sz w:val="13"/>
                <w:szCs w:val="13"/>
                <w:b w:val="1"/>
                <w:bCs w:val="1"/>
                <w:color w:val="auto"/>
              </w:rPr>
              <w:t>Ratio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457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Verdana" w:cs="Verdana" w:eastAsia="Verdana" w:hAnsi="Verdana"/>
          <w:sz w:val="18"/>
          <w:szCs w:val="18"/>
          <w:b w:val="1"/>
          <w:bCs w:val="1"/>
          <w:color w:val="auto"/>
        </w:rPr>
        <w:t>Common equity Tier 1</w:t>
      </w:r>
    </w:p>
    <w:p>
      <w:pPr>
        <w:ind w:left="20"/>
        <w:spacing w:after="0" w:line="236" w:lineRule="auto"/>
        <w:rPr>
          <w:sz w:val="20"/>
          <w:szCs w:val="20"/>
          <w:color w:val="auto"/>
        </w:rPr>
      </w:pPr>
      <w:r>
        <w:rPr>
          <w:rFonts w:ascii="Verdana" w:cs="Verdana" w:eastAsia="Verdana" w:hAnsi="Verdana"/>
          <w:sz w:val="18"/>
          <w:szCs w:val="18"/>
          <w:b w:val="1"/>
          <w:bCs w:val="1"/>
          <w:color w:val="auto"/>
        </w:rPr>
        <w:t>capital to risk</w:t>
      </w:r>
    </w:p>
    <w:p>
      <w:pPr>
        <w:spacing w:after="0" w:line="1" w:lineRule="exact"/>
        <w:rPr>
          <w:sz w:val="20"/>
          <w:szCs w:val="20"/>
          <w:color w:val="auto"/>
        </w:rPr>
      </w:pPr>
    </w:p>
    <w:p>
      <w:pPr>
        <w:ind w:left="20"/>
        <w:spacing w:after="0"/>
        <w:rPr>
          <w:sz w:val="20"/>
          <w:szCs w:val="20"/>
          <w:color w:val="auto"/>
        </w:rPr>
      </w:pPr>
      <w:r>
        <w:rPr>
          <w:rFonts w:ascii="Verdana" w:cs="Verdana" w:eastAsia="Verdana" w:hAnsi="Verdana"/>
          <w:sz w:val="18"/>
          <w:szCs w:val="18"/>
          <w:b w:val="1"/>
          <w:bCs w:val="1"/>
          <w:color w:val="auto"/>
        </w:rPr>
        <w:t>weighted assets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400" w:type="dxa"/>
            <w:vAlign w:val="bottom"/>
          </w:tcPr>
          <w:p>
            <w:pPr>
              <w:ind w:left="160"/>
              <w:spacing w:after="0"/>
              <w:rPr>
                <w:sz w:val="20"/>
                <w:szCs w:val="20"/>
                <w:color w:val="auto"/>
              </w:rPr>
            </w:pPr>
            <w:r>
              <w:rPr>
                <w:rFonts w:ascii="Verdana" w:cs="Verdana" w:eastAsia="Verdana" w:hAnsi="Verdana"/>
                <w:sz w:val="18"/>
                <w:szCs w:val="18"/>
                <w:color w:val="auto"/>
              </w:rPr>
              <w:t>First Busey</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460" w:type="dxa"/>
            <w:vAlign w:val="bottom"/>
          </w:tcPr>
          <w:p>
            <w:pPr>
              <w:jc w:val="right"/>
              <w:ind w:right="230"/>
              <w:spacing w:after="0"/>
              <w:rPr>
                <w:sz w:val="20"/>
                <w:szCs w:val="20"/>
                <w:color w:val="auto"/>
              </w:rPr>
            </w:pPr>
            <w:r>
              <w:rPr>
                <w:rFonts w:ascii="Verdana" w:cs="Verdana" w:eastAsia="Verdana" w:hAnsi="Verdana"/>
                <w:sz w:val="18"/>
                <w:szCs w:val="18"/>
                <w:color w:val="auto"/>
              </w:rPr>
              <w:t>1,155,973</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13.09 %</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70"/>
        </w:trPr>
        <w:tc>
          <w:tcPr>
            <w:tcW w:w="2400" w:type="dxa"/>
            <w:vAlign w:val="bottom"/>
          </w:tcPr>
          <w:p>
            <w:pPr>
              <w:ind w:left="160"/>
              <w:spacing w:after="0"/>
              <w:rPr>
                <w:sz w:val="20"/>
                <w:szCs w:val="20"/>
                <w:color w:val="auto"/>
              </w:rPr>
            </w:pPr>
            <w:r>
              <w:rPr>
                <w:rFonts w:ascii="Verdana" w:cs="Verdana" w:eastAsia="Verdana" w:hAnsi="Verdana"/>
                <w:sz w:val="18"/>
                <w:szCs w:val="18"/>
                <w:color w:val="auto"/>
              </w:rPr>
              <w:t>Busey Bank</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460" w:type="dxa"/>
            <w:vAlign w:val="bottom"/>
          </w:tcPr>
          <w:p>
            <w:pPr>
              <w:jc w:val="right"/>
              <w:ind w:right="230"/>
              <w:spacing w:after="0"/>
              <w:rPr>
                <w:sz w:val="20"/>
                <w:szCs w:val="20"/>
                <w:color w:val="auto"/>
              </w:rPr>
            </w:pPr>
            <w:r>
              <w:rPr>
                <w:rFonts w:ascii="Verdana" w:cs="Verdana" w:eastAsia="Verdana" w:hAnsi="Verdana"/>
                <w:sz w:val="18"/>
                <w:szCs w:val="18"/>
                <w:color w:val="auto"/>
              </w:rPr>
              <w:t>1,362,962</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15.48 %</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521"/>
        </w:trPr>
        <w:tc>
          <w:tcPr>
            <w:tcW w:w="2400" w:type="dxa"/>
            <w:vAlign w:val="bottom"/>
          </w:tcPr>
          <w:p>
            <w:pPr>
              <w:spacing w:after="0"/>
              <w:rPr>
                <w:sz w:val="20"/>
                <w:szCs w:val="20"/>
                <w:color w:val="auto"/>
              </w:rPr>
            </w:pPr>
            <w:r>
              <w:rPr>
                <w:rFonts w:ascii="Verdana" w:cs="Verdana" w:eastAsia="Verdana" w:hAnsi="Verdana"/>
                <w:sz w:val="18"/>
                <w:szCs w:val="18"/>
                <w:b w:val="1"/>
                <w:bCs w:val="1"/>
                <w:color w:val="auto"/>
              </w:rPr>
              <w:t>Tier 1 capital to risk</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5"/>
        </w:trPr>
        <w:tc>
          <w:tcPr>
            <w:tcW w:w="2400" w:type="dxa"/>
            <w:vAlign w:val="bottom"/>
          </w:tcPr>
          <w:p>
            <w:pPr>
              <w:spacing w:after="0"/>
              <w:rPr>
                <w:sz w:val="20"/>
                <w:szCs w:val="20"/>
                <w:color w:val="auto"/>
              </w:rPr>
            </w:pPr>
            <w:r>
              <w:rPr>
                <w:rFonts w:ascii="Verdana" w:cs="Verdana" w:eastAsia="Verdana" w:hAnsi="Verdana"/>
                <w:sz w:val="18"/>
                <w:szCs w:val="18"/>
                <w:b w:val="1"/>
                <w:bCs w:val="1"/>
                <w:color w:val="auto"/>
              </w:rPr>
              <w:t>weighted assets</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2400" w:type="dxa"/>
            <w:vAlign w:val="bottom"/>
          </w:tcPr>
          <w:p>
            <w:pPr>
              <w:ind w:left="160"/>
              <w:spacing w:after="0"/>
              <w:rPr>
                <w:sz w:val="20"/>
                <w:szCs w:val="20"/>
                <w:color w:val="auto"/>
              </w:rPr>
            </w:pPr>
            <w:r>
              <w:rPr>
                <w:rFonts w:ascii="Verdana" w:cs="Verdana" w:eastAsia="Verdana" w:hAnsi="Verdana"/>
                <w:sz w:val="18"/>
                <w:szCs w:val="18"/>
                <w:color w:val="auto"/>
              </w:rPr>
              <w:t>First Busey</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460" w:type="dxa"/>
            <w:vAlign w:val="bottom"/>
          </w:tcPr>
          <w:p>
            <w:pPr>
              <w:jc w:val="right"/>
              <w:ind w:right="230"/>
              <w:spacing w:after="0"/>
              <w:rPr>
                <w:sz w:val="20"/>
                <w:szCs w:val="20"/>
                <w:color w:val="auto"/>
              </w:rPr>
            </w:pPr>
            <w:r>
              <w:rPr>
                <w:rFonts w:ascii="Verdana" w:cs="Verdana" w:eastAsia="Verdana" w:hAnsi="Verdana"/>
                <w:sz w:val="18"/>
                <w:szCs w:val="18"/>
                <w:color w:val="auto"/>
              </w:rPr>
              <w:t>1,229,973</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13.93 %</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70"/>
        </w:trPr>
        <w:tc>
          <w:tcPr>
            <w:tcW w:w="2400" w:type="dxa"/>
            <w:vAlign w:val="bottom"/>
          </w:tcPr>
          <w:p>
            <w:pPr>
              <w:ind w:left="160"/>
              <w:spacing w:after="0"/>
              <w:rPr>
                <w:sz w:val="20"/>
                <w:szCs w:val="20"/>
                <w:color w:val="auto"/>
              </w:rPr>
            </w:pPr>
            <w:r>
              <w:rPr>
                <w:rFonts w:ascii="Verdana" w:cs="Verdana" w:eastAsia="Verdana" w:hAnsi="Verdana"/>
                <w:sz w:val="18"/>
                <w:szCs w:val="18"/>
                <w:color w:val="auto"/>
              </w:rPr>
              <w:t>Busey Bank</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460" w:type="dxa"/>
            <w:vAlign w:val="bottom"/>
          </w:tcPr>
          <w:p>
            <w:pPr>
              <w:jc w:val="right"/>
              <w:ind w:right="230"/>
              <w:spacing w:after="0"/>
              <w:rPr>
                <w:sz w:val="20"/>
                <w:szCs w:val="20"/>
                <w:color w:val="auto"/>
              </w:rPr>
            </w:pPr>
            <w:r>
              <w:rPr>
                <w:rFonts w:ascii="Verdana" w:cs="Verdana" w:eastAsia="Verdana" w:hAnsi="Verdana"/>
                <w:sz w:val="18"/>
                <w:szCs w:val="18"/>
                <w:color w:val="auto"/>
              </w:rPr>
              <w:t>1,362,962</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15.48 %</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521"/>
        </w:trPr>
        <w:tc>
          <w:tcPr>
            <w:tcW w:w="2400" w:type="dxa"/>
            <w:vAlign w:val="bottom"/>
          </w:tcPr>
          <w:p>
            <w:pPr>
              <w:spacing w:after="0"/>
              <w:rPr>
                <w:sz w:val="20"/>
                <w:szCs w:val="20"/>
                <w:color w:val="auto"/>
              </w:rPr>
            </w:pPr>
            <w:r>
              <w:rPr>
                <w:rFonts w:ascii="Verdana" w:cs="Verdana" w:eastAsia="Verdana" w:hAnsi="Verdana"/>
                <w:sz w:val="18"/>
                <w:szCs w:val="18"/>
                <w:b w:val="1"/>
                <w:bCs w:val="1"/>
                <w:color w:val="auto"/>
              </w:rPr>
              <w:t>Total capital to risk</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5"/>
        </w:trPr>
        <w:tc>
          <w:tcPr>
            <w:tcW w:w="2400" w:type="dxa"/>
            <w:vAlign w:val="bottom"/>
          </w:tcPr>
          <w:p>
            <w:pPr>
              <w:spacing w:after="0"/>
              <w:rPr>
                <w:sz w:val="20"/>
                <w:szCs w:val="20"/>
                <w:color w:val="auto"/>
              </w:rPr>
            </w:pPr>
            <w:r>
              <w:rPr>
                <w:rFonts w:ascii="Verdana" w:cs="Verdana" w:eastAsia="Verdana" w:hAnsi="Verdana"/>
                <w:sz w:val="18"/>
                <w:szCs w:val="18"/>
                <w:b w:val="1"/>
                <w:bCs w:val="1"/>
                <w:color w:val="auto"/>
              </w:rPr>
              <w:t>weighted assets</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2400" w:type="dxa"/>
            <w:vAlign w:val="bottom"/>
          </w:tcPr>
          <w:p>
            <w:pPr>
              <w:ind w:left="160"/>
              <w:spacing w:after="0"/>
              <w:rPr>
                <w:sz w:val="20"/>
                <w:szCs w:val="20"/>
                <w:color w:val="auto"/>
              </w:rPr>
            </w:pPr>
            <w:r>
              <w:rPr>
                <w:rFonts w:ascii="Verdana" w:cs="Verdana" w:eastAsia="Verdana" w:hAnsi="Verdana"/>
                <w:sz w:val="18"/>
                <w:szCs w:val="18"/>
                <w:color w:val="auto"/>
              </w:rPr>
              <w:t>First Busey</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460" w:type="dxa"/>
            <w:vAlign w:val="bottom"/>
          </w:tcPr>
          <w:p>
            <w:pPr>
              <w:jc w:val="right"/>
              <w:ind w:right="230"/>
              <w:spacing w:after="0"/>
              <w:rPr>
                <w:sz w:val="20"/>
                <w:szCs w:val="20"/>
                <w:color w:val="auto"/>
              </w:rPr>
            </w:pPr>
            <w:r>
              <w:rPr>
                <w:rFonts w:ascii="Verdana" w:cs="Verdana" w:eastAsia="Verdana" w:hAnsi="Verdana"/>
                <w:sz w:val="18"/>
                <w:szCs w:val="18"/>
                <w:color w:val="auto"/>
              </w:rPr>
              <w:t>1,540,318</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17.44 %</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70"/>
        </w:trPr>
        <w:tc>
          <w:tcPr>
            <w:tcW w:w="2400" w:type="dxa"/>
            <w:vAlign w:val="bottom"/>
          </w:tcPr>
          <w:p>
            <w:pPr>
              <w:ind w:left="160"/>
              <w:spacing w:after="0"/>
              <w:rPr>
                <w:sz w:val="20"/>
                <w:szCs w:val="20"/>
                <w:color w:val="auto"/>
              </w:rPr>
            </w:pPr>
            <w:r>
              <w:rPr>
                <w:rFonts w:ascii="Verdana" w:cs="Verdana" w:eastAsia="Verdana" w:hAnsi="Verdana"/>
                <w:sz w:val="18"/>
                <w:szCs w:val="18"/>
                <w:color w:val="auto"/>
              </w:rPr>
              <w:t>Busey Bank</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460" w:type="dxa"/>
            <w:vAlign w:val="bottom"/>
          </w:tcPr>
          <w:p>
            <w:pPr>
              <w:jc w:val="right"/>
              <w:ind w:right="230"/>
              <w:spacing w:after="0"/>
              <w:rPr>
                <w:sz w:val="20"/>
                <w:szCs w:val="20"/>
                <w:color w:val="auto"/>
              </w:rPr>
            </w:pPr>
            <w:r>
              <w:rPr>
                <w:rFonts w:ascii="Verdana" w:cs="Verdana" w:eastAsia="Verdana" w:hAnsi="Verdana"/>
                <w:sz w:val="18"/>
                <w:szCs w:val="18"/>
                <w:color w:val="auto"/>
              </w:rPr>
              <w:t>1,448,307</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16.45 %</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521"/>
        </w:trPr>
        <w:tc>
          <w:tcPr>
            <w:tcW w:w="2400" w:type="dxa"/>
            <w:vAlign w:val="bottom"/>
          </w:tcPr>
          <w:p>
            <w:pPr>
              <w:spacing w:after="0"/>
              <w:rPr>
                <w:sz w:val="20"/>
                <w:szCs w:val="20"/>
                <w:color w:val="auto"/>
              </w:rPr>
            </w:pPr>
            <w:r>
              <w:rPr>
                <w:rFonts w:ascii="Verdana" w:cs="Verdana" w:eastAsia="Verdana" w:hAnsi="Verdana"/>
                <w:sz w:val="18"/>
                <w:szCs w:val="18"/>
                <w:b w:val="1"/>
                <w:bCs w:val="1"/>
                <w:color w:val="auto"/>
              </w:rPr>
              <w:t>Leverage ratio of Tier 1</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2400" w:type="dxa"/>
            <w:vAlign w:val="bottom"/>
          </w:tcPr>
          <w:p>
            <w:pPr>
              <w:spacing w:after="0" w:line="216" w:lineRule="exact"/>
              <w:rPr>
                <w:sz w:val="20"/>
                <w:szCs w:val="20"/>
                <w:color w:val="auto"/>
              </w:rPr>
            </w:pPr>
            <w:r>
              <w:rPr>
                <w:rFonts w:ascii="Verdana" w:cs="Verdana" w:eastAsia="Verdana" w:hAnsi="Verdana"/>
                <w:sz w:val="18"/>
                <w:szCs w:val="18"/>
                <w:b w:val="1"/>
                <w:bCs w:val="1"/>
                <w:color w:val="auto"/>
              </w:rPr>
              <w:t>capital to average</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5"/>
        </w:trPr>
        <w:tc>
          <w:tcPr>
            <w:tcW w:w="2400" w:type="dxa"/>
            <w:vAlign w:val="bottom"/>
          </w:tcPr>
          <w:p>
            <w:pPr>
              <w:spacing w:after="0"/>
              <w:rPr>
                <w:sz w:val="20"/>
                <w:szCs w:val="20"/>
                <w:color w:val="auto"/>
              </w:rPr>
            </w:pPr>
            <w:r>
              <w:rPr>
                <w:rFonts w:ascii="Verdana" w:cs="Verdana" w:eastAsia="Verdana" w:hAnsi="Verdana"/>
                <w:sz w:val="18"/>
                <w:szCs w:val="18"/>
                <w:b w:val="1"/>
                <w:bCs w:val="1"/>
                <w:color w:val="auto"/>
              </w:rPr>
              <w:t>assets</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2400" w:type="dxa"/>
            <w:vAlign w:val="bottom"/>
          </w:tcPr>
          <w:p>
            <w:pPr>
              <w:ind w:left="160"/>
              <w:spacing w:after="0"/>
              <w:rPr>
                <w:sz w:val="20"/>
                <w:szCs w:val="20"/>
                <w:color w:val="auto"/>
              </w:rPr>
            </w:pPr>
            <w:r>
              <w:rPr>
                <w:rFonts w:ascii="Verdana" w:cs="Verdana" w:eastAsia="Verdana" w:hAnsi="Verdana"/>
                <w:sz w:val="18"/>
                <w:szCs w:val="18"/>
                <w:color w:val="auto"/>
              </w:rPr>
              <w:t>First Busey</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460" w:type="dxa"/>
            <w:vAlign w:val="bottom"/>
          </w:tcPr>
          <w:p>
            <w:pPr>
              <w:jc w:val="right"/>
              <w:ind w:right="230"/>
              <w:spacing w:after="0"/>
              <w:rPr>
                <w:sz w:val="20"/>
                <w:szCs w:val="20"/>
                <w:color w:val="auto"/>
              </w:rPr>
            </w:pPr>
            <w:r>
              <w:rPr>
                <w:rFonts w:ascii="Verdana" w:cs="Verdana" w:eastAsia="Verdana" w:hAnsi="Verdana"/>
                <w:sz w:val="18"/>
                <w:szCs w:val="18"/>
                <w:color w:val="auto"/>
              </w:rPr>
              <w:t>1,229,973</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10.08 %</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70"/>
        </w:trPr>
        <w:tc>
          <w:tcPr>
            <w:tcW w:w="2400" w:type="dxa"/>
            <w:vAlign w:val="bottom"/>
          </w:tcPr>
          <w:p>
            <w:pPr>
              <w:ind w:left="160"/>
              <w:spacing w:after="0"/>
              <w:rPr>
                <w:sz w:val="20"/>
                <w:szCs w:val="20"/>
                <w:color w:val="auto"/>
              </w:rPr>
            </w:pPr>
            <w:r>
              <w:rPr>
                <w:rFonts w:ascii="Verdana" w:cs="Verdana" w:eastAsia="Verdana" w:hAnsi="Verdana"/>
                <w:sz w:val="18"/>
                <w:szCs w:val="18"/>
                <w:color w:val="auto"/>
              </w:rPr>
              <w:t>Busey Bank</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460" w:type="dxa"/>
            <w:vAlign w:val="bottom"/>
          </w:tcPr>
          <w:p>
            <w:pPr>
              <w:jc w:val="right"/>
              <w:ind w:right="230"/>
              <w:spacing w:after="0"/>
              <w:rPr>
                <w:sz w:val="20"/>
                <w:szCs w:val="20"/>
                <w:color w:val="auto"/>
              </w:rPr>
            </w:pPr>
            <w:r>
              <w:rPr>
                <w:rFonts w:ascii="Verdana" w:cs="Verdana" w:eastAsia="Verdana" w:hAnsi="Verdana"/>
                <w:sz w:val="18"/>
                <w:szCs w:val="18"/>
                <w:color w:val="auto"/>
              </w:rPr>
              <w:t>1,362,962</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11.19 %</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-2767965</wp:posOffset>
            </wp:positionV>
            <wp:extent cx="713232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132320" cy="3086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-1945640</wp:posOffset>
            </wp:positionV>
            <wp:extent cx="713232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132320" cy="308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4457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120" w:type="dxa"/>
            <w:vAlign w:val="bottom"/>
          </w:tcPr>
          <w:p>
            <w:pPr>
              <w:jc w:val="right"/>
              <w:ind w:right="270"/>
              <w:spacing w:after="0"/>
              <w:rPr>
                <w:sz w:val="20"/>
                <w:szCs w:val="20"/>
                <w:color w:val="auto"/>
              </w:rPr>
            </w:pPr>
            <w:r>
              <w:rPr>
                <w:rFonts w:ascii="Verdana" w:cs="Verdana" w:eastAsia="Verdana" w:hAnsi="Verdana"/>
                <w:sz w:val="18"/>
                <w:szCs w:val="18"/>
                <w:color w:val="auto"/>
                <w:w w:val="98"/>
              </w:rPr>
              <w:t>397,331</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4.50 %</w:t>
            </w:r>
          </w:p>
        </w:tc>
        <w:tc>
          <w:tcPr>
            <w:tcW w:w="46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ind w:right="290"/>
              <w:spacing w:after="0"/>
              <w:rPr>
                <w:sz w:val="20"/>
                <w:szCs w:val="20"/>
                <w:color w:val="auto"/>
              </w:rPr>
            </w:pPr>
            <w:r>
              <w:rPr>
                <w:rFonts w:ascii="Verdana" w:cs="Verdana" w:eastAsia="Verdana" w:hAnsi="Verdana"/>
                <w:sz w:val="18"/>
                <w:szCs w:val="18"/>
                <w:color w:val="auto"/>
              </w:rPr>
              <w:t>573,923</w:t>
            </w:r>
          </w:p>
        </w:tc>
        <w:tc>
          <w:tcPr>
            <w:tcW w:w="1060" w:type="dxa"/>
            <w:vAlign w:val="bottom"/>
          </w:tcPr>
          <w:p>
            <w:pPr>
              <w:jc w:val="right"/>
              <w:spacing w:after="0"/>
              <w:rPr>
                <w:sz w:val="20"/>
                <w:szCs w:val="20"/>
                <w:color w:val="auto"/>
              </w:rPr>
            </w:pPr>
            <w:r>
              <w:rPr>
                <w:rFonts w:ascii="Verdana" w:cs="Verdana" w:eastAsia="Verdana" w:hAnsi="Verdana"/>
                <w:sz w:val="18"/>
                <w:szCs w:val="18"/>
                <w:color w:val="auto"/>
              </w:rPr>
              <w:t>6.50 %</w:t>
            </w:r>
          </w:p>
        </w:tc>
      </w:tr>
      <w:tr>
        <w:trPr>
          <w:trHeight w:val="270"/>
        </w:trPr>
        <w:tc>
          <w:tcPr>
            <w:tcW w:w="1120" w:type="dxa"/>
            <w:vAlign w:val="bottom"/>
          </w:tcPr>
          <w:p>
            <w:pPr>
              <w:jc w:val="right"/>
              <w:ind w:right="270"/>
              <w:spacing w:after="0"/>
              <w:rPr>
                <w:sz w:val="20"/>
                <w:szCs w:val="20"/>
                <w:color w:val="auto"/>
              </w:rPr>
            </w:pPr>
            <w:r>
              <w:rPr>
                <w:rFonts w:ascii="Verdana" w:cs="Verdana" w:eastAsia="Verdana" w:hAnsi="Verdana"/>
                <w:sz w:val="18"/>
                <w:szCs w:val="18"/>
                <w:color w:val="auto"/>
                <w:w w:val="98"/>
              </w:rPr>
              <w:t>396,128</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4.50 %</w:t>
            </w:r>
          </w:p>
        </w:tc>
        <w:tc>
          <w:tcPr>
            <w:tcW w:w="46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ind w:right="290"/>
              <w:spacing w:after="0"/>
              <w:rPr>
                <w:sz w:val="20"/>
                <w:szCs w:val="20"/>
                <w:color w:val="auto"/>
              </w:rPr>
            </w:pPr>
            <w:r>
              <w:rPr>
                <w:rFonts w:ascii="Verdana" w:cs="Verdana" w:eastAsia="Verdana" w:hAnsi="Verdana"/>
                <w:sz w:val="18"/>
                <w:szCs w:val="18"/>
                <w:color w:val="auto"/>
              </w:rPr>
              <w:t>572,185</w:t>
            </w:r>
          </w:p>
        </w:tc>
        <w:tc>
          <w:tcPr>
            <w:tcW w:w="1060" w:type="dxa"/>
            <w:vAlign w:val="bottom"/>
          </w:tcPr>
          <w:p>
            <w:pPr>
              <w:jc w:val="right"/>
              <w:spacing w:after="0"/>
              <w:rPr>
                <w:sz w:val="20"/>
                <w:szCs w:val="20"/>
                <w:color w:val="auto"/>
              </w:rPr>
            </w:pPr>
            <w:r>
              <w:rPr>
                <w:rFonts w:ascii="Verdana" w:cs="Verdana" w:eastAsia="Verdana" w:hAnsi="Verdana"/>
                <w:sz w:val="18"/>
                <w:szCs w:val="18"/>
                <w:color w:val="auto"/>
              </w:rPr>
              <w:t>6.50 %</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20" w:type="dxa"/>
            <w:vAlign w:val="bottom"/>
          </w:tcPr>
          <w:p>
            <w:pPr>
              <w:jc w:val="right"/>
              <w:ind w:right="270"/>
              <w:spacing w:after="0"/>
              <w:rPr>
                <w:sz w:val="20"/>
                <w:szCs w:val="20"/>
                <w:color w:val="auto"/>
              </w:rPr>
            </w:pPr>
            <w:r>
              <w:rPr>
                <w:rFonts w:ascii="Verdana" w:cs="Verdana" w:eastAsia="Verdana" w:hAnsi="Verdana"/>
                <w:sz w:val="18"/>
                <w:szCs w:val="18"/>
                <w:color w:val="auto"/>
                <w:w w:val="98"/>
              </w:rPr>
              <w:t>529,775</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6.00 %</w:t>
            </w:r>
          </w:p>
        </w:tc>
        <w:tc>
          <w:tcPr>
            <w:tcW w:w="46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ind w:right="290"/>
              <w:spacing w:after="0"/>
              <w:rPr>
                <w:sz w:val="20"/>
                <w:szCs w:val="20"/>
                <w:color w:val="auto"/>
              </w:rPr>
            </w:pPr>
            <w:r>
              <w:rPr>
                <w:rFonts w:ascii="Verdana" w:cs="Verdana" w:eastAsia="Verdana" w:hAnsi="Verdana"/>
                <w:sz w:val="18"/>
                <w:szCs w:val="18"/>
                <w:color w:val="auto"/>
              </w:rPr>
              <w:t>706,367</w:t>
            </w:r>
          </w:p>
        </w:tc>
        <w:tc>
          <w:tcPr>
            <w:tcW w:w="1060" w:type="dxa"/>
            <w:vAlign w:val="bottom"/>
          </w:tcPr>
          <w:p>
            <w:pPr>
              <w:jc w:val="right"/>
              <w:spacing w:after="0"/>
              <w:rPr>
                <w:sz w:val="20"/>
                <w:szCs w:val="20"/>
                <w:color w:val="auto"/>
              </w:rPr>
            </w:pPr>
            <w:r>
              <w:rPr>
                <w:rFonts w:ascii="Verdana" w:cs="Verdana" w:eastAsia="Verdana" w:hAnsi="Verdana"/>
                <w:sz w:val="18"/>
                <w:szCs w:val="18"/>
                <w:color w:val="auto"/>
              </w:rPr>
              <w:t>8.00 %</w:t>
            </w:r>
          </w:p>
        </w:tc>
      </w:tr>
      <w:tr>
        <w:trPr>
          <w:trHeight w:val="270"/>
        </w:trPr>
        <w:tc>
          <w:tcPr>
            <w:tcW w:w="1120" w:type="dxa"/>
            <w:vAlign w:val="bottom"/>
          </w:tcPr>
          <w:p>
            <w:pPr>
              <w:jc w:val="right"/>
              <w:ind w:right="270"/>
              <w:spacing w:after="0"/>
              <w:rPr>
                <w:sz w:val="20"/>
                <w:szCs w:val="20"/>
                <w:color w:val="auto"/>
              </w:rPr>
            </w:pPr>
            <w:r>
              <w:rPr>
                <w:rFonts w:ascii="Verdana" w:cs="Verdana" w:eastAsia="Verdana" w:hAnsi="Verdana"/>
                <w:sz w:val="18"/>
                <w:szCs w:val="18"/>
                <w:color w:val="auto"/>
                <w:w w:val="98"/>
              </w:rPr>
              <w:t>528,171</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6.00 %</w:t>
            </w:r>
          </w:p>
        </w:tc>
        <w:tc>
          <w:tcPr>
            <w:tcW w:w="46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ind w:right="290"/>
              <w:spacing w:after="0"/>
              <w:rPr>
                <w:sz w:val="20"/>
                <w:szCs w:val="20"/>
                <w:color w:val="auto"/>
              </w:rPr>
            </w:pPr>
            <w:r>
              <w:rPr>
                <w:rFonts w:ascii="Verdana" w:cs="Verdana" w:eastAsia="Verdana" w:hAnsi="Verdana"/>
                <w:sz w:val="18"/>
                <w:szCs w:val="18"/>
                <w:color w:val="auto"/>
              </w:rPr>
              <w:t>704,228</w:t>
            </w:r>
          </w:p>
        </w:tc>
        <w:tc>
          <w:tcPr>
            <w:tcW w:w="1060" w:type="dxa"/>
            <w:vAlign w:val="bottom"/>
          </w:tcPr>
          <w:p>
            <w:pPr>
              <w:jc w:val="right"/>
              <w:spacing w:after="0"/>
              <w:rPr>
                <w:sz w:val="20"/>
                <w:szCs w:val="20"/>
                <w:color w:val="auto"/>
              </w:rPr>
            </w:pPr>
            <w:r>
              <w:rPr>
                <w:rFonts w:ascii="Verdana" w:cs="Verdana" w:eastAsia="Verdana" w:hAnsi="Verdana"/>
                <w:sz w:val="18"/>
                <w:szCs w:val="18"/>
                <w:color w:val="auto"/>
              </w:rPr>
              <w:t>8.00 %</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20" w:type="dxa"/>
            <w:vAlign w:val="bottom"/>
          </w:tcPr>
          <w:p>
            <w:pPr>
              <w:jc w:val="right"/>
              <w:ind w:right="270"/>
              <w:spacing w:after="0"/>
              <w:rPr>
                <w:sz w:val="20"/>
                <w:szCs w:val="20"/>
                <w:color w:val="auto"/>
              </w:rPr>
            </w:pPr>
            <w:r>
              <w:rPr>
                <w:rFonts w:ascii="Verdana" w:cs="Verdana" w:eastAsia="Verdana" w:hAnsi="Verdana"/>
                <w:sz w:val="18"/>
                <w:szCs w:val="18"/>
                <w:color w:val="auto"/>
                <w:w w:val="98"/>
              </w:rPr>
              <w:t>706,367</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46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250"/>
              <w:spacing w:after="0"/>
              <w:rPr>
                <w:sz w:val="20"/>
                <w:szCs w:val="20"/>
                <w:color w:val="auto"/>
              </w:rPr>
            </w:pPr>
            <w:r>
              <w:rPr>
                <w:rFonts w:ascii="Verdana" w:cs="Verdana" w:eastAsia="Verdana" w:hAnsi="Verdana"/>
                <w:sz w:val="18"/>
                <w:szCs w:val="18"/>
                <w:color w:val="auto"/>
              </w:rPr>
              <w:t>882,958</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10.00 %</w:t>
            </w:r>
          </w:p>
        </w:tc>
      </w:tr>
      <w:tr>
        <w:trPr>
          <w:trHeight w:val="270"/>
        </w:trPr>
        <w:tc>
          <w:tcPr>
            <w:tcW w:w="1120" w:type="dxa"/>
            <w:vAlign w:val="bottom"/>
          </w:tcPr>
          <w:p>
            <w:pPr>
              <w:jc w:val="right"/>
              <w:ind w:right="270"/>
              <w:spacing w:after="0"/>
              <w:rPr>
                <w:sz w:val="20"/>
                <w:szCs w:val="20"/>
                <w:color w:val="auto"/>
              </w:rPr>
            </w:pPr>
            <w:r>
              <w:rPr>
                <w:rFonts w:ascii="Verdana" w:cs="Verdana" w:eastAsia="Verdana" w:hAnsi="Verdana"/>
                <w:sz w:val="18"/>
                <w:szCs w:val="18"/>
                <w:color w:val="auto"/>
                <w:w w:val="98"/>
              </w:rPr>
              <w:t>704,228</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46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250"/>
              <w:spacing w:after="0"/>
              <w:rPr>
                <w:sz w:val="20"/>
                <w:szCs w:val="20"/>
                <w:color w:val="auto"/>
              </w:rPr>
            </w:pPr>
            <w:r>
              <w:rPr>
                <w:rFonts w:ascii="Verdana" w:cs="Verdana" w:eastAsia="Verdana" w:hAnsi="Verdana"/>
                <w:sz w:val="18"/>
                <w:szCs w:val="18"/>
                <w:color w:val="auto"/>
              </w:rPr>
              <w:t>880,285</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20" w:type="dxa"/>
            <w:vAlign w:val="bottom"/>
          </w:tcPr>
          <w:p>
            <w:pPr>
              <w:jc w:val="right"/>
              <w:ind w:right="270"/>
              <w:spacing w:after="0"/>
              <w:rPr>
                <w:sz w:val="20"/>
                <w:szCs w:val="20"/>
                <w:color w:val="auto"/>
              </w:rPr>
            </w:pPr>
            <w:r>
              <w:rPr>
                <w:rFonts w:ascii="Verdana" w:cs="Verdana" w:eastAsia="Verdana" w:hAnsi="Verdana"/>
                <w:sz w:val="18"/>
                <w:szCs w:val="18"/>
                <w:color w:val="auto"/>
                <w:w w:val="98"/>
              </w:rPr>
              <w:t>488,315</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4.00 %</w:t>
            </w:r>
          </w:p>
        </w:tc>
        <w:tc>
          <w:tcPr>
            <w:tcW w:w="46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Verdana" w:cs="Verdana" w:eastAsia="Verdana" w:hAnsi="Verdana"/>
                <w:sz w:val="18"/>
                <w:szCs w:val="18"/>
                <w:color w:val="auto"/>
              </w:rPr>
              <w:t>N/A</w:t>
            </w:r>
          </w:p>
        </w:tc>
        <w:tc>
          <w:tcPr>
            <w:tcW w:w="1020" w:type="dxa"/>
            <w:vAlign w:val="bottom"/>
          </w:tcPr>
          <w:p>
            <w:pPr>
              <w:jc w:val="right"/>
              <w:spacing w:after="0"/>
              <w:rPr>
                <w:sz w:val="20"/>
                <w:szCs w:val="20"/>
                <w:color w:val="auto"/>
              </w:rPr>
            </w:pPr>
            <w:r>
              <w:rPr>
                <w:rFonts w:ascii="Verdana" w:cs="Verdana" w:eastAsia="Verdana" w:hAnsi="Verdana"/>
                <w:sz w:val="18"/>
                <w:szCs w:val="18"/>
                <w:color w:val="auto"/>
              </w:rPr>
              <w:t>N/A</w:t>
            </w:r>
          </w:p>
        </w:tc>
      </w:tr>
      <w:tr>
        <w:trPr>
          <w:trHeight w:val="270"/>
        </w:trPr>
        <w:tc>
          <w:tcPr>
            <w:tcW w:w="1120" w:type="dxa"/>
            <w:vAlign w:val="bottom"/>
          </w:tcPr>
          <w:p>
            <w:pPr>
              <w:jc w:val="right"/>
              <w:ind w:right="270"/>
              <w:spacing w:after="0"/>
              <w:rPr>
                <w:sz w:val="20"/>
                <w:szCs w:val="20"/>
                <w:color w:val="auto"/>
              </w:rPr>
            </w:pPr>
            <w:r>
              <w:rPr>
                <w:rFonts w:ascii="Verdana" w:cs="Verdana" w:eastAsia="Verdana" w:hAnsi="Verdana"/>
                <w:sz w:val="18"/>
                <w:szCs w:val="18"/>
                <w:color w:val="auto"/>
                <w:w w:val="98"/>
              </w:rPr>
              <w:t>487,103</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4.00 %</w:t>
            </w:r>
          </w:p>
        </w:tc>
        <w:tc>
          <w:tcPr>
            <w:tcW w:w="46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330"/>
              <w:spacing w:after="0"/>
              <w:rPr>
                <w:sz w:val="20"/>
                <w:szCs w:val="20"/>
                <w:color w:val="auto"/>
              </w:rPr>
            </w:pPr>
            <w:r>
              <w:rPr>
                <w:rFonts w:ascii="Verdana" w:cs="Verdana" w:eastAsia="Verdana" w:hAnsi="Verdana"/>
                <w:sz w:val="18"/>
                <w:szCs w:val="18"/>
                <w:color w:val="auto"/>
              </w:rPr>
              <w:t>608,879</w:t>
            </w:r>
          </w:p>
        </w:tc>
        <w:tc>
          <w:tcPr>
            <w:tcW w:w="1020" w:type="dxa"/>
            <w:vAlign w:val="bottom"/>
          </w:tcPr>
          <w:p>
            <w:pPr>
              <w:jc w:val="right"/>
              <w:spacing w:after="0"/>
              <w:rPr>
                <w:sz w:val="20"/>
                <w:szCs w:val="20"/>
                <w:color w:val="auto"/>
              </w:rPr>
            </w:pPr>
            <w:r>
              <w:rPr>
                <w:rFonts w:ascii="Verdana" w:cs="Verdana" w:eastAsia="Verdana" w:hAnsi="Verdana"/>
                <w:sz w:val="18"/>
                <w:szCs w:val="18"/>
                <w:color w:val="auto"/>
              </w:rPr>
              <w:t>5.00 %</w:t>
            </w:r>
          </w:p>
        </w:tc>
      </w:tr>
    </w:tbl>
    <w:p>
      <w:pPr>
        <w:spacing w:after="0" w:line="200" w:lineRule="exact"/>
        <w:rPr>
          <w:sz w:val="20"/>
          <w:szCs w:val="20"/>
          <w:color w:val="auto"/>
        </w:rPr>
      </w:pPr>
    </w:p>
    <w:p>
      <w:pPr>
        <w:sectPr>
          <w:pgSz w:w="11900" w:h="16838" w:orient="portrait"/>
          <w:cols w:equalWidth="0" w:num="2">
            <w:col w:w="5540" w:space="540"/>
            <w:col w:w="5160"/>
          </w:cols>
          <w:pgMar w:left="320" w:top="310" w:right="339" w:bottom="1440" w:gutter="0" w:footer="0" w:header="0"/>
          <w:type w:val="continuous"/>
        </w:sectPr>
      </w:pPr>
    </w:p>
    <w:p>
      <w:pPr>
        <w:spacing w:after="0" w:line="132"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44" w:name="page145"/>
    <w:bookmarkEnd w:id="14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center"/>
              <w:ind w:right="420"/>
              <w:spacing w:after="0"/>
              <w:rPr>
                <w:sz w:val="20"/>
                <w:szCs w:val="20"/>
                <w:color w:val="auto"/>
              </w:rPr>
            </w:pPr>
            <w:r>
              <w:rPr>
                <w:rFonts w:ascii="Verdana" w:cs="Verdana" w:eastAsia="Verdana" w:hAnsi="Verdana"/>
                <w:sz w:val="13"/>
                <w:szCs w:val="13"/>
                <w:b w:val="1"/>
                <w:bCs w:val="1"/>
                <w:color w:val="auto"/>
                <w:w w:val="96"/>
              </w:rPr>
              <w:t>As of December 31, 2022</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3"/>
            <w:vMerge w:val="restart"/>
          </w:tcPr>
          <w:p>
            <w:pPr>
              <w:jc w:val="center"/>
              <w:ind w:left="559"/>
              <w:spacing w:after="0"/>
              <w:rPr>
                <w:sz w:val="20"/>
                <w:szCs w:val="20"/>
                <w:color w:val="auto"/>
              </w:rPr>
            </w:pPr>
            <w:r>
              <w:rPr>
                <w:rFonts w:ascii="Verdana" w:cs="Verdana" w:eastAsia="Verdana" w:hAnsi="Verdana"/>
                <w:sz w:val="13"/>
                <w:szCs w:val="13"/>
                <w:b w:val="1"/>
                <w:bCs w:val="1"/>
                <w:color w:val="auto"/>
                <w:w w:val="98"/>
              </w:rPr>
              <w:t>Minimum</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3"/>
          </w:tcPr>
          <w:p>
            <w:pPr>
              <w:jc w:val="center"/>
              <w:ind w:left="539"/>
              <w:spacing w:after="0" w:line="122" w:lineRule="exact"/>
              <w:rPr>
                <w:sz w:val="20"/>
                <w:szCs w:val="20"/>
                <w:color w:val="auto"/>
              </w:rPr>
            </w:pPr>
            <w:r>
              <w:rPr>
                <w:rFonts w:ascii="Verdana" w:cs="Verdana" w:eastAsia="Verdana" w:hAnsi="Verdana"/>
                <w:sz w:val="13"/>
                <w:szCs w:val="13"/>
                <w:b w:val="1"/>
                <w:bCs w:val="1"/>
                <w:color w:val="auto"/>
                <w:w w:val="98"/>
              </w:rPr>
              <w:t>Minimum</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gridSpan w:val="3"/>
            <w:vMerge w:val="restart"/>
          </w:tcPr>
          <w:p>
            <w:pPr>
              <w:ind w:left="900"/>
              <w:spacing w:after="0"/>
              <w:rPr>
                <w:sz w:val="20"/>
                <w:szCs w:val="20"/>
                <w:color w:val="auto"/>
              </w:rPr>
            </w:pPr>
            <w:r>
              <w:rPr>
                <w:rFonts w:ascii="Verdana" w:cs="Verdana" w:eastAsia="Verdana" w:hAnsi="Verdana"/>
                <w:sz w:val="13"/>
                <w:szCs w:val="13"/>
                <w:b w:val="1"/>
                <w:bCs w:val="1"/>
                <w:color w:val="auto"/>
              </w:rPr>
              <w:t>Actual</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3"/>
          </w:tcPr>
          <w:p>
            <w:pPr>
              <w:jc w:val="center"/>
              <w:ind w:left="559"/>
              <w:spacing w:after="0" w:line="122" w:lineRule="exact"/>
              <w:rPr>
                <w:sz w:val="20"/>
                <w:szCs w:val="20"/>
                <w:color w:val="auto"/>
              </w:rPr>
            </w:pPr>
            <w:r>
              <w:rPr>
                <w:rFonts w:ascii="Verdana" w:cs="Verdana" w:eastAsia="Verdana" w:hAnsi="Verdana"/>
                <w:sz w:val="13"/>
                <w:szCs w:val="13"/>
                <w:b w:val="1"/>
                <w:bCs w:val="1"/>
                <w:color w:val="auto"/>
                <w:w w:val="98"/>
              </w:rPr>
              <w:t>To Be Well</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Verdana" w:cs="Verdana" w:eastAsia="Verdana" w:hAnsi="Verdana"/>
                <w:sz w:val="13"/>
                <w:szCs w:val="13"/>
                <w:b w:val="1"/>
                <w:bCs w:val="1"/>
                <w:color w:val="auto"/>
                <w:w w:val="97"/>
              </w:rPr>
              <w:t>Capital Requirement</w:t>
            </w:r>
          </w:p>
        </w:tc>
        <w:tc>
          <w:tcPr>
            <w:tcW w:w="300" w:type="dxa"/>
            <w:vAlign w:val="bottom"/>
          </w:tcPr>
          <w:p>
            <w:pPr>
              <w:spacing w:after="0"/>
              <w:rPr>
                <w:sz w:val="14"/>
                <w:szCs w:val="14"/>
                <w:color w:val="auto"/>
              </w:rPr>
            </w:pPr>
          </w:p>
        </w:tc>
        <w:tc>
          <w:tcPr>
            <w:tcW w:w="1640" w:type="dxa"/>
            <w:vAlign w:val="bottom"/>
            <w:gridSpan w:val="3"/>
          </w:tcPr>
          <w:p>
            <w:pPr>
              <w:jc w:val="center"/>
              <w:ind w:left="539"/>
              <w:spacing w:after="0"/>
              <w:rPr>
                <w:sz w:val="20"/>
                <w:szCs w:val="20"/>
                <w:color w:val="auto"/>
              </w:rPr>
            </w:pPr>
            <w:r>
              <w:rPr>
                <w:rFonts w:ascii="Verdana" w:cs="Verdana" w:eastAsia="Verdana" w:hAnsi="Verdana"/>
                <w:sz w:val="13"/>
                <w:szCs w:val="13"/>
                <w:b w:val="1"/>
                <w:bCs w:val="1"/>
                <w:color w:val="auto"/>
                <w:w w:val="96"/>
              </w:rPr>
              <w:t>Capitalized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3"/>
          </w:tcPr>
          <w:p>
            <w:pPr>
              <w:ind w:left="180"/>
              <w:spacing w:after="0"/>
              <w:rPr>
                <w:sz w:val="20"/>
                <w:szCs w:val="20"/>
                <w:color w:val="auto"/>
              </w:rPr>
            </w:pPr>
            <w:r>
              <w:rPr>
                <w:rFonts w:ascii="Verdana" w:cs="Verdana" w:eastAsia="Verdana" w:hAnsi="Verdana"/>
                <w:sz w:val="13"/>
                <w:szCs w:val="13"/>
                <w:b w:val="1"/>
                <w:bCs w:val="1"/>
                <w:color w:val="auto"/>
              </w:rPr>
              <w:t>Amount</w:t>
            </w:r>
          </w:p>
        </w:tc>
        <w:tc>
          <w:tcPr>
            <w:tcW w:w="1020" w:type="dxa"/>
            <w:vAlign w:val="bottom"/>
            <w:tcBorders>
              <w:top w:val="single" w:sz="8" w:color="auto"/>
            </w:tcBorders>
          </w:tcPr>
          <w:p>
            <w:pPr>
              <w:jc w:val="right"/>
              <w:ind w:right="353"/>
              <w:spacing w:after="0"/>
              <w:rPr>
                <w:sz w:val="20"/>
                <w:szCs w:val="20"/>
                <w:color w:val="auto"/>
              </w:rPr>
            </w:pPr>
            <w:r>
              <w:rPr>
                <w:rFonts w:ascii="Verdana" w:cs="Verdana" w:eastAsia="Verdana" w:hAnsi="Verdana"/>
                <w:sz w:val="13"/>
                <w:szCs w:val="13"/>
                <w:b w:val="1"/>
                <w:bCs w:val="1"/>
                <w:color w:val="auto"/>
              </w:rPr>
              <w:t>Ratio</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60"/>
              <w:spacing w:after="0"/>
              <w:rPr>
                <w:sz w:val="20"/>
                <w:szCs w:val="20"/>
                <w:color w:val="auto"/>
              </w:rPr>
            </w:pPr>
            <w:r>
              <w:rPr>
                <w:rFonts w:ascii="Verdana" w:cs="Verdana" w:eastAsia="Verdana" w:hAnsi="Verdana"/>
                <w:sz w:val="13"/>
                <w:szCs w:val="13"/>
                <w:b w:val="1"/>
                <w:bCs w:val="1"/>
                <w:color w:val="auto"/>
              </w:rPr>
              <w:t>Amount</w:t>
            </w:r>
          </w:p>
        </w:tc>
        <w:tc>
          <w:tcPr>
            <w:tcW w:w="960" w:type="dxa"/>
            <w:vAlign w:val="bottom"/>
            <w:tcBorders>
              <w:top w:val="single" w:sz="8" w:color="auto"/>
            </w:tcBorders>
          </w:tcPr>
          <w:p>
            <w:pPr>
              <w:jc w:val="right"/>
              <w:ind w:right="353"/>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3"/>
          </w:tcPr>
          <w:p>
            <w:pPr>
              <w:ind w:left="180"/>
              <w:spacing w:after="0"/>
              <w:rPr>
                <w:sz w:val="20"/>
                <w:szCs w:val="20"/>
                <w:color w:val="auto"/>
              </w:rPr>
            </w:pPr>
            <w:r>
              <w:rPr>
                <w:rFonts w:ascii="Verdana" w:cs="Verdana" w:eastAsia="Verdana" w:hAnsi="Verdana"/>
                <w:sz w:val="13"/>
                <w:szCs w:val="13"/>
                <w:b w:val="1"/>
                <w:bCs w:val="1"/>
                <w:color w:val="auto"/>
              </w:rPr>
              <w:t>Amount</w:t>
            </w:r>
          </w:p>
        </w:tc>
        <w:tc>
          <w:tcPr>
            <w:tcW w:w="940" w:type="dxa"/>
            <w:vAlign w:val="bottom"/>
            <w:tcBorders>
              <w:top w:val="single" w:sz="8" w:color="auto"/>
            </w:tcBorders>
          </w:tcPr>
          <w:p>
            <w:pPr>
              <w:jc w:val="right"/>
              <w:ind w:right="353"/>
              <w:spacing w:after="0"/>
              <w:rPr>
                <w:sz w:val="20"/>
                <w:szCs w:val="20"/>
                <w:color w:val="auto"/>
              </w:rPr>
            </w:pPr>
            <w:r>
              <w:rPr>
                <w:rFonts w:ascii="Verdana" w:cs="Verdana" w:eastAsia="Verdana" w:hAnsi="Verdana"/>
                <w:sz w:val="13"/>
                <w:szCs w:val="13"/>
                <w:b w:val="1"/>
                <w:bCs w:val="1"/>
                <w:color w:val="auto"/>
              </w:rPr>
              <w:t>Ratio</w:t>
            </w:r>
          </w:p>
        </w:tc>
        <w:tc>
          <w:tcPr>
            <w:tcW w:w="0" w:type="dxa"/>
            <w:vAlign w:val="bottom"/>
          </w:tcPr>
          <w:p>
            <w:pPr>
              <w:spacing w:after="0"/>
              <w:rPr>
                <w:sz w:val="1"/>
                <w:szCs w:val="1"/>
                <w:color w:val="auto"/>
              </w:rPr>
            </w:pPr>
          </w:p>
        </w:tc>
      </w:tr>
      <w:tr>
        <w:trPr>
          <w:trHeight w:val="223"/>
        </w:trPr>
        <w:tc>
          <w:tcPr>
            <w:tcW w:w="24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Common equity Tier 1</w:t>
            </w:r>
          </w:p>
        </w:tc>
        <w:tc>
          <w:tcPr>
            <w:tcW w:w="32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b w:val="1"/>
                <w:bCs w:val="1"/>
                <w:color w:val="auto"/>
              </w:rPr>
              <w:t>capital to risk</w:t>
            </w: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0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9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9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weighted assets</w:t>
            </w:r>
          </w:p>
        </w:tc>
        <w:tc>
          <w:tcPr>
            <w:tcW w:w="32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2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20" w:type="dxa"/>
            <w:vAlign w:val="bottom"/>
          </w:tcPr>
          <w:p>
            <w:pPr>
              <w:ind w:left="200"/>
              <w:spacing w:after="0"/>
              <w:rPr>
                <w:sz w:val="20"/>
                <w:szCs w:val="20"/>
                <w:color w:val="auto"/>
              </w:rPr>
            </w:pPr>
            <w:r>
              <w:rPr>
                <w:rFonts w:ascii="Verdana" w:cs="Verdana" w:eastAsia="Verdana" w:hAnsi="Verdana"/>
                <w:sz w:val="18"/>
                <w:szCs w:val="18"/>
                <w:color w:val="auto"/>
              </w:rPr>
              <w:t>1,081,686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11.96 %</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406,980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4.50 %</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9"/>
              <w:spacing w:after="0"/>
              <w:rPr>
                <w:sz w:val="20"/>
                <w:szCs w:val="20"/>
                <w:color w:val="auto"/>
              </w:rPr>
            </w:pPr>
            <w:r>
              <w:rPr>
                <w:rFonts w:ascii="Verdana" w:cs="Verdana" w:eastAsia="Verdana" w:hAnsi="Verdana"/>
                <w:sz w:val="18"/>
                <w:szCs w:val="18"/>
                <w:color w:val="auto"/>
              </w:rPr>
              <w:t>587,861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7"/>
        </w:trPr>
        <w:tc>
          <w:tcPr>
            <w:tcW w:w="24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1,306,716</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14.49 %</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405,736</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4.50 %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586,063</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Tier 1 capital to risk</w:t>
            </w:r>
          </w:p>
        </w:tc>
        <w:tc>
          <w:tcPr>
            <w:tcW w:w="32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0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weighted assets</w:t>
            </w:r>
          </w:p>
        </w:tc>
        <w:tc>
          <w:tcPr>
            <w:tcW w:w="32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2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20" w:type="dxa"/>
            <w:vAlign w:val="bottom"/>
          </w:tcPr>
          <w:p>
            <w:pPr>
              <w:ind w:left="200"/>
              <w:spacing w:after="0"/>
              <w:rPr>
                <w:sz w:val="20"/>
                <w:szCs w:val="20"/>
                <w:color w:val="auto"/>
              </w:rPr>
            </w:pPr>
            <w:r>
              <w:rPr>
                <w:rFonts w:ascii="Verdana" w:cs="Verdana" w:eastAsia="Verdana" w:hAnsi="Verdana"/>
                <w:sz w:val="18"/>
                <w:szCs w:val="18"/>
                <w:color w:val="auto"/>
              </w:rPr>
              <w:t>1,155,686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12.78 %</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542,640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6.00 %</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9"/>
              <w:spacing w:after="0"/>
              <w:rPr>
                <w:sz w:val="20"/>
                <w:szCs w:val="20"/>
                <w:color w:val="auto"/>
              </w:rPr>
            </w:pPr>
            <w:r>
              <w:rPr>
                <w:rFonts w:ascii="Verdana" w:cs="Verdana" w:eastAsia="Verdana" w:hAnsi="Verdana"/>
                <w:sz w:val="18"/>
                <w:szCs w:val="18"/>
                <w:color w:val="auto"/>
              </w:rPr>
              <w:t>723,521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7"/>
        </w:trPr>
        <w:tc>
          <w:tcPr>
            <w:tcW w:w="24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1,306,716</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14.49 %</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540,981</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6.00 %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721,308</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capital to risk</w:t>
            </w:r>
          </w:p>
        </w:tc>
        <w:tc>
          <w:tcPr>
            <w:tcW w:w="32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0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weighted assets</w:t>
            </w:r>
          </w:p>
        </w:tc>
        <w:tc>
          <w:tcPr>
            <w:tcW w:w="32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2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20" w:type="dxa"/>
            <w:vAlign w:val="bottom"/>
          </w:tcPr>
          <w:p>
            <w:pPr>
              <w:ind w:left="200"/>
              <w:spacing w:after="0"/>
              <w:rPr>
                <w:sz w:val="20"/>
                <w:szCs w:val="20"/>
                <w:color w:val="auto"/>
              </w:rPr>
            </w:pPr>
            <w:r>
              <w:rPr>
                <w:rFonts w:ascii="Verdana" w:cs="Verdana" w:eastAsia="Verdana" w:hAnsi="Verdana"/>
                <w:sz w:val="18"/>
                <w:szCs w:val="18"/>
                <w:color w:val="auto"/>
              </w:rPr>
              <w:t>1,457,994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16.12 %</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723,521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9"/>
              <w:spacing w:after="0"/>
              <w:rPr>
                <w:sz w:val="20"/>
                <w:szCs w:val="20"/>
                <w:color w:val="auto"/>
              </w:rPr>
            </w:pPr>
            <w:r>
              <w:rPr>
                <w:rFonts w:ascii="Verdana" w:cs="Verdana" w:eastAsia="Verdana" w:hAnsi="Verdana"/>
                <w:sz w:val="18"/>
                <w:szCs w:val="18"/>
                <w:color w:val="auto"/>
              </w:rPr>
              <w:t>904,401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7"/>
        </w:trPr>
        <w:tc>
          <w:tcPr>
            <w:tcW w:w="24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1,384,024</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15.35 %</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721,308</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8.00 %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901,635</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Leverage ratio of Tier 1</w:t>
            </w:r>
          </w:p>
        </w:tc>
        <w:tc>
          <w:tcPr>
            <w:tcW w:w="32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0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b w:val="1"/>
                <w:bCs w:val="1"/>
                <w:color w:val="auto"/>
              </w:rPr>
              <w:t>capital to average</w:t>
            </w: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0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9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9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32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2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20" w:type="dxa"/>
            <w:vAlign w:val="bottom"/>
          </w:tcPr>
          <w:p>
            <w:pPr>
              <w:ind w:left="200"/>
              <w:spacing w:after="0"/>
              <w:rPr>
                <w:sz w:val="20"/>
                <w:szCs w:val="20"/>
                <w:color w:val="auto"/>
              </w:rPr>
            </w:pPr>
            <w:r>
              <w:rPr>
                <w:rFonts w:ascii="Verdana" w:cs="Verdana" w:eastAsia="Verdana" w:hAnsi="Verdana"/>
                <w:sz w:val="18"/>
                <w:szCs w:val="18"/>
                <w:color w:val="auto"/>
              </w:rPr>
              <w:t>1,155,686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9.45 %</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489,124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4.00 %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3"/>
          </w:tcPr>
          <w:p>
            <w:pPr>
              <w:ind w:left="860"/>
              <w:spacing w:after="0"/>
              <w:rPr>
                <w:sz w:val="20"/>
                <w:szCs w:val="20"/>
                <w:color w:val="auto"/>
              </w:rPr>
            </w:pPr>
            <w:r>
              <w:rPr>
                <w:rFonts w:ascii="Verdana" w:cs="Verdana" w:eastAsia="Verdana" w:hAnsi="Verdana"/>
                <w:sz w:val="18"/>
                <w:szCs w:val="18"/>
                <w:color w:val="auto"/>
              </w:rPr>
              <w:t>N/A</w:t>
            </w:r>
          </w:p>
        </w:tc>
        <w:tc>
          <w:tcPr>
            <w:tcW w:w="940" w:type="dxa"/>
            <w:vAlign w:val="bottom"/>
          </w:tcPr>
          <w:p>
            <w:pPr>
              <w:jc w:val="right"/>
              <w:spacing w:after="0"/>
              <w:rPr>
                <w:sz w:val="20"/>
                <w:szCs w:val="20"/>
                <w:color w:val="auto"/>
              </w:rPr>
            </w:pPr>
            <w:r>
              <w:rPr>
                <w:rFonts w:ascii="Verdana" w:cs="Verdana" w:eastAsia="Verdana" w:hAnsi="Verdana"/>
                <w:sz w:val="18"/>
                <w:szCs w:val="18"/>
                <w:color w:val="auto"/>
              </w:rPr>
              <w:t>N/A</w:t>
            </w:r>
          </w:p>
        </w:tc>
        <w:tc>
          <w:tcPr>
            <w:tcW w:w="0" w:type="dxa"/>
            <w:vAlign w:val="bottom"/>
          </w:tcPr>
          <w:p>
            <w:pPr>
              <w:spacing w:after="0"/>
              <w:rPr>
                <w:sz w:val="1"/>
                <w:szCs w:val="1"/>
                <w:color w:val="auto"/>
              </w:rPr>
            </w:pPr>
          </w:p>
        </w:tc>
      </w:tr>
      <w:tr>
        <w:trPr>
          <w:trHeight w:val="277"/>
        </w:trPr>
        <w:tc>
          <w:tcPr>
            <w:tcW w:w="24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1,306,716</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10.72 %</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487,541</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4.00 %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609,426</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5.00 %</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Conservation Buffer</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(1) common equity Tier 1 capital to risk-weighted assets of at least 7.0%, (2) Tier 1 capital to risk-weighted assets of at least 8.5%, and (3) total capital to risk-weighted assets of at least 10.5%.</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Subsidiary Dividend Payments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First Busey Corporation’s ability to pay cash dividends to its stockholders and to service its debt is dependent on the receipt of cash dividends from its subsidiaries. Under applicable regulatory requirements, an Illinois state-chartered bank, such as Busey Bank, may not pay dividends in excess of its net profits. Busey Bank paid $90.0 million, $95.0 million, and $60.0 million in dividends to First Busey Corporation during the years ended December 31, 2023, 2022, and 2021, respectively.</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5" w:name="page146"/>
    <w:bookmarkEnd w:id="14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12. INCOME TAXES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Components of Busey’s income tax expense consist of the following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ind w:left="1180"/>
              <w:spacing w:after="0"/>
              <w:rPr>
                <w:sz w:val="20"/>
                <w:szCs w:val="20"/>
                <w:color w:val="auto"/>
              </w:rPr>
            </w:pPr>
            <w:r>
              <w:rPr>
                <w:rFonts w:ascii="Verdana" w:cs="Verdana" w:eastAsia="Verdana" w:hAnsi="Verdana"/>
                <w:sz w:val="13"/>
                <w:szCs w:val="13"/>
                <w:b w:val="1"/>
                <w:bCs w:val="1"/>
                <w:color w:val="auto"/>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260"/>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Income tax expense</w:t>
            </w:r>
          </w:p>
        </w:tc>
        <w:tc>
          <w:tcPr>
            <w:tcW w:w="3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Current expense:</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62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Federal</w:t>
            </w: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ind w:left="520"/>
              <w:spacing w:after="0"/>
              <w:rPr>
                <w:sz w:val="20"/>
                <w:szCs w:val="20"/>
                <w:color w:val="auto"/>
              </w:rPr>
            </w:pPr>
            <w:r>
              <w:rPr>
                <w:rFonts w:ascii="Verdana" w:cs="Verdana" w:eastAsia="Verdana" w:hAnsi="Verdana"/>
                <w:sz w:val="18"/>
                <w:szCs w:val="18"/>
                <w:color w:val="auto"/>
              </w:rPr>
              <w:t>20,139</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20,815</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20,261</w:t>
            </w:r>
          </w:p>
        </w:tc>
      </w:tr>
      <w:tr>
        <w:trPr>
          <w:trHeight w:val="263"/>
        </w:trPr>
        <w:tc>
          <w:tcPr>
            <w:tcW w:w="6240" w:type="dxa"/>
            <w:vAlign w:val="bottom"/>
          </w:tcPr>
          <w:p>
            <w:pPr>
              <w:ind w:left="360"/>
              <w:spacing w:after="0"/>
              <w:rPr>
                <w:sz w:val="20"/>
                <w:szCs w:val="20"/>
                <w:color w:val="auto"/>
              </w:rPr>
            </w:pPr>
            <w:r>
              <w:rPr>
                <w:rFonts w:ascii="Verdana" w:cs="Verdana" w:eastAsia="Verdana" w:hAnsi="Verdana"/>
                <w:sz w:val="18"/>
                <w:szCs w:val="18"/>
                <w:color w:val="auto"/>
              </w:rPr>
              <w:t>State</w:t>
            </w:r>
          </w:p>
        </w:tc>
        <w:tc>
          <w:tcPr>
            <w:tcW w:w="360" w:type="dxa"/>
            <w:vAlign w:val="bottom"/>
          </w:tcPr>
          <w:p>
            <w:pPr>
              <w:spacing w:after="0"/>
              <w:rPr>
                <w:sz w:val="22"/>
                <w:szCs w:val="22"/>
                <w:color w:val="auto"/>
              </w:rPr>
            </w:pPr>
          </w:p>
        </w:tc>
        <w:tc>
          <w:tcPr>
            <w:tcW w:w="1240" w:type="dxa"/>
            <w:vAlign w:val="bottom"/>
          </w:tcPr>
          <w:p>
            <w:pPr>
              <w:ind w:left="520"/>
              <w:spacing w:after="0"/>
              <w:rPr>
                <w:sz w:val="20"/>
                <w:szCs w:val="20"/>
                <w:color w:val="auto"/>
              </w:rPr>
            </w:pPr>
            <w:r>
              <w:rPr>
                <w:rFonts w:ascii="Verdana" w:cs="Verdana" w:eastAsia="Verdana" w:hAnsi="Verdana"/>
                <w:sz w:val="18"/>
                <w:szCs w:val="18"/>
                <w:color w:val="auto"/>
              </w:rPr>
              <w:t>14,120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13,883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8,448</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Deferred expense:</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r>
      <w:tr>
        <w:trPr>
          <w:trHeight w:val="263"/>
        </w:trPr>
        <w:tc>
          <w:tcPr>
            <w:tcW w:w="6240" w:type="dxa"/>
            <w:vAlign w:val="bottom"/>
          </w:tcPr>
          <w:p>
            <w:pPr>
              <w:ind w:left="360"/>
              <w:spacing w:after="0"/>
              <w:rPr>
                <w:sz w:val="20"/>
                <w:szCs w:val="20"/>
                <w:color w:val="auto"/>
              </w:rPr>
            </w:pPr>
            <w:r>
              <w:rPr>
                <w:rFonts w:ascii="Verdana" w:cs="Verdana" w:eastAsia="Verdana" w:hAnsi="Verdana"/>
                <w:sz w:val="18"/>
                <w:szCs w:val="18"/>
                <w:color w:val="auto"/>
              </w:rPr>
              <w:t>Federal</w:t>
            </w:r>
          </w:p>
        </w:tc>
        <w:tc>
          <w:tcPr>
            <w:tcW w:w="360" w:type="dxa"/>
            <w:vAlign w:val="bottom"/>
          </w:tcPr>
          <w:p>
            <w:pPr>
              <w:spacing w:after="0"/>
              <w:rPr>
                <w:sz w:val="22"/>
                <w:szCs w:val="22"/>
                <w:color w:val="auto"/>
              </w:rPr>
            </w:pPr>
          </w:p>
        </w:tc>
        <w:tc>
          <w:tcPr>
            <w:tcW w:w="1240" w:type="dxa"/>
            <w:vAlign w:val="bottom"/>
          </w:tcPr>
          <w:p>
            <w:pPr>
              <w:ind w:left="520"/>
              <w:spacing w:after="0"/>
              <w:rPr>
                <w:sz w:val="20"/>
                <w:szCs w:val="20"/>
                <w:color w:val="auto"/>
              </w:rPr>
            </w:pPr>
            <w:r>
              <w:rPr>
                <w:rFonts w:ascii="Verdana" w:cs="Verdana" w:eastAsia="Verdana" w:hAnsi="Verdana"/>
                <w:sz w:val="18"/>
                <w:szCs w:val="18"/>
                <w:color w:val="auto"/>
              </w:rPr>
              <w:t>(1,557)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(700)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3,644</w:t>
            </w:r>
          </w:p>
        </w:tc>
      </w:tr>
      <w:tr>
        <w:trPr>
          <w:trHeight w:val="270"/>
        </w:trPr>
        <w:tc>
          <w:tcPr>
            <w:tcW w:w="62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State</w:t>
            </w: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ind w:left="520"/>
              <w:spacing w:after="0"/>
              <w:rPr>
                <w:sz w:val="20"/>
                <w:szCs w:val="20"/>
                <w:color w:val="auto"/>
              </w:rPr>
            </w:pPr>
            <w:r>
              <w:rPr>
                <w:rFonts w:ascii="Verdana" w:cs="Verdana" w:eastAsia="Verdana" w:hAnsi="Verdana"/>
                <w:sz w:val="18"/>
                <w:szCs w:val="18"/>
                <w:color w:val="auto"/>
              </w:rPr>
              <w:t>(1,363)</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(572)</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1,021</w:t>
            </w: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Total income tax expense</w:t>
            </w:r>
          </w:p>
        </w:tc>
        <w:tc>
          <w:tcPr>
            <w:tcW w:w="36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tcPr>
          <w:p>
            <w:pPr>
              <w:ind w:left="520"/>
              <w:spacing w:after="0"/>
              <w:rPr>
                <w:sz w:val="20"/>
                <w:szCs w:val="20"/>
                <w:color w:val="auto"/>
              </w:rPr>
            </w:pPr>
            <w:r>
              <w:rPr>
                <w:rFonts w:ascii="Verdana" w:cs="Verdana" w:eastAsia="Verdana" w:hAnsi="Verdana"/>
                <w:sz w:val="18"/>
                <w:szCs w:val="18"/>
                <w:color w:val="auto"/>
              </w:rPr>
              <w:t>31,339</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33,426</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33,374</w:t>
            </w:r>
          </w:p>
        </w:tc>
      </w:tr>
      <w:tr>
        <w:trPr>
          <w:trHeight w:val="21"/>
        </w:trPr>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Verdana" w:cs="Verdana" w:eastAsia="Verdana" w:hAnsi="Verdana"/>
          <w:sz w:val="18"/>
          <w:szCs w:val="18"/>
          <w:color w:val="auto"/>
        </w:rPr>
        <w:t>A reconciliation of federal and state income taxes at statutory rates to Busey’s income taxes included in the accompanying</w:t>
      </w:r>
    </w:p>
    <w:p>
      <w:pPr>
        <w:spacing w:after="0"/>
        <w:rPr>
          <w:sz w:val="20"/>
          <w:szCs w:val="20"/>
          <w:color w:val="auto"/>
        </w:rPr>
      </w:pPr>
      <w:r>
        <w:rPr>
          <w:rFonts w:ascii="Verdana" w:cs="Verdana" w:eastAsia="Verdana" w:hAnsi="Verdana"/>
          <w:sz w:val="18"/>
          <w:szCs w:val="18"/>
          <w:u w:val="single" w:color="auto"/>
          <w:color w:val="0000FF"/>
        </w:rPr>
        <w:t>Consolidated Statements of Income</w:t>
      </w:r>
      <w:r>
        <w:rPr>
          <w:rFonts w:ascii="Verdana" w:cs="Verdana" w:eastAsia="Verdana" w:hAnsi="Verdana"/>
          <w:sz w:val="18"/>
          <w:szCs w:val="18"/>
          <w:color w:val="0000FF"/>
        </w:rPr>
        <w:t xml:space="preserve"> </w:t>
      </w:r>
      <w:r>
        <w:rPr>
          <w:rFonts w:ascii="Verdana" w:cs="Verdana" w:eastAsia="Verdana" w:hAnsi="Verdana"/>
          <w:sz w:val="18"/>
          <w:szCs w:val="18"/>
          <w:color w:val="000000"/>
        </w:rPr>
        <w:t>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4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spacing w:after="0"/>
              <w:rPr>
                <w:sz w:val="20"/>
                <w:szCs w:val="20"/>
                <w:color w:val="auto"/>
              </w:rPr>
            </w:pPr>
            <w:r>
              <w:rPr>
                <w:rFonts w:ascii="Verdana" w:cs="Verdana" w:eastAsia="Verdana" w:hAnsi="Verdana"/>
                <w:sz w:val="13"/>
                <w:szCs w:val="13"/>
                <w:b w:val="1"/>
                <w:bCs w:val="1"/>
                <w:color w:val="auto"/>
              </w:rPr>
              <w:t>Years Ended December 31,</w:t>
            </w:r>
          </w:p>
        </w:tc>
        <w:tc>
          <w:tcPr>
            <w:tcW w:w="1360" w:type="dxa"/>
            <w:vAlign w:val="bottom"/>
            <w:tcBorders>
              <w:bottom w:val="single" w:sz="8" w:color="auto"/>
            </w:tcBorders>
          </w:tcPr>
          <w:p>
            <w:pPr>
              <w:spacing w:after="0"/>
              <w:rPr>
                <w:sz w:val="15"/>
                <w:szCs w:val="15"/>
                <w:color w:val="auto"/>
              </w:rPr>
            </w:pPr>
          </w:p>
        </w:tc>
      </w:tr>
      <w:tr>
        <w:trPr>
          <w:trHeight w:val="170"/>
        </w:trPr>
        <w:tc>
          <w:tcPr>
            <w:tcW w:w="5940" w:type="dxa"/>
            <w:vAlign w:val="bottom"/>
          </w:tcPr>
          <w:p>
            <w:pPr>
              <w:spacing w:after="0"/>
              <w:rPr>
                <w:sz w:val="14"/>
                <w:szCs w:val="14"/>
                <w:color w:val="auto"/>
              </w:rPr>
            </w:pPr>
          </w:p>
        </w:tc>
        <w:tc>
          <w:tcPr>
            <w:tcW w:w="1700" w:type="dxa"/>
            <w:vAlign w:val="bottom"/>
          </w:tcPr>
          <w:p>
            <w:pPr>
              <w:jc w:val="right"/>
              <w:ind w:right="573"/>
              <w:spacing w:after="0"/>
              <w:rPr>
                <w:sz w:val="20"/>
                <w:szCs w:val="20"/>
                <w:color w:val="auto"/>
              </w:rPr>
            </w:pPr>
            <w:r>
              <w:rPr>
                <w:rFonts w:ascii="Verdana" w:cs="Verdana" w:eastAsia="Verdana" w:hAnsi="Verdana"/>
                <w:sz w:val="13"/>
                <w:szCs w:val="13"/>
                <w:b w:val="1"/>
                <w:bCs w:val="1"/>
                <w:color w:val="auto"/>
              </w:rPr>
              <w:t>2023</w:t>
            </w:r>
          </w:p>
        </w:tc>
        <w:tc>
          <w:tcPr>
            <w:tcW w:w="1800" w:type="dxa"/>
            <w:vAlign w:val="bottom"/>
            <w:gridSpan w:val="2"/>
          </w:tcPr>
          <w:p>
            <w:pPr>
              <w:jc w:val="right"/>
              <w:ind w:right="570"/>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593"/>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5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Percent of pretax income</w:t>
            </w:r>
          </w:p>
        </w:tc>
        <w:tc>
          <w:tcPr>
            <w:tcW w:w="17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7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360" w:type="dxa"/>
            <w:vAlign w:val="bottom"/>
            <w:tcBorders>
              <w:top w:val="single" w:sz="8" w:color="auto"/>
            </w:tcBorders>
            <w:shd w:val="clear" w:color="auto" w:fill="E0E7ED"/>
          </w:tcPr>
          <w:p>
            <w:pPr>
              <w:spacing w:after="0"/>
              <w:rPr>
                <w:sz w:val="22"/>
                <w:szCs w:val="22"/>
                <w:color w:val="auto"/>
              </w:rPr>
            </w:pPr>
          </w:p>
        </w:tc>
      </w:tr>
      <w:tr>
        <w:trPr>
          <w:trHeight w:val="263"/>
        </w:trPr>
        <w:tc>
          <w:tcPr>
            <w:tcW w:w="5940" w:type="dxa"/>
            <w:vAlign w:val="bottom"/>
          </w:tcPr>
          <w:p>
            <w:pPr>
              <w:ind w:left="180"/>
              <w:spacing w:after="0"/>
              <w:rPr>
                <w:sz w:val="20"/>
                <w:szCs w:val="20"/>
                <w:color w:val="auto"/>
              </w:rPr>
            </w:pPr>
            <w:r>
              <w:rPr>
                <w:rFonts w:ascii="Verdana" w:cs="Verdana" w:eastAsia="Verdana" w:hAnsi="Verdana"/>
                <w:sz w:val="18"/>
                <w:szCs w:val="18"/>
                <w:color w:val="auto"/>
              </w:rPr>
              <w:t>Income tax at federal statutory rate</w:t>
            </w:r>
          </w:p>
        </w:tc>
        <w:tc>
          <w:tcPr>
            <w:tcW w:w="1700" w:type="dxa"/>
            <w:vAlign w:val="bottom"/>
          </w:tcPr>
          <w:p>
            <w:pPr>
              <w:jc w:val="right"/>
              <w:spacing w:after="0"/>
              <w:rPr>
                <w:sz w:val="20"/>
                <w:szCs w:val="20"/>
                <w:color w:val="auto"/>
              </w:rPr>
            </w:pPr>
            <w:r>
              <w:rPr>
                <w:rFonts w:ascii="Verdana" w:cs="Verdana" w:eastAsia="Verdana" w:hAnsi="Verdana"/>
                <w:sz w:val="18"/>
                <w:szCs w:val="18"/>
                <w:color w:val="auto"/>
              </w:rPr>
              <w:t>21.0 %</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21.0 %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21.0 %</w:t>
            </w:r>
          </w:p>
        </w:tc>
      </w:tr>
      <w:tr>
        <w:trPr>
          <w:trHeight w:val="277"/>
        </w:trPr>
        <w:tc>
          <w:tcPr>
            <w:tcW w:w="5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Effect of:</w:t>
            </w:r>
          </w:p>
        </w:tc>
        <w:tc>
          <w:tcPr>
            <w:tcW w:w="17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360" w:type="dxa"/>
            <w:vAlign w:val="bottom"/>
            <w:shd w:val="clear" w:color="auto" w:fill="E0E7ED"/>
          </w:tcPr>
          <w:p>
            <w:pPr>
              <w:spacing w:after="0"/>
              <w:rPr>
                <w:sz w:val="24"/>
                <w:szCs w:val="24"/>
                <w:color w:val="auto"/>
              </w:rPr>
            </w:pPr>
          </w:p>
        </w:tc>
      </w:tr>
      <w:tr>
        <w:trPr>
          <w:trHeight w:val="263"/>
        </w:trPr>
        <w:tc>
          <w:tcPr>
            <w:tcW w:w="5940" w:type="dxa"/>
            <w:vAlign w:val="bottom"/>
          </w:tcPr>
          <w:p>
            <w:pPr>
              <w:ind w:left="360"/>
              <w:spacing w:after="0"/>
              <w:rPr>
                <w:sz w:val="20"/>
                <w:szCs w:val="20"/>
                <w:color w:val="auto"/>
              </w:rPr>
            </w:pPr>
            <w:r>
              <w:rPr>
                <w:rFonts w:ascii="Verdana" w:cs="Verdana" w:eastAsia="Verdana" w:hAnsi="Verdana"/>
                <w:sz w:val="18"/>
                <w:szCs w:val="18"/>
                <w:color w:val="auto"/>
              </w:rPr>
              <w:t>Tax-exempt interest, net</w:t>
            </w:r>
          </w:p>
        </w:tc>
        <w:tc>
          <w:tcPr>
            <w:tcW w:w="1700" w:type="dxa"/>
            <w:vAlign w:val="bottom"/>
          </w:tcPr>
          <w:p>
            <w:pPr>
              <w:jc w:val="right"/>
              <w:spacing w:after="0"/>
              <w:rPr>
                <w:sz w:val="20"/>
                <w:szCs w:val="20"/>
                <w:color w:val="auto"/>
              </w:rPr>
            </w:pPr>
            <w:r>
              <w:rPr>
                <w:rFonts w:ascii="Verdana" w:cs="Verdana" w:eastAsia="Verdana" w:hAnsi="Verdana"/>
                <w:sz w:val="18"/>
                <w:szCs w:val="18"/>
                <w:color w:val="auto"/>
              </w:rPr>
              <w:t>(1.0)%</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(1.1)%</w:t>
            </w:r>
          </w:p>
        </w:tc>
      </w:tr>
      <w:tr>
        <w:trPr>
          <w:trHeight w:val="277"/>
        </w:trPr>
        <w:tc>
          <w:tcPr>
            <w:tcW w:w="59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Stock incentive</w:t>
            </w: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0.2 %</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0.1 %</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 %</w:t>
            </w:r>
          </w:p>
        </w:tc>
      </w:tr>
      <w:tr>
        <w:trPr>
          <w:trHeight w:val="263"/>
        </w:trPr>
        <w:tc>
          <w:tcPr>
            <w:tcW w:w="5940" w:type="dxa"/>
            <w:vAlign w:val="bottom"/>
          </w:tcPr>
          <w:p>
            <w:pPr>
              <w:ind w:left="360"/>
              <w:spacing w:after="0"/>
              <w:rPr>
                <w:sz w:val="20"/>
                <w:szCs w:val="20"/>
                <w:color w:val="auto"/>
              </w:rPr>
            </w:pPr>
            <w:r>
              <w:rPr>
                <w:rFonts w:ascii="Verdana" w:cs="Verdana" w:eastAsia="Verdana" w:hAnsi="Verdana"/>
                <w:sz w:val="18"/>
                <w:szCs w:val="18"/>
                <w:color w:val="auto"/>
              </w:rPr>
              <w:t>State income taxes, net</w:t>
            </w:r>
          </w:p>
        </w:tc>
        <w:tc>
          <w:tcPr>
            <w:tcW w:w="1700" w:type="dxa"/>
            <w:vAlign w:val="bottom"/>
          </w:tcPr>
          <w:p>
            <w:pPr>
              <w:jc w:val="right"/>
              <w:spacing w:after="0"/>
              <w:rPr>
                <w:sz w:val="20"/>
                <w:szCs w:val="20"/>
                <w:color w:val="auto"/>
              </w:rPr>
            </w:pPr>
            <w:r>
              <w:rPr>
                <w:rFonts w:ascii="Verdana" w:cs="Verdana" w:eastAsia="Verdana" w:hAnsi="Verdana"/>
                <w:sz w:val="18"/>
                <w:szCs w:val="18"/>
                <w:color w:val="auto"/>
              </w:rPr>
              <w:t>6.5 %</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6.5 %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4.5 %</w:t>
            </w:r>
          </w:p>
        </w:tc>
      </w:tr>
      <w:tr>
        <w:trPr>
          <w:trHeight w:val="277"/>
        </w:trPr>
        <w:tc>
          <w:tcPr>
            <w:tcW w:w="59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Income on bank owned life insurance</w:t>
            </w: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(0.6)%</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(0.5)%</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(0.7)%</w:t>
            </w:r>
          </w:p>
        </w:tc>
      </w:tr>
      <w:tr>
        <w:trPr>
          <w:trHeight w:val="263"/>
        </w:trPr>
        <w:tc>
          <w:tcPr>
            <w:tcW w:w="5940" w:type="dxa"/>
            <w:vAlign w:val="bottom"/>
          </w:tcPr>
          <w:p>
            <w:pPr>
              <w:ind w:left="360"/>
              <w:spacing w:after="0"/>
              <w:rPr>
                <w:sz w:val="20"/>
                <w:szCs w:val="20"/>
                <w:color w:val="auto"/>
              </w:rPr>
            </w:pPr>
            <w:r>
              <w:rPr>
                <w:rFonts w:ascii="Verdana" w:cs="Verdana" w:eastAsia="Verdana" w:hAnsi="Verdana"/>
                <w:sz w:val="18"/>
                <w:szCs w:val="18"/>
                <w:color w:val="auto"/>
              </w:rPr>
              <w:t>Tax credit investments</w:t>
            </w:r>
          </w:p>
        </w:tc>
        <w:tc>
          <w:tcPr>
            <w:tcW w:w="1700" w:type="dxa"/>
            <w:vAlign w:val="bottom"/>
          </w:tcPr>
          <w:p>
            <w:pPr>
              <w:jc w:val="right"/>
              <w:spacing w:after="0"/>
              <w:rPr>
                <w:sz w:val="20"/>
                <w:szCs w:val="20"/>
                <w:color w:val="auto"/>
              </w:rPr>
            </w:pPr>
            <w:r>
              <w:rPr>
                <w:rFonts w:ascii="Verdana" w:cs="Verdana" w:eastAsia="Verdana" w:hAnsi="Verdana"/>
                <w:sz w:val="18"/>
                <w:szCs w:val="18"/>
                <w:color w:val="auto"/>
              </w:rPr>
              <w:t>(6.0)%</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(3.6)%</w:t>
            </w:r>
          </w:p>
        </w:tc>
      </w:tr>
      <w:tr>
        <w:trPr>
          <w:trHeight w:val="270"/>
        </w:trPr>
        <w:tc>
          <w:tcPr>
            <w:tcW w:w="59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Other, net</w:t>
            </w:r>
          </w:p>
        </w:tc>
        <w:tc>
          <w:tcPr>
            <w:tcW w:w="17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0.3 %</w:t>
            </w:r>
          </w:p>
        </w:tc>
        <w:tc>
          <w:tcPr>
            <w:tcW w:w="100" w:type="dxa"/>
            <w:vAlign w:val="bottom"/>
            <w:shd w:val="clear" w:color="auto" w:fill="E0E7ED"/>
          </w:tcPr>
          <w:p>
            <w:pPr>
              <w:spacing w:after="0"/>
              <w:rPr>
                <w:sz w:val="23"/>
                <w:szCs w:val="23"/>
                <w:color w:val="auto"/>
              </w:rPr>
            </w:pPr>
          </w:p>
        </w:tc>
        <w:tc>
          <w:tcPr>
            <w:tcW w:w="17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0.3 %</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3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1.2 %</w:t>
            </w:r>
          </w:p>
        </w:tc>
      </w:tr>
      <w:tr>
        <w:trPr>
          <w:trHeight w:val="270"/>
        </w:trPr>
        <w:tc>
          <w:tcPr>
            <w:tcW w:w="5940" w:type="dxa"/>
            <w:vAlign w:val="bottom"/>
          </w:tcPr>
          <w:p>
            <w:pPr>
              <w:ind w:left="20"/>
              <w:spacing w:after="0"/>
              <w:rPr>
                <w:sz w:val="20"/>
                <w:szCs w:val="20"/>
                <w:color w:val="auto"/>
              </w:rPr>
            </w:pPr>
            <w:r>
              <w:rPr>
                <w:rFonts w:ascii="Verdana" w:cs="Verdana" w:eastAsia="Verdana" w:hAnsi="Verdana"/>
                <w:sz w:val="18"/>
                <w:szCs w:val="18"/>
                <w:color w:val="auto"/>
              </w:rPr>
              <w:t>Effective income tax rate</w:t>
            </w:r>
          </w:p>
        </w:tc>
        <w:tc>
          <w:tcPr>
            <w:tcW w:w="1700" w:type="dxa"/>
            <w:vAlign w:val="bottom"/>
          </w:tcPr>
          <w:p>
            <w:pPr>
              <w:jc w:val="right"/>
              <w:spacing w:after="0"/>
              <w:rPr>
                <w:sz w:val="20"/>
                <w:szCs w:val="20"/>
                <w:color w:val="auto"/>
              </w:rPr>
            </w:pPr>
            <w:r>
              <w:rPr>
                <w:rFonts w:ascii="Verdana" w:cs="Verdana" w:eastAsia="Verdana" w:hAnsi="Verdana"/>
                <w:sz w:val="18"/>
                <w:szCs w:val="18"/>
                <w:color w:val="auto"/>
              </w:rPr>
              <w:t>20.4 %</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20.7 %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21.3 %</w:t>
            </w:r>
          </w:p>
        </w:tc>
      </w:tr>
      <w:tr>
        <w:trPr>
          <w:trHeight w:val="20"/>
        </w:trPr>
        <w:tc>
          <w:tcPr>
            <w:tcW w:w="59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6" w:name="page147"/>
    <w:bookmarkEnd w:id="14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Net deferred taxes, reported in other assets or other liabilities in Busey’s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xml:space="preserve">, include the following amounts of deferred tax assets and liabilities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1"/>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Deferred taxes</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Deferred tax assets: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ACL</w:t>
            </w: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27,068</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26,979</w:t>
            </w:r>
          </w:p>
        </w:tc>
      </w:tr>
      <w:tr>
        <w:trPr>
          <w:trHeight w:val="263"/>
        </w:trPr>
        <w:tc>
          <w:tcPr>
            <w:tcW w:w="7900" w:type="dxa"/>
            <w:vAlign w:val="bottom"/>
          </w:tcPr>
          <w:p>
            <w:pPr>
              <w:ind w:left="360"/>
              <w:spacing w:after="0"/>
              <w:rPr>
                <w:sz w:val="20"/>
                <w:szCs w:val="20"/>
                <w:color w:val="auto"/>
              </w:rPr>
            </w:pPr>
            <w:r>
              <w:rPr>
                <w:rFonts w:ascii="Verdana" w:cs="Verdana" w:eastAsia="Verdana" w:hAnsi="Verdana"/>
                <w:sz w:val="18"/>
                <w:szCs w:val="18"/>
                <w:color w:val="auto"/>
              </w:rPr>
              <w:t>Unrealized loss on cash flow hedge</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6,654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Verdana" w:cs="Verdana" w:eastAsia="Verdana" w:hAnsi="Verdana"/>
                <w:sz w:val="18"/>
                <w:szCs w:val="18"/>
                <w:color w:val="auto"/>
              </w:rPr>
              <w:t>8,365</w:t>
            </w:r>
          </w:p>
        </w:tc>
      </w:tr>
      <w:tr>
        <w:trPr>
          <w:trHeight w:val="277"/>
        </w:trPr>
        <w:tc>
          <w:tcPr>
            <w:tcW w:w="7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Unrealized losses on securities available for sale, net</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70,423</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88,666</w:t>
            </w:r>
          </w:p>
        </w:tc>
      </w:tr>
      <w:tr>
        <w:trPr>
          <w:trHeight w:val="263"/>
        </w:trPr>
        <w:tc>
          <w:tcPr>
            <w:tcW w:w="7900" w:type="dxa"/>
            <w:vAlign w:val="bottom"/>
          </w:tcPr>
          <w:p>
            <w:pPr>
              <w:ind w:left="360"/>
              <w:spacing w:after="0"/>
              <w:rPr>
                <w:sz w:val="20"/>
                <w:szCs w:val="20"/>
                <w:color w:val="auto"/>
              </w:rPr>
            </w:pPr>
            <w:r>
              <w:rPr>
                <w:rFonts w:ascii="Verdana" w:cs="Verdana" w:eastAsia="Verdana" w:hAnsi="Verdana"/>
                <w:sz w:val="18"/>
                <w:szCs w:val="18"/>
                <w:color w:val="auto"/>
              </w:rPr>
              <w:t>Unrealized losses on securities held to maturity</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10,156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11,919</w:t>
            </w:r>
          </w:p>
        </w:tc>
      </w:tr>
      <w:tr>
        <w:trPr>
          <w:trHeight w:val="277"/>
        </w:trPr>
        <w:tc>
          <w:tcPr>
            <w:tcW w:w="7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Stock-based compensation</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5,767</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5,504</w:t>
            </w:r>
          </w:p>
        </w:tc>
      </w:tr>
      <w:tr>
        <w:trPr>
          <w:trHeight w:val="263"/>
        </w:trPr>
        <w:tc>
          <w:tcPr>
            <w:tcW w:w="7900" w:type="dxa"/>
            <w:vAlign w:val="bottom"/>
          </w:tcPr>
          <w:p>
            <w:pPr>
              <w:ind w:left="360"/>
              <w:spacing w:after="0"/>
              <w:rPr>
                <w:sz w:val="20"/>
                <w:szCs w:val="20"/>
                <w:color w:val="auto"/>
              </w:rPr>
            </w:pPr>
            <w:r>
              <w:rPr>
                <w:rFonts w:ascii="Verdana" w:cs="Verdana" w:eastAsia="Verdana" w:hAnsi="Verdana"/>
                <w:sz w:val="18"/>
                <w:szCs w:val="18"/>
                <w:color w:val="auto"/>
              </w:rPr>
              <w:t>Deferred compensation</w:t>
            </w:r>
          </w:p>
        </w:tc>
        <w:tc>
          <w:tcPr>
            <w:tcW w:w="3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53</w:t>
            </w:r>
          </w:p>
        </w:tc>
      </w:tr>
      <w:tr>
        <w:trPr>
          <w:trHeight w:val="277"/>
        </w:trPr>
        <w:tc>
          <w:tcPr>
            <w:tcW w:w="7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Purchase accounting adjustments</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764</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656</w:t>
            </w:r>
          </w:p>
        </w:tc>
      </w:tr>
      <w:tr>
        <w:trPr>
          <w:trHeight w:val="263"/>
        </w:trPr>
        <w:tc>
          <w:tcPr>
            <w:tcW w:w="7900" w:type="dxa"/>
            <w:vAlign w:val="bottom"/>
          </w:tcPr>
          <w:p>
            <w:pPr>
              <w:ind w:left="360"/>
              <w:spacing w:after="0"/>
              <w:rPr>
                <w:sz w:val="20"/>
                <w:szCs w:val="20"/>
                <w:color w:val="auto"/>
              </w:rPr>
            </w:pPr>
            <w:r>
              <w:rPr>
                <w:rFonts w:ascii="Verdana" w:cs="Verdana" w:eastAsia="Verdana" w:hAnsi="Verdana"/>
                <w:sz w:val="18"/>
                <w:szCs w:val="18"/>
                <w:color w:val="auto"/>
              </w:rPr>
              <w:t>Accrued vacation</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456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411</w:t>
            </w:r>
          </w:p>
        </w:tc>
      </w:tr>
      <w:tr>
        <w:trPr>
          <w:trHeight w:val="277"/>
        </w:trPr>
        <w:tc>
          <w:tcPr>
            <w:tcW w:w="7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Lease liabilities</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3,092</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3,564</w:t>
            </w:r>
          </w:p>
        </w:tc>
      </w:tr>
      <w:tr>
        <w:trPr>
          <w:trHeight w:val="263"/>
        </w:trPr>
        <w:tc>
          <w:tcPr>
            <w:tcW w:w="7900" w:type="dxa"/>
            <w:vAlign w:val="bottom"/>
          </w:tcPr>
          <w:p>
            <w:pPr>
              <w:ind w:left="360"/>
              <w:spacing w:after="0"/>
              <w:rPr>
                <w:sz w:val="20"/>
                <w:szCs w:val="20"/>
                <w:color w:val="auto"/>
              </w:rPr>
            </w:pPr>
            <w:r>
              <w:rPr>
                <w:rFonts w:ascii="Verdana" w:cs="Verdana" w:eastAsia="Verdana" w:hAnsi="Verdana"/>
                <w:sz w:val="18"/>
                <w:szCs w:val="18"/>
                <w:color w:val="auto"/>
              </w:rPr>
              <w:t>Employee costs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4,789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Verdana" w:cs="Verdana" w:eastAsia="Verdana" w:hAnsi="Verdana"/>
                <w:sz w:val="18"/>
                <w:szCs w:val="18"/>
                <w:color w:val="auto"/>
              </w:rPr>
              <w:t>3,298</w:t>
            </w:r>
          </w:p>
        </w:tc>
      </w:tr>
      <w:tr>
        <w:trPr>
          <w:trHeight w:val="277"/>
        </w:trPr>
        <w:tc>
          <w:tcPr>
            <w:tcW w:w="7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Unrealized loss on equity securities</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63"/>
        </w:trPr>
        <w:tc>
          <w:tcPr>
            <w:tcW w:w="79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67</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376</w:t>
            </w:r>
          </w:p>
        </w:tc>
      </w:tr>
      <w:tr>
        <w:trPr>
          <w:trHeight w:val="263"/>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deferred tax assets</w:t>
            </w:r>
          </w:p>
        </w:tc>
        <w:tc>
          <w:tcPr>
            <w:tcW w:w="38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129,311</w:t>
            </w:r>
          </w:p>
        </w:tc>
        <w:tc>
          <w:tcPr>
            <w:tcW w:w="100" w:type="dxa"/>
            <w:vAlign w:val="bottom"/>
            <w:shd w:val="clear" w:color="auto" w:fill="E0E7ED"/>
          </w:tcPr>
          <w:p>
            <w:pPr>
              <w:spacing w:after="0"/>
              <w:rPr>
                <w:sz w:val="22"/>
                <w:szCs w:val="22"/>
                <w:color w:val="auto"/>
              </w:rPr>
            </w:pPr>
          </w:p>
        </w:tc>
        <w:tc>
          <w:tcPr>
            <w:tcW w:w="38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149,791</w:t>
            </w:r>
          </w:p>
        </w:tc>
      </w:tr>
      <w:tr>
        <w:trPr>
          <w:trHeight w:val="256"/>
        </w:trPr>
        <w:tc>
          <w:tcPr>
            <w:tcW w:w="7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Deferred tax liabilities:</w:t>
            </w: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r>
      <w:tr>
        <w:trPr>
          <w:trHeight w:val="263"/>
        </w:trPr>
        <w:tc>
          <w:tcPr>
            <w:tcW w:w="7900" w:type="dxa"/>
            <w:vAlign w:val="bottom"/>
          </w:tcPr>
          <w:p>
            <w:pPr>
              <w:ind w:left="360"/>
              <w:spacing w:after="0"/>
              <w:rPr>
                <w:sz w:val="20"/>
                <w:szCs w:val="20"/>
                <w:color w:val="auto"/>
              </w:rPr>
            </w:pPr>
            <w:r>
              <w:rPr>
                <w:rFonts w:ascii="Verdana" w:cs="Verdana" w:eastAsia="Verdana" w:hAnsi="Verdana"/>
                <w:sz w:val="18"/>
                <w:szCs w:val="18"/>
                <w:color w:val="auto"/>
              </w:rPr>
              <w:t>Basis in premises and equipment</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(2,830)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(1,541)</w:t>
            </w:r>
          </w:p>
        </w:tc>
      </w:tr>
      <w:tr>
        <w:trPr>
          <w:trHeight w:val="277"/>
        </w:trPr>
        <w:tc>
          <w:tcPr>
            <w:tcW w:w="7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Affordable housing partnerships and other investments</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(8,341)</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(6,669)</w:t>
            </w:r>
          </w:p>
        </w:tc>
      </w:tr>
      <w:tr>
        <w:trPr>
          <w:trHeight w:val="263"/>
        </w:trPr>
        <w:tc>
          <w:tcPr>
            <w:tcW w:w="7900" w:type="dxa"/>
            <w:vAlign w:val="bottom"/>
          </w:tcPr>
          <w:p>
            <w:pPr>
              <w:ind w:left="360"/>
              <w:spacing w:after="0"/>
              <w:rPr>
                <w:sz w:val="20"/>
                <w:szCs w:val="20"/>
                <w:color w:val="auto"/>
              </w:rPr>
            </w:pPr>
            <w:r>
              <w:rPr>
                <w:rFonts w:ascii="Verdana" w:cs="Verdana" w:eastAsia="Verdana" w:hAnsi="Verdana"/>
                <w:sz w:val="18"/>
                <w:szCs w:val="18"/>
                <w:color w:val="auto"/>
              </w:rPr>
              <w:t>Purchase accounting adjustments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(1,207)</w:t>
            </w:r>
          </w:p>
        </w:tc>
      </w:tr>
      <w:tr>
        <w:trPr>
          <w:trHeight w:val="277"/>
        </w:trPr>
        <w:tc>
          <w:tcPr>
            <w:tcW w:w="7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Mortgage servicing assets</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(1,336)</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(2,132)</w:t>
            </w:r>
          </w:p>
        </w:tc>
      </w:tr>
      <w:tr>
        <w:trPr>
          <w:trHeight w:val="263"/>
        </w:trPr>
        <w:tc>
          <w:tcPr>
            <w:tcW w:w="7900" w:type="dxa"/>
            <w:vAlign w:val="bottom"/>
          </w:tcPr>
          <w:p>
            <w:pPr>
              <w:ind w:left="360"/>
              <w:spacing w:after="0"/>
              <w:rPr>
                <w:sz w:val="20"/>
                <w:szCs w:val="20"/>
                <w:color w:val="auto"/>
              </w:rPr>
            </w:pPr>
            <w:r>
              <w:rPr>
                <w:rFonts w:ascii="Verdana" w:cs="Verdana" w:eastAsia="Verdana" w:hAnsi="Verdana"/>
                <w:sz w:val="18"/>
                <w:szCs w:val="18"/>
                <w:color w:val="auto"/>
              </w:rPr>
              <w:t>Basis in core deposit, customer intangible assets, and asset purchase goodwill</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(4,709)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(6,956)</w:t>
            </w:r>
          </w:p>
        </w:tc>
      </w:tr>
      <w:tr>
        <w:trPr>
          <w:trHeight w:val="277"/>
        </w:trPr>
        <w:tc>
          <w:tcPr>
            <w:tcW w:w="7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Deferred loan origination costs</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(3,691)</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(3,845)</w:t>
            </w:r>
          </w:p>
        </w:tc>
      </w:tr>
      <w:tr>
        <w:trPr>
          <w:trHeight w:val="263"/>
        </w:trPr>
        <w:tc>
          <w:tcPr>
            <w:tcW w:w="7900" w:type="dxa"/>
            <w:vAlign w:val="bottom"/>
          </w:tcPr>
          <w:p>
            <w:pPr>
              <w:ind w:left="360"/>
              <w:spacing w:after="0"/>
              <w:rPr>
                <w:sz w:val="20"/>
                <w:szCs w:val="20"/>
                <w:color w:val="auto"/>
              </w:rPr>
            </w:pPr>
            <w:r>
              <w:rPr>
                <w:rFonts w:ascii="Verdana" w:cs="Verdana" w:eastAsia="Verdana" w:hAnsi="Verdana"/>
                <w:sz w:val="18"/>
                <w:szCs w:val="18"/>
                <w:color w:val="auto"/>
              </w:rPr>
              <w:t>Right of use assets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(3,015)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(3,518)</w:t>
            </w:r>
          </w:p>
        </w:tc>
      </w:tr>
      <w:tr>
        <w:trPr>
          <w:trHeight w:val="277"/>
        </w:trPr>
        <w:tc>
          <w:tcPr>
            <w:tcW w:w="7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Unrealized gain on equity securities</w:t>
            </w:r>
          </w:p>
        </w:tc>
        <w:tc>
          <w:tcPr>
            <w:tcW w:w="380" w:type="dxa"/>
            <w:vAlign w:val="bottom"/>
            <w:shd w:val="clear" w:color="auto" w:fill="E0E7ED"/>
          </w:tcPr>
          <w:p>
            <w:pPr>
              <w:spacing w:after="0"/>
              <w:rPr>
                <w:sz w:val="24"/>
                <w:szCs w:val="24"/>
                <w:color w:val="auto"/>
              </w:rPr>
            </w:pP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(512)</w:t>
            </w:r>
          </w:p>
        </w:tc>
      </w:tr>
      <w:tr>
        <w:trPr>
          <w:trHeight w:val="263"/>
        </w:trPr>
        <w:tc>
          <w:tcPr>
            <w:tcW w:w="79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(251)</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(586)</w:t>
            </w:r>
          </w:p>
        </w:tc>
      </w:tr>
      <w:tr>
        <w:trPr>
          <w:trHeight w:val="264"/>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deferred tax liabilities</w:t>
            </w:r>
          </w:p>
        </w:tc>
        <w:tc>
          <w:tcPr>
            <w:tcW w:w="38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(25,306)</w:t>
            </w:r>
          </w:p>
        </w:tc>
        <w:tc>
          <w:tcPr>
            <w:tcW w:w="100" w:type="dxa"/>
            <w:vAlign w:val="bottom"/>
            <w:shd w:val="clear" w:color="auto" w:fill="E0E7ED"/>
          </w:tcPr>
          <w:p>
            <w:pPr>
              <w:spacing w:after="0"/>
              <w:rPr>
                <w:sz w:val="22"/>
                <w:szCs w:val="22"/>
                <w:color w:val="auto"/>
              </w:rPr>
            </w:pPr>
          </w:p>
        </w:tc>
        <w:tc>
          <w:tcPr>
            <w:tcW w:w="38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(26,966)</w:t>
            </w:r>
          </w:p>
        </w:tc>
      </w:tr>
      <w:tr>
        <w:trPr>
          <w:trHeight w:val="256"/>
        </w:trPr>
        <w:tc>
          <w:tcPr>
            <w:tcW w:w="7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95"/>
        </w:trPr>
        <w:tc>
          <w:tcPr>
            <w:tcW w:w="79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deferred tax asset</w:t>
            </w: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104,005</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122,825</w:t>
            </w:r>
          </w:p>
        </w:tc>
      </w:tr>
      <w:tr>
        <w:trPr>
          <w:trHeight w:val="20"/>
        </w:trPr>
        <w:tc>
          <w:tcPr>
            <w:tcW w:w="79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Management believes that it is more likely than not that the other deferred tax assets included in the accompanying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0000FF"/>
        </w:rPr>
        <w:t xml:space="preserve"> </w:t>
      </w:r>
      <w:r>
        <w:rPr>
          <w:rFonts w:ascii="Verdana" w:cs="Verdana" w:eastAsia="Verdana" w:hAnsi="Verdana"/>
          <w:sz w:val="18"/>
          <w:szCs w:val="18"/>
          <w:color w:val="000000"/>
        </w:rPr>
        <w:t>will be fully realized. Busey has determined that no valuation allowance is required for any</w:t>
      </w:r>
      <w:r>
        <w:rPr>
          <w:rFonts w:ascii="Verdana" w:cs="Verdana" w:eastAsia="Verdana" w:hAnsi="Verdana"/>
          <w:sz w:val="18"/>
          <w:szCs w:val="18"/>
          <w:color w:val="0000FF"/>
        </w:rPr>
        <w:t xml:space="preserve"> </w:t>
      </w:r>
      <w:r>
        <w:rPr>
          <w:rFonts w:ascii="Verdana" w:cs="Verdana" w:eastAsia="Verdana" w:hAnsi="Verdana"/>
          <w:sz w:val="18"/>
          <w:szCs w:val="18"/>
          <w:color w:val="000000"/>
        </w:rPr>
        <w:t>deferred tax assets as of December 31, 2023, or 2022.</w:t>
      </w:r>
    </w:p>
    <w:p>
      <w:pPr>
        <w:spacing w:after="0" w:line="2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7" w:name="page148"/>
    <w:bookmarkEnd w:id="14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13. EMPLOYEE BENEFIT PLANS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401(k) Plan</w:t>
      </w:r>
    </w:p>
    <w:p>
      <w:pPr>
        <w:spacing w:after="0" w:line="17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Busey provides retirement benefits under its 401(k) Plan. All Busey associates who meet certain age requirements are eligible to participate in the 401(k) Plan. There is no waiting period for participation in the 401(k) Plan. The 401(k) Plan is funded primarily through participant contributions via payroll deductions. The 401(k) Plan offers two contribution options:</w:t>
      </w:r>
    </w:p>
    <w:p>
      <w:pPr>
        <w:spacing w:after="0" w:line="3" w:lineRule="exact"/>
        <w:rPr>
          <w:sz w:val="20"/>
          <w:szCs w:val="20"/>
          <w:color w:val="auto"/>
        </w:rPr>
      </w:pPr>
    </w:p>
    <w:p>
      <w:pPr>
        <w:jc w:val="both"/>
        <w:ind w:firstLine="8"/>
        <w:spacing w:after="0" w:line="245" w:lineRule="auto"/>
        <w:tabs>
          <w:tab w:leader="none" w:pos="386" w:val="left"/>
        </w:tabs>
        <w:numPr>
          <w:ilvl w:val="0"/>
          <w:numId w:val="60"/>
        </w:numPr>
        <w:rPr>
          <w:rFonts w:ascii="Verdana" w:cs="Verdana" w:eastAsia="Verdana" w:hAnsi="Verdana"/>
          <w:sz w:val="18"/>
          <w:szCs w:val="18"/>
          <w:color w:val="auto"/>
        </w:rPr>
      </w:pPr>
      <w:r>
        <w:rPr>
          <w:rFonts w:ascii="Verdana" w:cs="Verdana" w:eastAsia="Verdana" w:hAnsi="Verdana"/>
          <w:sz w:val="18"/>
          <w:szCs w:val="18"/>
          <w:color w:val="auto"/>
        </w:rPr>
        <w:t>the traditional option allows plan participants to elect pre-tax contributions, and (2) the Roth option allows plan participants to elect after tax contributions. Plan participants may elect to make traditional and/or Roth 401(k) contributions, up to the annual deferral and catch-up limits established by the Internal Revenue Service.</w:t>
      </w:r>
    </w:p>
    <w:p>
      <w:pPr>
        <w:spacing w:after="0" w:line="16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supplements participant contributions by making Safe Harbor matching and discretionary profit sharing contributions to the 401(k) Plan.</w:t>
      </w:r>
    </w:p>
    <w:p>
      <w:pPr>
        <w:spacing w:after="0" w:line="13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Safe Harbor Match</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makes Safe Harbor matching contributions to the 401(k) Plan equal to 100% of the first 3% of eligible participant contributions and 50% of the next 2% of eligible participant contributions. The rights of participants in Safe Harbor matching contributions vest immediately.</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Profit Sharing</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All associates who meet certain age and service requirements are eligible to participate in Busey's profit-sharing contributions. Discretionary profit-sharing contributions and related expenses, if any, are approved solely by the First Busey Corporation board of directors, and in no case may annual contributions be greater than the amounts deductible for federal income tax purposes for that year. The rights of participants in profit-sharing contributions vest ratably over a five-year period.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401(k) Plan Expenses</w:t>
      </w:r>
    </w:p>
    <w:p>
      <w:pPr>
        <w:spacing w:after="0" w:line="18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Expenses related to Busey’s employee benefit plans, reported in salaries, wages, and employee benefits in the accompanying </w:t>
      </w:r>
      <w:r>
        <w:rPr>
          <w:rFonts w:ascii="Verdana" w:cs="Verdana" w:eastAsia="Verdana" w:hAnsi="Verdana"/>
          <w:sz w:val="18"/>
          <w:szCs w:val="18"/>
          <w:u w:val="single" w:color="auto"/>
          <w:color w:val="0000FF"/>
        </w:rPr>
        <w:t>Consolidated Statements of Income</w:t>
      </w:r>
      <w:r>
        <w:rPr>
          <w:rFonts w:ascii="Verdana" w:cs="Verdana" w:eastAsia="Verdana" w:hAnsi="Verdana"/>
          <w:sz w:val="18"/>
          <w:szCs w:val="18"/>
          <w:color w:val="auto"/>
        </w:rPr>
        <w:t xml:space="preserve">, are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401(k) Plan expenses</w:t>
            </w:r>
          </w:p>
        </w:tc>
        <w:tc>
          <w:tcPr>
            <w:tcW w:w="980" w:type="dxa"/>
            <w:vAlign w:val="bottom"/>
            <w:shd w:val="clear" w:color="auto" w:fill="E0E7ED"/>
          </w:tcPr>
          <w:p>
            <w:pPr>
              <w:spacing w:after="0"/>
              <w:rPr>
                <w:sz w:val="22"/>
                <w:szCs w:val="22"/>
                <w:color w:val="auto"/>
              </w:rPr>
            </w:pPr>
          </w:p>
        </w:tc>
        <w:tc>
          <w:tcPr>
            <w:tcW w:w="5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Safe Harbor match expenses</w:t>
            </w:r>
          </w:p>
        </w:tc>
        <w:tc>
          <w:tcPr>
            <w:tcW w:w="980" w:type="dxa"/>
            <w:vAlign w:val="bottom"/>
          </w:tcPr>
          <w:p>
            <w:pPr>
              <w:jc w:val="right"/>
              <w:ind w:right="779"/>
              <w:spacing w:after="0"/>
              <w:rPr>
                <w:sz w:val="20"/>
                <w:szCs w:val="20"/>
                <w:color w:val="auto"/>
              </w:rPr>
            </w:pPr>
            <w:r>
              <w:rPr>
                <w:rFonts w:ascii="Verdana" w:cs="Verdana" w:eastAsia="Verdana" w:hAnsi="Verdana"/>
                <w:sz w:val="18"/>
                <w:szCs w:val="18"/>
                <w:color w:val="auto"/>
                <w:w w:val="86"/>
              </w:rPr>
              <w:t>$</w:t>
            </w:r>
          </w:p>
        </w:tc>
        <w:tc>
          <w:tcPr>
            <w:tcW w:w="540" w:type="dxa"/>
            <w:vAlign w:val="bottom"/>
          </w:tcPr>
          <w:p>
            <w:pPr>
              <w:jc w:val="right"/>
              <w:spacing w:after="0"/>
              <w:rPr>
                <w:sz w:val="20"/>
                <w:szCs w:val="20"/>
                <w:color w:val="auto"/>
              </w:rPr>
            </w:pPr>
            <w:r>
              <w:rPr>
                <w:rFonts w:ascii="Verdana" w:cs="Verdana" w:eastAsia="Verdana" w:hAnsi="Verdana"/>
                <w:sz w:val="18"/>
                <w:szCs w:val="18"/>
                <w:color w:val="auto"/>
                <w:w w:val="95"/>
              </w:rPr>
              <w:t>3,745</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4,094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3,708</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Profit-sharing expenses</w:t>
            </w:r>
          </w:p>
        </w:tc>
        <w:tc>
          <w:tcPr>
            <w:tcW w:w="980" w:type="dxa"/>
            <w:vAlign w:val="bottom"/>
            <w:tcBorders>
              <w:bottom w:val="single" w:sz="8" w:color="auto"/>
            </w:tcBorders>
            <w:shd w:val="clear" w:color="auto" w:fill="E0E7ED"/>
          </w:tcPr>
          <w:p>
            <w:pPr>
              <w:spacing w:after="0"/>
              <w:rPr>
                <w:sz w:val="23"/>
                <w:szCs w:val="23"/>
                <w:color w:val="auto"/>
              </w:rPr>
            </w:pPr>
          </w:p>
        </w:tc>
        <w:tc>
          <w:tcPr>
            <w:tcW w:w="5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95"/>
              </w:rPr>
              <w:t>3,031</w:t>
            </w:r>
          </w:p>
        </w:tc>
        <w:tc>
          <w:tcPr>
            <w:tcW w:w="80" w:type="dxa"/>
            <w:vAlign w:val="bottom"/>
            <w:tcBorders>
              <w:bottom w:val="single" w:sz="8" w:color="auto"/>
            </w:tcBorders>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2,960</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2,823</w:t>
            </w: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Total 401(k) Plan expenses</w:t>
            </w:r>
          </w:p>
        </w:tc>
        <w:tc>
          <w:tcPr>
            <w:tcW w:w="980" w:type="dxa"/>
            <w:vAlign w:val="bottom"/>
          </w:tcPr>
          <w:p>
            <w:pPr>
              <w:jc w:val="right"/>
              <w:ind w:right="779"/>
              <w:spacing w:after="0"/>
              <w:rPr>
                <w:sz w:val="20"/>
                <w:szCs w:val="20"/>
                <w:color w:val="auto"/>
              </w:rPr>
            </w:pPr>
            <w:r>
              <w:rPr>
                <w:rFonts w:ascii="Verdana" w:cs="Verdana" w:eastAsia="Verdana" w:hAnsi="Verdana"/>
                <w:sz w:val="18"/>
                <w:szCs w:val="18"/>
                <w:color w:val="auto"/>
                <w:w w:val="86"/>
              </w:rPr>
              <w:t>$</w:t>
            </w:r>
          </w:p>
        </w:tc>
        <w:tc>
          <w:tcPr>
            <w:tcW w:w="540" w:type="dxa"/>
            <w:vAlign w:val="bottom"/>
          </w:tcPr>
          <w:p>
            <w:pPr>
              <w:jc w:val="right"/>
              <w:spacing w:after="0"/>
              <w:rPr>
                <w:sz w:val="20"/>
                <w:szCs w:val="20"/>
                <w:color w:val="auto"/>
              </w:rPr>
            </w:pPr>
            <w:r>
              <w:rPr>
                <w:rFonts w:ascii="Verdana" w:cs="Verdana" w:eastAsia="Verdana" w:hAnsi="Verdana"/>
                <w:sz w:val="18"/>
                <w:szCs w:val="18"/>
                <w:color w:val="auto"/>
                <w:w w:val="95"/>
              </w:rPr>
              <w:t>6,776</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7,054</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6,531</w:t>
            </w:r>
          </w:p>
        </w:tc>
      </w:tr>
      <w:tr>
        <w:trPr>
          <w:trHeight w:val="20"/>
        </w:trPr>
        <w:tc>
          <w:tcPr>
            <w:tcW w:w="6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8" w:name="page149"/>
    <w:bookmarkEnd w:id="14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14. STOCK-BASED COMPENSATION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Stock Options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has outstanding stock options that were issued under the First Community 2016 Equity Incentive Plan and assumed from acquisitions. A summary of the status of, and changes in, Busey's stock option awards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except weighted-average exercise price)</w:t>
      </w:r>
      <w:r>
        <w:rPr>
          <w:rFonts w:ascii="Verdana" w:cs="Verdana" w:eastAsia="Verdana" w:hAnsi="Verdana"/>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vMerge w:val="restart"/>
          </w:tcPr>
          <w:p>
            <w:pPr>
              <w:jc w:val="center"/>
              <w:ind w:right="360"/>
              <w:spacing w:after="0"/>
              <w:rPr>
                <w:sz w:val="20"/>
                <w:szCs w:val="20"/>
                <w:color w:val="auto"/>
              </w:rPr>
            </w:pPr>
            <w:r>
              <w:rPr>
                <w:rFonts w:ascii="Verdana" w:cs="Verdana" w:eastAsia="Verdana" w:hAnsi="Verdana"/>
                <w:sz w:val="13"/>
                <w:szCs w:val="13"/>
                <w:b w:val="1"/>
                <w:bCs w:val="1"/>
                <w:color w:val="auto"/>
                <w:w w:val="97"/>
              </w:rPr>
              <w:t>Weighted-</w:t>
            </w:r>
          </w:p>
        </w:tc>
        <w:tc>
          <w:tcPr>
            <w:tcW w:w="166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7"/>
              </w:rPr>
              <w:t>Weighted-</w:t>
            </w: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66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tcPr>
          <w:p>
            <w:pPr>
              <w:jc w:val="center"/>
              <w:ind w:right="36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166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Remaining</w:t>
            </w:r>
          </w:p>
        </w:tc>
        <w:tc>
          <w:tcPr>
            <w:tcW w:w="320" w:type="dxa"/>
            <w:vAlign w:val="bottom"/>
          </w:tcPr>
          <w:p>
            <w:pPr>
              <w:spacing w:after="0"/>
              <w:rPr>
                <w:sz w:val="10"/>
                <w:szCs w:val="10"/>
                <w:color w:val="auto"/>
              </w:rPr>
            </w:pPr>
          </w:p>
        </w:tc>
        <w:tc>
          <w:tcPr>
            <w:tcW w:w="1280" w:type="dxa"/>
            <w:vAlign w:val="bottom"/>
            <w:vMerge w:val="restart"/>
          </w:tcPr>
          <w:p>
            <w:pPr>
              <w:jc w:val="right"/>
              <w:ind w:right="421"/>
              <w:spacing w:after="0"/>
              <w:rPr>
                <w:sz w:val="20"/>
                <w:szCs w:val="20"/>
                <w:color w:val="auto"/>
              </w:rPr>
            </w:pPr>
            <w:r>
              <w:rPr>
                <w:rFonts w:ascii="Verdana" w:cs="Verdana" w:eastAsia="Verdana" w:hAnsi="Verdana"/>
                <w:sz w:val="13"/>
                <w:szCs w:val="13"/>
                <w:b w:val="1"/>
                <w:bCs w:val="1"/>
                <w:color w:val="auto"/>
              </w:rPr>
              <w:t>Intrinsic</w:t>
            </w:r>
          </w:p>
        </w:tc>
        <w:tc>
          <w:tcPr>
            <w:tcW w:w="0" w:type="dxa"/>
            <w:vAlign w:val="bottom"/>
          </w:tcPr>
          <w:p>
            <w:pPr>
              <w:spacing w:after="0"/>
              <w:rPr>
                <w:sz w:val="1"/>
                <w:szCs w:val="1"/>
                <w:color w:val="auto"/>
              </w:rPr>
            </w:pPr>
          </w:p>
        </w:tc>
      </w:tr>
      <w:tr>
        <w:trPr>
          <w:trHeight w:val="108"/>
        </w:trPr>
        <w:tc>
          <w:tcPr>
            <w:tcW w:w="454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Options</w:t>
            </w:r>
          </w:p>
        </w:tc>
        <w:tc>
          <w:tcPr>
            <w:tcW w:w="80" w:type="dxa"/>
            <w:vAlign w:val="bottom"/>
            <w:vMerge w:val="restart"/>
          </w:tcPr>
          <w:p>
            <w:pPr>
              <w:spacing w:after="0"/>
              <w:rPr>
                <w:sz w:val="9"/>
                <w:szCs w:val="9"/>
                <w:color w:val="auto"/>
              </w:rPr>
            </w:pPr>
          </w:p>
        </w:tc>
        <w:tc>
          <w:tcPr>
            <w:tcW w:w="1580" w:type="dxa"/>
            <w:vAlign w:val="bottom"/>
            <w:vMerge w:val="restart"/>
          </w:tcPr>
          <w:p>
            <w:pPr>
              <w:ind w:left="540"/>
              <w:spacing w:after="0"/>
              <w:rPr>
                <w:sz w:val="20"/>
                <w:szCs w:val="20"/>
                <w:color w:val="auto"/>
              </w:rPr>
            </w:pPr>
            <w:r>
              <w:rPr>
                <w:rFonts w:ascii="Verdana" w:cs="Verdana" w:eastAsia="Verdana" w:hAnsi="Verdana"/>
                <w:sz w:val="13"/>
                <w:szCs w:val="13"/>
                <w:b w:val="1"/>
                <w:bCs w:val="1"/>
                <w:color w:val="auto"/>
              </w:rPr>
              <w:t>Shares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gridSpan w:val="2"/>
          </w:tcPr>
          <w:p>
            <w:pPr>
              <w:jc w:val="center"/>
              <w:ind w:right="380"/>
              <w:spacing w:after="0" w:line="108" w:lineRule="exact"/>
              <w:rPr>
                <w:sz w:val="20"/>
                <w:szCs w:val="20"/>
                <w:color w:val="auto"/>
              </w:rPr>
            </w:pPr>
            <w:r>
              <w:rPr>
                <w:rFonts w:ascii="Verdana" w:cs="Verdana" w:eastAsia="Verdana" w:hAnsi="Verdana"/>
                <w:sz w:val="10"/>
                <w:szCs w:val="10"/>
                <w:b w:val="1"/>
                <w:bCs w:val="1"/>
                <w:color w:val="auto"/>
              </w:rPr>
              <w:t>Exercise</w:t>
            </w:r>
          </w:p>
        </w:tc>
        <w:tc>
          <w:tcPr>
            <w:tcW w:w="1660" w:type="dxa"/>
            <w:vAlign w:val="bottom"/>
            <w:gridSpan w:val="2"/>
          </w:tcPr>
          <w:p>
            <w:pPr>
              <w:jc w:val="center"/>
              <w:ind w:right="80"/>
              <w:spacing w:after="0" w:line="108" w:lineRule="exact"/>
              <w:rPr>
                <w:sz w:val="20"/>
                <w:szCs w:val="20"/>
                <w:color w:val="auto"/>
              </w:rPr>
            </w:pPr>
            <w:r>
              <w:rPr>
                <w:rFonts w:ascii="Verdana" w:cs="Verdana" w:eastAsia="Verdana" w:hAnsi="Verdana"/>
                <w:sz w:val="10"/>
                <w:szCs w:val="10"/>
                <w:b w:val="1"/>
                <w:bCs w:val="1"/>
                <w:color w:val="auto"/>
              </w:rPr>
              <w:t>Contractual</w:t>
            </w:r>
          </w:p>
        </w:tc>
        <w:tc>
          <w:tcPr>
            <w:tcW w:w="3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05"/>
              <w:spacing w:after="0"/>
              <w:rPr>
                <w:sz w:val="20"/>
                <w:szCs w:val="20"/>
                <w:color w:val="auto"/>
              </w:rPr>
            </w:pPr>
            <w:r>
              <w:rPr>
                <w:rFonts w:ascii="Verdana" w:cs="Verdana" w:eastAsia="Verdana" w:hAnsi="Verdana"/>
                <w:sz w:val="13"/>
                <w:szCs w:val="13"/>
                <w:b w:val="1"/>
                <w:bCs w:val="1"/>
                <w:color w:val="auto"/>
                <w:w w:val="97"/>
              </w:rPr>
              <w:t>Price</w:t>
            </w:r>
          </w:p>
        </w:tc>
        <w:tc>
          <w:tcPr>
            <w:tcW w:w="10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Life</w:t>
            </w: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21"/>
              <w:spacing w:after="0"/>
              <w:rPr>
                <w:sz w:val="20"/>
                <w:szCs w:val="20"/>
                <w:color w:val="auto"/>
              </w:rPr>
            </w:pPr>
            <w:r>
              <w:rPr>
                <w:rFonts w:ascii="Verdana" w:cs="Verdana" w:eastAsia="Verdana" w:hAnsi="Verdana"/>
                <w:sz w:val="13"/>
                <w:szCs w:val="13"/>
                <w:b w:val="1"/>
                <w:bCs w:val="1"/>
                <w:color w:val="auto"/>
              </w:rPr>
              <w:t>Value</w:t>
            </w:r>
          </w:p>
        </w:tc>
        <w:tc>
          <w:tcPr>
            <w:tcW w:w="0" w:type="dxa"/>
            <w:vAlign w:val="bottom"/>
          </w:tcPr>
          <w:p>
            <w:pPr>
              <w:spacing w:after="0"/>
              <w:rPr>
                <w:sz w:val="1"/>
                <w:szCs w:val="1"/>
                <w:color w:val="auto"/>
              </w:rPr>
            </w:pPr>
          </w:p>
        </w:tc>
      </w:tr>
      <w:tr>
        <w:trPr>
          <w:trHeight w:val="269"/>
        </w:trPr>
        <w:tc>
          <w:tcPr>
            <w:tcW w:w="46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Outstanding at December 31, 2022</w:t>
            </w:r>
          </w:p>
        </w:tc>
        <w:tc>
          <w:tcPr>
            <w:tcW w:w="1580" w:type="dxa"/>
            <w:vAlign w:val="bottom"/>
            <w:shd w:val="clear" w:color="auto" w:fill="E0E7ED"/>
          </w:tcPr>
          <w:p>
            <w:pPr>
              <w:ind w:left="840"/>
              <w:spacing w:after="0"/>
              <w:rPr>
                <w:sz w:val="20"/>
                <w:szCs w:val="20"/>
                <w:color w:val="auto"/>
              </w:rPr>
            </w:pPr>
            <w:r>
              <w:rPr>
                <w:rFonts w:ascii="Verdana" w:cs="Verdana" w:eastAsia="Verdana" w:hAnsi="Verdana"/>
                <w:sz w:val="18"/>
                <w:szCs w:val="18"/>
                <w:color w:val="auto"/>
              </w:rPr>
              <w:t>26,106</w:t>
            </w:r>
          </w:p>
        </w:tc>
        <w:tc>
          <w:tcPr>
            <w:tcW w:w="3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25"/>
              <w:spacing w:after="0"/>
              <w:rPr>
                <w:sz w:val="20"/>
                <w:szCs w:val="20"/>
                <w:color w:val="auto"/>
              </w:rPr>
            </w:pPr>
            <w:r>
              <w:rPr>
                <w:rFonts w:ascii="Verdana" w:cs="Verdana" w:eastAsia="Verdana" w:hAnsi="Verdana"/>
                <w:sz w:val="18"/>
                <w:szCs w:val="18"/>
                <w:color w:val="auto"/>
              </w:rPr>
              <w:t>23.53</w:t>
            </w: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3.88</w:t>
            </w:r>
          </w:p>
        </w:tc>
        <w:tc>
          <w:tcPr>
            <w:tcW w:w="80" w:type="dxa"/>
            <w:vAlign w:val="bottom"/>
            <w:shd w:val="clear" w:color="auto" w:fill="E0E7ED"/>
          </w:tcPr>
          <w:p>
            <w:pPr>
              <w:spacing w:after="0"/>
              <w:rPr>
                <w:sz w:val="23"/>
                <w:szCs w:val="23"/>
                <w:color w:val="auto"/>
              </w:rPr>
            </w:pP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
              <w:spacing w:after="0"/>
              <w:rPr>
                <w:sz w:val="20"/>
                <w:szCs w:val="20"/>
                <w:color w:val="auto"/>
              </w:rPr>
            </w:pPr>
            <w:r>
              <w:rPr>
                <w:rFonts w:ascii="Verdana" w:cs="Verdana" w:eastAsia="Verdana" w:hAnsi="Verdana"/>
                <w:sz w:val="18"/>
                <w:szCs w:val="18"/>
                <w:color w:val="auto"/>
              </w:rPr>
              <w:t>31</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E0E7ED"/>
            </w:tcBorders>
            <w:gridSpan w:val="2"/>
          </w:tcPr>
          <w:p>
            <w:pPr>
              <w:ind w:left="180"/>
              <w:spacing w:after="0"/>
              <w:rPr>
                <w:sz w:val="20"/>
                <w:szCs w:val="20"/>
                <w:color w:val="auto"/>
              </w:rPr>
            </w:pPr>
            <w:r>
              <w:rPr>
                <w:rFonts w:ascii="Verdana" w:cs="Verdana" w:eastAsia="Verdana" w:hAnsi="Verdana"/>
                <w:sz w:val="18"/>
                <w:szCs w:val="18"/>
                <w:color w:val="auto"/>
              </w:rPr>
              <w:t>Forfeited</w:t>
            </w:r>
          </w:p>
        </w:tc>
        <w:tc>
          <w:tcPr>
            <w:tcW w:w="1580" w:type="dxa"/>
            <w:vAlign w:val="bottom"/>
            <w:tcBorders>
              <w:bottom w:val="single" w:sz="8" w:color="auto"/>
            </w:tcBorders>
          </w:tcPr>
          <w:p>
            <w:pPr>
              <w:ind w:left="860"/>
              <w:spacing w:after="0"/>
              <w:rPr>
                <w:sz w:val="20"/>
                <w:szCs w:val="20"/>
                <w:color w:val="auto"/>
              </w:rPr>
            </w:pPr>
            <w:r>
              <w:rPr>
                <w:rFonts w:ascii="Verdana" w:cs="Verdana" w:eastAsia="Verdana" w:hAnsi="Verdana"/>
                <w:sz w:val="18"/>
                <w:szCs w:val="18"/>
                <w:color w:val="auto"/>
              </w:rPr>
              <w:t>(4,840)</w:t>
            </w:r>
          </w:p>
        </w:tc>
        <w:tc>
          <w:tcPr>
            <w:tcW w:w="80" w:type="dxa"/>
            <w:vAlign w:val="bottom"/>
            <w:tcBorders>
              <w:bottom w:val="single" w:sz="8" w:color="E0E7ED"/>
            </w:tcBorders>
          </w:tcPr>
          <w:p>
            <w:pPr>
              <w:spacing w:after="0"/>
              <w:rPr>
                <w:sz w:val="22"/>
                <w:szCs w:val="22"/>
                <w:color w:val="auto"/>
              </w:rPr>
            </w:pPr>
          </w:p>
        </w:tc>
        <w:tc>
          <w:tcPr>
            <w:tcW w:w="280" w:type="dxa"/>
            <w:vAlign w:val="bottom"/>
            <w:tcBorders>
              <w:bottom w:val="single" w:sz="8" w:color="E0E7ED"/>
            </w:tcBorders>
          </w:tcPr>
          <w:p>
            <w:pPr>
              <w:spacing w:after="0"/>
              <w:rPr>
                <w:sz w:val="22"/>
                <w:szCs w:val="22"/>
                <w:color w:val="auto"/>
              </w:rPr>
            </w:pPr>
          </w:p>
        </w:tc>
        <w:tc>
          <w:tcPr>
            <w:tcW w:w="1320" w:type="dxa"/>
            <w:vAlign w:val="bottom"/>
            <w:tcBorders>
              <w:bottom w:val="single" w:sz="8" w:color="E0E7ED"/>
            </w:tcBorders>
          </w:tcPr>
          <w:p>
            <w:pPr>
              <w:jc w:val="right"/>
              <w:ind w:right="25"/>
              <w:spacing w:after="0"/>
              <w:rPr>
                <w:sz w:val="20"/>
                <w:szCs w:val="20"/>
                <w:color w:val="auto"/>
              </w:rPr>
            </w:pPr>
            <w:r>
              <w:rPr>
                <w:rFonts w:ascii="Verdana" w:cs="Verdana" w:eastAsia="Verdana" w:hAnsi="Verdana"/>
                <w:sz w:val="18"/>
                <w:szCs w:val="18"/>
                <w:color w:val="auto"/>
              </w:rPr>
              <w:t>23.53</w:t>
            </w:r>
          </w:p>
        </w:tc>
        <w:tc>
          <w:tcPr>
            <w:tcW w:w="100" w:type="dxa"/>
            <w:vAlign w:val="bottom"/>
            <w:tcBorders>
              <w:bottom w:val="single" w:sz="8" w:color="E0E7ED"/>
            </w:tcBorders>
          </w:tcPr>
          <w:p>
            <w:pPr>
              <w:spacing w:after="0"/>
              <w:rPr>
                <w:sz w:val="22"/>
                <w:szCs w:val="22"/>
                <w:color w:val="auto"/>
              </w:rPr>
            </w:pPr>
          </w:p>
        </w:tc>
        <w:tc>
          <w:tcPr>
            <w:tcW w:w="158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E0E7ED"/>
            </w:tcBorders>
          </w:tcPr>
          <w:p>
            <w:pPr>
              <w:spacing w:after="0"/>
              <w:rPr>
                <w:sz w:val="22"/>
                <w:szCs w:val="22"/>
                <w:color w:val="auto"/>
              </w:rPr>
            </w:pPr>
          </w:p>
        </w:tc>
        <w:tc>
          <w:tcPr>
            <w:tcW w:w="1280" w:type="dxa"/>
            <w:vAlign w:val="bottom"/>
            <w:tcBorders>
              <w:bottom w:val="single" w:sz="8" w:color="E0E7ED"/>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462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8"/>
                <w:szCs w:val="18"/>
                <w:color w:val="auto"/>
              </w:rPr>
              <w:t>Outstanding at December 31, 2023</w:t>
            </w:r>
          </w:p>
        </w:tc>
        <w:tc>
          <w:tcPr>
            <w:tcW w:w="1580" w:type="dxa"/>
            <w:vAlign w:val="bottom"/>
            <w:tcBorders>
              <w:bottom w:val="single" w:sz="8" w:color="auto"/>
            </w:tcBorders>
            <w:shd w:val="clear" w:color="auto" w:fill="E0E7ED"/>
          </w:tcPr>
          <w:p>
            <w:pPr>
              <w:ind w:left="840"/>
              <w:spacing w:after="0"/>
              <w:rPr>
                <w:sz w:val="20"/>
                <w:szCs w:val="20"/>
                <w:color w:val="auto"/>
              </w:rPr>
            </w:pPr>
            <w:r>
              <w:rPr>
                <w:rFonts w:ascii="Verdana" w:cs="Verdana" w:eastAsia="Verdana" w:hAnsi="Verdana"/>
                <w:sz w:val="18"/>
                <w:szCs w:val="18"/>
                <w:color w:val="auto"/>
              </w:rPr>
              <w:t>21,266</w:t>
            </w:r>
          </w:p>
        </w:tc>
        <w:tc>
          <w:tcPr>
            <w:tcW w:w="8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E0E7ED"/>
            </w:tcBorders>
            <w:shd w:val="clear" w:color="auto" w:fill="E0E7ED"/>
          </w:tcPr>
          <w:p>
            <w:pPr>
              <w:spacing w:after="0"/>
              <w:rPr>
                <w:sz w:val="24"/>
                <w:szCs w:val="24"/>
                <w:color w:val="auto"/>
              </w:rPr>
            </w:pPr>
          </w:p>
        </w:tc>
        <w:tc>
          <w:tcPr>
            <w:tcW w:w="1320" w:type="dxa"/>
            <w:vAlign w:val="bottom"/>
            <w:tcBorders>
              <w:bottom w:val="single" w:sz="8" w:color="E0E7ED"/>
            </w:tcBorders>
            <w:shd w:val="clear" w:color="auto" w:fill="E0E7ED"/>
          </w:tcPr>
          <w:p>
            <w:pPr>
              <w:jc w:val="right"/>
              <w:ind w:right="25"/>
              <w:spacing w:after="0"/>
              <w:rPr>
                <w:sz w:val="20"/>
                <w:szCs w:val="20"/>
                <w:color w:val="auto"/>
              </w:rPr>
            </w:pPr>
            <w:r>
              <w:rPr>
                <w:rFonts w:ascii="Verdana" w:cs="Verdana" w:eastAsia="Verdana" w:hAnsi="Verdana"/>
                <w:sz w:val="18"/>
                <w:szCs w:val="18"/>
                <w:color w:val="auto"/>
              </w:rPr>
              <w:t>23.53</w:t>
            </w:r>
          </w:p>
        </w:tc>
        <w:tc>
          <w:tcPr>
            <w:tcW w:w="100" w:type="dxa"/>
            <w:vAlign w:val="bottom"/>
            <w:tcBorders>
              <w:bottom w:val="single" w:sz="8" w:color="E0E7ED"/>
            </w:tcBorders>
            <w:shd w:val="clear" w:color="auto" w:fill="E0E7ED"/>
          </w:tcPr>
          <w:p>
            <w:pPr>
              <w:spacing w:after="0"/>
              <w:rPr>
                <w:sz w:val="24"/>
                <w:szCs w:val="24"/>
                <w:color w:val="auto"/>
              </w:rPr>
            </w:pPr>
          </w:p>
        </w:tc>
        <w:tc>
          <w:tcPr>
            <w:tcW w:w="158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8"/>
                <w:szCs w:val="18"/>
                <w:color w:val="auto"/>
              </w:rPr>
              <w:t>2.88</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E0E7ED"/>
            </w:tcBorders>
            <w:shd w:val="clear" w:color="auto" w:fill="E0E7ED"/>
          </w:tcPr>
          <w:p>
            <w:pPr>
              <w:spacing w:after="0"/>
              <w:rPr>
                <w:sz w:val="24"/>
                <w:szCs w:val="24"/>
                <w:color w:val="auto"/>
              </w:rPr>
            </w:pPr>
          </w:p>
        </w:tc>
        <w:tc>
          <w:tcPr>
            <w:tcW w:w="1280" w:type="dxa"/>
            <w:vAlign w:val="bottom"/>
            <w:tcBorders>
              <w:bottom w:val="single" w:sz="8" w:color="E0E7ED"/>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27</w:t>
            </w:r>
          </w:p>
        </w:tc>
        <w:tc>
          <w:tcPr>
            <w:tcW w:w="0" w:type="dxa"/>
            <w:vAlign w:val="bottom"/>
          </w:tcPr>
          <w:p>
            <w:pPr>
              <w:spacing w:after="0"/>
              <w:rPr>
                <w:sz w:val="1"/>
                <w:szCs w:val="1"/>
                <w:color w:val="auto"/>
              </w:rPr>
            </w:pPr>
          </w:p>
        </w:tc>
      </w:tr>
      <w:tr>
        <w:trPr>
          <w:trHeight w:val="20"/>
        </w:trPr>
        <w:tc>
          <w:tcPr>
            <w:tcW w:w="45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tcBorders>
          </w:tcPr>
          <w:p>
            <w:pPr>
              <w:spacing w:after="0" w:line="20" w:lineRule="exact"/>
              <w:rPr>
                <w:sz w:val="1"/>
                <w:szCs w:val="1"/>
                <w:color w:val="auto"/>
              </w:rPr>
            </w:pPr>
          </w:p>
        </w:tc>
        <w:tc>
          <w:tcPr>
            <w:tcW w:w="13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tcBorders>
          </w:tcPr>
          <w:p>
            <w:pPr>
              <w:spacing w:after="0" w:line="20" w:lineRule="exact"/>
              <w:rPr>
                <w:sz w:val="1"/>
                <w:szCs w:val="1"/>
                <w:color w:val="auto"/>
              </w:rPr>
            </w:pPr>
          </w:p>
        </w:tc>
        <w:tc>
          <w:tcPr>
            <w:tcW w:w="128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Exercisable at December 31, 2023</w:t>
            </w:r>
          </w:p>
        </w:tc>
        <w:tc>
          <w:tcPr>
            <w:tcW w:w="1580" w:type="dxa"/>
            <w:vAlign w:val="bottom"/>
            <w:shd w:val="clear" w:color="auto" w:fill="E0E7ED"/>
          </w:tcPr>
          <w:p>
            <w:pPr>
              <w:ind w:left="840"/>
              <w:spacing w:after="0"/>
              <w:rPr>
                <w:sz w:val="20"/>
                <w:szCs w:val="20"/>
                <w:color w:val="auto"/>
              </w:rPr>
            </w:pPr>
            <w:r>
              <w:rPr>
                <w:rFonts w:ascii="Verdana" w:cs="Verdana" w:eastAsia="Verdana" w:hAnsi="Verdana"/>
                <w:sz w:val="18"/>
                <w:szCs w:val="18"/>
                <w:color w:val="auto"/>
              </w:rPr>
              <w:t>21,266</w:t>
            </w:r>
          </w:p>
        </w:tc>
        <w:tc>
          <w:tcPr>
            <w:tcW w:w="8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320" w:type="dxa"/>
            <w:vAlign w:val="bottom"/>
            <w:shd w:val="clear" w:color="auto" w:fill="E0E7ED"/>
          </w:tcPr>
          <w:p>
            <w:pPr>
              <w:jc w:val="right"/>
              <w:ind w:right="25"/>
              <w:spacing w:after="0"/>
              <w:rPr>
                <w:sz w:val="20"/>
                <w:szCs w:val="20"/>
                <w:color w:val="auto"/>
              </w:rPr>
            </w:pPr>
            <w:r>
              <w:rPr>
                <w:rFonts w:ascii="Verdana" w:cs="Verdana" w:eastAsia="Verdana" w:hAnsi="Verdana"/>
                <w:sz w:val="18"/>
                <w:szCs w:val="18"/>
                <w:color w:val="auto"/>
              </w:rPr>
              <w:t>23.53</w:t>
            </w: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2.88</w:t>
            </w:r>
          </w:p>
        </w:tc>
        <w:tc>
          <w:tcPr>
            <w:tcW w:w="8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
              <w:spacing w:after="0"/>
              <w:rPr>
                <w:sz w:val="20"/>
                <w:szCs w:val="20"/>
                <w:color w:val="auto"/>
              </w:rPr>
            </w:pPr>
            <w:r>
              <w:rPr>
                <w:rFonts w:ascii="Verdana" w:cs="Verdana" w:eastAsia="Verdana" w:hAnsi="Verdana"/>
                <w:sz w:val="18"/>
                <w:szCs w:val="18"/>
                <w:color w:val="auto"/>
              </w:rPr>
              <w:t>27</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2020 Equity Plan</w:t>
      </w:r>
    </w:p>
    <w:p>
      <w:pPr>
        <w:spacing w:after="0" w:line="173" w:lineRule="exact"/>
        <w:rPr>
          <w:sz w:val="20"/>
          <w:szCs w:val="20"/>
          <w:color w:val="auto"/>
        </w:rPr>
      </w:pPr>
    </w:p>
    <w:p>
      <w:pPr>
        <w:jc w:val="both"/>
        <w:spacing w:after="0" w:line="239" w:lineRule="auto"/>
        <w:rPr>
          <w:rFonts w:ascii="Verdana" w:cs="Verdana" w:eastAsia="Verdana" w:hAnsi="Verdana"/>
          <w:sz w:val="18"/>
          <w:szCs w:val="18"/>
          <w:color w:val="0000FF"/>
        </w:rPr>
      </w:pPr>
      <w:r>
        <w:rPr>
          <w:rFonts w:ascii="Verdana" w:cs="Verdana" w:eastAsia="Verdana" w:hAnsi="Verdana"/>
          <w:sz w:val="18"/>
          <w:szCs w:val="18"/>
          <w:color w:val="auto"/>
        </w:rPr>
        <w:t xml:space="preserve">The 2020 Equity Plan was originally approved by stockholders at the 2020 Annual Meeting of Stockholders. A description of </w:t>
      </w:r>
      <w:hyperlink r:id="rId150">
        <w:r>
          <w:rPr>
            <w:rFonts w:ascii="Verdana" w:cs="Verdana" w:eastAsia="Verdana" w:hAnsi="Verdana"/>
            <w:sz w:val="18"/>
            <w:szCs w:val="18"/>
            <w:color w:val="auto"/>
          </w:rPr>
          <w:t xml:space="preserve">the 2020 Equity Plan, as originally approved, can be found in </w:t>
        </w:r>
        <w:r>
          <w:rPr>
            <w:rFonts w:ascii="Verdana" w:cs="Verdana" w:eastAsia="Verdana" w:hAnsi="Verdana"/>
            <w:sz w:val="18"/>
            <w:szCs w:val="18"/>
            <w:u w:val="single" w:color="auto"/>
            <w:color w:val="0000FF"/>
          </w:rPr>
          <w:t>Appendix A</w:t>
        </w:r>
        <w:r>
          <w:rPr>
            <w:rFonts w:ascii="Verdana" w:cs="Verdana" w:eastAsia="Verdana" w:hAnsi="Verdana"/>
            <w:sz w:val="18"/>
            <w:szCs w:val="18"/>
            <w:color w:val="auto"/>
          </w:rPr>
          <w:t xml:space="preserve"> within </w:t>
        </w:r>
        <w:r>
          <w:rPr>
            <w:rFonts w:ascii="Verdana" w:cs="Verdana" w:eastAsia="Verdana" w:hAnsi="Verdana"/>
            <w:sz w:val="18"/>
            <w:szCs w:val="18"/>
            <w:u w:val="single" w:color="auto"/>
            <w:color w:val="0000FF"/>
          </w:rPr>
          <w:t>Busey’s Proxy Statement for the 2020</w:t>
        </w:r>
      </w:hyperlink>
      <w:r>
        <w:rPr>
          <w:rFonts w:ascii="Verdana" w:cs="Verdana" w:eastAsia="Verdana" w:hAnsi="Verdana"/>
          <w:sz w:val="18"/>
          <w:szCs w:val="18"/>
          <w:color w:val="auto"/>
        </w:rPr>
        <w:t xml:space="preserve"> </w:t>
      </w:r>
      <w:hyperlink r:id="rId150">
        <w:r>
          <w:rPr>
            <w:rFonts w:ascii="Verdana" w:cs="Verdana" w:eastAsia="Verdana" w:hAnsi="Verdana"/>
            <w:sz w:val="18"/>
            <w:szCs w:val="18"/>
            <w:u w:val="single" w:color="auto"/>
            <w:color w:val="0000FF"/>
          </w:rPr>
          <w:t>Annual Meeting of Stockholders filed on April 9, 2020</w:t>
        </w:r>
        <w:r>
          <w:rPr>
            <w:rFonts w:ascii="Verdana" w:cs="Verdana" w:eastAsia="Verdana" w:hAnsi="Verdana"/>
            <w:sz w:val="18"/>
            <w:szCs w:val="18"/>
            <w:color w:val="000000"/>
          </w:rPr>
          <w:t>. An amendment and restatement of the 2020 Equity Plan was</w:t>
        </w:r>
      </w:hyperlink>
      <w:r>
        <w:rPr>
          <w:rFonts w:ascii="Verdana" w:cs="Verdana" w:eastAsia="Verdana" w:hAnsi="Verdana"/>
          <w:sz w:val="18"/>
          <w:szCs w:val="18"/>
          <w:color w:val="0000FF"/>
        </w:rPr>
        <w:t xml:space="preserve"> </w:t>
      </w:r>
      <w:r>
        <w:rPr>
          <w:rFonts w:ascii="Verdana" w:cs="Verdana" w:eastAsia="Verdana" w:hAnsi="Verdana"/>
          <w:sz w:val="18"/>
          <w:szCs w:val="18"/>
          <w:color w:val="000000"/>
        </w:rPr>
        <w:t xml:space="preserve">approved by stockholders at the 2023 Annual Meeting of Stockholders. Terms of the amended and restated 2020 Equity Plan are substantially identical to those of the originally approved 2020 Equity Plan, other than a 1,350,000 increase in the </w:t>
      </w:r>
      <w:hyperlink r:id="rId151">
        <w:r>
          <w:rPr>
            <w:rFonts w:ascii="Verdana" w:cs="Verdana" w:eastAsia="Verdana" w:hAnsi="Verdana"/>
            <w:sz w:val="18"/>
            <w:szCs w:val="18"/>
            <w:color w:val="000000"/>
          </w:rPr>
          <w:t xml:space="preserve">number of shares authorized for issuance under the plan. More information can be found in </w:t>
        </w:r>
        <w:r>
          <w:rPr>
            <w:rFonts w:ascii="Verdana" w:cs="Verdana" w:eastAsia="Verdana" w:hAnsi="Verdana"/>
            <w:sz w:val="18"/>
            <w:szCs w:val="18"/>
            <w:u w:val="single" w:color="auto"/>
            <w:color w:val="0000FF"/>
          </w:rPr>
          <w:t>Appendix A</w:t>
        </w:r>
        <w:r>
          <w:rPr>
            <w:rFonts w:ascii="Verdana" w:cs="Verdana" w:eastAsia="Verdana" w:hAnsi="Verdana"/>
            <w:sz w:val="18"/>
            <w:szCs w:val="18"/>
            <w:color w:val="000000"/>
          </w:rPr>
          <w:t xml:space="preserve"> within </w:t>
        </w:r>
        <w:r>
          <w:rPr>
            <w:rFonts w:ascii="Verdana" w:cs="Verdana" w:eastAsia="Verdana" w:hAnsi="Verdana"/>
            <w:sz w:val="18"/>
            <w:szCs w:val="18"/>
            <w:u w:val="single" w:color="auto"/>
            <w:color w:val="0000FF"/>
          </w:rPr>
          <w:t>Busey’s</w:t>
        </w:r>
      </w:hyperlink>
      <w:r>
        <w:rPr>
          <w:rFonts w:ascii="Verdana" w:cs="Verdana" w:eastAsia="Verdana" w:hAnsi="Verdana"/>
          <w:sz w:val="18"/>
          <w:szCs w:val="18"/>
          <w:color w:val="000000"/>
        </w:rPr>
        <w:t xml:space="preserve"> </w:t>
      </w:r>
      <w:hyperlink r:id="rId151">
        <w:r>
          <w:rPr>
            <w:rFonts w:ascii="Verdana" w:cs="Verdana" w:eastAsia="Verdana" w:hAnsi="Verdana"/>
            <w:sz w:val="18"/>
            <w:szCs w:val="18"/>
            <w:u w:val="single" w:color="auto"/>
            <w:color w:val="0000FF"/>
          </w:rPr>
          <w:t>Proxy Statement for the 2023 Annual Meeting of Stockholders filed on April 14, 2023</w:t>
        </w:r>
        <w:r>
          <w:rPr>
            <w:rFonts w:ascii="Verdana" w:cs="Verdana" w:eastAsia="Verdana" w:hAnsi="Verdana"/>
            <w:sz w:val="18"/>
            <w:szCs w:val="18"/>
            <w:color w:val="000000"/>
          </w:rPr>
          <w:t>.</w:t>
        </w:r>
      </w:hyperlink>
    </w:p>
    <w:p>
      <w:pPr>
        <w:spacing w:after="0" w:line="163" w:lineRule="exact"/>
        <w:rPr>
          <w:rFonts w:ascii="Verdana" w:cs="Verdana" w:eastAsia="Verdana" w:hAnsi="Verdana"/>
          <w:sz w:val="18"/>
          <w:szCs w:val="18"/>
          <w:color w:val="0000FF"/>
        </w:rPr>
      </w:pPr>
    </w:p>
    <w:p>
      <w:pPr>
        <w:jc w:val="both"/>
        <w:spacing w:after="0" w:line="254" w:lineRule="auto"/>
        <w:rPr>
          <w:sz w:val="20"/>
          <w:szCs w:val="20"/>
          <w:color w:val="auto"/>
        </w:rPr>
      </w:pPr>
      <w:r>
        <w:rPr>
          <w:rFonts w:ascii="Verdana" w:cs="Verdana" w:eastAsia="Verdana" w:hAnsi="Verdana"/>
          <w:sz w:val="18"/>
          <w:szCs w:val="18"/>
          <w:color w:val="auto"/>
        </w:rPr>
        <w:t>Under the terms of the 2020 Equity Plan, Busey has granted RSU, PSU, and DSU awards. Upon vesting and delivery, shares are expected, though not required, to be issued from treasury.</w:t>
      </w:r>
    </w:p>
    <w:p>
      <w:pPr>
        <w:spacing w:after="0" w:line="158" w:lineRule="exact"/>
        <w:rPr>
          <w:rFonts w:ascii="Verdana" w:cs="Verdana" w:eastAsia="Verdana" w:hAnsi="Verdana"/>
          <w:sz w:val="18"/>
          <w:szCs w:val="18"/>
          <w:color w:val="0000FF"/>
        </w:rPr>
      </w:pPr>
    </w:p>
    <w:p>
      <w:pPr>
        <w:jc w:val="both"/>
        <w:spacing w:after="0" w:line="245" w:lineRule="auto"/>
        <w:rPr>
          <w:sz w:val="20"/>
          <w:szCs w:val="20"/>
          <w:color w:val="auto"/>
        </w:rPr>
      </w:pPr>
      <w:r>
        <w:rPr>
          <w:rFonts w:ascii="Verdana" w:cs="Verdana" w:eastAsia="Verdana" w:hAnsi="Verdana"/>
          <w:sz w:val="18"/>
          <w:szCs w:val="18"/>
          <w:color w:val="auto"/>
        </w:rPr>
        <w:t>A description of RSU, PSU, and DSU awards granted in 2023 under the terms of the 2020 Equity Plan is provided below. A description of RSU, PSU, and DSU awards granted in 2022 and 2021 under the terms of the 2020 Equity Plan can be found in Busey’s Annual Reports for the years ended December 31, 2022, and 2021, respectively.</w:t>
      </w:r>
    </w:p>
    <w:p>
      <w:pPr>
        <w:spacing w:after="0" w:line="154" w:lineRule="exact"/>
        <w:rPr>
          <w:rFonts w:ascii="Verdana" w:cs="Verdana" w:eastAsia="Verdana" w:hAnsi="Verdana"/>
          <w:sz w:val="18"/>
          <w:szCs w:val="18"/>
          <w:color w:val="0000FF"/>
        </w:rPr>
      </w:pPr>
    </w:p>
    <w:p>
      <w:pPr>
        <w:jc w:val="both"/>
        <w:spacing w:after="0" w:line="242" w:lineRule="auto"/>
        <w:rPr>
          <w:sz w:val="20"/>
          <w:szCs w:val="20"/>
          <w:color w:val="auto"/>
        </w:rPr>
      </w:pPr>
      <w:r>
        <w:rPr>
          <w:rFonts w:ascii="Verdana" w:cs="Verdana" w:eastAsia="Verdana" w:hAnsi="Verdana"/>
          <w:sz w:val="18"/>
          <w:szCs w:val="18"/>
          <w:color w:val="auto"/>
        </w:rPr>
        <w:t>Busey issued 132,091 treasury shares in conjunction with the vesting of RSUs and PSUs, and settlement of DSUs in 2023. The difference between the number of shares issued and the number of vested units is due to shares issued under a net share settlement option. There were 1,723,343 shares available for issuance under the 2020 Equity Plan as of December 31, 2023.</w:t>
      </w:r>
    </w:p>
    <w:p>
      <w:pPr>
        <w:spacing w:after="0" w:line="157" w:lineRule="exact"/>
        <w:rPr>
          <w:rFonts w:ascii="Verdana" w:cs="Verdana" w:eastAsia="Verdana" w:hAnsi="Verdana"/>
          <w:sz w:val="18"/>
          <w:szCs w:val="18"/>
          <w:color w:val="0000FF"/>
        </w:rPr>
      </w:pPr>
    </w:p>
    <w:p>
      <w:pPr>
        <w:spacing w:after="0"/>
        <w:rPr>
          <w:sz w:val="20"/>
          <w:szCs w:val="20"/>
          <w:color w:val="auto"/>
        </w:rPr>
      </w:pPr>
      <w:r>
        <w:rPr>
          <w:rFonts w:ascii="Verdana" w:cs="Verdana" w:eastAsia="Verdana" w:hAnsi="Verdana"/>
          <w:sz w:val="18"/>
          <w:szCs w:val="18"/>
          <w:u w:val="single" w:color="auto"/>
          <w:color w:val="auto"/>
        </w:rPr>
        <w:t>RSU Awards</w:t>
      </w:r>
    </w:p>
    <w:p>
      <w:pPr>
        <w:spacing w:after="0" w:line="186" w:lineRule="exact"/>
        <w:rPr>
          <w:rFonts w:ascii="Verdana" w:cs="Verdana" w:eastAsia="Verdana" w:hAnsi="Verdana"/>
          <w:sz w:val="18"/>
          <w:szCs w:val="18"/>
          <w:color w:val="0000FF"/>
        </w:rPr>
      </w:pPr>
    </w:p>
    <w:p>
      <w:pPr>
        <w:jc w:val="both"/>
        <w:spacing w:after="0"/>
        <w:rPr>
          <w:sz w:val="20"/>
          <w:szCs w:val="20"/>
          <w:color w:val="auto"/>
        </w:rPr>
      </w:pPr>
      <w:r>
        <w:rPr>
          <w:rFonts w:ascii="Verdana" w:cs="Verdana" w:eastAsia="Verdana" w:hAnsi="Verdana"/>
          <w:sz w:val="18"/>
          <w:szCs w:val="18"/>
          <w:color w:val="auto"/>
        </w:rPr>
        <w:t>Busey grants RSU awards to members of management periodically throughout the year. RSU awards are stock-based awards for which vesting is conditional upon meeting established service criteria. Each RSU is equivalent to one share of Busey’s common stock. Busey’s RSUs have requisite service periods ranging from one year to five years, and are subject to accelerated vesting upon eligible retirement from Busey. Recipients earn quarterly dividend equivalents on their respective RSUs, which entitle the recipients to additional units. Therefore, dividends earned each quarter compound based upon the updated unit balances.</w:t>
      </w:r>
    </w:p>
    <w:p>
      <w:pPr>
        <w:spacing w:after="0" w:line="213" w:lineRule="exact"/>
        <w:rPr>
          <w:rFonts w:ascii="Verdana" w:cs="Verdana" w:eastAsia="Verdana" w:hAnsi="Verdana"/>
          <w:sz w:val="18"/>
          <w:szCs w:val="18"/>
          <w:color w:val="0000FF"/>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149</w:t>
      </w:r>
    </w:p>
    <w:p>
      <w:pPr>
        <w:spacing w:after="0" w:line="20" w:lineRule="exact"/>
        <w:rPr>
          <w:rFonts w:ascii="Verdana" w:cs="Verdana" w:eastAsia="Verdana" w:hAnsi="Verdana"/>
          <w:sz w:val="18"/>
          <w:szCs w:val="18"/>
          <w:color w:val="0000FF"/>
        </w:rPr>
      </w:pPr>
      <w:r>
        <w:rPr>
          <w:rFonts w:ascii="Verdana" w:cs="Verdana" w:eastAsia="Verdana" w:hAnsi="Verdana"/>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9" w:name="page150"/>
    <w:bookmarkEnd w:id="14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On March 22, 2023, under the terms of the 2020 Equity Plan, Busey granted 224,316 RSUs to members of management. The grant date fair value of the award was $4.6 million, which will be recognized as compensation expense over the requisite service period ranging from one year to five years. The terms of these awards included an accelerated vesting provision upon eligible retirement from Busey, after a one-year minimum requisite service period. Subsequent to the requisite service period, the awards will become 100% vested.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RSU awards for the year ended December 31, 2023,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201"/>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7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ind w:right="201"/>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1"/>
        </w:trPr>
        <w:tc>
          <w:tcPr>
            <w:tcW w:w="784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RSU Awards</w:t>
            </w:r>
          </w:p>
        </w:tc>
        <w:tc>
          <w:tcPr>
            <w:tcW w:w="100" w:type="dxa"/>
            <w:vAlign w:val="bottom"/>
            <w:vMerge w:val="restart"/>
          </w:tcPr>
          <w:p>
            <w:pPr>
              <w:spacing w:after="0"/>
              <w:rPr>
                <w:sz w:val="10"/>
                <w:szCs w:val="10"/>
                <w:color w:val="auto"/>
              </w:rPr>
            </w:pPr>
          </w:p>
        </w:tc>
        <w:tc>
          <w:tcPr>
            <w:tcW w:w="1580" w:type="dxa"/>
            <w:vAlign w:val="bottom"/>
            <w:vMerge w:val="restart"/>
          </w:tcPr>
          <w:p>
            <w:pPr>
              <w:jc w:val="right"/>
              <w:ind w:right="454"/>
              <w:spacing w:after="0"/>
              <w:rPr>
                <w:sz w:val="20"/>
                <w:szCs w:val="20"/>
                <w:color w:val="auto"/>
              </w:rPr>
            </w:pPr>
            <w:r>
              <w:rPr>
                <w:rFonts w:ascii="Verdana" w:cs="Verdana" w:eastAsia="Verdana" w:hAnsi="Verdana"/>
                <w:sz w:val="13"/>
                <w:szCs w:val="13"/>
                <w:b w:val="1"/>
                <w:bCs w:val="1"/>
                <w:color w:val="auto"/>
              </w:rPr>
              <w:t>Shares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ind w:right="201"/>
              <w:spacing w:after="0" w:line="122" w:lineRule="exact"/>
              <w:rPr>
                <w:sz w:val="20"/>
                <w:szCs w:val="20"/>
                <w:color w:val="auto"/>
              </w:rPr>
            </w:pPr>
            <w:r>
              <w:rPr>
                <w:rFonts w:ascii="Verdana" w:cs="Verdana" w:eastAsia="Verdana" w:hAnsi="Verdana"/>
                <w:sz w:val="13"/>
                <w:szCs w:val="13"/>
                <w:b w:val="1"/>
                <w:bCs w:val="1"/>
                <w:color w:val="auto"/>
                <w:w w:val="98"/>
              </w:rPr>
              <w:t>Grant Date</w:t>
            </w:r>
          </w:p>
        </w:tc>
        <w:tc>
          <w:tcPr>
            <w:tcW w:w="0" w:type="dxa"/>
            <w:vAlign w:val="bottom"/>
          </w:tcPr>
          <w:p>
            <w:pPr>
              <w:spacing w:after="0"/>
              <w:rPr>
                <w:sz w:val="1"/>
                <w:szCs w:val="1"/>
                <w:color w:val="auto"/>
              </w:rPr>
            </w:pPr>
          </w:p>
        </w:tc>
      </w:tr>
      <w:tr>
        <w:trPr>
          <w:trHeight w:val="162"/>
        </w:trPr>
        <w:tc>
          <w:tcPr>
            <w:tcW w:w="7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01"/>
              <w:spacing w:after="0"/>
              <w:rPr>
                <w:sz w:val="20"/>
                <w:szCs w:val="20"/>
                <w:color w:val="auto"/>
              </w:rPr>
            </w:pPr>
            <w:r>
              <w:rPr>
                <w:rFonts w:ascii="Verdana" w:cs="Verdana" w:eastAsia="Verdana" w:hAnsi="Verdana"/>
                <w:sz w:val="13"/>
                <w:szCs w:val="13"/>
                <w:b w:val="1"/>
                <w:bCs w:val="1"/>
                <w:color w:val="auto"/>
                <w:w w:val="95"/>
              </w:rPr>
              <w:t>Fair Value</w:t>
            </w:r>
          </w:p>
        </w:tc>
        <w:tc>
          <w:tcPr>
            <w:tcW w:w="0" w:type="dxa"/>
            <w:vAlign w:val="bottom"/>
          </w:tcPr>
          <w:p>
            <w:pPr>
              <w:spacing w:after="0"/>
              <w:rPr>
                <w:sz w:val="1"/>
                <w:szCs w:val="1"/>
                <w:color w:val="auto"/>
              </w:rPr>
            </w:pPr>
          </w:p>
        </w:tc>
      </w:tr>
      <w:tr>
        <w:trPr>
          <w:trHeight w:val="263"/>
        </w:trPr>
        <w:tc>
          <w:tcPr>
            <w:tcW w:w="79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2022</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1,096,931</w:t>
            </w:r>
          </w:p>
        </w:tc>
        <w:tc>
          <w:tcPr>
            <w:tcW w:w="38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23.61</w:t>
            </w:r>
          </w:p>
        </w:tc>
        <w:tc>
          <w:tcPr>
            <w:tcW w:w="0" w:type="dxa"/>
            <w:vAlign w:val="bottom"/>
          </w:tcPr>
          <w:p>
            <w:pPr>
              <w:spacing w:after="0"/>
              <w:rPr>
                <w:sz w:val="1"/>
                <w:szCs w:val="1"/>
                <w:color w:val="auto"/>
              </w:rPr>
            </w:pPr>
          </w:p>
        </w:tc>
      </w:tr>
      <w:tr>
        <w:trPr>
          <w:trHeight w:val="263"/>
        </w:trPr>
        <w:tc>
          <w:tcPr>
            <w:tcW w:w="79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80" w:type="dxa"/>
            <w:vAlign w:val="bottom"/>
          </w:tcPr>
          <w:p>
            <w:pPr>
              <w:jc w:val="right"/>
              <w:spacing w:after="0"/>
              <w:rPr>
                <w:sz w:val="20"/>
                <w:szCs w:val="20"/>
                <w:color w:val="auto"/>
              </w:rPr>
            </w:pPr>
            <w:r>
              <w:rPr>
                <w:rFonts w:ascii="Verdana" w:cs="Verdana" w:eastAsia="Verdana" w:hAnsi="Verdana"/>
                <w:sz w:val="18"/>
                <w:szCs w:val="18"/>
                <w:color w:val="auto"/>
              </w:rPr>
              <w:t>224,316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Verdana" w:cs="Verdana" w:eastAsia="Verdana" w:hAnsi="Verdana"/>
                <w:sz w:val="18"/>
                <w:szCs w:val="18"/>
                <w:color w:val="auto"/>
              </w:rPr>
              <w:t>20.44</w:t>
            </w:r>
          </w:p>
        </w:tc>
        <w:tc>
          <w:tcPr>
            <w:tcW w:w="0" w:type="dxa"/>
            <w:vAlign w:val="bottom"/>
          </w:tcPr>
          <w:p>
            <w:pPr>
              <w:spacing w:after="0"/>
              <w:rPr>
                <w:sz w:val="1"/>
                <w:szCs w:val="1"/>
                <w:color w:val="auto"/>
              </w:rPr>
            </w:pPr>
          </w:p>
        </w:tc>
      </w:tr>
      <w:tr>
        <w:trPr>
          <w:trHeight w:val="277"/>
        </w:trPr>
        <w:tc>
          <w:tcPr>
            <w:tcW w:w="79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58,930</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20.16</w:t>
            </w:r>
          </w:p>
        </w:tc>
        <w:tc>
          <w:tcPr>
            <w:tcW w:w="0" w:type="dxa"/>
            <w:vAlign w:val="bottom"/>
          </w:tcPr>
          <w:p>
            <w:pPr>
              <w:spacing w:after="0"/>
              <w:rPr>
                <w:sz w:val="1"/>
                <w:szCs w:val="1"/>
                <w:color w:val="auto"/>
              </w:rPr>
            </w:pPr>
          </w:p>
        </w:tc>
      </w:tr>
      <w:tr>
        <w:trPr>
          <w:trHeight w:val="263"/>
        </w:trPr>
        <w:tc>
          <w:tcPr>
            <w:tcW w:w="7940" w:type="dxa"/>
            <w:vAlign w:val="bottom"/>
            <w:gridSpan w:val="2"/>
          </w:tcPr>
          <w:p>
            <w:pPr>
              <w:ind w:left="180"/>
              <w:spacing w:after="0"/>
              <w:rPr>
                <w:sz w:val="20"/>
                <w:szCs w:val="20"/>
                <w:color w:val="auto"/>
              </w:rPr>
            </w:pPr>
            <w:r>
              <w:rPr>
                <w:rFonts w:ascii="Verdana" w:cs="Verdana" w:eastAsia="Verdana" w:hAnsi="Verdana"/>
                <w:sz w:val="18"/>
                <w:szCs w:val="18"/>
                <w:color w:val="auto"/>
              </w:rPr>
              <w:t>Vested</w:t>
            </w:r>
          </w:p>
        </w:tc>
        <w:tc>
          <w:tcPr>
            <w:tcW w:w="1580" w:type="dxa"/>
            <w:vAlign w:val="bottom"/>
          </w:tcPr>
          <w:p>
            <w:pPr>
              <w:jc w:val="right"/>
              <w:spacing w:after="0"/>
              <w:rPr>
                <w:sz w:val="20"/>
                <w:szCs w:val="20"/>
                <w:color w:val="auto"/>
              </w:rPr>
            </w:pPr>
            <w:r>
              <w:rPr>
                <w:rFonts w:ascii="Verdana" w:cs="Verdana" w:eastAsia="Verdana" w:hAnsi="Verdana"/>
                <w:sz w:val="18"/>
                <w:szCs w:val="18"/>
                <w:color w:val="auto"/>
              </w:rPr>
              <w:t>(154,995)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Verdana" w:cs="Verdana" w:eastAsia="Verdana" w:hAnsi="Verdana"/>
                <w:sz w:val="18"/>
                <w:szCs w:val="18"/>
                <w:color w:val="auto"/>
              </w:rPr>
              <w:t>29.71</w:t>
            </w:r>
          </w:p>
        </w:tc>
        <w:tc>
          <w:tcPr>
            <w:tcW w:w="0" w:type="dxa"/>
            <w:vAlign w:val="bottom"/>
          </w:tcPr>
          <w:p>
            <w:pPr>
              <w:spacing w:after="0"/>
              <w:rPr>
                <w:sz w:val="1"/>
                <w:szCs w:val="1"/>
                <w:color w:val="auto"/>
              </w:rPr>
            </w:pPr>
          </w:p>
        </w:tc>
      </w:tr>
      <w:tr>
        <w:trPr>
          <w:trHeight w:val="270"/>
        </w:trPr>
        <w:tc>
          <w:tcPr>
            <w:tcW w:w="79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(183,738)</w:t>
            </w: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3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22.33</w:t>
            </w:r>
          </w:p>
        </w:tc>
        <w:tc>
          <w:tcPr>
            <w:tcW w:w="0" w:type="dxa"/>
            <w:vAlign w:val="bottom"/>
          </w:tcPr>
          <w:p>
            <w:pPr>
              <w:spacing w:after="0"/>
              <w:rPr>
                <w:sz w:val="1"/>
                <w:szCs w:val="1"/>
                <w:color w:val="auto"/>
              </w:rPr>
            </w:pPr>
          </w:p>
        </w:tc>
      </w:tr>
      <w:tr>
        <w:trPr>
          <w:trHeight w:val="270"/>
        </w:trPr>
        <w:tc>
          <w:tcPr>
            <w:tcW w:w="7940" w:type="dxa"/>
            <w:vAlign w:val="bottom"/>
            <w:gridSpan w:val="2"/>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1,041,444</w:t>
            </w:r>
          </w:p>
        </w:tc>
        <w:tc>
          <w:tcPr>
            <w:tcW w:w="380" w:type="dxa"/>
            <w:vAlign w:val="bottom"/>
            <w:gridSpan w:val="2"/>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1"/>
              <w:spacing w:after="0"/>
              <w:rPr>
                <w:sz w:val="20"/>
                <w:szCs w:val="20"/>
                <w:color w:val="auto"/>
              </w:rPr>
            </w:pPr>
            <w:r>
              <w:rPr>
                <w:rFonts w:ascii="Verdana" w:cs="Verdana" w:eastAsia="Verdana" w:hAnsi="Verdana"/>
                <w:sz w:val="18"/>
                <w:szCs w:val="18"/>
                <w:color w:val="auto"/>
              </w:rPr>
              <w:t>22.05</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PSU Awards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grants PSU awards to members of management periodically throughout the year. PSU awards are stock-based awards for which vesting is conditional upon meeting established performance criteria. Each PSU is equivalent to one share of Busey’s common stock. The number of PSUs that ultimately vest will be determined based on the extent to which market or other performance goals are achieved. Busey’s PSUs are subject to accelerated service-based vesting conditions upon eligible retirement from Busey. After performance determination, dividend equivalents are compounded based upon the updated PSU balances at each dividend date during the performance period.</w:t>
      </w:r>
    </w:p>
    <w:p>
      <w:pPr>
        <w:spacing w:after="0" w:line="15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On March 22, 2023, under the terms of the 2020 Equity Plan, Busey granted a target of 104,643 PSUs with a maximum award of 167,429 units. The actual number of units issued at the vesting date could range from 0% to 160% of the initial grant, depending on attaining a market-based total stockholder return performance goal. The grant date fair value of the award was $2.0 million, which will be recognized in compensation expense over the performance period ending December 31, 2025.</w:t>
      </w:r>
    </w:p>
    <w:p>
      <w:pPr>
        <w:spacing w:after="0" w:line="15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On March 22, 2023, under the terms of the 2020 Equity Plan, Busey granted a target of 104,643 PSUs with a maximum award of 167,429 units. The actual number of units issued at the vesting date could range from 0% to 160% of the initial grant, depending on attaining an adjusted return on average tangible common equity performance goal. The grant date fair value of the award was $2.1 million, which will be recognized in compensation expense over the performance period ending December 31, 2025. The actual amount of compensation expense recognized is subject to adjustment based on the extent to which performance goals are expected to be achieved.</w:t>
      </w:r>
    </w:p>
    <w:p>
      <w:pPr>
        <w:spacing w:after="0" w:line="172"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On March 22, 2023, under the terms of the 2020 Equity Plan, Busey granted a target of 15,045 PSUs with a maximum award of 30,090 units. The actual number of units issued at the vesting date could range from 0% to 200% of the initial grant, depending on attaining a performance goal based upon the compounded annual revenue growth rate of the FirsTech operating segment. The grant date fair value of the award was $0.3 million, which will be recognized in compensation expense over the performance period ending December 31, 2025. The actual amount of compensation expense recognized is subject to adjustment based on the extent to which performance goals are expected to be achieved.</w:t>
      </w:r>
    </w:p>
    <w:p>
      <w:pPr>
        <w:spacing w:after="0" w:line="21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0" w:name="page151"/>
    <w:bookmarkEnd w:id="15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PSU awards for the year ended December 31, 2023,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199"/>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7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ind w:right="199"/>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784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PSU Awards</w:t>
            </w:r>
          </w:p>
        </w:tc>
        <w:tc>
          <w:tcPr>
            <w:tcW w:w="100" w:type="dxa"/>
            <w:vAlign w:val="bottom"/>
            <w:vMerge w:val="restart"/>
          </w:tcPr>
          <w:p>
            <w:pPr>
              <w:spacing w:after="0"/>
              <w:rPr>
                <w:sz w:val="10"/>
                <w:szCs w:val="10"/>
                <w:color w:val="auto"/>
              </w:rPr>
            </w:pPr>
          </w:p>
        </w:tc>
        <w:tc>
          <w:tcPr>
            <w:tcW w:w="1580" w:type="dxa"/>
            <w:vAlign w:val="bottom"/>
            <w:vMerge w:val="restart"/>
          </w:tcPr>
          <w:p>
            <w:pPr>
              <w:jc w:val="right"/>
              <w:ind w:right="433"/>
              <w:spacing w:after="0"/>
              <w:rPr>
                <w:sz w:val="20"/>
                <w:szCs w:val="20"/>
                <w:color w:val="auto"/>
              </w:rPr>
            </w:pPr>
            <w:r>
              <w:rPr>
                <w:rFonts w:ascii="Verdana" w:cs="Verdana" w:eastAsia="Verdana" w:hAnsi="Verdana"/>
                <w:sz w:val="13"/>
                <w:szCs w:val="13"/>
                <w:b w:val="1"/>
                <w:bCs w:val="1"/>
                <w:color w:val="auto"/>
              </w:rPr>
              <w:t>Shares</w:t>
            </w:r>
            <w:r>
              <w:rPr>
                <w:rFonts w:ascii="Verdana" w:cs="Verdana" w:eastAsia="Verdana" w:hAnsi="Verdana"/>
                <w:sz w:val="16"/>
                <w:szCs w:val="16"/>
                <w:b w:val="1"/>
                <w:bCs w:val="1"/>
                <w:color w:val="auto"/>
                <w:vertAlign w:val="superscript"/>
              </w:rPr>
              <w:t>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ind w:right="199"/>
              <w:spacing w:after="0" w:line="122" w:lineRule="exact"/>
              <w:rPr>
                <w:sz w:val="20"/>
                <w:szCs w:val="20"/>
                <w:color w:val="auto"/>
              </w:rPr>
            </w:pPr>
            <w:r>
              <w:rPr>
                <w:rFonts w:ascii="Verdana" w:cs="Verdana" w:eastAsia="Verdana" w:hAnsi="Verdana"/>
                <w:sz w:val="13"/>
                <w:szCs w:val="13"/>
                <w:b w:val="1"/>
                <w:bCs w:val="1"/>
                <w:color w:val="auto"/>
                <w:w w:val="98"/>
              </w:rPr>
              <w:t>Grant Date</w:t>
            </w:r>
          </w:p>
        </w:tc>
        <w:tc>
          <w:tcPr>
            <w:tcW w:w="0" w:type="dxa"/>
            <w:vAlign w:val="bottom"/>
          </w:tcPr>
          <w:p>
            <w:pPr>
              <w:spacing w:after="0"/>
              <w:rPr>
                <w:sz w:val="1"/>
                <w:szCs w:val="1"/>
                <w:color w:val="auto"/>
              </w:rPr>
            </w:pPr>
          </w:p>
        </w:tc>
      </w:tr>
      <w:tr>
        <w:trPr>
          <w:trHeight w:val="162"/>
        </w:trPr>
        <w:tc>
          <w:tcPr>
            <w:tcW w:w="7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99"/>
              <w:spacing w:after="0"/>
              <w:rPr>
                <w:sz w:val="20"/>
                <w:szCs w:val="20"/>
                <w:color w:val="auto"/>
              </w:rPr>
            </w:pPr>
            <w:r>
              <w:rPr>
                <w:rFonts w:ascii="Verdana" w:cs="Verdana" w:eastAsia="Verdana" w:hAnsi="Verdana"/>
                <w:sz w:val="13"/>
                <w:szCs w:val="13"/>
                <w:b w:val="1"/>
                <w:bCs w:val="1"/>
                <w:color w:val="auto"/>
                <w:w w:val="95"/>
              </w:rPr>
              <w:t>Fair Value</w:t>
            </w:r>
          </w:p>
        </w:tc>
        <w:tc>
          <w:tcPr>
            <w:tcW w:w="0" w:type="dxa"/>
            <w:vAlign w:val="bottom"/>
          </w:tcPr>
          <w:p>
            <w:pPr>
              <w:spacing w:after="0"/>
              <w:rPr>
                <w:sz w:val="1"/>
                <w:szCs w:val="1"/>
                <w:color w:val="auto"/>
              </w:rPr>
            </w:pPr>
          </w:p>
        </w:tc>
      </w:tr>
      <w:tr>
        <w:trPr>
          <w:trHeight w:val="263"/>
        </w:trPr>
        <w:tc>
          <w:tcPr>
            <w:tcW w:w="79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2022</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285,351</w:t>
            </w:r>
          </w:p>
        </w:tc>
        <w:tc>
          <w:tcPr>
            <w:tcW w:w="38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25.40</w:t>
            </w:r>
          </w:p>
        </w:tc>
        <w:tc>
          <w:tcPr>
            <w:tcW w:w="0" w:type="dxa"/>
            <w:vAlign w:val="bottom"/>
          </w:tcPr>
          <w:p>
            <w:pPr>
              <w:spacing w:after="0"/>
              <w:rPr>
                <w:sz w:val="1"/>
                <w:szCs w:val="1"/>
                <w:color w:val="auto"/>
              </w:rPr>
            </w:pPr>
          </w:p>
        </w:tc>
      </w:tr>
      <w:tr>
        <w:trPr>
          <w:trHeight w:val="263"/>
        </w:trPr>
        <w:tc>
          <w:tcPr>
            <w:tcW w:w="79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80" w:type="dxa"/>
            <w:vAlign w:val="bottom"/>
          </w:tcPr>
          <w:p>
            <w:pPr>
              <w:jc w:val="right"/>
              <w:spacing w:after="0"/>
              <w:rPr>
                <w:sz w:val="20"/>
                <w:szCs w:val="20"/>
                <w:color w:val="auto"/>
              </w:rPr>
            </w:pPr>
            <w:r>
              <w:rPr>
                <w:rFonts w:ascii="Verdana" w:cs="Verdana" w:eastAsia="Verdana" w:hAnsi="Verdana"/>
                <w:sz w:val="18"/>
                <w:szCs w:val="18"/>
                <w:color w:val="auto"/>
              </w:rPr>
              <w:t>224,331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Verdana" w:cs="Verdana" w:eastAsia="Verdana" w:hAnsi="Verdana"/>
                <w:sz w:val="18"/>
                <w:szCs w:val="18"/>
                <w:color w:val="auto"/>
              </w:rPr>
              <w:t>20.04</w:t>
            </w:r>
          </w:p>
        </w:tc>
        <w:tc>
          <w:tcPr>
            <w:tcW w:w="0" w:type="dxa"/>
            <w:vAlign w:val="bottom"/>
          </w:tcPr>
          <w:p>
            <w:pPr>
              <w:spacing w:after="0"/>
              <w:rPr>
                <w:sz w:val="1"/>
                <w:szCs w:val="1"/>
                <w:color w:val="auto"/>
              </w:rPr>
            </w:pPr>
          </w:p>
        </w:tc>
      </w:tr>
      <w:tr>
        <w:trPr>
          <w:trHeight w:val="277"/>
        </w:trPr>
        <w:tc>
          <w:tcPr>
            <w:tcW w:w="79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1,728</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23.28</w:t>
            </w:r>
          </w:p>
        </w:tc>
        <w:tc>
          <w:tcPr>
            <w:tcW w:w="0" w:type="dxa"/>
            <w:vAlign w:val="bottom"/>
          </w:tcPr>
          <w:p>
            <w:pPr>
              <w:spacing w:after="0"/>
              <w:rPr>
                <w:sz w:val="1"/>
                <w:szCs w:val="1"/>
                <w:color w:val="auto"/>
              </w:rPr>
            </w:pPr>
          </w:p>
        </w:tc>
      </w:tr>
      <w:tr>
        <w:trPr>
          <w:trHeight w:val="263"/>
        </w:trPr>
        <w:tc>
          <w:tcPr>
            <w:tcW w:w="7940" w:type="dxa"/>
            <w:vAlign w:val="bottom"/>
            <w:gridSpan w:val="2"/>
          </w:tcPr>
          <w:p>
            <w:pPr>
              <w:ind w:left="180"/>
              <w:spacing w:after="0"/>
              <w:rPr>
                <w:sz w:val="20"/>
                <w:szCs w:val="20"/>
                <w:color w:val="auto"/>
              </w:rPr>
            </w:pPr>
            <w:r>
              <w:rPr>
                <w:rFonts w:ascii="Verdana" w:cs="Verdana" w:eastAsia="Verdana" w:hAnsi="Verdana"/>
                <w:sz w:val="18"/>
                <w:szCs w:val="18"/>
                <w:color w:val="auto"/>
              </w:rPr>
              <w:t>Vested</w:t>
            </w:r>
          </w:p>
        </w:tc>
        <w:tc>
          <w:tcPr>
            <w:tcW w:w="1580" w:type="dxa"/>
            <w:vAlign w:val="bottom"/>
          </w:tcPr>
          <w:p>
            <w:pPr>
              <w:jc w:val="right"/>
              <w:spacing w:after="0"/>
              <w:rPr>
                <w:sz w:val="20"/>
                <w:szCs w:val="20"/>
                <w:color w:val="auto"/>
              </w:rPr>
            </w:pPr>
            <w:r>
              <w:rPr>
                <w:rFonts w:ascii="Verdana" w:cs="Verdana" w:eastAsia="Verdana" w:hAnsi="Verdana"/>
                <w:sz w:val="18"/>
                <w:szCs w:val="18"/>
                <w:color w:val="auto"/>
              </w:rPr>
              <w:t>(83,399)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Verdana" w:cs="Verdana" w:eastAsia="Verdana" w:hAnsi="Verdana"/>
                <w:sz w:val="18"/>
                <w:szCs w:val="18"/>
                <w:color w:val="auto"/>
              </w:rPr>
              <w:t>23.86</w:t>
            </w:r>
          </w:p>
        </w:tc>
        <w:tc>
          <w:tcPr>
            <w:tcW w:w="0" w:type="dxa"/>
            <w:vAlign w:val="bottom"/>
          </w:tcPr>
          <w:p>
            <w:pPr>
              <w:spacing w:after="0"/>
              <w:rPr>
                <w:sz w:val="1"/>
                <w:szCs w:val="1"/>
                <w:color w:val="auto"/>
              </w:rPr>
            </w:pPr>
          </w:p>
        </w:tc>
      </w:tr>
      <w:tr>
        <w:trPr>
          <w:trHeight w:val="277"/>
        </w:trPr>
        <w:tc>
          <w:tcPr>
            <w:tcW w:w="79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(88,923)</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23.80</w:t>
            </w:r>
          </w:p>
        </w:tc>
        <w:tc>
          <w:tcPr>
            <w:tcW w:w="0" w:type="dxa"/>
            <w:vAlign w:val="bottom"/>
          </w:tcPr>
          <w:p>
            <w:pPr>
              <w:spacing w:after="0"/>
              <w:rPr>
                <w:sz w:val="1"/>
                <w:szCs w:val="1"/>
                <w:color w:val="auto"/>
              </w:rPr>
            </w:pPr>
          </w:p>
        </w:tc>
      </w:tr>
      <w:tr>
        <w:trPr>
          <w:trHeight w:val="270"/>
        </w:trPr>
        <w:tc>
          <w:tcPr>
            <w:tcW w:w="7940" w:type="dxa"/>
            <w:vAlign w:val="bottom"/>
            <w:tcBorders>
              <w:bottom w:val="single" w:sz="8" w:color="E0E7ED"/>
            </w:tcBorders>
            <w:gridSpan w:val="2"/>
          </w:tcPr>
          <w:p>
            <w:pPr>
              <w:ind w:left="180"/>
              <w:spacing w:after="0" w:line="270" w:lineRule="exact"/>
              <w:rPr>
                <w:sz w:val="20"/>
                <w:szCs w:val="20"/>
                <w:color w:val="auto"/>
              </w:rPr>
            </w:pPr>
            <w:r>
              <w:rPr>
                <w:rFonts w:ascii="Verdana" w:cs="Verdana" w:eastAsia="Verdana" w:hAnsi="Verdana"/>
                <w:sz w:val="18"/>
                <w:szCs w:val="18"/>
                <w:color w:val="auto"/>
              </w:rPr>
              <w:t>Adjustment for performance conditions</w:t>
            </w:r>
            <w:r>
              <w:rPr>
                <w:rFonts w:ascii="Verdana" w:cs="Verdana" w:eastAsia="Verdana" w:hAnsi="Verdana"/>
                <w:sz w:val="23"/>
                <w:szCs w:val="23"/>
                <w:color w:val="auto"/>
                <w:vertAlign w:val="superscript"/>
              </w:rPr>
              <w:t>2</w:t>
            </w:r>
          </w:p>
        </w:tc>
        <w:tc>
          <w:tcPr>
            <w:tcW w:w="15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2,612</w:t>
            </w:r>
          </w:p>
        </w:tc>
        <w:tc>
          <w:tcPr>
            <w:tcW w:w="100" w:type="dxa"/>
            <w:vAlign w:val="bottom"/>
            <w:tcBorders>
              <w:bottom w:val="single" w:sz="8" w:color="E0E7ED"/>
            </w:tcBorders>
          </w:tcPr>
          <w:p>
            <w:pPr>
              <w:spacing w:after="0"/>
              <w:rPr>
                <w:sz w:val="23"/>
                <w:szCs w:val="23"/>
                <w:color w:val="auto"/>
              </w:rPr>
            </w:pPr>
          </w:p>
        </w:tc>
        <w:tc>
          <w:tcPr>
            <w:tcW w:w="280" w:type="dxa"/>
            <w:vAlign w:val="bottom"/>
            <w:tcBorders>
              <w:bottom w:val="single" w:sz="8" w:color="E0E7ED"/>
            </w:tcBorders>
          </w:tcPr>
          <w:p>
            <w:pPr>
              <w:spacing w:after="0"/>
              <w:rPr>
                <w:sz w:val="23"/>
                <w:szCs w:val="23"/>
                <w:color w:val="auto"/>
              </w:rPr>
            </w:pPr>
          </w:p>
        </w:tc>
        <w:tc>
          <w:tcPr>
            <w:tcW w:w="1340" w:type="dxa"/>
            <w:vAlign w:val="bottom"/>
            <w:tcBorders>
              <w:bottom w:val="single" w:sz="8" w:color="E0E7ED"/>
            </w:tcBorders>
          </w:tcPr>
          <w:p>
            <w:pPr>
              <w:jc w:val="right"/>
              <w:ind w:right="19"/>
              <w:spacing w:after="0"/>
              <w:rPr>
                <w:sz w:val="20"/>
                <w:szCs w:val="20"/>
                <w:color w:val="auto"/>
              </w:rPr>
            </w:pPr>
            <w:r>
              <w:rPr>
                <w:rFonts w:ascii="Verdana" w:cs="Verdana" w:eastAsia="Verdana" w:hAnsi="Verdana"/>
                <w:sz w:val="18"/>
                <w:szCs w:val="18"/>
                <w:color w:val="auto"/>
              </w:rPr>
              <w:t>25.52</w:t>
            </w:r>
          </w:p>
        </w:tc>
        <w:tc>
          <w:tcPr>
            <w:tcW w:w="0" w:type="dxa"/>
            <w:vAlign w:val="bottom"/>
          </w:tcPr>
          <w:p>
            <w:pPr>
              <w:spacing w:after="0"/>
              <w:rPr>
                <w:sz w:val="1"/>
                <w:szCs w:val="1"/>
                <w:color w:val="auto"/>
              </w:rPr>
            </w:pPr>
          </w:p>
        </w:tc>
      </w:tr>
      <w:tr>
        <w:trPr>
          <w:trHeight w:val="289"/>
        </w:trPr>
        <w:tc>
          <w:tcPr>
            <w:tcW w:w="794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341,700</w:t>
            </w:r>
          </w:p>
        </w:tc>
        <w:tc>
          <w:tcPr>
            <w:tcW w:w="380" w:type="dxa"/>
            <w:vAlign w:val="bottom"/>
            <w:tcBorders>
              <w:bottom w:val="single" w:sz="8" w:color="E0E7ED"/>
            </w:tcBorders>
            <w:gridSpan w:val="2"/>
            <w:shd w:val="clear" w:color="auto" w:fill="E0E7ED"/>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E0E7ED"/>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22.67</w:t>
            </w:r>
          </w:p>
        </w:tc>
        <w:tc>
          <w:tcPr>
            <w:tcW w:w="0" w:type="dxa"/>
            <w:vAlign w:val="bottom"/>
          </w:tcPr>
          <w:p>
            <w:pPr>
              <w:spacing w:after="0"/>
              <w:rPr>
                <w:sz w:val="1"/>
                <w:szCs w:val="1"/>
                <w:color w:val="auto"/>
              </w:rPr>
            </w:pPr>
          </w:p>
        </w:tc>
      </w:tr>
      <w:tr>
        <w:trPr>
          <w:trHeight w:val="20"/>
        </w:trPr>
        <w:tc>
          <w:tcPr>
            <w:tcW w:w="78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tcBorders>
          </w:tcPr>
          <w:p>
            <w:pPr>
              <w:spacing w:after="0" w:line="20" w:lineRule="exact"/>
              <w:rPr>
                <w:sz w:val="1"/>
                <w:szCs w:val="1"/>
                <w:color w:val="auto"/>
              </w:rPr>
            </w:pPr>
          </w:p>
        </w:tc>
        <w:tc>
          <w:tcPr>
            <w:tcW w:w="13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Vested and outstanding at December 31, 2023³</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65,996</w:t>
            </w:r>
          </w:p>
        </w:tc>
        <w:tc>
          <w:tcPr>
            <w:tcW w:w="38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23.48</w:t>
            </w:r>
          </w:p>
        </w:tc>
        <w:tc>
          <w:tcPr>
            <w:tcW w:w="0" w:type="dxa"/>
            <w:vAlign w:val="bottom"/>
          </w:tcPr>
          <w:p>
            <w:pPr>
              <w:spacing w:after="0"/>
              <w:rPr>
                <w:sz w:val="1"/>
                <w:szCs w:val="1"/>
                <w:color w:val="auto"/>
              </w:rPr>
            </w:pPr>
          </w:p>
        </w:tc>
      </w:tr>
      <w:tr>
        <w:trPr>
          <w:trHeight w:val="238"/>
        </w:trPr>
        <w:tc>
          <w:tcPr>
            <w:tcW w:w="784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80" w:hanging="310"/>
        <w:spacing w:after="0" w:line="225" w:lineRule="auto"/>
        <w:tabs>
          <w:tab w:leader="none" w:pos="480" w:val="left"/>
        </w:tabs>
        <w:numPr>
          <w:ilvl w:val="0"/>
          <w:numId w:val="61"/>
        </w:numPr>
        <w:rPr>
          <w:rFonts w:ascii="Verdana" w:cs="Verdana" w:eastAsia="Verdana" w:hAnsi="Verdana"/>
          <w:sz w:val="13"/>
          <w:szCs w:val="13"/>
          <w:color w:val="auto"/>
        </w:rPr>
      </w:pPr>
      <w:r>
        <w:rPr>
          <w:rFonts w:ascii="Verdana" w:cs="Verdana" w:eastAsia="Verdana" w:hAnsi="Verdana"/>
          <w:sz w:val="13"/>
          <w:szCs w:val="13"/>
          <w:color w:val="auto"/>
        </w:rPr>
        <w:t>Shares for PSU awards represent target shares at grant date.</w:t>
      </w:r>
    </w:p>
    <w:p>
      <w:pPr>
        <w:ind w:left="500" w:hanging="330"/>
        <w:spacing w:after="0" w:line="225" w:lineRule="auto"/>
        <w:tabs>
          <w:tab w:leader="none" w:pos="491" w:val="left"/>
        </w:tabs>
        <w:numPr>
          <w:ilvl w:val="0"/>
          <w:numId w:val="61"/>
        </w:numPr>
        <w:rPr>
          <w:rFonts w:ascii="Verdana" w:cs="Verdana" w:eastAsia="Verdana" w:hAnsi="Verdana"/>
          <w:sz w:val="13"/>
          <w:szCs w:val="13"/>
          <w:color w:val="auto"/>
        </w:rPr>
      </w:pPr>
      <w:r>
        <w:rPr>
          <w:rFonts w:ascii="Verdana" w:cs="Verdana" w:eastAsia="Verdana" w:hAnsi="Verdana"/>
          <w:sz w:val="13"/>
          <w:szCs w:val="13"/>
          <w:color w:val="auto"/>
        </w:rPr>
        <w:t>Adjustments for performance conditions represent the difference between the number of target shares at grant date and the number of actual shares earned for the performance period completed.</w:t>
      </w:r>
    </w:p>
    <w:p>
      <w:pPr>
        <w:ind w:left="500" w:hanging="330"/>
        <w:spacing w:after="0" w:line="256" w:lineRule="auto"/>
        <w:tabs>
          <w:tab w:leader="none" w:pos="491" w:val="left"/>
        </w:tabs>
        <w:numPr>
          <w:ilvl w:val="0"/>
          <w:numId w:val="61"/>
        </w:numPr>
        <w:rPr>
          <w:rFonts w:ascii="Verdana" w:cs="Verdana" w:eastAsia="Verdana" w:hAnsi="Verdana"/>
          <w:sz w:val="13"/>
          <w:szCs w:val="13"/>
          <w:color w:val="auto"/>
        </w:rPr>
      </w:pPr>
      <w:r>
        <w:rPr>
          <w:rFonts w:ascii="Verdana" w:cs="Verdana" w:eastAsia="Verdana" w:hAnsi="Verdana"/>
          <w:sz w:val="13"/>
          <w:szCs w:val="13"/>
          <w:color w:val="auto"/>
        </w:rPr>
        <w:t>PSUs granted in 2021 vested on December 31, 2023. Shares are reported at target amounts. Performance determination and settlement activity will take place in the first quarter of 2024.</w:t>
      </w:r>
    </w:p>
    <w:p>
      <w:pPr>
        <w:spacing w:after="0" w:line="14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DSU Awards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grants DSU awards to its directors and advisory directors. DSU awards are stock-based awards with a deferred settlement date. Each DSU is equivalent to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After vesting and prior to delivery, DSUs will continue to earn dividend equivalents.</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On March 22, 2023, under the terms of the 2020 Equity Plan, Busey granted 41,548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DSU awards for the year ended December 31, 2023,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200"/>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6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602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DSU Awards</w:t>
            </w: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vMerge w:val="restart"/>
          </w:tcPr>
          <w:p>
            <w:pPr>
              <w:jc w:val="right"/>
              <w:ind w:right="464"/>
              <w:spacing w:after="0"/>
              <w:rPr>
                <w:sz w:val="20"/>
                <w:szCs w:val="20"/>
                <w:color w:val="auto"/>
              </w:rPr>
            </w:pPr>
            <w:r>
              <w:rPr>
                <w:rFonts w:ascii="Verdana" w:cs="Verdana" w:eastAsia="Verdana" w:hAnsi="Verdana"/>
                <w:sz w:val="13"/>
                <w:szCs w:val="13"/>
                <w:b w:val="1"/>
                <w:bCs w:val="1"/>
                <w:color w:val="auto"/>
              </w:rPr>
              <w:t>Shares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8"/>
              </w:rPr>
              <w:t>Grant Date</w:t>
            </w:r>
          </w:p>
        </w:tc>
        <w:tc>
          <w:tcPr>
            <w:tcW w:w="0" w:type="dxa"/>
            <w:vAlign w:val="bottom"/>
          </w:tcPr>
          <w:p>
            <w:pPr>
              <w:spacing w:after="0"/>
              <w:rPr>
                <w:sz w:val="1"/>
                <w:szCs w:val="1"/>
                <w:color w:val="auto"/>
              </w:rPr>
            </w:pPr>
          </w:p>
        </w:tc>
      </w:tr>
      <w:tr>
        <w:trPr>
          <w:trHeight w:val="162"/>
        </w:trPr>
        <w:tc>
          <w:tcPr>
            <w:tcW w:w="602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00"/>
              <w:spacing w:after="0"/>
              <w:rPr>
                <w:sz w:val="20"/>
                <w:szCs w:val="20"/>
                <w:color w:val="auto"/>
              </w:rPr>
            </w:pPr>
            <w:r>
              <w:rPr>
                <w:rFonts w:ascii="Verdana" w:cs="Verdana" w:eastAsia="Verdana" w:hAnsi="Verdana"/>
                <w:sz w:val="13"/>
                <w:szCs w:val="13"/>
                <w:b w:val="1"/>
                <w:bCs w:val="1"/>
                <w:color w:val="auto"/>
                <w:w w:val="95"/>
              </w:rPr>
              <w:t>Fair Value</w:t>
            </w:r>
          </w:p>
        </w:tc>
        <w:tc>
          <w:tcPr>
            <w:tcW w:w="0" w:type="dxa"/>
            <w:vAlign w:val="bottom"/>
          </w:tcPr>
          <w:p>
            <w:pPr>
              <w:spacing w:after="0"/>
              <w:rPr>
                <w:sz w:val="1"/>
                <w:szCs w:val="1"/>
                <w:color w:val="auto"/>
              </w:rPr>
            </w:pPr>
          </w:p>
        </w:tc>
      </w:tr>
      <w:tr>
        <w:trPr>
          <w:trHeight w:val="264"/>
        </w:trPr>
        <w:tc>
          <w:tcPr>
            <w:tcW w:w="60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2022</w:t>
            </w:r>
          </w:p>
        </w:tc>
        <w:tc>
          <w:tcPr>
            <w:tcW w:w="3500" w:type="dxa"/>
            <w:vAlign w:val="bottom"/>
            <w:gridSpan w:val="3"/>
            <w:shd w:val="clear" w:color="auto" w:fill="E0E7ED"/>
          </w:tcPr>
          <w:p>
            <w:pPr>
              <w:jc w:val="right"/>
              <w:ind w:right="4"/>
              <w:spacing w:after="0"/>
              <w:rPr>
                <w:sz w:val="20"/>
                <w:szCs w:val="20"/>
                <w:color w:val="auto"/>
              </w:rPr>
            </w:pPr>
            <w:r>
              <w:rPr>
                <w:rFonts w:ascii="Verdana" w:cs="Verdana" w:eastAsia="Verdana" w:hAnsi="Verdana"/>
                <w:sz w:val="18"/>
                <w:szCs w:val="18"/>
                <w:color w:val="auto"/>
              </w:rPr>
              <w:t>31,085</w:t>
            </w:r>
          </w:p>
        </w:tc>
        <w:tc>
          <w:tcPr>
            <w:tcW w:w="38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25.75</w:t>
            </w:r>
          </w:p>
        </w:tc>
        <w:tc>
          <w:tcPr>
            <w:tcW w:w="0" w:type="dxa"/>
            <w:vAlign w:val="bottom"/>
          </w:tcPr>
          <w:p>
            <w:pPr>
              <w:spacing w:after="0"/>
              <w:rPr>
                <w:sz w:val="1"/>
                <w:szCs w:val="1"/>
                <w:color w:val="auto"/>
              </w:rPr>
            </w:pPr>
          </w:p>
        </w:tc>
      </w:tr>
      <w:tr>
        <w:trPr>
          <w:trHeight w:val="263"/>
        </w:trPr>
        <w:tc>
          <w:tcPr>
            <w:tcW w:w="6020" w:type="dxa"/>
            <w:vAlign w:val="bottom"/>
          </w:tcPr>
          <w:p>
            <w:pPr>
              <w:ind w:left="180"/>
              <w:spacing w:after="0"/>
              <w:rPr>
                <w:sz w:val="20"/>
                <w:szCs w:val="20"/>
                <w:color w:val="auto"/>
              </w:rPr>
            </w:pPr>
            <w:r>
              <w:rPr>
                <w:rFonts w:ascii="Verdana" w:cs="Verdana" w:eastAsia="Verdana" w:hAnsi="Verdana"/>
                <w:sz w:val="18"/>
                <w:szCs w:val="18"/>
                <w:color w:val="auto"/>
              </w:rPr>
              <w:t>Granted</w:t>
            </w:r>
          </w:p>
        </w:tc>
        <w:tc>
          <w:tcPr>
            <w:tcW w:w="3500" w:type="dxa"/>
            <w:vAlign w:val="bottom"/>
            <w:gridSpan w:val="3"/>
          </w:tcPr>
          <w:p>
            <w:pPr>
              <w:jc w:val="right"/>
              <w:ind w:right="4"/>
              <w:spacing w:after="0"/>
              <w:rPr>
                <w:sz w:val="20"/>
                <w:szCs w:val="20"/>
                <w:color w:val="auto"/>
              </w:rPr>
            </w:pPr>
            <w:r>
              <w:rPr>
                <w:rFonts w:ascii="Verdana" w:cs="Verdana" w:eastAsia="Verdana" w:hAnsi="Verdana"/>
                <w:sz w:val="18"/>
                <w:szCs w:val="18"/>
                <w:color w:val="auto"/>
              </w:rPr>
              <w:t>41,548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Verdana" w:cs="Verdana" w:eastAsia="Verdana" w:hAnsi="Verdana"/>
                <w:sz w:val="18"/>
                <w:szCs w:val="18"/>
                <w:color w:val="auto"/>
              </w:rPr>
              <w:t>20.44</w:t>
            </w:r>
          </w:p>
        </w:tc>
        <w:tc>
          <w:tcPr>
            <w:tcW w:w="0" w:type="dxa"/>
            <w:vAlign w:val="bottom"/>
          </w:tcPr>
          <w:p>
            <w:pPr>
              <w:spacing w:after="0"/>
              <w:rPr>
                <w:sz w:val="1"/>
                <w:szCs w:val="1"/>
                <w:color w:val="auto"/>
              </w:rPr>
            </w:pPr>
          </w:p>
        </w:tc>
      </w:tr>
      <w:tr>
        <w:trPr>
          <w:trHeight w:val="277"/>
        </w:trPr>
        <w:tc>
          <w:tcPr>
            <w:tcW w:w="60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p>
        </w:tc>
        <w:tc>
          <w:tcPr>
            <w:tcW w:w="3500" w:type="dxa"/>
            <w:vAlign w:val="bottom"/>
            <w:gridSpan w:val="3"/>
            <w:shd w:val="clear" w:color="auto" w:fill="E0E7ED"/>
          </w:tcPr>
          <w:p>
            <w:pPr>
              <w:jc w:val="right"/>
              <w:ind w:right="4"/>
              <w:spacing w:after="0"/>
              <w:rPr>
                <w:sz w:val="20"/>
                <w:szCs w:val="20"/>
                <w:color w:val="auto"/>
              </w:rPr>
            </w:pPr>
            <w:r>
              <w:rPr>
                <w:rFonts w:ascii="Verdana" w:cs="Verdana" w:eastAsia="Verdana" w:hAnsi="Verdana"/>
                <w:sz w:val="18"/>
                <w:szCs w:val="18"/>
                <w:color w:val="auto"/>
              </w:rPr>
              <w:t>8,334</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20.09</w:t>
            </w:r>
          </w:p>
        </w:tc>
        <w:tc>
          <w:tcPr>
            <w:tcW w:w="0" w:type="dxa"/>
            <w:vAlign w:val="bottom"/>
          </w:tcPr>
          <w:p>
            <w:pPr>
              <w:spacing w:after="0"/>
              <w:rPr>
                <w:sz w:val="1"/>
                <w:szCs w:val="1"/>
                <w:color w:val="auto"/>
              </w:rPr>
            </w:pPr>
          </w:p>
        </w:tc>
      </w:tr>
      <w:tr>
        <w:trPr>
          <w:trHeight w:val="263"/>
        </w:trPr>
        <w:tc>
          <w:tcPr>
            <w:tcW w:w="6020" w:type="dxa"/>
            <w:vAlign w:val="bottom"/>
          </w:tcPr>
          <w:p>
            <w:pPr>
              <w:ind w:left="180"/>
              <w:spacing w:after="0"/>
              <w:rPr>
                <w:sz w:val="20"/>
                <w:szCs w:val="20"/>
                <w:color w:val="auto"/>
              </w:rPr>
            </w:pPr>
            <w:r>
              <w:rPr>
                <w:rFonts w:ascii="Verdana" w:cs="Verdana" w:eastAsia="Verdana" w:hAnsi="Verdana"/>
                <w:sz w:val="18"/>
                <w:szCs w:val="18"/>
                <w:color w:val="auto"/>
              </w:rPr>
              <w:t>Vested</w:t>
            </w:r>
          </w:p>
        </w:tc>
        <w:tc>
          <w:tcPr>
            <w:tcW w:w="3500" w:type="dxa"/>
            <w:vAlign w:val="bottom"/>
            <w:gridSpan w:val="3"/>
          </w:tcPr>
          <w:p>
            <w:pPr>
              <w:jc w:val="right"/>
              <w:spacing w:after="0"/>
              <w:rPr>
                <w:sz w:val="20"/>
                <w:szCs w:val="20"/>
                <w:color w:val="auto"/>
              </w:rPr>
            </w:pPr>
            <w:r>
              <w:rPr>
                <w:rFonts w:ascii="Verdana" w:cs="Verdana" w:eastAsia="Verdana" w:hAnsi="Verdana"/>
                <w:sz w:val="18"/>
                <w:szCs w:val="18"/>
                <w:color w:val="auto"/>
              </w:rPr>
              <w:t>(37,868)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Verdana" w:cs="Verdana" w:eastAsia="Verdana" w:hAnsi="Verdana"/>
                <w:sz w:val="18"/>
                <w:szCs w:val="18"/>
                <w:color w:val="auto"/>
              </w:rPr>
              <w:t>24.76</w:t>
            </w:r>
          </w:p>
        </w:tc>
        <w:tc>
          <w:tcPr>
            <w:tcW w:w="0" w:type="dxa"/>
            <w:vAlign w:val="bottom"/>
          </w:tcPr>
          <w:p>
            <w:pPr>
              <w:spacing w:after="0"/>
              <w:rPr>
                <w:sz w:val="1"/>
                <w:szCs w:val="1"/>
                <w:color w:val="auto"/>
              </w:rPr>
            </w:pPr>
          </w:p>
        </w:tc>
      </w:tr>
      <w:tr>
        <w:trPr>
          <w:trHeight w:val="270"/>
        </w:trPr>
        <w:tc>
          <w:tcPr>
            <w:tcW w:w="60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920" w:type="dxa"/>
            <w:vAlign w:val="bottom"/>
            <w:gridSpan w:val="2"/>
            <w:shd w:val="clear" w:color="auto" w:fill="E0E7ED"/>
          </w:tcPr>
          <w:p>
            <w:pPr>
              <w:spacing w:after="0"/>
              <w:rPr>
                <w:sz w:val="23"/>
                <w:szCs w:val="23"/>
                <w:color w:val="auto"/>
              </w:rPr>
            </w:pPr>
          </w:p>
        </w:tc>
        <w:tc>
          <w:tcPr>
            <w:tcW w:w="1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w:t>
            </w: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3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20.44</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Verdana" w:cs="Verdana" w:eastAsia="Verdana" w:hAnsi="Verdana"/>
                <w:sz w:val="18"/>
                <w:szCs w:val="18"/>
                <w:color w:val="auto"/>
              </w:rPr>
              <w:t>Nonvested at December 31, 2023</w:t>
            </w:r>
          </w:p>
        </w:tc>
        <w:tc>
          <w:tcPr>
            <w:tcW w:w="3500" w:type="dxa"/>
            <w:vAlign w:val="bottom"/>
            <w:gridSpan w:val="3"/>
          </w:tcPr>
          <w:p>
            <w:pPr>
              <w:jc w:val="right"/>
              <w:ind w:right="4"/>
              <w:spacing w:after="0"/>
              <w:rPr>
                <w:sz w:val="20"/>
                <w:szCs w:val="20"/>
                <w:color w:val="auto"/>
              </w:rPr>
            </w:pPr>
            <w:r>
              <w:rPr>
                <w:rFonts w:ascii="Verdana" w:cs="Verdana" w:eastAsia="Verdana" w:hAnsi="Verdana"/>
                <w:sz w:val="18"/>
                <w:szCs w:val="18"/>
                <w:color w:val="auto"/>
              </w:rPr>
              <w:t>43,026</w:t>
            </w:r>
          </w:p>
        </w:tc>
        <w:tc>
          <w:tcPr>
            <w:tcW w:w="380" w:type="dxa"/>
            <w:vAlign w:val="bottom"/>
            <w:gridSpan w:val="2"/>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0"/>
              <w:spacing w:after="0"/>
              <w:rPr>
                <w:sz w:val="20"/>
                <w:szCs w:val="20"/>
                <w:color w:val="auto"/>
              </w:rPr>
            </w:pPr>
            <w:r>
              <w:rPr>
                <w:rFonts w:ascii="Verdana" w:cs="Verdana" w:eastAsia="Verdana" w:hAnsi="Verdana"/>
                <w:sz w:val="18"/>
                <w:szCs w:val="18"/>
                <w:color w:val="auto"/>
              </w:rPr>
              <w:t>20.41</w:t>
            </w:r>
          </w:p>
        </w:tc>
        <w:tc>
          <w:tcPr>
            <w:tcW w:w="0" w:type="dxa"/>
            <w:vAlign w:val="bottom"/>
          </w:tcPr>
          <w:p>
            <w:pPr>
              <w:spacing w:after="0"/>
              <w:rPr>
                <w:sz w:val="1"/>
                <w:szCs w:val="1"/>
                <w:color w:val="auto"/>
              </w:rPr>
            </w:pPr>
          </w:p>
        </w:tc>
      </w:tr>
      <w:tr>
        <w:trPr>
          <w:trHeight w:val="20"/>
        </w:trPr>
        <w:tc>
          <w:tcPr>
            <w:tcW w:w="6020" w:type="dxa"/>
            <w:vAlign w:val="bottom"/>
            <w:tcBorders>
              <w:bottom w:val="single" w:sz="8" w:color="E0E7ED"/>
            </w:tcBorders>
          </w:tcPr>
          <w:p>
            <w:pPr>
              <w:spacing w:after="0" w:line="20" w:lineRule="exact"/>
              <w:rPr>
                <w:sz w:val="1"/>
                <w:szCs w:val="1"/>
                <w:color w:val="auto"/>
              </w:rPr>
            </w:pPr>
          </w:p>
        </w:tc>
        <w:tc>
          <w:tcPr>
            <w:tcW w:w="182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E0E7ED"/>
            </w:tcBorders>
          </w:tcPr>
          <w:p>
            <w:pPr>
              <w:spacing w:after="0" w:line="20" w:lineRule="exact"/>
              <w:rPr>
                <w:sz w:val="1"/>
                <w:szCs w:val="1"/>
                <w:color w:val="auto"/>
              </w:rPr>
            </w:pPr>
          </w:p>
        </w:tc>
        <w:tc>
          <w:tcPr>
            <w:tcW w:w="134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shd w:val="clear" w:color="auto" w:fill="E0E7ED"/>
          </w:tcPr>
          <w:p>
            <w:pPr>
              <w:spacing w:after="0"/>
              <w:rPr>
                <w:sz w:val="20"/>
                <w:szCs w:val="20"/>
                <w:color w:val="auto"/>
              </w:rPr>
            </w:pPr>
          </w:p>
        </w:tc>
        <w:tc>
          <w:tcPr>
            <w:tcW w:w="18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5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20" w:type="dxa"/>
            <w:vAlign w:val="bottom"/>
          </w:tcPr>
          <w:p>
            <w:pPr>
              <w:ind w:left="20"/>
              <w:spacing w:after="0"/>
              <w:rPr>
                <w:sz w:val="20"/>
                <w:szCs w:val="20"/>
                <w:color w:val="auto"/>
              </w:rPr>
            </w:pPr>
            <w:r>
              <w:rPr>
                <w:rFonts w:ascii="Verdana" w:cs="Verdana" w:eastAsia="Verdana" w:hAnsi="Verdana"/>
                <w:sz w:val="18"/>
                <w:szCs w:val="18"/>
                <w:color w:val="auto"/>
              </w:rPr>
              <w:t>Vested and outstanding at December 31, 2023</w:t>
            </w:r>
          </w:p>
        </w:tc>
        <w:tc>
          <w:tcPr>
            <w:tcW w:w="3500" w:type="dxa"/>
            <w:vAlign w:val="bottom"/>
            <w:gridSpan w:val="3"/>
          </w:tcPr>
          <w:p>
            <w:pPr>
              <w:jc w:val="right"/>
              <w:ind w:right="4"/>
              <w:spacing w:after="0"/>
              <w:rPr>
                <w:sz w:val="20"/>
                <w:szCs w:val="20"/>
                <w:color w:val="auto"/>
              </w:rPr>
            </w:pPr>
            <w:r>
              <w:rPr>
                <w:rFonts w:ascii="Verdana" w:cs="Verdana" w:eastAsia="Verdana" w:hAnsi="Verdana"/>
                <w:sz w:val="18"/>
                <w:szCs w:val="18"/>
                <w:color w:val="auto"/>
              </w:rPr>
              <w:t>144,137</w:t>
            </w:r>
          </w:p>
        </w:tc>
        <w:tc>
          <w:tcPr>
            <w:tcW w:w="380" w:type="dxa"/>
            <w:vAlign w:val="bottom"/>
            <w:gridSpan w:val="2"/>
          </w:tcPr>
          <w:p>
            <w:pPr>
              <w:jc w:val="right"/>
              <w:ind w:right="14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0"/>
              <w:spacing w:after="0"/>
              <w:rPr>
                <w:sz w:val="20"/>
                <w:szCs w:val="20"/>
                <w:color w:val="auto"/>
              </w:rPr>
            </w:pPr>
            <w:r>
              <w:rPr>
                <w:rFonts w:ascii="Verdana" w:cs="Verdana" w:eastAsia="Verdana" w:hAnsi="Verdana"/>
                <w:sz w:val="18"/>
                <w:szCs w:val="18"/>
                <w:color w:val="auto"/>
              </w:rPr>
              <w:t>23.52</w:t>
            </w:r>
          </w:p>
        </w:tc>
        <w:tc>
          <w:tcPr>
            <w:tcW w:w="0" w:type="dxa"/>
            <w:vAlign w:val="bottom"/>
          </w:tcPr>
          <w:p>
            <w:pPr>
              <w:spacing w:after="0"/>
              <w:rPr>
                <w:sz w:val="1"/>
                <w:szCs w:val="1"/>
                <w:color w:val="auto"/>
              </w:rPr>
            </w:pPr>
          </w:p>
        </w:tc>
      </w:tr>
      <w:tr>
        <w:trPr>
          <w:trHeight w:val="391"/>
        </w:trPr>
        <w:tc>
          <w:tcPr>
            <w:tcW w:w="6020" w:type="dxa"/>
            <w:vAlign w:val="bottom"/>
          </w:tcPr>
          <w:p>
            <w:pPr>
              <w:spacing w:after="0"/>
              <w:rPr>
                <w:sz w:val="24"/>
                <w:szCs w:val="24"/>
                <w:color w:val="auto"/>
              </w:rPr>
            </w:pPr>
          </w:p>
        </w:tc>
        <w:tc>
          <w:tcPr>
            <w:tcW w:w="5220" w:type="dxa"/>
            <w:vAlign w:val="bottom"/>
            <w:gridSpan w:val="6"/>
          </w:tcPr>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151</w:t>
            </w:r>
          </w:p>
        </w:tc>
        <w:tc>
          <w:tcPr>
            <w:tcW w:w="0" w:type="dxa"/>
            <w:vAlign w:val="bottom"/>
          </w:tcPr>
          <w:p>
            <w:pPr>
              <w:spacing w:after="0"/>
              <w:rPr>
                <w:sz w:val="1"/>
                <w:szCs w:val="1"/>
                <w:color w:val="auto"/>
              </w:rPr>
            </w:pPr>
          </w:p>
        </w:tc>
      </w:tr>
      <w:tr>
        <w:trPr>
          <w:trHeight w:val="641"/>
        </w:trPr>
        <w:tc>
          <w:tcPr>
            <w:tcW w:w="60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1" w:name="page152"/>
    <w:bookmarkEnd w:id="15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2021 Employee Stock Purchase Plan</w:t>
      </w:r>
    </w:p>
    <w:p>
      <w:pPr>
        <w:spacing w:after="0" w:line="173" w:lineRule="exact"/>
        <w:rPr>
          <w:sz w:val="20"/>
          <w:szCs w:val="20"/>
          <w:color w:val="auto"/>
        </w:rPr>
      </w:pPr>
    </w:p>
    <w:p>
      <w:pPr>
        <w:jc w:val="both"/>
        <w:spacing w:after="0" w:line="239" w:lineRule="auto"/>
        <w:rPr>
          <w:rFonts w:ascii="Verdana" w:cs="Verdana" w:eastAsia="Verdana" w:hAnsi="Verdana"/>
          <w:sz w:val="18"/>
          <w:szCs w:val="18"/>
          <w:color w:val="auto"/>
        </w:rPr>
      </w:pPr>
      <w:r>
        <w:rPr>
          <w:rFonts w:ascii="Verdana" w:cs="Verdana" w:eastAsia="Verdana" w:hAnsi="Verdana"/>
          <w:sz w:val="18"/>
          <w:szCs w:val="18"/>
          <w:color w:val="auto"/>
        </w:rPr>
        <w:t xml:space="preserve">The 2021 ESPP was approved at Busey’s 2021 Annual Meeting of Stockholders. The purpose of the 2021 ESPP is to provide a means through which our employees may acquire a proprietary interest in Busey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 Under the terms of the 2021 ESPP, all participating employees have equal rights and privileges. Substantially all of our employees are eligible to participate in the 2021 ESPP. Further details can be found in </w:t>
      </w:r>
      <w:hyperlink r:id="rId153">
        <w:r>
          <w:rPr>
            <w:rFonts w:ascii="Verdana" w:cs="Verdana" w:eastAsia="Verdana" w:hAnsi="Verdana"/>
            <w:sz w:val="18"/>
            <w:szCs w:val="18"/>
            <w:u w:val="single" w:color="auto"/>
            <w:color w:val="0000FF"/>
          </w:rPr>
          <w:t>Appendix A</w:t>
        </w:r>
      </w:hyperlink>
      <w:r>
        <w:rPr>
          <w:rFonts w:ascii="Verdana" w:cs="Verdana" w:eastAsia="Verdana" w:hAnsi="Verdana"/>
          <w:sz w:val="18"/>
          <w:szCs w:val="18"/>
          <w:color w:val="auto"/>
        </w:rPr>
        <w:t xml:space="preserve"> within </w:t>
      </w:r>
      <w:hyperlink r:id="rId154">
        <w:r>
          <w:rPr>
            <w:rFonts w:ascii="Verdana" w:cs="Verdana" w:eastAsia="Verdana" w:hAnsi="Verdana"/>
            <w:sz w:val="18"/>
            <w:szCs w:val="18"/>
            <w:u w:val="single" w:color="auto"/>
            <w:color w:val="0000FF"/>
          </w:rPr>
          <w:t>Busey’s Definitive Proxy Statement filed with the SEC on April 8, 2021</w:t>
        </w:r>
      </w:hyperlink>
      <w:r>
        <w:rPr>
          <w:rFonts w:ascii="Verdana" w:cs="Verdana" w:eastAsia="Verdana" w:hAnsi="Verdana"/>
          <w:sz w:val="18"/>
          <w:szCs w:val="18"/>
          <w:color w:val="auto"/>
        </w:rPr>
        <w:t>.</w:t>
      </w:r>
    </w:p>
    <w:p>
      <w:pPr>
        <w:spacing w:after="0" w:line="16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2021 ESPP initially reserved for issuance and purchase an aggregate of 600,000 shares of Busey’s common stock. The first offering under the 2021 ESPP began on July 1, 2021. There were 452,379 shares available for issuance under the 2021 ESPP as of December 31, 2023.</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Stock-Based Compensation Expense</w:t>
      </w:r>
    </w:p>
    <w:p>
      <w:pPr>
        <w:spacing w:after="0" w:line="170" w:lineRule="exact"/>
        <w:rPr>
          <w:sz w:val="20"/>
          <w:szCs w:val="20"/>
          <w:color w:val="auto"/>
        </w:rPr>
      </w:pPr>
    </w:p>
    <w:p>
      <w:pPr>
        <w:spacing w:after="0"/>
        <w:rPr>
          <w:sz w:val="20"/>
          <w:szCs w:val="20"/>
          <w:color w:val="auto"/>
        </w:rPr>
      </w:pPr>
      <w:r>
        <w:rPr>
          <w:rFonts w:ascii="Verdana" w:cs="Verdana" w:eastAsia="Verdana" w:hAnsi="Verdana"/>
          <w:sz w:val="18"/>
          <w:szCs w:val="18"/>
          <w:color w:val="auto"/>
        </w:rPr>
        <w:t>Busey did not record any stock option compensation expense for the years ended December 31, 2023, 2022, or 2021.</w:t>
      </w:r>
    </w:p>
    <w:p>
      <w:pPr>
        <w:spacing w:after="0"/>
        <w:rPr>
          <w:sz w:val="20"/>
          <w:szCs w:val="20"/>
          <w:color w:val="auto"/>
        </w:rPr>
      </w:pPr>
      <w:r>
        <w:rPr>
          <w:rFonts w:ascii="Verdana" w:cs="Verdana" w:eastAsia="Verdana" w:hAnsi="Verdana"/>
          <w:sz w:val="18"/>
          <w:szCs w:val="18"/>
          <w:color w:val="auto"/>
        </w:rPr>
        <w:t>Busey did not have any unrecognized stock option compensation expense as of December 31, 2023.</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Busey recognized compensation expense related to non-vested RSU, PSU, and DSU awards, as well as the 2021 ESPP, as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Stock-based compensation expense</w:t>
            </w:r>
          </w:p>
        </w:tc>
        <w:tc>
          <w:tcPr>
            <w:tcW w:w="980" w:type="dxa"/>
            <w:vAlign w:val="bottom"/>
            <w:shd w:val="clear" w:color="auto" w:fill="E0E7ED"/>
          </w:tcPr>
          <w:p>
            <w:pPr>
              <w:spacing w:after="0"/>
              <w:rPr>
                <w:sz w:val="22"/>
                <w:szCs w:val="22"/>
                <w:color w:val="auto"/>
              </w:rPr>
            </w:pPr>
          </w:p>
        </w:tc>
        <w:tc>
          <w:tcPr>
            <w:tcW w:w="5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RSU awards</w:t>
            </w:r>
          </w:p>
        </w:tc>
        <w:tc>
          <w:tcPr>
            <w:tcW w:w="980" w:type="dxa"/>
            <w:vAlign w:val="bottom"/>
          </w:tcPr>
          <w:p>
            <w:pPr>
              <w:jc w:val="right"/>
              <w:ind w:right="779"/>
              <w:spacing w:after="0"/>
              <w:rPr>
                <w:sz w:val="20"/>
                <w:szCs w:val="20"/>
                <w:color w:val="auto"/>
              </w:rPr>
            </w:pPr>
            <w:r>
              <w:rPr>
                <w:rFonts w:ascii="Verdana" w:cs="Verdana" w:eastAsia="Verdana" w:hAnsi="Verdana"/>
                <w:sz w:val="18"/>
                <w:szCs w:val="18"/>
                <w:color w:val="auto"/>
                <w:w w:val="86"/>
              </w:rPr>
              <w:t>$</w:t>
            </w:r>
          </w:p>
        </w:tc>
        <w:tc>
          <w:tcPr>
            <w:tcW w:w="540" w:type="dxa"/>
            <w:vAlign w:val="bottom"/>
          </w:tcPr>
          <w:p>
            <w:pPr>
              <w:jc w:val="right"/>
              <w:spacing w:after="0"/>
              <w:rPr>
                <w:sz w:val="20"/>
                <w:szCs w:val="20"/>
                <w:color w:val="auto"/>
              </w:rPr>
            </w:pPr>
            <w:r>
              <w:rPr>
                <w:rFonts w:ascii="Verdana" w:cs="Verdana" w:eastAsia="Verdana" w:hAnsi="Verdana"/>
                <w:sz w:val="18"/>
                <w:szCs w:val="18"/>
                <w:color w:val="auto"/>
                <w:w w:val="95"/>
              </w:rPr>
              <w:t>2,622</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4,648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5,809</w:t>
            </w:r>
          </w:p>
        </w:tc>
      </w:tr>
      <w:tr>
        <w:trPr>
          <w:trHeight w:val="277"/>
        </w:trPr>
        <w:tc>
          <w:tcPr>
            <w:tcW w:w="6240" w:type="dxa"/>
            <w:vAlign w:val="bottom"/>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PSU awards</w:t>
            </w:r>
            <w:r>
              <w:rPr>
                <w:rFonts w:ascii="Verdana" w:cs="Verdana" w:eastAsia="Verdana" w:hAnsi="Verdana"/>
                <w:sz w:val="23"/>
                <w:szCs w:val="23"/>
                <w:color w:val="auto"/>
                <w:vertAlign w:val="superscript"/>
              </w:rPr>
              <w:t>1</w:t>
            </w:r>
          </w:p>
        </w:tc>
        <w:tc>
          <w:tcPr>
            <w:tcW w:w="980" w:type="dxa"/>
            <w:vAlign w:val="bottom"/>
            <w:shd w:val="clear" w:color="auto" w:fill="E0E7ED"/>
          </w:tcPr>
          <w:p>
            <w:pPr>
              <w:spacing w:after="0"/>
              <w:rPr>
                <w:sz w:val="24"/>
                <w:szCs w:val="24"/>
                <w:color w:val="auto"/>
              </w:rPr>
            </w:pPr>
          </w:p>
        </w:tc>
        <w:tc>
          <w:tcPr>
            <w:tcW w:w="5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5"/>
              </w:rPr>
              <w:t>2,962</w:t>
            </w:r>
          </w:p>
        </w:tc>
        <w:tc>
          <w:tcPr>
            <w:tcW w:w="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3,240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979</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DSU awards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Verdana" w:cs="Verdana" w:eastAsia="Verdana" w:hAnsi="Verdana"/>
                <w:sz w:val="18"/>
                <w:szCs w:val="18"/>
                <w:color w:val="auto"/>
              </w:rPr>
              <w:t>833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876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962</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2021 ESPP</w:t>
            </w:r>
          </w:p>
        </w:tc>
        <w:tc>
          <w:tcPr>
            <w:tcW w:w="980" w:type="dxa"/>
            <w:vAlign w:val="bottom"/>
            <w:tcBorders>
              <w:bottom w:val="single" w:sz="8" w:color="auto"/>
            </w:tcBorders>
            <w:shd w:val="clear" w:color="auto" w:fill="E0E7ED"/>
          </w:tcPr>
          <w:p>
            <w:pPr>
              <w:spacing w:after="0"/>
              <w:rPr>
                <w:sz w:val="23"/>
                <w:szCs w:val="23"/>
                <w:color w:val="auto"/>
              </w:rPr>
            </w:pPr>
          </w:p>
        </w:tc>
        <w:tc>
          <w:tcPr>
            <w:tcW w:w="5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178</w:t>
            </w:r>
          </w:p>
        </w:tc>
        <w:tc>
          <w:tcPr>
            <w:tcW w:w="80" w:type="dxa"/>
            <w:vAlign w:val="bottom"/>
            <w:tcBorders>
              <w:bottom w:val="single" w:sz="8" w:color="auto"/>
            </w:tcBorders>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204</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114</w:t>
            </w: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Total stock-based compensation expense</w:t>
            </w:r>
          </w:p>
        </w:tc>
        <w:tc>
          <w:tcPr>
            <w:tcW w:w="980" w:type="dxa"/>
            <w:vAlign w:val="bottom"/>
          </w:tcPr>
          <w:p>
            <w:pPr>
              <w:jc w:val="right"/>
              <w:ind w:right="779"/>
              <w:spacing w:after="0"/>
              <w:rPr>
                <w:sz w:val="20"/>
                <w:szCs w:val="20"/>
                <w:color w:val="auto"/>
              </w:rPr>
            </w:pPr>
            <w:r>
              <w:rPr>
                <w:rFonts w:ascii="Verdana" w:cs="Verdana" w:eastAsia="Verdana" w:hAnsi="Verdana"/>
                <w:sz w:val="18"/>
                <w:szCs w:val="18"/>
                <w:color w:val="auto"/>
                <w:w w:val="86"/>
              </w:rPr>
              <w:t>$</w:t>
            </w:r>
          </w:p>
        </w:tc>
        <w:tc>
          <w:tcPr>
            <w:tcW w:w="540" w:type="dxa"/>
            <w:vAlign w:val="bottom"/>
          </w:tcPr>
          <w:p>
            <w:pPr>
              <w:jc w:val="right"/>
              <w:spacing w:after="0"/>
              <w:rPr>
                <w:sz w:val="20"/>
                <w:szCs w:val="20"/>
                <w:color w:val="auto"/>
              </w:rPr>
            </w:pPr>
            <w:r>
              <w:rPr>
                <w:rFonts w:ascii="Verdana" w:cs="Verdana" w:eastAsia="Verdana" w:hAnsi="Verdana"/>
                <w:sz w:val="18"/>
                <w:szCs w:val="18"/>
                <w:color w:val="auto"/>
                <w:w w:val="95"/>
              </w:rPr>
              <w:t>6,595</w:t>
            </w:r>
          </w:p>
        </w:tc>
        <w:tc>
          <w:tcPr>
            <w:tcW w:w="560" w:type="dxa"/>
            <w:vAlign w:val="bottom"/>
            <w:gridSpan w:val="3"/>
          </w:tcPr>
          <w:p>
            <w:pPr>
              <w:jc w:val="right"/>
              <w:ind w:right="26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8,968</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7,864</w:t>
            </w:r>
          </w:p>
        </w:tc>
      </w:tr>
      <w:tr>
        <w:trPr>
          <w:trHeight w:val="20"/>
        </w:trPr>
        <w:tc>
          <w:tcPr>
            <w:tcW w:w="6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jc w:val="both"/>
        <w:ind w:left="500" w:hanging="330"/>
        <w:spacing w:after="0"/>
        <w:tabs>
          <w:tab w:leader="none" w:pos="491" w:val="left"/>
        </w:tabs>
        <w:numPr>
          <w:ilvl w:val="0"/>
          <w:numId w:val="62"/>
        </w:numPr>
        <w:rPr>
          <w:rFonts w:ascii="Verdana" w:cs="Verdana" w:eastAsia="Verdana" w:hAnsi="Verdana"/>
          <w:sz w:val="13"/>
          <w:szCs w:val="13"/>
          <w:color w:val="auto"/>
        </w:rPr>
      </w:pPr>
      <w:r>
        <w:rPr>
          <w:rFonts w:ascii="Verdana" w:cs="Verdana" w:eastAsia="Verdana" w:hAnsi="Verdana"/>
          <w:sz w:val="13"/>
          <w:szCs w:val="13"/>
          <w:color w:val="auto"/>
        </w:rPr>
        <w:t>Expense for PSU awards with a market-based total stockholder return performance goal represents amounts based on target shares at the grant date. Expense for PSU awards with return on average tangible common equity and compounded annual revenue growth rate performance goals represents amounts based on target shares at the grant date, adjusted for performance expectations as of the date indicated.</w:t>
      </w:r>
    </w:p>
    <w:p>
      <w:pPr>
        <w:spacing w:after="0" w:line="160"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Unamortized stock-based compensation expense is presented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5"/>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8"/>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Unamortized stock-based compensation</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RSU awards</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6,842</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5"/>
              <w:spacing w:after="0"/>
              <w:rPr>
                <w:sz w:val="20"/>
                <w:szCs w:val="20"/>
                <w:color w:val="auto"/>
              </w:rPr>
            </w:pPr>
            <w:r>
              <w:rPr>
                <w:rFonts w:ascii="Verdana" w:cs="Verdana" w:eastAsia="Verdana" w:hAnsi="Verdana"/>
                <w:sz w:val="18"/>
                <w:szCs w:val="18"/>
                <w:color w:val="auto"/>
              </w:rPr>
              <w:t>8,570</w:t>
            </w:r>
          </w:p>
        </w:tc>
      </w:tr>
      <w:tr>
        <w:trPr>
          <w:trHeight w:val="277"/>
        </w:trPr>
        <w:tc>
          <w:tcPr>
            <w:tcW w:w="7900" w:type="dxa"/>
            <w:vAlign w:val="bottom"/>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PSU awards</w:t>
            </w:r>
            <w:r>
              <w:rPr>
                <w:rFonts w:ascii="Verdana" w:cs="Verdana" w:eastAsia="Verdana" w:hAnsi="Verdana"/>
                <w:sz w:val="23"/>
                <w:szCs w:val="23"/>
                <w:color w:val="auto"/>
                <w:vertAlign w:val="superscript"/>
              </w:rPr>
              <w:t>1</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3,607</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4,279</w:t>
            </w:r>
          </w:p>
        </w:tc>
      </w:tr>
      <w:tr>
        <w:trPr>
          <w:trHeight w:val="264"/>
        </w:trPr>
        <w:tc>
          <w:tcPr>
            <w:tcW w:w="7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DSU awards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190</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175</w:t>
            </w:r>
          </w:p>
        </w:tc>
      </w:tr>
      <w:tr>
        <w:trPr>
          <w:trHeight w:val="295"/>
        </w:trPr>
        <w:tc>
          <w:tcPr>
            <w:tcW w:w="79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unamortized stock-based compensation</w:t>
            </w: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10,639</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13,024</w:t>
            </w:r>
          </w:p>
        </w:tc>
      </w:tr>
      <w:tr>
        <w:trPr>
          <w:trHeight w:val="20"/>
        </w:trPr>
        <w:tc>
          <w:tcPr>
            <w:tcW w:w="79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70"/>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period over which expense is to be recognized</w:t>
            </w:r>
          </w:p>
        </w:tc>
        <w:tc>
          <w:tcPr>
            <w:tcW w:w="380" w:type="dxa"/>
            <w:vAlign w:val="bottom"/>
            <w:shd w:val="clear" w:color="auto" w:fill="E0E7ED"/>
          </w:tcPr>
          <w:p>
            <w:pPr>
              <w:spacing w:after="0"/>
              <w:rPr>
                <w:sz w:val="23"/>
                <w:szCs w:val="23"/>
                <w:color w:val="auto"/>
              </w:rPr>
            </w:pPr>
          </w:p>
        </w:tc>
        <w:tc>
          <w:tcPr>
            <w:tcW w:w="1340" w:type="dxa"/>
            <w:vAlign w:val="bottom"/>
            <w:gridSpan w:val="2"/>
            <w:shd w:val="clear" w:color="auto" w:fill="E0E7ED"/>
          </w:tcPr>
          <w:p>
            <w:pPr>
              <w:ind w:left="380"/>
              <w:spacing w:after="0"/>
              <w:rPr>
                <w:sz w:val="20"/>
                <w:szCs w:val="20"/>
                <w:color w:val="auto"/>
              </w:rPr>
            </w:pPr>
            <w:r>
              <w:rPr>
                <w:rFonts w:ascii="Verdana" w:cs="Verdana" w:eastAsia="Verdana" w:hAnsi="Verdana"/>
                <w:sz w:val="18"/>
                <w:szCs w:val="18"/>
                <w:color w:val="auto"/>
              </w:rPr>
              <w:t>2.4 years</w:t>
            </w: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 years</w:t>
            </w:r>
          </w:p>
        </w:tc>
      </w:tr>
      <w:tr>
        <w:trPr>
          <w:trHeight w:val="238"/>
        </w:trPr>
        <w:tc>
          <w:tcPr>
            <w:tcW w:w="790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jc w:val="both"/>
        <w:ind w:left="500" w:hanging="330"/>
        <w:spacing w:after="0" w:line="233" w:lineRule="auto"/>
        <w:tabs>
          <w:tab w:leader="none" w:pos="491" w:val="left"/>
        </w:tabs>
        <w:numPr>
          <w:ilvl w:val="0"/>
          <w:numId w:val="63"/>
        </w:numPr>
        <w:rPr>
          <w:rFonts w:ascii="Verdana" w:cs="Verdana" w:eastAsia="Verdana" w:hAnsi="Verdana"/>
          <w:sz w:val="13"/>
          <w:szCs w:val="13"/>
          <w:color w:val="auto"/>
        </w:rPr>
      </w:pPr>
      <w:r>
        <w:rPr>
          <w:rFonts w:ascii="Verdana" w:cs="Verdana" w:eastAsia="Verdana" w:hAnsi="Verdana"/>
          <w:sz w:val="13"/>
          <w:szCs w:val="13"/>
          <w:color w:val="auto"/>
        </w:rPr>
        <w:t>Unamortized expense for PSU awards with a market-based total stockholder return performance goal represents amounts based on target shares at grant date. Unamortized expense for PSU awards with return on average tangible common equity and compounded annual revenue growth rate performance goals represents amounts based on target shares at grant date, adjusted for performance expectations as of the date indicated.</w:t>
      </w:r>
    </w:p>
    <w:p>
      <w:pPr>
        <w:spacing w:after="0" w:line="3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2" w:name="page153"/>
    <w:bookmarkEnd w:id="15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15. TRANSACTIONS WITH RELATED PARTIES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has had, and may be expected to have in the future, banking transactions in the ordinary course of business with related parties which include directors, executive officers, chief credit officers, their immediate families, and affiliated companies in which they have 10% or more beneficial ownership, on the same terms, including interest rates and collateral, as those prevailing at the time for comparable transactions with others.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 presents changes in loans to related parties, as a group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20" w:type="dxa"/>
            <w:vAlign w:val="bottom"/>
          </w:tcPr>
          <w:p>
            <w:pPr>
              <w:spacing w:after="0"/>
              <w:rPr>
                <w:sz w:val="13"/>
                <w:szCs w:val="13"/>
                <w:color w:val="auto"/>
              </w:rPr>
            </w:pPr>
          </w:p>
        </w:tc>
        <w:tc>
          <w:tcPr>
            <w:tcW w:w="1620" w:type="dxa"/>
            <w:vAlign w:val="bottom"/>
            <w:gridSpan w:val="2"/>
          </w:tcPr>
          <w:p>
            <w:pPr>
              <w:ind w:left="40"/>
              <w:spacing w:after="0"/>
              <w:rPr>
                <w:sz w:val="20"/>
                <w:szCs w:val="20"/>
                <w:color w:val="auto"/>
              </w:rPr>
            </w:pPr>
            <w:r>
              <w:rPr>
                <w:rFonts w:ascii="Verdana" w:cs="Verdana" w:eastAsia="Verdana" w:hAnsi="Verdana"/>
                <w:sz w:val="13"/>
                <w:szCs w:val="13"/>
                <w:b w:val="1"/>
                <w:bCs w:val="1"/>
                <w:color w:val="auto"/>
                <w:w w:val="97"/>
              </w:rPr>
              <w:t>As of and for the Year</w:t>
            </w:r>
          </w:p>
        </w:tc>
      </w:tr>
      <w:tr>
        <w:trPr>
          <w:trHeight w:val="121"/>
        </w:trPr>
        <w:tc>
          <w:tcPr>
            <w:tcW w:w="9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jc w:val="right"/>
              <w:ind w:right="514"/>
              <w:spacing w:after="0" w:line="122" w:lineRule="exact"/>
              <w:rPr>
                <w:sz w:val="20"/>
                <w:szCs w:val="20"/>
                <w:color w:val="auto"/>
              </w:rPr>
            </w:pPr>
            <w:r>
              <w:rPr>
                <w:rFonts w:ascii="Verdana" w:cs="Verdana" w:eastAsia="Verdana" w:hAnsi="Verdana"/>
                <w:sz w:val="13"/>
                <w:szCs w:val="13"/>
                <w:b w:val="1"/>
                <w:bCs w:val="1"/>
                <w:color w:val="auto"/>
              </w:rPr>
              <w:t>Ended</w:t>
            </w:r>
          </w:p>
        </w:tc>
      </w:tr>
      <w:tr>
        <w:trPr>
          <w:trHeight w:val="170"/>
        </w:trPr>
        <w:tc>
          <w:tcPr>
            <w:tcW w:w="9620" w:type="dxa"/>
            <w:vAlign w:val="bottom"/>
            <w:tcBorders>
              <w:bottom w:val="single" w:sz="8" w:color="E0E7ED"/>
            </w:tcBorders>
          </w:tcPr>
          <w:p>
            <w:pPr>
              <w:spacing w:after="0"/>
              <w:rPr>
                <w:sz w:val="14"/>
                <w:szCs w:val="14"/>
                <w:color w:val="auto"/>
              </w:rPr>
            </w:pPr>
          </w:p>
        </w:tc>
        <w:tc>
          <w:tcPr>
            <w:tcW w:w="1620" w:type="dxa"/>
            <w:vAlign w:val="bottom"/>
            <w:tcBorders>
              <w:bottom w:val="single" w:sz="8" w:color="auto"/>
            </w:tcBorders>
            <w:gridSpan w:val="2"/>
          </w:tcPr>
          <w:p>
            <w:pPr>
              <w:jc w:val="right"/>
              <w:ind w:right="34"/>
              <w:spacing w:after="0"/>
              <w:rPr>
                <w:sz w:val="20"/>
                <w:szCs w:val="20"/>
                <w:color w:val="auto"/>
              </w:rPr>
            </w:pPr>
            <w:r>
              <w:rPr>
                <w:rFonts w:ascii="Verdana" w:cs="Verdana" w:eastAsia="Verdana" w:hAnsi="Verdana"/>
                <w:sz w:val="13"/>
                <w:szCs w:val="13"/>
                <w:b w:val="1"/>
                <w:bCs w:val="1"/>
                <w:color w:val="auto"/>
              </w:rPr>
              <w:t>December 31, 2023</w:t>
            </w:r>
          </w:p>
        </w:tc>
      </w:tr>
      <w:tr>
        <w:trPr>
          <w:trHeight w:val="269"/>
        </w:trPr>
        <w:tc>
          <w:tcPr>
            <w:tcW w:w="9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of loans to related parties, December 31, 2022</w:t>
            </w:r>
          </w:p>
        </w:tc>
        <w:tc>
          <w:tcPr>
            <w:tcW w:w="3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55,341</w:t>
            </w:r>
          </w:p>
        </w:tc>
      </w:tr>
      <w:tr>
        <w:trPr>
          <w:trHeight w:val="263"/>
        </w:trPr>
        <w:tc>
          <w:tcPr>
            <w:tcW w:w="9620" w:type="dxa"/>
            <w:vAlign w:val="bottom"/>
          </w:tcPr>
          <w:p>
            <w:pPr>
              <w:ind w:left="180"/>
              <w:spacing w:after="0"/>
              <w:rPr>
                <w:sz w:val="20"/>
                <w:szCs w:val="20"/>
                <w:color w:val="auto"/>
              </w:rPr>
            </w:pPr>
            <w:r>
              <w:rPr>
                <w:rFonts w:ascii="Verdana" w:cs="Verdana" w:eastAsia="Verdana" w:hAnsi="Verdana"/>
                <w:sz w:val="18"/>
                <w:szCs w:val="18"/>
                <w:color w:val="auto"/>
              </w:rPr>
              <w:t>Change in relationship</w:t>
            </w:r>
          </w:p>
        </w:tc>
        <w:tc>
          <w:tcPr>
            <w:tcW w:w="36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Verdana" w:cs="Verdana" w:eastAsia="Verdana" w:hAnsi="Verdana"/>
                <w:sz w:val="18"/>
                <w:szCs w:val="18"/>
                <w:color w:val="auto"/>
              </w:rPr>
              <w:t>9,247</w:t>
            </w:r>
          </w:p>
        </w:tc>
      </w:tr>
      <w:tr>
        <w:trPr>
          <w:trHeight w:val="277"/>
        </w:trPr>
        <w:tc>
          <w:tcPr>
            <w:tcW w:w="9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New loans/advances</w:t>
            </w: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34,116</w:t>
            </w:r>
          </w:p>
        </w:tc>
      </w:tr>
      <w:tr>
        <w:trPr>
          <w:trHeight w:val="263"/>
        </w:trPr>
        <w:tc>
          <w:tcPr>
            <w:tcW w:w="96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Repayments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(21,055)</w:t>
            </w:r>
          </w:p>
        </w:tc>
      </w:tr>
      <w:tr>
        <w:trPr>
          <w:trHeight w:val="295"/>
        </w:trPr>
        <w:tc>
          <w:tcPr>
            <w:tcW w:w="96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Balance of loans to related parties, December 31, 2023</w:t>
            </w:r>
          </w:p>
        </w:tc>
        <w:tc>
          <w:tcPr>
            <w:tcW w:w="360" w:type="dxa"/>
            <w:vAlign w:val="bottom"/>
            <w:tcBorders>
              <w:bottom w:val="single" w:sz="8" w:color="auto"/>
            </w:tcBorders>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77,649</w:t>
            </w:r>
          </w:p>
        </w:tc>
      </w:tr>
      <w:tr>
        <w:trPr>
          <w:trHeight w:val="20"/>
        </w:trPr>
        <w:tc>
          <w:tcPr>
            <w:tcW w:w="962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9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9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Unused commitments to directors and executive officers</w:t>
            </w:r>
          </w:p>
        </w:tc>
        <w:tc>
          <w:tcPr>
            <w:tcW w:w="3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4,692</w:t>
            </w:r>
          </w:p>
        </w:tc>
      </w:tr>
    </w:tbl>
    <w:p>
      <w:pPr>
        <w:spacing w:after="0" w:line="265" w:lineRule="exact"/>
        <w:rPr>
          <w:sz w:val="20"/>
          <w:szCs w:val="20"/>
          <w:color w:val="auto"/>
        </w:rPr>
      </w:pPr>
    </w:p>
    <w:p>
      <w:pPr>
        <w:ind w:right="1680"/>
        <w:spacing w:after="0" w:line="434" w:lineRule="auto"/>
        <w:rPr>
          <w:sz w:val="20"/>
          <w:szCs w:val="20"/>
          <w:color w:val="auto"/>
        </w:rPr>
      </w:pPr>
      <w:r>
        <w:rPr>
          <w:rFonts w:ascii="Verdana" w:cs="Verdana" w:eastAsia="Verdana" w:hAnsi="Verdana"/>
          <w:sz w:val="18"/>
          <w:szCs w:val="18"/>
          <w:color w:val="auto"/>
        </w:rPr>
        <w:t xml:space="preserve">Loans to related parties did not include significant amounts that were past due, non-accrual, or modified. </w:t>
      </w:r>
      <w:r>
        <w:rPr>
          <w:rFonts w:ascii="Verdana" w:cs="Verdana" w:eastAsia="Verdana" w:hAnsi="Verdana"/>
          <w:sz w:val="18"/>
          <w:szCs w:val="18"/>
          <w:b w:val="1"/>
          <w:bCs w:val="1"/>
          <w:color w:val="auto"/>
        </w:rPr>
        <w:t xml:space="preserve">NOTE 16. OUTSTANDING COMMITMENTS AND CONTINGENT LIABILITIES </w:t>
      </w:r>
      <w:r>
        <w:rPr>
          <w:rFonts w:ascii="Verdana" w:cs="Verdana" w:eastAsia="Verdana" w:hAnsi="Verdana"/>
          <w:sz w:val="18"/>
          <w:szCs w:val="18"/>
          <w:b w:val="1"/>
          <w:bCs w:val="1"/>
          <w:i w:val="1"/>
          <w:iCs w:val="1"/>
          <w:color w:val="auto"/>
        </w:rPr>
        <w:t>Legal Matters</w:t>
      </w:r>
    </w:p>
    <w:p>
      <w:pPr>
        <w:spacing w:after="0" w:line="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is a party to legal actions which arise in the normal course of its business activities. Legal and administrative proceedings are subject to inherent uncertainties, and while unfavorable outcomes could occur, Busey does not believe at this time that any potential liabilities relating to pending or potential legal matters are likely to have a material impact on Busey's results of operations or financial position.</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Credit Commitments and Contingencies</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A summary of the contractual amount of Busey’s exposure to off-balance-sheet risk relating to the Company’s commitments to extend credit and standby letters of credit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97"/>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1"/>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7"/>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instruments whose contract amounts represent credit risk</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Commitments to extend credit</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
              <w:spacing w:after="0"/>
              <w:rPr>
                <w:sz w:val="20"/>
                <w:szCs w:val="20"/>
                <w:color w:val="auto"/>
              </w:rPr>
            </w:pPr>
            <w:r>
              <w:rPr>
                <w:rFonts w:ascii="Verdana" w:cs="Verdana" w:eastAsia="Verdana" w:hAnsi="Verdana"/>
                <w:sz w:val="18"/>
                <w:szCs w:val="18"/>
                <w:color w:val="auto"/>
              </w:rPr>
              <w:t>2,132,500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1,991,769</w:t>
            </w:r>
          </w:p>
        </w:tc>
      </w:tr>
      <w:tr>
        <w:trPr>
          <w:trHeight w:val="270"/>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Standby letters of credit</w:t>
            </w:r>
          </w:p>
        </w:tc>
        <w:tc>
          <w:tcPr>
            <w:tcW w:w="3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43,996</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33,008</w:t>
            </w:r>
          </w:p>
        </w:tc>
      </w:tr>
      <w:tr>
        <w:trPr>
          <w:trHeight w:val="270"/>
        </w:trPr>
        <w:tc>
          <w:tcPr>
            <w:tcW w:w="7900" w:type="dxa"/>
            <w:vAlign w:val="bottom"/>
          </w:tcPr>
          <w:p>
            <w:pPr>
              <w:ind w:left="20"/>
              <w:spacing w:after="0"/>
              <w:rPr>
                <w:sz w:val="20"/>
                <w:szCs w:val="20"/>
                <w:color w:val="auto"/>
              </w:rPr>
            </w:pPr>
            <w:r>
              <w:rPr>
                <w:rFonts w:ascii="Verdana" w:cs="Verdana" w:eastAsia="Verdana" w:hAnsi="Verdana"/>
                <w:sz w:val="18"/>
                <w:szCs w:val="18"/>
                <w:color w:val="auto"/>
              </w:rPr>
              <w:t>Total commitments</w:t>
            </w: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8"/>
                <w:szCs w:val="18"/>
                <w:color w:val="auto"/>
              </w:rPr>
              <w:t>2,176,496</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2,024,777</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3" w:name="page154"/>
    <w:bookmarkEnd w:id="15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Franchise Tax Matter</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In 2021, Busey received an inquiry from the ISOS, pursuant to which the ISOS asked for additional information regarding certain of our franchise tax filings and the calculation of amounts due thereunder. The franchise tax is established by the Illinois Business Corporation Act (“BCA”) 805 ILCS 5/1 et seq., and is a tax imposed on foreign and domestic corporations for the privilege of conducting business in Illinois. Busey has been cooperating with the inquiry and has agreed to prepare additional BCA forms requested by the ISOS, with a full reservation of rights by Busey, including seeking judicial relief, if necessary, with respect to any potential dispute regarding Busey’s preparation of the BCA forms and the calculation of the franchise taxes due. Where a loss is believed to be reasonably possible, but not probable, or the loss cannot be reasonably estimated, as is the case with this matter, no accrual is required. It is reasonably possible that this matter could require us to pay additional taxes, including potential penalties and interest, or make other expenditures or accrue liabilities in amounts that could not be reasonably estimated as of December 31, 2023. If the likelihood of potential liabilities elevates, requiring an accrual, the potential future liabilities could be material in the period(s) in which they are recorded.</w:t>
      </w:r>
    </w:p>
    <w:p>
      <w:pPr>
        <w:spacing w:after="0" w:line="1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17. DERIVATIVE FINANCIAL INSTRUMENTS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risk participation agreements, and foreign currency exchange contracts with customers and other third parties.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18. Fair Value Measurements</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for further discussion of the fair value measurement of such derivatives.</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To secure its obligations under derivative contracts, Busey pledged cash and held collateral as follows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p>
      <w:pPr>
        <w:jc w:val="center"/>
        <w:ind w:left="7880"/>
        <w:spacing w:after="0"/>
        <w:rPr>
          <w:sz w:val="20"/>
          <w:szCs w:val="20"/>
          <w:color w:val="auto"/>
        </w:rPr>
      </w:pPr>
      <w:r>
        <w:rPr>
          <w:rFonts w:ascii="Verdana" w:cs="Verdana" w:eastAsia="Verdana" w:hAnsi="Verdana"/>
          <w:sz w:val="13"/>
          <w:szCs w:val="13"/>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14605</wp:posOffset>
            </wp:positionV>
            <wp:extent cx="21170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 w:lineRule="exact"/>
        <w:rPr>
          <w:sz w:val="20"/>
          <w:szCs w:val="20"/>
          <w:color w:val="auto"/>
        </w:rPr>
      </w:pPr>
    </w:p>
    <w:p>
      <w:pPr>
        <w:ind w:left="8540"/>
        <w:spacing w:after="0"/>
        <w:tabs>
          <w:tab w:leader="none" w:pos="10240" w:val="left"/>
        </w:tabs>
        <w:rPr>
          <w:sz w:val="20"/>
          <w:szCs w:val="20"/>
          <w:color w:val="auto"/>
        </w:rPr>
      </w:pPr>
      <w:r>
        <w:rPr>
          <w:rFonts w:ascii="Verdana" w:cs="Verdana" w:eastAsia="Verdana" w:hAnsi="Verdana"/>
          <w:sz w:val="13"/>
          <w:szCs w:val="13"/>
          <w:b w:val="1"/>
          <w:bCs w:val="1"/>
          <w:color w:val="auto"/>
        </w:rPr>
        <w:t>2023</w:t>
      </w:r>
      <w:r>
        <w:rPr>
          <w:sz w:val="20"/>
          <w:szCs w:val="20"/>
          <w:color w:val="auto"/>
        </w:rPr>
        <w:tab/>
      </w:r>
      <w:r>
        <w:rPr>
          <w:rFonts w:ascii="Verdana" w:cs="Verdana" w:eastAsia="Verdana" w:hAnsi="Verdana"/>
          <w:sz w:val="13"/>
          <w:szCs w:val="13"/>
          <w:b w:val="1"/>
          <w:bCs w:val="1"/>
          <w:color w:val="auto"/>
        </w:rPr>
        <w:t>2022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79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Cash pledged to secure obligations under derivative contracts</w:t>
            </w:r>
          </w:p>
        </w:tc>
        <w:tc>
          <w:tcPr>
            <w:tcW w:w="520" w:type="dxa"/>
            <w:vAlign w:val="bottom"/>
            <w:tcBorders>
              <w:top w:val="single" w:sz="8" w:color="auto"/>
            </w:tcBorders>
            <w:shd w:val="clear" w:color="auto" w:fill="E0E7ED"/>
          </w:tcPr>
          <w:p>
            <w:pPr>
              <w:jc w:val="right"/>
              <w:ind w:right="290"/>
              <w:spacing w:after="0"/>
              <w:rPr>
                <w:sz w:val="20"/>
                <w:szCs w:val="20"/>
                <w:color w:val="auto"/>
              </w:rPr>
            </w:pPr>
            <w:r>
              <w:rPr>
                <w:rFonts w:ascii="Verdana" w:cs="Verdana" w:eastAsia="Verdana" w:hAnsi="Verdana"/>
                <w:sz w:val="18"/>
                <w:szCs w:val="18"/>
                <w:color w:val="auto"/>
              </w:rPr>
              <w:t>$</w:t>
            </w:r>
          </w:p>
        </w:tc>
        <w:tc>
          <w:tcPr>
            <w:tcW w:w="11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34,210</w:t>
            </w:r>
          </w:p>
        </w:tc>
        <w:tc>
          <w:tcPr>
            <w:tcW w:w="100" w:type="dxa"/>
            <w:vAlign w:val="bottom"/>
            <w:tcBorders>
              <w:top w:val="single" w:sz="8" w:color="E0E7ED"/>
            </w:tcBorders>
            <w:shd w:val="clear" w:color="auto" w:fill="E0E7ED"/>
          </w:tcPr>
          <w:p>
            <w:pPr>
              <w:spacing w:after="0"/>
              <w:rPr>
                <w:sz w:val="24"/>
                <w:szCs w:val="24"/>
                <w:color w:val="auto"/>
              </w:rPr>
            </w:pPr>
          </w:p>
        </w:tc>
        <w:tc>
          <w:tcPr>
            <w:tcW w:w="520" w:type="dxa"/>
            <w:vAlign w:val="bottom"/>
            <w:tcBorders>
              <w:top w:val="single" w:sz="8" w:color="auto"/>
            </w:tcBorders>
            <w:shd w:val="clear" w:color="auto" w:fill="E0E7ED"/>
          </w:tcPr>
          <w:p>
            <w:pPr>
              <w:jc w:val="right"/>
              <w:ind w:right="290"/>
              <w:spacing w:after="0"/>
              <w:rPr>
                <w:sz w:val="20"/>
                <w:szCs w:val="20"/>
                <w:color w:val="auto"/>
              </w:rPr>
            </w:pPr>
            <w:r>
              <w:rPr>
                <w:rFonts w:ascii="Verdana" w:cs="Verdana" w:eastAsia="Verdana" w:hAnsi="Verdana"/>
                <w:sz w:val="18"/>
                <w:szCs w:val="18"/>
                <w:color w:val="auto"/>
              </w:rPr>
              <w:t>$</w:t>
            </w:r>
          </w:p>
        </w:tc>
        <w:tc>
          <w:tcPr>
            <w:tcW w:w="11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38,609</w:t>
            </w:r>
          </w:p>
        </w:tc>
      </w:tr>
      <w:tr>
        <w:trPr>
          <w:trHeight w:val="257"/>
        </w:trPr>
        <w:tc>
          <w:tcPr>
            <w:tcW w:w="7900" w:type="dxa"/>
            <w:vAlign w:val="bottom"/>
          </w:tcPr>
          <w:p>
            <w:pPr>
              <w:ind w:left="20"/>
              <w:spacing w:after="0"/>
              <w:rPr>
                <w:sz w:val="20"/>
                <w:szCs w:val="20"/>
                <w:color w:val="auto"/>
              </w:rPr>
            </w:pPr>
            <w:r>
              <w:rPr>
                <w:rFonts w:ascii="Verdana" w:cs="Verdana" w:eastAsia="Verdana" w:hAnsi="Verdana"/>
                <w:sz w:val="18"/>
                <w:szCs w:val="18"/>
                <w:color w:val="auto"/>
              </w:rPr>
              <w:t>Collateral held to secure obligations under derivative contracts</w:t>
            </w: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19,280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29,830</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Derivative Instruments Designated as Hedges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4" w:name="page155"/>
    <w:bookmarkEnd w:id="15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Swaps Designated as Cash Flow Hedges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Interest rate swaps with notional amounts totaling $350.0 million as of both December 31, 2023, and December 31, 2022, were designated as cash flow hedges. Busey entered into one $50.0 million interest rate swap to hedge the risks of variability in cash flows for future interest payments attributable to changes in the contractually specified 3-month LIBOR benchmark interest rate on Busey’s junior subordinated debt owed to unconsolidated trusts (“Debt Swap”). In addition, Busey entered into one $300.0 million receive fixed pay floating interest rate swap to reduce Busey's asset sensitivity (“Loan Swap”). Duration was added to our loan portfolio by fixing a portion of our floating prime-based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Changes in fair value were recorded net of tax in OCI.</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A summary of the interest-rate swaps designated as cash flow hedges is presented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 December 31,</w:t>
            </w:r>
          </w:p>
        </w:tc>
        <w:tc>
          <w:tcPr>
            <w:tcW w:w="1100" w:type="dxa"/>
            <w:vAlign w:val="bottom"/>
            <w:tcBorders>
              <w:bottom w:val="single" w:sz="8" w:color="auto"/>
            </w:tcBorders>
          </w:tcPr>
          <w:p>
            <w:pPr>
              <w:spacing w:after="0"/>
              <w:rPr>
                <w:sz w:val="15"/>
                <w:szCs w:val="15"/>
                <w:color w:val="auto"/>
              </w:rPr>
            </w:pPr>
          </w:p>
        </w:tc>
      </w:tr>
      <w:tr>
        <w:trPr>
          <w:trHeight w:val="170"/>
        </w:trPr>
        <w:tc>
          <w:tcPr>
            <w:tcW w:w="5960" w:type="dxa"/>
            <w:vAlign w:val="bottom"/>
          </w:tcPr>
          <w:p>
            <w:pPr>
              <w:spacing w:after="0"/>
              <w:rPr>
                <w:sz w:val="14"/>
                <w:szCs w:val="14"/>
                <w:color w:val="auto"/>
              </w:rPr>
            </w:pPr>
          </w:p>
        </w:tc>
        <w:tc>
          <w:tcPr>
            <w:tcW w:w="1640" w:type="dxa"/>
            <w:vAlign w:val="bottom"/>
            <w:gridSpan w:val="2"/>
          </w:tcPr>
          <w:p>
            <w:pPr>
              <w:ind w:left="480"/>
              <w:spacing w:after="0" w:line="146" w:lineRule="exact"/>
              <w:rPr>
                <w:sz w:val="20"/>
                <w:szCs w:val="20"/>
                <w:color w:val="auto"/>
              </w:rPr>
            </w:pPr>
            <w:r>
              <w:rPr>
                <w:rFonts w:ascii="Verdana" w:cs="Verdana" w:eastAsia="Verdana" w:hAnsi="Verdana"/>
                <w:sz w:val="13"/>
                <w:szCs w:val="13"/>
                <w:b w:val="1"/>
                <w:bCs w:val="1"/>
                <w:color w:val="auto"/>
              </w:rPr>
              <w:t>Location</w:t>
            </w:r>
          </w:p>
        </w:tc>
        <w:tc>
          <w:tcPr>
            <w:tcW w:w="420" w:type="dxa"/>
            <w:vAlign w:val="bottom"/>
          </w:tcPr>
          <w:p>
            <w:pPr>
              <w:spacing w:after="0"/>
              <w:rPr>
                <w:sz w:val="14"/>
                <w:szCs w:val="14"/>
                <w:color w:val="auto"/>
              </w:rPr>
            </w:pPr>
          </w:p>
        </w:tc>
        <w:tc>
          <w:tcPr>
            <w:tcW w:w="1360" w:type="dxa"/>
            <w:vAlign w:val="bottom"/>
          </w:tcPr>
          <w:p>
            <w:pPr>
              <w:jc w:val="right"/>
              <w:ind w:right="61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612"/>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5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Swap</w:t>
            </w:r>
          </w:p>
        </w:tc>
        <w:tc>
          <w:tcPr>
            <w:tcW w:w="15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420" w:type="dxa"/>
            <w:vAlign w:val="bottom"/>
            <w:tcBorders>
              <w:top w:val="single" w:sz="8" w:color="auto"/>
            </w:tcBorders>
            <w:shd w:val="clear" w:color="auto" w:fill="E0E7ED"/>
          </w:tcPr>
          <w:p>
            <w:pPr>
              <w:spacing w:after="0"/>
              <w:rPr>
                <w:sz w:val="22"/>
                <w:szCs w:val="22"/>
                <w:color w:val="auto"/>
              </w:rPr>
            </w:pPr>
          </w:p>
        </w:tc>
        <w:tc>
          <w:tcPr>
            <w:tcW w:w="13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660" w:type="dxa"/>
            <w:vAlign w:val="bottom"/>
            <w:tcBorders>
              <w:top w:val="single" w:sz="8" w:color="auto"/>
            </w:tcBorders>
            <w:shd w:val="clear" w:color="auto" w:fill="E0E7ED"/>
          </w:tcPr>
          <w:p>
            <w:pPr>
              <w:spacing w:after="0"/>
              <w:rPr>
                <w:sz w:val="22"/>
                <w:szCs w:val="22"/>
                <w:color w:val="auto"/>
              </w:rPr>
            </w:pPr>
          </w:p>
        </w:tc>
        <w:tc>
          <w:tcPr>
            <w:tcW w:w="1100" w:type="dxa"/>
            <w:vAlign w:val="bottom"/>
            <w:tcBorders>
              <w:top w:val="single" w:sz="8" w:color="auto"/>
            </w:tcBorders>
            <w:shd w:val="clear" w:color="auto" w:fill="E0E7ED"/>
          </w:tcPr>
          <w:p>
            <w:pPr>
              <w:spacing w:after="0"/>
              <w:rPr>
                <w:sz w:val="22"/>
                <w:szCs w:val="22"/>
                <w:color w:val="auto"/>
              </w:rPr>
            </w:pPr>
          </w:p>
        </w:tc>
      </w:tr>
      <w:tr>
        <w:trPr>
          <w:trHeight w:val="263"/>
        </w:trPr>
        <w:tc>
          <w:tcPr>
            <w:tcW w:w="596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194"/>
              <w:spacing w:after="0"/>
              <w:rPr>
                <w:sz w:val="20"/>
                <w:szCs w:val="20"/>
                <w:color w:val="auto"/>
              </w:rPr>
            </w:pPr>
            <w:r>
              <w:rPr>
                <w:rFonts w:ascii="Verdana" w:cs="Verdana" w:eastAsia="Verdana" w:hAnsi="Verdana"/>
                <w:sz w:val="18"/>
                <w:szCs w:val="18"/>
                <w:color w:val="auto"/>
              </w:rPr>
              <w:t>50,000</w:t>
            </w:r>
          </w:p>
        </w:tc>
        <w:tc>
          <w:tcPr>
            <w:tcW w:w="100" w:type="dxa"/>
            <w:vAlign w:val="bottom"/>
          </w:tcPr>
          <w:p>
            <w:pPr>
              <w:spacing w:after="0"/>
              <w:rPr>
                <w:sz w:val="22"/>
                <w:szCs w:val="22"/>
                <w:color w:val="auto"/>
              </w:rPr>
            </w:pPr>
          </w:p>
        </w:tc>
        <w:tc>
          <w:tcPr>
            <w:tcW w:w="660" w:type="dxa"/>
            <w:vAlign w:val="bottom"/>
          </w:tcPr>
          <w:p>
            <w:pPr>
              <w:jc w:val="right"/>
              <w:ind w:right="45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jc w:val="right"/>
              <w:ind w:right="192"/>
              <w:spacing w:after="0"/>
              <w:rPr>
                <w:sz w:val="20"/>
                <w:szCs w:val="20"/>
                <w:color w:val="auto"/>
              </w:rPr>
            </w:pPr>
            <w:r>
              <w:rPr>
                <w:rFonts w:ascii="Verdana" w:cs="Verdana" w:eastAsia="Verdana" w:hAnsi="Verdana"/>
                <w:sz w:val="18"/>
                <w:szCs w:val="18"/>
                <w:color w:val="auto"/>
              </w:rPr>
              <w:t>50,000</w:t>
            </w:r>
          </w:p>
        </w:tc>
      </w:tr>
      <w:tr>
        <w:trPr>
          <w:trHeight w:val="277"/>
        </w:trPr>
        <w:tc>
          <w:tcPr>
            <w:tcW w:w="5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fixed pay rates</w:t>
            </w:r>
          </w:p>
        </w:tc>
        <w:tc>
          <w:tcPr>
            <w:tcW w:w="15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1.79 %</w:t>
            </w:r>
          </w:p>
        </w:tc>
        <w:tc>
          <w:tcPr>
            <w:tcW w:w="100" w:type="dxa"/>
            <w:vAlign w:val="bottom"/>
            <w:shd w:val="clear" w:color="auto" w:fill="E0E7ED"/>
          </w:tcPr>
          <w:p>
            <w:pPr>
              <w:spacing w:after="0"/>
              <w:rPr>
                <w:sz w:val="24"/>
                <w:szCs w:val="24"/>
                <w:color w:val="auto"/>
              </w:rPr>
            </w:pPr>
          </w:p>
        </w:tc>
        <w:tc>
          <w:tcPr>
            <w:tcW w:w="660" w:type="dxa"/>
            <w:vAlign w:val="bottom"/>
            <w:shd w:val="clear" w:color="auto" w:fill="E0E7ED"/>
          </w:tcPr>
          <w:p>
            <w:pPr>
              <w:spacing w:after="0"/>
              <w:rPr>
                <w:sz w:val="24"/>
                <w:szCs w:val="24"/>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1.79 %</w:t>
            </w:r>
          </w:p>
        </w:tc>
      </w:tr>
      <w:tr>
        <w:trPr>
          <w:trHeight w:val="263"/>
        </w:trPr>
        <w:tc>
          <w:tcPr>
            <w:tcW w:w="5960" w:type="dxa"/>
            <w:vAlign w:val="bottom"/>
          </w:tcPr>
          <w:p>
            <w:pPr>
              <w:ind w:left="180"/>
              <w:spacing w:after="0"/>
              <w:rPr>
                <w:sz w:val="20"/>
                <w:szCs w:val="20"/>
                <w:color w:val="auto"/>
              </w:rPr>
            </w:pPr>
            <w:r>
              <w:rPr>
                <w:rFonts w:ascii="Verdana" w:cs="Verdana" w:eastAsia="Verdana" w:hAnsi="Verdana"/>
                <w:sz w:val="18"/>
                <w:szCs w:val="18"/>
                <w:color w:val="auto"/>
              </w:rPr>
              <w:t>Weighted average variable 3-month LIBOR receive rates</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5.61 %</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4.77 %</w:t>
            </w:r>
          </w:p>
        </w:tc>
      </w:tr>
      <w:tr>
        <w:trPr>
          <w:trHeight w:val="277"/>
        </w:trPr>
        <w:tc>
          <w:tcPr>
            <w:tcW w:w="5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maturity</w:t>
            </w:r>
          </w:p>
        </w:tc>
        <w:tc>
          <w:tcPr>
            <w:tcW w:w="15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460" w:type="dxa"/>
            <w:vAlign w:val="bottom"/>
            <w:gridSpan w:val="2"/>
            <w:shd w:val="clear" w:color="auto" w:fill="E0E7ED"/>
          </w:tcPr>
          <w:p>
            <w:pPr>
              <w:ind w:left="380"/>
              <w:spacing w:after="0"/>
              <w:rPr>
                <w:sz w:val="20"/>
                <w:szCs w:val="20"/>
                <w:color w:val="auto"/>
              </w:rPr>
            </w:pPr>
            <w:r>
              <w:rPr>
                <w:rFonts w:ascii="Verdana" w:cs="Verdana" w:eastAsia="Verdana" w:hAnsi="Verdana"/>
                <w:sz w:val="18"/>
                <w:szCs w:val="18"/>
                <w:color w:val="auto"/>
              </w:rPr>
              <w:t>0.71 years</w:t>
            </w:r>
          </w:p>
        </w:tc>
        <w:tc>
          <w:tcPr>
            <w:tcW w:w="660" w:type="dxa"/>
            <w:vAlign w:val="bottom"/>
            <w:shd w:val="clear" w:color="auto" w:fill="E0E7ED"/>
          </w:tcPr>
          <w:p>
            <w:pPr>
              <w:spacing w:after="0"/>
              <w:rPr>
                <w:sz w:val="24"/>
                <w:szCs w:val="24"/>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1.71 years</w:t>
            </w:r>
          </w:p>
        </w:tc>
      </w:tr>
      <w:tr>
        <w:trPr>
          <w:trHeight w:val="270"/>
        </w:trPr>
        <w:tc>
          <w:tcPr>
            <w:tcW w:w="59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 Swap</w:t>
            </w:r>
          </w:p>
        </w:tc>
        <w:tc>
          <w:tcPr>
            <w:tcW w:w="15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3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6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r>
      <w:tr>
        <w:trPr>
          <w:trHeight w:val="263"/>
        </w:trPr>
        <w:tc>
          <w:tcPr>
            <w:tcW w:w="596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194"/>
              <w:spacing w:after="0"/>
              <w:rPr>
                <w:sz w:val="20"/>
                <w:szCs w:val="20"/>
                <w:color w:val="auto"/>
              </w:rPr>
            </w:pPr>
            <w:r>
              <w:rPr>
                <w:rFonts w:ascii="Verdana" w:cs="Verdana" w:eastAsia="Verdana" w:hAnsi="Verdana"/>
                <w:sz w:val="18"/>
                <w:szCs w:val="18"/>
                <w:color w:val="auto"/>
              </w:rPr>
              <w:t>300,000</w:t>
            </w:r>
          </w:p>
        </w:tc>
        <w:tc>
          <w:tcPr>
            <w:tcW w:w="100" w:type="dxa"/>
            <w:vAlign w:val="bottom"/>
          </w:tcPr>
          <w:p>
            <w:pPr>
              <w:spacing w:after="0"/>
              <w:rPr>
                <w:sz w:val="22"/>
                <w:szCs w:val="22"/>
                <w:color w:val="auto"/>
              </w:rPr>
            </w:pPr>
          </w:p>
        </w:tc>
        <w:tc>
          <w:tcPr>
            <w:tcW w:w="660" w:type="dxa"/>
            <w:vAlign w:val="bottom"/>
          </w:tcPr>
          <w:p>
            <w:pPr>
              <w:jc w:val="right"/>
              <w:ind w:right="45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jc w:val="right"/>
              <w:ind w:right="192"/>
              <w:spacing w:after="0"/>
              <w:rPr>
                <w:sz w:val="20"/>
                <w:szCs w:val="20"/>
                <w:color w:val="auto"/>
              </w:rPr>
            </w:pPr>
            <w:r>
              <w:rPr>
                <w:rFonts w:ascii="Verdana" w:cs="Verdana" w:eastAsia="Verdana" w:hAnsi="Verdana"/>
                <w:sz w:val="18"/>
                <w:szCs w:val="18"/>
                <w:color w:val="auto"/>
              </w:rPr>
              <w:t>300,000</w:t>
            </w:r>
          </w:p>
        </w:tc>
      </w:tr>
      <w:tr>
        <w:trPr>
          <w:trHeight w:val="277"/>
        </w:trPr>
        <w:tc>
          <w:tcPr>
            <w:tcW w:w="5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fixed receive rates</w:t>
            </w:r>
          </w:p>
        </w:tc>
        <w:tc>
          <w:tcPr>
            <w:tcW w:w="15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4.81 %</w:t>
            </w:r>
          </w:p>
        </w:tc>
        <w:tc>
          <w:tcPr>
            <w:tcW w:w="100" w:type="dxa"/>
            <w:vAlign w:val="bottom"/>
            <w:shd w:val="clear" w:color="auto" w:fill="E0E7ED"/>
          </w:tcPr>
          <w:p>
            <w:pPr>
              <w:spacing w:after="0"/>
              <w:rPr>
                <w:sz w:val="24"/>
                <w:szCs w:val="24"/>
                <w:color w:val="auto"/>
              </w:rPr>
            </w:pPr>
          </w:p>
        </w:tc>
        <w:tc>
          <w:tcPr>
            <w:tcW w:w="660" w:type="dxa"/>
            <w:vAlign w:val="bottom"/>
            <w:shd w:val="clear" w:color="auto" w:fill="E0E7ED"/>
          </w:tcPr>
          <w:p>
            <w:pPr>
              <w:spacing w:after="0"/>
              <w:rPr>
                <w:sz w:val="24"/>
                <w:szCs w:val="24"/>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4.81 %</w:t>
            </w:r>
          </w:p>
        </w:tc>
      </w:tr>
      <w:tr>
        <w:trPr>
          <w:trHeight w:val="263"/>
        </w:trPr>
        <w:tc>
          <w:tcPr>
            <w:tcW w:w="5960" w:type="dxa"/>
            <w:vAlign w:val="bottom"/>
          </w:tcPr>
          <w:p>
            <w:pPr>
              <w:ind w:left="180"/>
              <w:spacing w:after="0"/>
              <w:rPr>
                <w:sz w:val="20"/>
                <w:szCs w:val="20"/>
                <w:color w:val="auto"/>
              </w:rPr>
            </w:pPr>
            <w:r>
              <w:rPr>
                <w:rFonts w:ascii="Verdana" w:cs="Verdana" w:eastAsia="Verdana" w:hAnsi="Verdana"/>
                <w:sz w:val="18"/>
                <w:szCs w:val="18"/>
                <w:color w:val="auto"/>
              </w:rPr>
              <w:t>Weighted average variable Prime pay rates</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8.50 %</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7.32 %</w:t>
            </w:r>
          </w:p>
        </w:tc>
      </w:tr>
      <w:tr>
        <w:trPr>
          <w:trHeight w:val="277"/>
        </w:trPr>
        <w:tc>
          <w:tcPr>
            <w:tcW w:w="5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maturity</w:t>
            </w:r>
          </w:p>
        </w:tc>
        <w:tc>
          <w:tcPr>
            <w:tcW w:w="15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460" w:type="dxa"/>
            <w:vAlign w:val="bottom"/>
            <w:gridSpan w:val="2"/>
            <w:shd w:val="clear" w:color="auto" w:fill="E0E7ED"/>
          </w:tcPr>
          <w:p>
            <w:pPr>
              <w:ind w:left="380"/>
              <w:spacing w:after="0"/>
              <w:rPr>
                <w:sz w:val="20"/>
                <w:szCs w:val="20"/>
                <w:color w:val="auto"/>
              </w:rPr>
            </w:pPr>
            <w:r>
              <w:rPr>
                <w:rFonts w:ascii="Verdana" w:cs="Verdana" w:eastAsia="Verdana" w:hAnsi="Verdana"/>
                <w:sz w:val="18"/>
                <w:szCs w:val="18"/>
                <w:color w:val="auto"/>
              </w:rPr>
              <w:t>5.10 years</w:t>
            </w:r>
          </w:p>
        </w:tc>
        <w:tc>
          <w:tcPr>
            <w:tcW w:w="660" w:type="dxa"/>
            <w:vAlign w:val="bottom"/>
            <w:shd w:val="clear" w:color="auto" w:fill="E0E7ED"/>
          </w:tcPr>
          <w:p>
            <w:pPr>
              <w:spacing w:after="0"/>
              <w:rPr>
                <w:sz w:val="24"/>
                <w:szCs w:val="24"/>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6.10 years</w:t>
            </w:r>
          </w:p>
        </w:tc>
      </w:tr>
      <w:tr>
        <w:trPr>
          <w:trHeight w:val="270"/>
        </w:trPr>
        <w:tc>
          <w:tcPr>
            <w:tcW w:w="59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Gross aggregate fair value of the swaps</w:t>
            </w:r>
          </w:p>
        </w:tc>
        <w:tc>
          <w:tcPr>
            <w:tcW w:w="15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3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6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r>
      <w:tr>
        <w:trPr>
          <w:trHeight w:val="263"/>
        </w:trPr>
        <w:tc>
          <w:tcPr>
            <w:tcW w:w="5960" w:type="dxa"/>
            <w:vAlign w:val="bottom"/>
          </w:tcPr>
          <w:p>
            <w:pPr>
              <w:ind w:left="180"/>
              <w:spacing w:after="0"/>
              <w:rPr>
                <w:sz w:val="20"/>
                <w:szCs w:val="20"/>
                <w:color w:val="auto"/>
              </w:rPr>
            </w:pPr>
            <w:r>
              <w:rPr>
                <w:rFonts w:ascii="Verdana" w:cs="Verdana" w:eastAsia="Verdana" w:hAnsi="Verdana"/>
                <w:sz w:val="18"/>
                <w:szCs w:val="18"/>
                <w:color w:val="auto"/>
              </w:rPr>
              <w:t>Gross aggregate fair value of swap assets</w:t>
            </w:r>
          </w:p>
        </w:tc>
        <w:tc>
          <w:tcPr>
            <w:tcW w:w="1640" w:type="dxa"/>
            <w:vAlign w:val="bottom"/>
            <w:gridSpan w:val="2"/>
          </w:tcPr>
          <w:p>
            <w:pPr>
              <w:ind w:left="20"/>
              <w:spacing w:after="0"/>
              <w:rPr>
                <w:sz w:val="20"/>
                <w:szCs w:val="20"/>
                <w:color w:val="auto"/>
              </w:rPr>
            </w:pPr>
            <w:r>
              <w:rPr>
                <w:rFonts w:ascii="Verdana" w:cs="Verdana" w:eastAsia="Verdana" w:hAnsi="Verdana"/>
                <w:sz w:val="18"/>
                <w:szCs w:val="18"/>
                <w:color w:val="auto"/>
              </w:rPr>
              <w:t>Other assets</w:t>
            </w: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194"/>
              <w:spacing w:after="0"/>
              <w:rPr>
                <w:sz w:val="20"/>
                <w:szCs w:val="20"/>
                <w:color w:val="auto"/>
              </w:rPr>
            </w:pPr>
            <w:r>
              <w:rPr>
                <w:rFonts w:ascii="Verdana" w:cs="Verdana" w:eastAsia="Verdana" w:hAnsi="Verdana"/>
                <w:sz w:val="18"/>
                <w:szCs w:val="18"/>
                <w:color w:val="auto"/>
              </w:rPr>
              <w:t>1,293</w:t>
            </w:r>
          </w:p>
        </w:tc>
        <w:tc>
          <w:tcPr>
            <w:tcW w:w="100" w:type="dxa"/>
            <w:vAlign w:val="bottom"/>
          </w:tcPr>
          <w:p>
            <w:pPr>
              <w:spacing w:after="0"/>
              <w:rPr>
                <w:sz w:val="22"/>
                <w:szCs w:val="22"/>
                <w:color w:val="auto"/>
              </w:rPr>
            </w:pPr>
          </w:p>
        </w:tc>
        <w:tc>
          <w:tcPr>
            <w:tcW w:w="660" w:type="dxa"/>
            <w:vAlign w:val="bottom"/>
          </w:tcPr>
          <w:p>
            <w:pPr>
              <w:jc w:val="right"/>
              <w:ind w:right="45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jc w:val="right"/>
              <w:ind w:right="192"/>
              <w:spacing w:after="0"/>
              <w:rPr>
                <w:sz w:val="20"/>
                <w:szCs w:val="20"/>
                <w:color w:val="auto"/>
              </w:rPr>
            </w:pPr>
            <w:r>
              <w:rPr>
                <w:rFonts w:ascii="Verdana" w:cs="Verdana" w:eastAsia="Verdana" w:hAnsi="Verdana"/>
                <w:sz w:val="18"/>
                <w:szCs w:val="18"/>
                <w:color w:val="auto"/>
              </w:rPr>
              <w:t>2,535</w:t>
            </w:r>
          </w:p>
        </w:tc>
      </w:tr>
      <w:tr>
        <w:trPr>
          <w:trHeight w:val="277"/>
        </w:trPr>
        <w:tc>
          <w:tcPr>
            <w:tcW w:w="5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Gross aggregate fair value of swap liabilities</w:t>
            </w:r>
          </w:p>
        </w:tc>
        <w:tc>
          <w:tcPr>
            <w:tcW w:w="16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liabilities</w:t>
            </w:r>
          </w:p>
        </w:tc>
        <w:tc>
          <w:tcPr>
            <w:tcW w:w="420" w:type="dxa"/>
            <w:vAlign w:val="bottom"/>
            <w:shd w:val="clear" w:color="auto" w:fill="E0E7ED"/>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25,411</w:t>
            </w:r>
          </w:p>
        </w:tc>
        <w:tc>
          <w:tcPr>
            <w:tcW w:w="100" w:type="dxa"/>
            <w:vAlign w:val="bottom"/>
            <w:shd w:val="clear" w:color="auto" w:fill="E0E7ED"/>
          </w:tcPr>
          <w:p>
            <w:pPr>
              <w:spacing w:after="0"/>
              <w:rPr>
                <w:sz w:val="24"/>
                <w:szCs w:val="24"/>
                <w:color w:val="auto"/>
              </w:rPr>
            </w:pPr>
          </w:p>
        </w:tc>
        <w:tc>
          <w:tcPr>
            <w:tcW w:w="660" w:type="dxa"/>
            <w:vAlign w:val="bottom"/>
            <w:shd w:val="clear" w:color="auto" w:fill="E0E7ED"/>
          </w:tcPr>
          <w:p>
            <w:pPr>
              <w:jc w:val="right"/>
              <w:ind w:right="45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32,367</w:t>
            </w:r>
          </w:p>
        </w:tc>
      </w:tr>
      <w:tr>
        <w:trPr>
          <w:trHeight w:val="270"/>
        </w:trPr>
        <w:tc>
          <w:tcPr>
            <w:tcW w:w="59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Balances carried in AOCI</w:t>
            </w:r>
          </w:p>
        </w:tc>
        <w:tc>
          <w:tcPr>
            <w:tcW w:w="15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3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6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r>
      <w:tr>
        <w:trPr>
          <w:trHeight w:val="257"/>
        </w:trPr>
        <w:tc>
          <w:tcPr>
            <w:tcW w:w="5960" w:type="dxa"/>
            <w:vAlign w:val="bottom"/>
          </w:tcPr>
          <w:p>
            <w:pPr>
              <w:ind w:left="180"/>
              <w:spacing w:after="0"/>
              <w:rPr>
                <w:sz w:val="20"/>
                <w:szCs w:val="20"/>
                <w:color w:val="auto"/>
              </w:rPr>
            </w:pPr>
            <w:r>
              <w:rPr>
                <w:rFonts w:ascii="Verdana" w:cs="Verdana" w:eastAsia="Verdana" w:hAnsi="Verdana"/>
                <w:sz w:val="18"/>
                <w:szCs w:val="18"/>
                <w:color w:val="auto"/>
              </w:rPr>
              <w:t>Unrealized gains (losses) on cash flow hedges, net of tax</w:t>
            </w:r>
          </w:p>
        </w:tc>
        <w:tc>
          <w:tcPr>
            <w:tcW w:w="1640" w:type="dxa"/>
            <w:vAlign w:val="bottom"/>
            <w:gridSpan w:val="2"/>
          </w:tcPr>
          <w:p>
            <w:pPr>
              <w:ind w:left="20"/>
              <w:spacing w:after="0"/>
              <w:rPr>
                <w:sz w:val="20"/>
                <w:szCs w:val="20"/>
                <w:color w:val="auto"/>
              </w:rPr>
            </w:pPr>
            <w:r>
              <w:rPr>
                <w:rFonts w:ascii="Verdana" w:cs="Verdana" w:eastAsia="Verdana" w:hAnsi="Verdana"/>
                <w:sz w:val="18"/>
                <w:szCs w:val="18"/>
                <w:color w:val="auto"/>
              </w:rPr>
              <w:t>AOCI</w:t>
            </w:r>
          </w:p>
        </w:tc>
        <w:tc>
          <w:tcPr>
            <w:tcW w:w="420" w:type="dxa"/>
            <w:vAlign w:val="bottom"/>
          </w:tcPr>
          <w:p>
            <w:pPr>
              <w:jc w:val="right"/>
              <w:ind w:right="19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134"/>
              <w:spacing w:after="0"/>
              <w:rPr>
                <w:sz w:val="20"/>
                <w:szCs w:val="20"/>
                <w:color w:val="auto"/>
              </w:rPr>
            </w:pPr>
            <w:r>
              <w:rPr>
                <w:rFonts w:ascii="Verdana" w:cs="Verdana" w:eastAsia="Verdana" w:hAnsi="Verdana"/>
                <w:sz w:val="18"/>
                <w:szCs w:val="18"/>
                <w:color w:val="auto"/>
              </w:rPr>
              <w:t>(16,694)</w:t>
            </w:r>
          </w:p>
        </w:tc>
        <w:tc>
          <w:tcPr>
            <w:tcW w:w="100" w:type="dxa"/>
            <w:vAlign w:val="bottom"/>
          </w:tcPr>
          <w:p>
            <w:pPr>
              <w:spacing w:after="0"/>
              <w:rPr>
                <w:sz w:val="22"/>
                <w:szCs w:val="22"/>
                <w:color w:val="auto"/>
              </w:rPr>
            </w:pPr>
          </w:p>
        </w:tc>
        <w:tc>
          <w:tcPr>
            <w:tcW w:w="660" w:type="dxa"/>
            <w:vAlign w:val="bottom"/>
          </w:tcPr>
          <w:p>
            <w:pPr>
              <w:jc w:val="right"/>
              <w:ind w:right="45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jc w:val="right"/>
              <w:ind w:right="132"/>
              <w:spacing w:after="0"/>
              <w:rPr>
                <w:sz w:val="20"/>
                <w:szCs w:val="20"/>
                <w:color w:val="auto"/>
              </w:rPr>
            </w:pPr>
            <w:r>
              <w:rPr>
                <w:rFonts w:ascii="Verdana" w:cs="Verdana" w:eastAsia="Verdana" w:hAnsi="Verdana"/>
                <w:sz w:val="18"/>
                <w:szCs w:val="18"/>
                <w:color w:val="auto"/>
              </w:rPr>
              <w:t>(20,985)</w:t>
            </w:r>
          </w:p>
        </w:tc>
      </w:tr>
    </w:tbl>
    <w:p>
      <w:pPr>
        <w:spacing w:after="0" w:line="33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5" w:name="page156"/>
    <w:bookmarkEnd w:id="15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Busey expects to reclassify unrealized gains and losses from OCI to interest income and interest expense as shown in the following table, during the next 12 months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Amounts actually recognized could differ from these expectations due to changes in interest rates, hedge de-designations, and the addition of other hedges subsequent to December 31,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center"/>
              <w:ind w:right="337"/>
              <w:spacing w:after="0"/>
              <w:rPr>
                <w:sz w:val="20"/>
                <w:szCs w:val="20"/>
                <w:color w:val="auto"/>
              </w:rPr>
            </w:pPr>
            <w:r>
              <w:rPr>
                <w:rFonts w:ascii="Verdana" w:cs="Verdana" w:eastAsia="Verdana" w:hAnsi="Verdana"/>
                <w:sz w:val="13"/>
                <w:szCs w:val="13"/>
                <w:b w:val="1"/>
                <w:bCs w:val="1"/>
                <w:color w:val="auto"/>
                <w:w w:val="92"/>
              </w:rPr>
              <w:t>As of</w:t>
            </w:r>
          </w:p>
        </w:tc>
      </w:tr>
      <w:tr>
        <w:trPr>
          <w:trHeight w:val="170"/>
        </w:trPr>
        <w:tc>
          <w:tcPr>
            <w:tcW w:w="9620" w:type="dxa"/>
            <w:vAlign w:val="bottom"/>
            <w:tcBorders>
              <w:bottom w:val="single" w:sz="8" w:color="E0E7ED"/>
            </w:tcBorders>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3"/>
                <w:szCs w:val="13"/>
                <w:b w:val="1"/>
                <w:bCs w:val="1"/>
                <w:color w:val="auto"/>
                <w:w w:val="96"/>
              </w:rPr>
              <w:t>December 31, 2023</w:t>
            </w:r>
          </w:p>
        </w:tc>
      </w:tr>
      <w:tr>
        <w:trPr>
          <w:trHeight w:val="255"/>
        </w:trPr>
        <w:tc>
          <w:tcPr>
            <w:tcW w:w="9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 gains (losses) in OCI expected to be recognized in income</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r>
      <w:tr>
        <w:trPr>
          <w:trHeight w:val="263"/>
        </w:trPr>
        <w:tc>
          <w:tcPr>
            <w:tcW w:w="9620" w:type="dxa"/>
            <w:vAlign w:val="bottom"/>
          </w:tcPr>
          <w:p>
            <w:pPr>
              <w:ind w:left="180"/>
              <w:spacing w:after="0"/>
              <w:rPr>
                <w:sz w:val="20"/>
                <w:szCs w:val="20"/>
                <w:color w:val="auto"/>
              </w:rPr>
            </w:pPr>
            <w:r>
              <w:rPr>
                <w:rFonts w:ascii="Verdana" w:cs="Verdana" w:eastAsia="Verdana" w:hAnsi="Verdana"/>
                <w:sz w:val="18"/>
                <w:szCs w:val="18"/>
                <w:color w:val="auto"/>
              </w:rPr>
              <w:t>Unrealized losses expected to be reclassified from OCI to interest income</w:t>
            </w:r>
          </w:p>
        </w:tc>
        <w:tc>
          <w:tcPr>
            <w:tcW w:w="380" w:type="dxa"/>
            <w:vAlign w:val="bottom"/>
          </w:tcPr>
          <w:p>
            <w:pPr>
              <w:jc w:val="right"/>
              <w:ind w:right="159"/>
              <w:spacing w:after="0"/>
              <w:rPr>
                <w:sz w:val="20"/>
                <w:szCs w:val="20"/>
                <w:color w:val="auto"/>
              </w:rPr>
            </w:pPr>
            <w:r>
              <w:rPr>
                <w:rFonts w:ascii="Verdana" w:cs="Verdana" w:eastAsia="Verdana" w:hAnsi="Verdana"/>
                <w:sz w:val="18"/>
                <w:szCs w:val="18"/>
                <w:color w:val="auto"/>
              </w:rPr>
              <w:t>$</w:t>
            </w:r>
          </w:p>
        </w:tc>
        <w:tc>
          <w:tcPr>
            <w:tcW w:w="1240" w:type="dxa"/>
            <w:vAlign w:val="bottom"/>
          </w:tcPr>
          <w:p>
            <w:pPr>
              <w:jc w:val="center"/>
              <w:ind w:left="597"/>
              <w:spacing w:after="0"/>
              <w:rPr>
                <w:sz w:val="20"/>
                <w:szCs w:val="20"/>
                <w:color w:val="auto"/>
              </w:rPr>
            </w:pPr>
            <w:r>
              <w:rPr>
                <w:rFonts w:ascii="Verdana" w:cs="Verdana" w:eastAsia="Verdana" w:hAnsi="Verdana"/>
                <w:sz w:val="18"/>
                <w:szCs w:val="18"/>
                <w:color w:val="auto"/>
              </w:rPr>
              <w:t>(952)</w:t>
            </w:r>
          </w:p>
        </w:tc>
      </w:tr>
      <w:tr>
        <w:trPr>
          <w:trHeight w:val="270"/>
        </w:trPr>
        <w:tc>
          <w:tcPr>
            <w:tcW w:w="9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gains expected to be reclassified from OCI to interest expense</w:t>
            </w:r>
          </w:p>
        </w:tc>
        <w:tc>
          <w:tcPr>
            <w:tcW w:w="3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center"/>
              <w:ind w:left="637"/>
              <w:spacing w:after="0"/>
              <w:rPr>
                <w:sz w:val="20"/>
                <w:szCs w:val="20"/>
                <w:color w:val="auto"/>
              </w:rPr>
            </w:pPr>
            <w:r>
              <w:rPr>
                <w:rFonts w:ascii="Verdana" w:cs="Verdana" w:eastAsia="Verdana" w:hAnsi="Verdana"/>
                <w:sz w:val="18"/>
                <w:szCs w:val="18"/>
                <w:color w:val="auto"/>
              </w:rPr>
              <w:t>483</w:t>
            </w:r>
          </w:p>
        </w:tc>
      </w:tr>
      <w:tr>
        <w:trPr>
          <w:trHeight w:val="270"/>
        </w:trPr>
        <w:tc>
          <w:tcPr>
            <w:tcW w:w="9620" w:type="dxa"/>
            <w:vAlign w:val="bottom"/>
          </w:tcPr>
          <w:p>
            <w:pPr>
              <w:ind w:left="20"/>
              <w:spacing w:after="0"/>
              <w:rPr>
                <w:sz w:val="20"/>
                <w:szCs w:val="20"/>
                <w:color w:val="auto"/>
              </w:rPr>
            </w:pPr>
            <w:r>
              <w:rPr>
                <w:rFonts w:ascii="Verdana" w:cs="Verdana" w:eastAsia="Verdana" w:hAnsi="Verdana"/>
                <w:sz w:val="18"/>
                <w:szCs w:val="18"/>
                <w:color w:val="auto"/>
              </w:rPr>
              <w:t>Net unrealized gains (losses) in OCI expected to be recognized in net interest income</w:t>
            </w:r>
          </w:p>
        </w:tc>
        <w:tc>
          <w:tcPr>
            <w:tcW w:w="380" w:type="dxa"/>
            <w:vAlign w:val="bottom"/>
            <w:tcBorders>
              <w:bottom w:val="single" w:sz="8" w:color="auto"/>
            </w:tcBorders>
          </w:tcPr>
          <w:p>
            <w:pPr>
              <w:jc w:val="right"/>
              <w:ind w:right="159"/>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center"/>
              <w:ind w:left="597"/>
              <w:spacing w:after="0"/>
              <w:rPr>
                <w:sz w:val="20"/>
                <w:szCs w:val="20"/>
                <w:color w:val="auto"/>
              </w:rPr>
            </w:pPr>
            <w:r>
              <w:rPr>
                <w:rFonts w:ascii="Verdana" w:cs="Verdana" w:eastAsia="Verdana" w:hAnsi="Verdana"/>
                <w:sz w:val="18"/>
                <w:szCs w:val="18"/>
                <w:color w:val="auto"/>
              </w:rPr>
              <w:t>(469)</w:t>
            </w:r>
          </w:p>
        </w:tc>
      </w:tr>
      <w:tr>
        <w:trPr>
          <w:trHeight w:val="20"/>
        </w:trPr>
        <w:tc>
          <w:tcPr>
            <w:tcW w:w="9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Interest income (expense) recorded on swap transactions was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1"/>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Interest on swap transactions</w:t>
            </w:r>
          </w:p>
        </w:tc>
        <w:tc>
          <w:tcPr>
            <w:tcW w:w="3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Increase (decrease) in interest income on swap transactions</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(10,326)</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(553)</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(Increase) decrease in interest expense on swap transactions</w:t>
            </w: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1,757</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(30)</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(1,067)</w:t>
            </w:r>
          </w:p>
        </w:tc>
      </w:tr>
      <w:tr>
        <w:trPr>
          <w:trHeight w:val="257"/>
        </w:trPr>
        <w:tc>
          <w:tcPr>
            <w:tcW w:w="6600" w:type="dxa"/>
            <w:vAlign w:val="bottom"/>
            <w:gridSpan w:val="2"/>
          </w:tcPr>
          <w:p>
            <w:pPr>
              <w:jc w:val="right"/>
              <w:ind w:right="150"/>
              <w:spacing w:after="0"/>
              <w:rPr>
                <w:sz w:val="20"/>
                <w:szCs w:val="20"/>
                <w:color w:val="auto"/>
              </w:rPr>
            </w:pPr>
            <w:r>
              <w:rPr>
                <w:rFonts w:ascii="Verdana" w:cs="Verdana" w:eastAsia="Verdana" w:hAnsi="Verdana"/>
                <w:sz w:val="18"/>
                <w:szCs w:val="18"/>
                <w:color w:val="auto"/>
                <w:w w:val="99"/>
              </w:rPr>
              <w:t>Net increase (decrease) in net interest income on swap transactions $</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(8,569)</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(583)</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(1,067)</w:t>
            </w:r>
          </w:p>
        </w:tc>
      </w:tr>
    </w:tbl>
    <w:p>
      <w:pPr>
        <w:spacing w:after="0" w:line="27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 reflects the net gains (losses) recorded in AOCI and the </w:t>
      </w:r>
      <w:r>
        <w:rPr>
          <w:rFonts w:ascii="Verdana" w:cs="Verdana" w:eastAsia="Verdana" w:hAnsi="Verdana"/>
          <w:sz w:val="18"/>
          <w:szCs w:val="18"/>
          <w:u w:val="single" w:color="auto"/>
          <w:color w:val="0000FF"/>
        </w:rPr>
        <w:t>Consolidated Statements of Comprehensive</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Income</w:t>
      </w:r>
      <w:r>
        <w:rPr>
          <w:rFonts w:ascii="Verdana" w:cs="Verdana" w:eastAsia="Verdana" w:hAnsi="Verdana"/>
          <w:sz w:val="18"/>
          <w:szCs w:val="18"/>
          <w:color w:val="0000FF"/>
        </w:rPr>
        <w:t xml:space="preserve"> </w:t>
      </w:r>
      <w:r>
        <w:rPr>
          <w:rFonts w:ascii="Verdana" w:cs="Verdana" w:eastAsia="Verdana" w:hAnsi="Verdana"/>
          <w:sz w:val="18"/>
          <w:szCs w:val="18"/>
          <w:color w:val="000000"/>
        </w:rPr>
        <w:t>relating to cash flow derivative instruments for the periods presented</w:t>
      </w:r>
      <w:r>
        <w:rPr>
          <w:rFonts w:ascii="Verdana" w:cs="Verdana" w:eastAsia="Verdana" w:hAnsi="Verdana"/>
          <w:sz w:val="18"/>
          <w:szCs w:val="18"/>
          <w:color w:val="0000FF"/>
        </w:rPr>
        <w:t xml:space="preserve"> </w:t>
      </w:r>
      <w:r>
        <w:rPr>
          <w:rFonts w:ascii="Verdana" w:cs="Verdana" w:eastAsia="Verdana" w:hAnsi="Verdana"/>
          <w:sz w:val="18"/>
          <w:szCs w:val="18"/>
          <w:i w:val="1"/>
          <w:iCs w:val="1"/>
          <w:color w:val="000000"/>
        </w:rPr>
        <w:t>(dollars in thousands)</w:t>
      </w:r>
      <w:r>
        <w:rPr>
          <w:rFonts w:ascii="Verdana" w:cs="Verdana" w:eastAsia="Verdana" w:hAnsi="Verdana"/>
          <w:sz w:val="18"/>
          <w:szCs w:val="18"/>
          <w:color w:val="000000"/>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rPr>
              <w:t>Years Ended 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9"/>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2021</w:t>
            </w:r>
          </w:p>
        </w:tc>
        <w:tc>
          <w:tcPr>
            <w:tcW w:w="0" w:type="dxa"/>
            <w:vAlign w:val="bottom"/>
          </w:tcPr>
          <w:p>
            <w:pPr>
              <w:spacing w:after="0"/>
              <w:rPr>
                <w:sz w:val="1"/>
                <w:szCs w:val="1"/>
                <w:color w:val="auto"/>
              </w:rPr>
            </w:pP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 gains (losses) on cash flow hedges</w:t>
            </w:r>
          </w:p>
        </w:tc>
        <w:tc>
          <w:tcPr>
            <w:tcW w:w="3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Net gain (loss) recognized in OCI, net of tax</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center"/>
              <w:ind w:left="419"/>
              <w:spacing w:after="0"/>
              <w:rPr>
                <w:sz w:val="20"/>
                <w:szCs w:val="20"/>
                <w:color w:val="auto"/>
              </w:rPr>
            </w:pPr>
            <w:r>
              <w:rPr>
                <w:rFonts w:ascii="Verdana" w:cs="Verdana" w:eastAsia="Verdana" w:hAnsi="Verdana"/>
                <w:sz w:val="18"/>
                <w:szCs w:val="18"/>
                <w:color w:val="auto"/>
              </w:rPr>
              <w:t>(1,835)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(20,717)</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736</w:t>
            </w:r>
          </w:p>
        </w:tc>
        <w:tc>
          <w:tcPr>
            <w:tcW w:w="0" w:type="dxa"/>
            <w:vAlign w:val="bottom"/>
          </w:tcPr>
          <w:p>
            <w:pPr>
              <w:spacing w:after="0"/>
              <w:rPr>
                <w:sz w:val="1"/>
                <w:szCs w:val="1"/>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(Gain) loss reclassified from OCI to interest income, net of tax</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center"/>
              <w:ind w:left="439"/>
              <w:spacing w:after="0"/>
              <w:rPr>
                <w:sz w:val="20"/>
                <w:szCs w:val="20"/>
                <w:color w:val="auto"/>
              </w:rPr>
            </w:pPr>
            <w:r>
              <w:rPr>
                <w:rFonts w:ascii="Verdana" w:cs="Verdana" w:eastAsia="Verdana" w:hAnsi="Verdana"/>
                <w:sz w:val="18"/>
                <w:szCs w:val="18"/>
                <w:color w:val="auto"/>
                <w:w w:val="99"/>
              </w:rPr>
              <w:t>7,382</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395</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63"/>
        </w:trPr>
        <w:tc>
          <w:tcPr>
            <w:tcW w:w="62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(Gain) loss reclassified from OCI to interest expense, net of tax</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left="419"/>
              <w:spacing w:after="0"/>
              <w:rPr>
                <w:sz w:val="20"/>
                <w:szCs w:val="20"/>
                <w:color w:val="auto"/>
              </w:rPr>
            </w:pPr>
            <w:r>
              <w:rPr>
                <w:rFonts w:ascii="Verdana" w:cs="Verdana" w:eastAsia="Verdana" w:hAnsi="Verdana"/>
                <w:sz w:val="18"/>
                <w:szCs w:val="18"/>
                <w:color w:val="auto"/>
              </w:rPr>
              <w:t>(1,256)</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22</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763</w:t>
            </w:r>
          </w:p>
        </w:tc>
        <w:tc>
          <w:tcPr>
            <w:tcW w:w="0" w:type="dxa"/>
            <w:vAlign w:val="bottom"/>
          </w:tcPr>
          <w:p>
            <w:pPr>
              <w:spacing w:after="0"/>
              <w:rPr>
                <w:sz w:val="1"/>
                <w:szCs w:val="1"/>
                <w:color w:val="auto"/>
              </w:rPr>
            </w:pPr>
          </w:p>
        </w:tc>
      </w:tr>
      <w:tr>
        <w:trPr>
          <w:trHeight w:val="224"/>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change in unrealized gains (losses) on cash flow hedges, net of</w:t>
            </w:r>
          </w:p>
        </w:tc>
        <w:tc>
          <w:tcPr>
            <w:tcW w:w="360" w:type="dxa"/>
            <w:vAlign w:val="bottom"/>
            <w:vMerge w:val="restart"/>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vMerge w:val="restart"/>
            <w:shd w:val="clear" w:color="auto" w:fill="E0E7ED"/>
          </w:tcPr>
          <w:p>
            <w:pPr>
              <w:jc w:val="center"/>
              <w:ind w:left="439"/>
              <w:spacing w:after="0"/>
              <w:rPr>
                <w:sz w:val="20"/>
                <w:szCs w:val="20"/>
                <w:color w:val="auto"/>
              </w:rPr>
            </w:pPr>
            <w:r>
              <w:rPr>
                <w:rFonts w:ascii="Verdana" w:cs="Verdana" w:eastAsia="Verdana" w:hAnsi="Verdana"/>
                <w:sz w:val="18"/>
                <w:szCs w:val="18"/>
                <w:color w:val="auto"/>
                <w:w w:val="99"/>
              </w:rPr>
              <w:t>4,291</w:t>
            </w:r>
          </w:p>
        </w:tc>
        <w:tc>
          <w:tcPr>
            <w:tcW w:w="100" w:type="dxa"/>
            <w:vAlign w:val="bottom"/>
            <w:shd w:val="clear" w:color="auto" w:fill="E0E7ED"/>
          </w:tcPr>
          <w:p>
            <w:pPr>
              <w:spacing w:after="0"/>
              <w:rPr>
                <w:sz w:val="19"/>
                <w:szCs w:val="19"/>
                <w:color w:val="auto"/>
              </w:rPr>
            </w:pPr>
          </w:p>
        </w:tc>
        <w:tc>
          <w:tcPr>
            <w:tcW w:w="380" w:type="dxa"/>
            <w:vAlign w:val="bottom"/>
            <w:vMerge w:val="restart"/>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(20,300)</w:t>
            </w:r>
          </w:p>
        </w:tc>
        <w:tc>
          <w:tcPr>
            <w:tcW w:w="100" w:type="dxa"/>
            <w:vAlign w:val="bottom"/>
            <w:shd w:val="clear" w:color="auto" w:fill="E0E7ED"/>
          </w:tcPr>
          <w:p>
            <w:pPr>
              <w:spacing w:after="0"/>
              <w:rPr>
                <w:sz w:val="19"/>
                <w:szCs w:val="19"/>
                <w:color w:val="auto"/>
              </w:rPr>
            </w:pPr>
          </w:p>
        </w:tc>
        <w:tc>
          <w:tcPr>
            <w:tcW w:w="380" w:type="dxa"/>
            <w:vAlign w:val="bottom"/>
            <w:vMerge w:val="restart"/>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vMerge w:val="restart"/>
            <w:shd w:val="clear" w:color="auto" w:fill="E0E7ED"/>
          </w:tcPr>
          <w:p>
            <w:pPr>
              <w:jc w:val="right"/>
              <w:ind w:right="15"/>
              <w:spacing w:after="0"/>
              <w:rPr>
                <w:sz w:val="20"/>
                <w:szCs w:val="20"/>
                <w:color w:val="auto"/>
              </w:rPr>
            </w:pPr>
            <w:r>
              <w:rPr>
                <w:rFonts w:ascii="Verdana" w:cs="Verdana" w:eastAsia="Verdana" w:hAnsi="Verdana"/>
                <w:sz w:val="18"/>
                <w:szCs w:val="18"/>
                <w:color w:val="auto"/>
              </w:rPr>
              <w:t>1,499</w:t>
            </w:r>
          </w:p>
        </w:tc>
        <w:tc>
          <w:tcPr>
            <w:tcW w:w="0" w:type="dxa"/>
            <w:vAlign w:val="bottom"/>
          </w:tcPr>
          <w:p>
            <w:pPr>
              <w:spacing w:after="0"/>
              <w:rPr>
                <w:sz w:val="1"/>
                <w:szCs w:val="1"/>
                <w:color w:val="auto"/>
              </w:rPr>
            </w:pPr>
          </w:p>
        </w:tc>
      </w:tr>
      <w:tr>
        <w:trPr>
          <w:trHeight w:val="241"/>
        </w:trPr>
        <w:tc>
          <w:tcPr>
            <w:tcW w:w="62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tax</w:t>
            </w:r>
          </w:p>
        </w:tc>
        <w:tc>
          <w:tcPr>
            <w:tcW w:w="36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80" w:type="dxa"/>
            <w:vAlign w:val="bottom"/>
            <w:tcBorders>
              <w:bottom w:val="single" w:sz="8" w:color="auto"/>
            </w:tcBorders>
            <w:vMerge w:val="continue"/>
            <w:shd w:val="clear" w:color="auto" w:fill="E0E7ED"/>
          </w:tcPr>
          <w:p>
            <w:pPr>
              <w:spacing w:after="0"/>
              <w:rPr>
                <w:sz w:val="20"/>
                <w:szCs w:val="20"/>
                <w:color w:val="auto"/>
              </w:rPr>
            </w:pPr>
          </w:p>
        </w:tc>
        <w:tc>
          <w:tcPr>
            <w:tcW w:w="122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80" w:type="dxa"/>
            <w:vAlign w:val="bottom"/>
            <w:tcBorders>
              <w:bottom w:val="single" w:sz="8" w:color="auto"/>
            </w:tcBorders>
            <w:vMerge w:val="continue"/>
            <w:shd w:val="clear" w:color="auto" w:fill="E0E7ED"/>
          </w:tcPr>
          <w:p>
            <w:pPr>
              <w:spacing w:after="0"/>
              <w:rPr>
                <w:sz w:val="20"/>
                <w:szCs w:val="20"/>
                <w:color w:val="auto"/>
              </w:rPr>
            </w:pPr>
          </w:p>
        </w:tc>
        <w:tc>
          <w:tcPr>
            <w:tcW w:w="12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6" w:name="page157"/>
    <w:bookmarkEnd w:id="15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Derivative Instruments Not Designated as Hedges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Swaps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may offer derivative contracts to its customers in connection with their risk management needs. Busey manages the risk associated with these contracts by entering into equal and offsetting derivative agreements with a third-party dealer. These contracts supported variable rate, commercial loan relationships totaling $663.1 million and $576.9 million as of December 31, 2023, and 2022, respectively. These derivatives generally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7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Amounts and fair values of derivative assets and liabilities related to customer interest rate swaps, included in other assets and other liabilities in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xml:space="preserve">,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180"/>
              <w:spacing w:after="0"/>
              <w:rPr>
                <w:sz w:val="20"/>
                <w:szCs w:val="20"/>
                <w:color w:val="auto"/>
              </w:rPr>
            </w:pPr>
            <w:r>
              <w:rPr>
                <w:rFonts w:ascii="Verdana" w:cs="Verdana" w:eastAsia="Verdana" w:hAnsi="Verdana"/>
                <w:sz w:val="13"/>
                <w:szCs w:val="13"/>
                <w:b w:val="1"/>
                <w:bCs w:val="1"/>
                <w:color w:val="auto"/>
              </w:rPr>
              <w:t>As of December 31, 2023</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40"/>
              <w:spacing w:after="0"/>
              <w:rPr>
                <w:sz w:val="20"/>
                <w:szCs w:val="20"/>
                <w:color w:val="auto"/>
              </w:rPr>
            </w:pPr>
            <w:r>
              <w:rPr>
                <w:rFonts w:ascii="Verdana" w:cs="Verdana" w:eastAsia="Verdana" w:hAnsi="Verdana"/>
                <w:sz w:val="13"/>
                <w:szCs w:val="13"/>
                <w:b w:val="1"/>
                <w:bCs w:val="1"/>
                <w:color w:val="auto"/>
                <w:w w:val="98"/>
              </w:rPr>
              <w:t>Derivative Asset</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901"/>
              <w:spacing w:after="0"/>
              <w:rPr>
                <w:sz w:val="20"/>
                <w:szCs w:val="20"/>
                <w:color w:val="auto"/>
              </w:rPr>
            </w:pPr>
            <w:r>
              <w:rPr>
                <w:rFonts w:ascii="Verdana" w:cs="Verdana" w:eastAsia="Verdana" w:hAnsi="Verdana"/>
                <w:sz w:val="13"/>
                <w:szCs w:val="13"/>
                <w:b w:val="1"/>
                <w:bCs w:val="1"/>
                <w:color w:val="auto"/>
              </w:rPr>
              <w:t>Derivative Liability</w:t>
            </w:r>
          </w:p>
        </w:tc>
        <w:tc>
          <w:tcPr>
            <w:tcW w:w="0" w:type="dxa"/>
            <w:vAlign w:val="bottom"/>
          </w:tcPr>
          <w:p>
            <w:pPr>
              <w:spacing w:after="0"/>
              <w:rPr>
                <w:sz w:val="1"/>
                <w:szCs w:val="1"/>
                <w:color w:val="auto"/>
              </w:rPr>
            </w:pPr>
          </w:p>
        </w:tc>
      </w:tr>
      <w:tr>
        <w:trPr>
          <w:trHeight w:val="120"/>
        </w:trPr>
        <w:tc>
          <w:tcPr>
            <w:tcW w:w="4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2"/>
          </w:tcPr>
          <w:p>
            <w:pPr>
              <w:ind w:left="180"/>
              <w:spacing w:after="0" w:line="120" w:lineRule="exact"/>
              <w:rPr>
                <w:sz w:val="20"/>
                <w:szCs w:val="20"/>
                <w:color w:val="auto"/>
              </w:rPr>
            </w:pPr>
            <w:r>
              <w:rPr>
                <w:rFonts w:ascii="Verdana" w:cs="Verdana" w:eastAsia="Verdana" w:hAnsi="Verdana"/>
                <w:sz w:val="13"/>
                <w:szCs w:val="13"/>
                <w:b w:val="1"/>
                <w:bCs w:val="1"/>
                <w:color w:val="auto"/>
              </w:rPr>
              <w:t>Notional</w:t>
            </w:r>
          </w:p>
        </w:tc>
        <w:tc>
          <w:tcPr>
            <w:tcW w:w="560" w:type="dxa"/>
            <w:vAlign w:val="bottom"/>
          </w:tcPr>
          <w:p>
            <w:pPr>
              <w:spacing w:after="0"/>
              <w:rPr>
                <w:sz w:val="10"/>
                <w:szCs w:val="10"/>
                <w:color w:val="auto"/>
              </w:rPr>
            </w:pPr>
          </w:p>
        </w:tc>
        <w:tc>
          <w:tcPr>
            <w:tcW w:w="1040" w:type="dxa"/>
            <w:vAlign w:val="bottom"/>
          </w:tcPr>
          <w:p>
            <w:pPr>
              <w:jc w:val="center"/>
              <w:ind w:right="484"/>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2"/>
          </w:tcPr>
          <w:p>
            <w:pPr>
              <w:ind w:left="200"/>
              <w:spacing w:after="0" w:line="120" w:lineRule="exact"/>
              <w:rPr>
                <w:sz w:val="20"/>
                <w:szCs w:val="20"/>
                <w:color w:val="auto"/>
              </w:rPr>
            </w:pPr>
            <w:r>
              <w:rPr>
                <w:rFonts w:ascii="Verdana" w:cs="Verdana" w:eastAsia="Verdana" w:hAnsi="Verdana"/>
                <w:sz w:val="13"/>
                <w:szCs w:val="13"/>
                <w:b w:val="1"/>
                <w:bCs w:val="1"/>
                <w:color w:val="auto"/>
              </w:rPr>
              <w:t>Notional</w:t>
            </w:r>
          </w:p>
        </w:tc>
        <w:tc>
          <w:tcPr>
            <w:tcW w:w="380" w:type="dxa"/>
            <w:vAlign w:val="bottom"/>
          </w:tcPr>
          <w:p>
            <w:pPr>
              <w:spacing w:after="0"/>
              <w:rPr>
                <w:sz w:val="10"/>
                <w:szCs w:val="10"/>
                <w:color w:val="auto"/>
              </w:rPr>
            </w:pPr>
          </w:p>
        </w:tc>
        <w:tc>
          <w:tcPr>
            <w:tcW w:w="1220" w:type="dxa"/>
            <w:vAlign w:val="bottom"/>
          </w:tcPr>
          <w:p>
            <w:pPr>
              <w:jc w:val="center"/>
              <w:ind w:right="301"/>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170"/>
        </w:trPr>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Amount</w:t>
            </w:r>
          </w:p>
        </w:tc>
        <w:tc>
          <w:tcPr>
            <w:tcW w:w="560" w:type="dxa"/>
            <w:vAlign w:val="bottom"/>
          </w:tcPr>
          <w:p>
            <w:pPr>
              <w:spacing w:after="0"/>
              <w:rPr>
                <w:sz w:val="14"/>
                <w:szCs w:val="14"/>
                <w:color w:val="auto"/>
              </w:rPr>
            </w:pPr>
          </w:p>
        </w:tc>
        <w:tc>
          <w:tcPr>
            <w:tcW w:w="1120" w:type="dxa"/>
            <w:vAlign w:val="bottom"/>
            <w:gridSpan w:val="2"/>
          </w:tcPr>
          <w:p>
            <w:pPr>
              <w:jc w:val="center"/>
              <w:ind w:right="640"/>
              <w:spacing w:after="0"/>
              <w:rPr>
                <w:sz w:val="20"/>
                <w:szCs w:val="20"/>
                <w:color w:val="auto"/>
              </w:rPr>
            </w:pPr>
            <w:r>
              <w:rPr>
                <w:rFonts w:ascii="Verdana" w:cs="Verdana" w:eastAsia="Verdana" w:hAnsi="Verdana"/>
                <w:sz w:val="13"/>
                <w:szCs w:val="13"/>
                <w:b w:val="1"/>
                <w:bCs w:val="1"/>
                <w:color w:val="auto"/>
                <w:w w:val="97"/>
              </w:rPr>
              <w:t>Value</w:t>
            </w:r>
          </w:p>
        </w:tc>
        <w:tc>
          <w:tcPr>
            <w:tcW w:w="3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Verdana" w:cs="Verdana" w:eastAsia="Verdana" w:hAnsi="Verdana"/>
                <w:sz w:val="13"/>
                <w:szCs w:val="13"/>
                <w:b w:val="1"/>
                <w:bCs w:val="1"/>
                <w:color w:val="auto"/>
              </w:rPr>
              <w:t>Amount</w:t>
            </w:r>
          </w:p>
        </w:tc>
        <w:tc>
          <w:tcPr>
            <w:tcW w:w="380" w:type="dxa"/>
            <w:vAlign w:val="bottom"/>
          </w:tcPr>
          <w:p>
            <w:pPr>
              <w:spacing w:after="0"/>
              <w:rPr>
                <w:sz w:val="14"/>
                <w:szCs w:val="14"/>
                <w:color w:val="auto"/>
              </w:rPr>
            </w:pPr>
          </w:p>
        </w:tc>
        <w:tc>
          <w:tcPr>
            <w:tcW w:w="1220" w:type="dxa"/>
            <w:vAlign w:val="bottom"/>
          </w:tcPr>
          <w:p>
            <w:pPr>
              <w:jc w:val="center"/>
              <w:ind w:right="301"/>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Derivatives not designated as hedging</w:t>
            </w:r>
          </w:p>
        </w:tc>
        <w:tc>
          <w:tcPr>
            <w:tcW w:w="32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560" w:type="dxa"/>
            <w:vAlign w:val="bottom"/>
            <w:tcBorders>
              <w:top w:val="single" w:sz="8" w:color="auto"/>
            </w:tcBorders>
            <w:shd w:val="clear" w:color="auto" w:fill="E0E7ED"/>
          </w:tcPr>
          <w:p>
            <w:pPr>
              <w:spacing w:after="0"/>
              <w:rPr>
                <w:sz w:val="19"/>
                <w:szCs w:val="19"/>
                <w:color w:val="auto"/>
              </w:rPr>
            </w:pPr>
          </w:p>
        </w:tc>
        <w:tc>
          <w:tcPr>
            <w:tcW w:w="10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8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instruments</w:t>
            </w: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56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80" w:type="dxa"/>
            <w:vAlign w:val="bottom"/>
            <w:gridSpan w:val="2"/>
          </w:tcPr>
          <w:p>
            <w:pPr>
              <w:ind w:left="180"/>
              <w:spacing w:after="0"/>
              <w:rPr>
                <w:sz w:val="20"/>
                <w:szCs w:val="20"/>
                <w:color w:val="auto"/>
              </w:rPr>
            </w:pPr>
            <w:r>
              <w:rPr>
                <w:rFonts w:ascii="Verdana" w:cs="Verdana" w:eastAsia="Verdana" w:hAnsi="Verdana"/>
                <w:sz w:val="18"/>
                <w:szCs w:val="18"/>
                <w:color w:val="auto"/>
              </w:rPr>
              <w:t>Interest rate swaps – pay floating, receive fixed $</w:t>
            </w:r>
          </w:p>
        </w:tc>
        <w:tc>
          <w:tcPr>
            <w:tcW w:w="1280" w:type="dxa"/>
            <w:vAlign w:val="bottom"/>
          </w:tcPr>
          <w:p>
            <w:pPr>
              <w:jc w:val="right"/>
              <w:ind w:right="4"/>
              <w:spacing w:after="0"/>
              <w:rPr>
                <w:sz w:val="20"/>
                <w:szCs w:val="20"/>
                <w:color w:val="auto"/>
              </w:rPr>
            </w:pPr>
            <w:r>
              <w:rPr>
                <w:rFonts w:ascii="Verdana" w:cs="Verdana" w:eastAsia="Verdana" w:hAnsi="Verdana"/>
                <w:sz w:val="18"/>
                <w:szCs w:val="18"/>
                <w:color w:val="auto"/>
              </w:rPr>
              <w:t>177,883</w:t>
            </w:r>
          </w:p>
        </w:tc>
        <w:tc>
          <w:tcPr>
            <w:tcW w:w="100" w:type="dxa"/>
            <w:vAlign w:val="bottom"/>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24"/>
              <w:spacing w:after="0"/>
              <w:rPr>
                <w:sz w:val="20"/>
                <w:szCs w:val="20"/>
                <w:color w:val="auto"/>
              </w:rPr>
            </w:pPr>
            <w:r>
              <w:rPr>
                <w:rFonts w:ascii="Verdana" w:cs="Verdana" w:eastAsia="Verdana" w:hAnsi="Verdana"/>
                <w:sz w:val="18"/>
                <w:szCs w:val="18"/>
                <w:color w:val="auto"/>
              </w:rPr>
              <w:t>2,375</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ind w:right="24"/>
              <w:spacing w:after="0"/>
              <w:rPr>
                <w:sz w:val="20"/>
                <w:szCs w:val="20"/>
                <w:color w:val="auto"/>
              </w:rPr>
            </w:pPr>
            <w:r>
              <w:rPr>
                <w:rFonts w:ascii="Verdana" w:cs="Verdana" w:eastAsia="Verdana" w:hAnsi="Verdana"/>
                <w:sz w:val="18"/>
                <w:szCs w:val="18"/>
                <w:color w:val="auto"/>
              </w:rPr>
              <w:t>485,253</w:t>
            </w:r>
          </w:p>
        </w:tc>
        <w:tc>
          <w:tcPr>
            <w:tcW w:w="8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
              <w:spacing w:after="0"/>
              <w:rPr>
                <w:sz w:val="20"/>
                <w:szCs w:val="20"/>
                <w:color w:val="auto"/>
              </w:rPr>
            </w:pPr>
            <w:r>
              <w:rPr>
                <w:rFonts w:ascii="Verdana" w:cs="Verdana" w:eastAsia="Verdana" w:hAnsi="Verdana"/>
                <w:sz w:val="18"/>
                <w:szCs w:val="18"/>
                <w:color w:val="auto"/>
              </w:rPr>
              <w:t>26,289</w:t>
            </w:r>
          </w:p>
        </w:tc>
        <w:tc>
          <w:tcPr>
            <w:tcW w:w="0" w:type="dxa"/>
            <w:vAlign w:val="bottom"/>
          </w:tcPr>
          <w:p>
            <w:pPr>
              <w:spacing w:after="0"/>
              <w:rPr>
                <w:sz w:val="1"/>
                <w:szCs w:val="1"/>
                <w:color w:val="auto"/>
              </w:rPr>
            </w:pPr>
          </w:p>
        </w:tc>
      </w:tr>
      <w:tr>
        <w:trPr>
          <w:trHeight w:val="277"/>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swaps – pay fixed, receive floating</w:t>
            </w:r>
          </w:p>
        </w:tc>
        <w:tc>
          <w:tcPr>
            <w:tcW w:w="32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ind w:right="4"/>
              <w:spacing w:after="0"/>
              <w:rPr>
                <w:sz w:val="20"/>
                <w:szCs w:val="20"/>
                <w:color w:val="auto"/>
              </w:rPr>
            </w:pPr>
            <w:r>
              <w:rPr>
                <w:rFonts w:ascii="Verdana" w:cs="Verdana" w:eastAsia="Verdana" w:hAnsi="Verdana"/>
                <w:sz w:val="18"/>
                <w:szCs w:val="18"/>
                <w:color w:val="auto"/>
              </w:rPr>
              <w:t>485,253</w:t>
            </w:r>
          </w:p>
        </w:tc>
        <w:tc>
          <w:tcPr>
            <w:tcW w:w="100" w:type="dxa"/>
            <w:vAlign w:val="bottom"/>
            <w:shd w:val="clear" w:color="auto" w:fill="E0E7ED"/>
          </w:tcPr>
          <w:p>
            <w:pPr>
              <w:spacing w:after="0"/>
              <w:rPr>
                <w:sz w:val="24"/>
                <w:szCs w:val="24"/>
                <w:color w:val="auto"/>
              </w:rPr>
            </w:pPr>
          </w:p>
        </w:tc>
        <w:tc>
          <w:tcPr>
            <w:tcW w:w="560" w:type="dxa"/>
            <w:vAlign w:val="bottom"/>
            <w:tcBorders>
              <w:bottom w:val="single" w:sz="8" w:color="auto"/>
            </w:tcBorders>
            <w:shd w:val="clear" w:color="auto" w:fill="E0E7ED"/>
          </w:tcPr>
          <w:p>
            <w:pPr>
              <w:spacing w:after="0"/>
              <w:rPr>
                <w:sz w:val="24"/>
                <w:szCs w:val="24"/>
                <w:color w:val="auto"/>
              </w:rPr>
            </w:pPr>
          </w:p>
        </w:tc>
        <w:tc>
          <w:tcPr>
            <w:tcW w:w="104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26,289</w:t>
            </w:r>
          </w:p>
        </w:tc>
        <w:tc>
          <w:tcPr>
            <w:tcW w:w="80" w:type="dxa"/>
            <w:vAlign w:val="bottom"/>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spacing w:after="0"/>
              <w:rPr>
                <w:sz w:val="24"/>
                <w:szCs w:val="24"/>
                <w:color w:val="auto"/>
              </w:rPr>
            </w:pPr>
          </w:p>
        </w:tc>
        <w:tc>
          <w:tcPr>
            <w:tcW w:w="130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177,883</w:t>
            </w:r>
          </w:p>
        </w:tc>
        <w:tc>
          <w:tcPr>
            <w:tcW w:w="80" w:type="dxa"/>
            <w:vAlign w:val="bottom"/>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2,375</w:t>
            </w:r>
          </w:p>
        </w:tc>
        <w:tc>
          <w:tcPr>
            <w:tcW w:w="0" w:type="dxa"/>
            <w:vAlign w:val="bottom"/>
          </w:tcPr>
          <w:p>
            <w:pPr>
              <w:spacing w:after="0"/>
              <w:rPr>
                <w:sz w:val="1"/>
                <w:szCs w:val="1"/>
                <w:color w:val="auto"/>
              </w:rPr>
            </w:pPr>
          </w:p>
        </w:tc>
      </w:tr>
      <w:tr>
        <w:trPr>
          <w:trHeight w:val="218"/>
        </w:trPr>
        <w:tc>
          <w:tcPr>
            <w:tcW w:w="4560" w:type="dxa"/>
            <w:vAlign w:val="bottom"/>
          </w:tcPr>
          <w:p>
            <w:pPr>
              <w:ind w:left="20"/>
              <w:spacing w:after="0" w:line="217" w:lineRule="exact"/>
              <w:rPr>
                <w:sz w:val="20"/>
                <w:szCs w:val="20"/>
                <w:color w:val="auto"/>
              </w:rPr>
            </w:pPr>
            <w:r>
              <w:rPr>
                <w:rFonts w:ascii="Verdana" w:cs="Verdana" w:eastAsia="Verdana" w:hAnsi="Verdana"/>
                <w:sz w:val="18"/>
                <w:szCs w:val="18"/>
                <w:color w:val="auto"/>
              </w:rPr>
              <w:t>Total derivatives not designated as hedging</w:t>
            </w:r>
          </w:p>
        </w:tc>
        <w:tc>
          <w:tcPr>
            <w:tcW w:w="320" w:type="dxa"/>
            <w:vAlign w:val="bottom"/>
            <w:vMerge w:val="restart"/>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vMerge w:val="restart"/>
          </w:tcPr>
          <w:p>
            <w:pPr>
              <w:jc w:val="right"/>
              <w:ind w:right="4"/>
              <w:spacing w:after="0"/>
              <w:rPr>
                <w:sz w:val="20"/>
                <w:szCs w:val="20"/>
                <w:color w:val="auto"/>
              </w:rPr>
            </w:pPr>
            <w:r>
              <w:rPr>
                <w:rFonts w:ascii="Verdana" w:cs="Verdana" w:eastAsia="Verdana" w:hAnsi="Verdana"/>
                <w:sz w:val="18"/>
                <w:szCs w:val="18"/>
                <w:color w:val="auto"/>
              </w:rPr>
              <w:t>663,136</w:t>
            </w:r>
          </w:p>
        </w:tc>
        <w:tc>
          <w:tcPr>
            <w:tcW w:w="100" w:type="dxa"/>
            <w:vAlign w:val="bottom"/>
          </w:tcPr>
          <w:p>
            <w:pPr>
              <w:spacing w:after="0"/>
              <w:rPr>
                <w:sz w:val="18"/>
                <w:szCs w:val="18"/>
                <w:color w:val="auto"/>
              </w:rPr>
            </w:pPr>
          </w:p>
        </w:tc>
        <w:tc>
          <w:tcPr>
            <w:tcW w:w="560" w:type="dxa"/>
            <w:vAlign w:val="bottom"/>
            <w:vMerge w:val="restart"/>
          </w:tcPr>
          <w:p>
            <w:pPr>
              <w:jc w:val="right"/>
              <w:ind w:right="330"/>
              <w:spacing w:after="0"/>
              <w:rPr>
                <w:sz w:val="20"/>
                <w:szCs w:val="20"/>
                <w:color w:val="auto"/>
              </w:rPr>
            </w:pPr>
            <w:r>
              <w:rPr>
                <w:rFonts w:ascii="Verdana" w:cs="Verdana" w:eastAsia="Verdana" w:hAnsi="Verdana"/>
                <w:sz w:val="18"/>
                <w:szCs w:val="18"/>
                <w:color w:val="auto"/>
              </w:rPr>
              <w:t>$</w:t>
            </w:r>
          </w:p>
        </w:tc>
        <w:tc>
          <w:tcPr>
            <w:tcW w:w="1040" w:type="dxa"/>
            <w:vAlign w:val="bottom"/>
            <w:vMerge w:val="restart"/>
          </w:tcPr>
          <w:p>
            <w:pPr>
              <w:jc w:val="right"/>
              <w:ind w:right="24"/>
              <w:spacing w:after="0"/>
              <w:rPr>
                <w:sz w:val="20"/>
                <w:szCs w:val="20"/>
                <w:color w:val="auto"/>
              </w:rPr>
            </w:pPr>
            <w:r>
              <w:rPr>
                <w:rFonts w:ascii="Verdana" w:cs="Verdana" w:eastAsia="Verdana" w:hAnsi="Verdana"/>
                <w:sz w:val="18"/>
                <w:szCs w:val="18"/>
                <w:color w:val="auto"/>
              </w:rPr>
              <w:t>28,664</w:t>
            </w:r>
          </w:p>
        </w:tc>
        <w:tc>
          <w:tcPr>
            <w:tcW w:w="80" w:type="dxa"/>
            <w:vAlign w:val="bottom"/>
          </w:tcPr>
          <w:p>
            <w:pPr>
              <w:spacing w:after="0"/>
              <w:rPr>
                <w:sz w:val="18"/>
                <w:szCs w:val="18"/>
                <w:color w:val="auto"/>
              </w:rPr>
            </w:pPr>
          </w:p>
        </w:tc>
        <w:tc>
          <w:tcPr>
            <w:tcW w:w="320" w:type="dxa"/>
            <w:vAlign w:val="bottom"/>
            <w:vMerge w:val="restart"/>
          </w:tcPr>
          <w:p>
            <w:pPr>
              <w:jc w:val="right"/>
              <w:ind w:right="90"/>
              <w:spacing w:after="0"/>
              <w:rPr>
                <w:sz w:val="20"/>
                <w:szCs w:val="20"/>
                <w:color w:val="auto"/>
              </w:rPr>
            </w:pPr>
            <w:r>
              <w:rPr>
                <w:rFonts w:ascii="Verdana" w:cs="Verdana" w:eastAsia="Verdana" w:hAnsi="Verdana"/>
                <w:sz w:val="18"/>
                <w:szCs w:val="18"/>
                <w:color w:val="auto"/>
              </w:rPr>
              <w:t>$</w:t>
            </w:r>
          </w:p>
        </w:tc>
        <w:tc>
          <w:tcPr>
            <w:tcW w:w="1300" w:type="dxa"/>
            <w:vAlign w:val="bottom"/>
            <w:vMerge w:val="restart"/>
          </w:tcPr>
          <w:p>
            <w:pPr>
              <w:jc w:val="right"/>
              <w:ind w:right="24"/>
              <w:spacing w:after="0"/>
              <w:rPr>
                <w:sz w:val="20"/>
                <w:szCs w:val="20"/>
                <w:color w:val="auto"/>
              </w:rPr>
            </w:pPr>
            <w:r>
              <w:rPr>
                <w:rFonts w:ascii="Verdana" w:cs="Verdana" w:eastAsia="Verdana" w:hAnsi="Verdana"/>
                <w:sz w:val="18"/>
                <w:szCs w:val="18"/>
                <w:color w:val="auto"/>
              </w:rPr>
              <w:t>663,136</w:t>
            </w:r>
          </w:p>
        </w:tc>
        <w:tc>
          <w:tcPr>
            <w:tcW w:w="80" w:type="dxa"/>
            <w:vAlign w:val="bottom"/>
          </w:tcPr>
          <w:p>
            <w:pPr>
              <w:spacing w:after="0"/>
              <w:rPr>
                <w:sz w:val="18"/>
                <w:szCs w:val="18"/>
                <w:color w:val="auto"/>
              </w:rPr>
            </w:pPr>
          </w:p>
        </w:tc>
        <w:tc>
          <w:tcPr>
            <w:tcW w:w="380" w:type="dxa"/>
            <w:vAlign w:val="bottom"/>
            <w:vMerge w:val="restart"/>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vMerge w:val="restart"/>
          </w:tcPr>
          <w:p>
            <w:pPr>
              <w:jc w:val="right"/>
              <w:ind w:right="1"/>
              <w:spacing w:after="0"/>
              <w:rPr>
                <w:sz w:val="20"/>
                <w:szCs w:val="20"/>
                <w:color w:val="auto"/>
              </w:rPr>
            </w:pPr>
            <w:r>
              <w:rPr>
                <w:rFonts w:ascii="Verdana" w:cs="Verdana" w:eastAsia="Verdana" w:hAnsi="Verdana"/>
                <w:sz w:val="18"/>
                <w:szCs w:val="18"/>
                <w:color w:val="auto"/>
              </w:rPr>
              <w:t>28,664</w:t>
            </w: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Verdana" w:cs="Verdana" w:eastAsia="Verdana" w:hAnsi="Verdana"/>
                <w:sz w:val="18"/>
                <w:szCs w:val="18"/>
                <w:color w:val="auto"/>
              </w:rPr>
              <w:t>instruments</w:t>
            </w:r>
          </w:p>
        </w:tc>
        <w:tc>
          <w:tcPr>
            <w:tcW w:w="3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4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180"/>
              <w:spacing w:after="0"/>
              <w:rPr>
                <w:sz w:val="20"/>
                <w:szCs w:val="20"/>
                <w:color w:val="auto"/>
              </w:rPr>
            </w:pPr>
            <w:r>
              <w:rPr>
                <w:rFonts w:ascii="Verdana" w:cs="Verdana" w:eastAsia="Verdana" w:hAnsi="Verdana"/>
                <w:sz w:val="13"/>
                <w:szCs w:val="13"/>
                <w:b w:val="1"/>
                <w:bCs w:val="1"/>
                <w:color w:val="auto"/>
              </w:rPr>
              <w:t>As of December 31, 2022</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40"/>
              <w:spacing w:after="0"/>
              <w:rPr>
                <w:sz w:val="20"/>
                <w:szCs w:val="20"/>
                <w:color w:val="auto"/>
              </w:rPr>
            </w:pPr>
            <w:r>
              <w:rPr>
                <w:rFonts w:ascii="Verdana" w:cs="Verdana" w:eastAsia="Verdana" w:hAnsi="Verdana"/>
                <w:sz w:val="13"/>
                <w:szCs w:val="13"/>
                <w:b w:val="1"/>
                <w:bCs w:val="1"/>
                <w:color w:val="auto"/>
                <w:w w:val="98"/>
              </w:rPr>
              <w:t>Derivative Asset</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901"/>
              <w:spacing w:after="0"/>
              <w:rPr>
                <w:sz w:val="20"/>
                <w:szCs w:val="20"/>
                <w:color w:val="auto"/>
              </w:rPr>
            </w:pPr>
            <w:r>
              <w:rPr>
                <w:rFonts w:ascii="Verdana" w:cs="Verdana" w:eastAsia="Verdana" w:hAnsi="Verdana"/>
                <w:sz w:val="13"/>
                <w:szCs w:val="13"/>
                <w:b w:val="1"/>
                <w:bCs w:val="1"/>
                <w:color w:val="auto"/>
              </w:rPr>
              <w:t>Derivative Liability</w:t>
            </w:r>
          </w:p>
        </w:tc>
        <w:tc>
          <w:tcPr>
            <w:tcW w:w="0" w:type="dxa"/>
            <w:vAlign w:val="bottom"/>
          </w:tcPr>
          <w:p>
            <w:pPr>
              <w:spacing w:after="0"/>
              <w:rPr>
                <w:sz w:val="1"/>
                <w:szCs w:val="1"/>
                <w:color w:val="auto"/>
              </w:rPr>
            </w:pPr>
          </w:p>
        </w:tc>
      </w:tr>
      <w:tr>
        <w:trPr>
          <w:trHeight w:val="120"/>
        </w:trPr>
        <w:tc>
          <w:tcPr>
            <w:tcW w:w="4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2"/>
          </w:tcPr>
          <w:p>
            <w:pPr>
              <w:ind w:left="180"/>
              <w:spacing w:after="0" w:line="120" w:lineRule="exact"/>
              <w:rPr>
                <w:sz w:val="20"/>
                <w:szCs w:val="20"/>
                <w:color w:val="auto"/>
              </w:rPr>
            </w:pPr>
            <w:r>
              <w:rPr>
                <w:rFonts w:ascii="Verdana" w:cs="Verdana" w:eastAsia="Verdana" w:hAnsi="Verdana"/>
                <w:sz w:val="13"/>
                <w:szCs w:val="13"/>
                <w:b w:val="1"/>
                <w:bCs w:val="1"/>
                <w:color w:val="auto"/>
              </w:rPr>
              <w:t>Notional</w:t>
            </w:r>
          </w:p>
        </w:tc>
        <w:tc>
          <w:tcPr>
            <w:tcW w:w="560" w:type="dxa"/>
            <w:vAlign w:val="bottom"/>
          </w:tcPr>
          <w:p>
            <w:pPr>
              <w:spacing w:after="0"/>
              <w:rPr>
                <w:sz w:val="10"/>
                <w:szCs w:val="10"/>
                <w:color w:val="auto"/>
              </w:rPr>
            </w:pPr>
          </w:p>
        </w:tc>
        <w:tc>
          <w:tcPr>
            <w:tcW w:w="1040" w:type="dxa"/>
            <w:vAlign w:val="bottom"/>
          </w:tcPr>
          <w:p>
            <w:pPr>
              <w:jc w:val="center"/>
              <w:ind w:right="484"/>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2"/>
          </w:tcPr>
          <w:p>
            <w:pPr>
              <w:ind w:left="200"/>
              <w:spacing w:after="0" w:line="120" w:lineRule="exact"/>
              <w:rPr>
                <w:sz w:val="20"/>
                <w:szCs w:val="20"/>
                <w:color w:val="auto"/>
              </w:rPr>
            </w:pPr>
            <w:r>
              <w:rPr>
                <w:rFonts w:ascii="Verdana" w:cs="Verdana" w:eastAsia="Verdana" w:hAnsi="Verdana"/>
                <w:sz w:val="13"/>
                <w:szCs w:val="13"/>
                <w:b w:val="1"/>
                <w:bCs w:val="1"/>
                <w:color w:val="auto"/>
              </w:rPr>
              <w:t>Notional</w:t>
            </w:r>
          </w:p>
        </w:tc>
        <w:tc>
          <w:tcPr>
            <w:tcW w:w="380" w:type="dxa"/>
            <w:vAlign w:val="bottom"/>
          </w:tcPr>
          <w:p>
            <w:pPr>
              <w:spacing w:after="0"/>
              <w:rPr>
                <w:sz w:val="10"/>
                <w:szCs w:val="10"/>
                <w:color w:val="auto"/>
              </w:rPr>
            </w:pPr>
          </w:p>
        </w:tc>
        <w:tc>
          <w:tcPr>
            <w:tcW w:w="1220" w:type="dxa"/>
            <w:vAlign w:val="bottom"/>
          </w:tcPr>
          <w:p>
            <w:pPr>
              <w:jc w:val="center"/>
              <w:ind w:right="301"/>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170"/>
        </w:trPr>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Amount</w:t>
            </w:r>
          </w:p>
        </w:tc>
        <w:tc>
          <w:tcPr>
            <w:tcW w:w="560" w:type="dxa"/>
            <w:vAlign w:val="bottom"/>
          </w:tcPr>
          <w:p>
            <w:pPr>
              <w:spacing w:after="0"/>
              <w:rPr>
                <w:sz w:val="14"/>
                <w:szCs w:val="14"/>
                <w:color w:val="auto"/>
              </w:rPr>
            </w:pPr>
          </w:p>
        </w:tc>
        <w:tc>
          <w:tcPr>
            <w:tcW w:w="1120" w:type="dxa"/>
            <w:vAlign w:val="bottom"/>
            <w:gridSpan w:val="2"/>
          </w:tcPr>
          <w:p>
            <w:pPr>
              <w:jc w:val="center"/>
              <w:ind w:right="640"/>
              <w:spacing w:after="0"/>
              <w:rPr>
                <w:sz w:val="20"/>
                <w:szCs w:val="20"/>
                <w:color w:val="auto"/>
              </w:rPr>
            </w:pPr>
            <w:r>
              <w:rPr>
                <w:rFonts w:ascii="Verdana" w:cs="Verdana" w:eastAsia="Verdana" w:hAnsi="Verdana"/>
                <w:sz w:val="13"/>
                <w:szCs w:val="13"/>
                <w:b w:val="1"/>
                <w:bCs w:val="1"/>
                <w:color w:val="auto"/>
                <w:w w:val="97"/>
              </w:rPr>
              <w:t>Value</w:t>
            </w:r>
          </w:p>
        </w:tc>
        <w:tc>
          <w:tcPr>
            <w:tcW w:w="3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Verdana" w:cs="Verdana" w:eastAsia="Verdana" w:hAnsi="Verdana"/>
                <w:sz w:val="13"/>
                <w:szCs w:val="13"/>
                <w:b w:val="1"/>
                <w:bCs w:val="1"/>
                <w:color w:val="auto"/>
              </w:rPr>
              <w:t>Amount</w:t>
            </w:r>
          </w:p>
        </w:tc>
        <w:tc>
          <w:tcPr>
            <w:tcW w:w="380" w:type="dxa"/>
            <w:vAlign w:val="bottom"/>
          </w:tcPr>
          <w:p>
            <w:pPr>
              <w:spacing w:after="0"/>
              <w:rPr>
                <w:sz w:val="14"/>
                <w:szCs w:val="14"/>
                <w:color w:val="auto"/>
              </w:rPr>
            </w:pPr>
          </w:p>
        </w:tc>
        <w:tc>
          <w:tcPr>
            <w:tcW w:w="1220" w:type="dxa"/>
            <w:vAlign w:val="bottom"/>
          </w:tcPr>
          <w:p>
            <w:pPr>
              <w:jc w:val="center"/>
              <w:ind w:right="301"/>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Derivatives not designated as hedging</w:t>
            </w:r>
          </w:p>
        </w:tc>
        <w:tc>
          <w:tcPr>
            <w:tcW w:w="32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560" w:type="dxa"/>
            <w:vAlign w:val="bottom"/>
            <w:tcBorders>
              <w:top w:val="single" w:sz="8" w:color="auto"/>
            </w:tcBorders>
            <w:shd w:val="clear" w:color="auto" w:fill="E0E7ED"/>
          </w:tcPr>
          <w:p>
            <w:pPr>
              <w:spacing w:after="0"/>
              <w:rPr>
                <w:sz w:val="19"/>
                <w:szCs w:val="19"/>
                <w:color w:val="auto"/>
              </w:rPr>
            </w:pPr>
          </w:p>
        </w:tc>
        <w:tc>
          <w:tcPr>
            <w:tcW w:w="10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8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instruments</w:t>
            </w: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56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80" w:type="dxa"/>
            <w:vAlign w:val="bottom"/>
            <w:gridSpan w:val="2"/>
          </w:tcPr>
          <w:p>
            <w:pPr>
              <w:ind w:left="180"/>
              <w:spacing w:after="0"/>
              <w:rPr>
                <w:sz w:val="20"/>
                <w:szCs w:val="20"/>
                <w:color w:val="auto"/>
              </w:rPr>
            </w:pPr>
            <w:r>
              <w:rPr>
                <w:rFonts w:ascii="Verdana" w:cs="Verdana" w:eastAsia="Verdana" w:hAnsi="Verdana"/>
                <w:sz w:val="18"/>
                <w:szCs w:val="18"/>
                <w:color w:val="auto"/>
              </w:rPr>
              <w:t>Interest rate swaps – pay floating, receive fixed $</w:t>
            </w:r>
          </w:p>
        </w:tc>
        <w:tc>
          <w:tcPr>
            <w:tcW w:w="1280" w:type="dxa"/>
            <w:vAlign w:val="bottom"/>
          </w:tcPr>
          <w:p>
            <w:pPr>
              <w:jc w:val="right"/>
              <w:ind w:right="4"/>
              <w:spacing w:after="0"/>
              <w:rPr>
                <w:sz w:val="20"/>
                <w:szCs w:val="20"/>
                <w:color w:val="auto"/>
              </w:rPr>
            </w:pPr>
            <w:r>
              <w:rPr>
                <w:rFonts w:ascii="Verdana" w:cs="Verdana" w:eastAsia="Verdana" w:hAnsi="Verdana"/>
                <w:sz w:val="18"/>
                <w:szCs w:val="18"/>
                <w:color w:val="auto"/>
              </w:rPr>
              <w:t>48,728</w:t>
            </w:r>
          </w:p>
        </w:tc>
        <w:tc>
          <w:tcPr>
            <w:tcW w:w="100" w:type="dxa"/>
            <w:vAlign w:val="bottom"/>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Verdana" w:cs="Verdana" w:eastAsia="Verdana" w:hAnsi="Verdana"/>
                <w:sz w:val="18"/>
                <w:szCs w:val="18"/>
                <w:color w:val="auto"/>
              </w:rPr>
              <w:t>$</w:t>
            </w:r>
          </w:p>
        </w:tc>
        <w:tc>
          <w:tcPr>
            <w:tcW w:w="1040" w:type="dxa"/>
            <w:vAlign w:val="bottom"/>
          </w:tcPr>
          <w:p>
            <w:pPr>
              <w:jc w:val="right"/>
              <w:ind w:right="24"/>
              <w:spacing w:after="0"/>
              <w:rPr>
                <w:sz w:val="20"/>
                <w:szCs w:val="20"/>
                <w:color w:val="auto"/>
              </w:rPr>
            </w:pPr>
            <w:r>
              <w:rPr>
                <w:rFonts w:ascii="Verdana" w:cs="Verdana" w:eastAsia="Verdana" w:hAnsi="Verdana"/>
                <w:sz w:val="18"/>
                <w:szCs w:val="18"/>
                <w:color w:val="auto"/>
              </w:rPr>
              <w:t>370</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ind w:right="24"/>
              <w:spacing w:after="0"/>
              <w:rPr>
                <w:sz w:val="20"/>
                <w:szCs w:val="20"/>
                <w:color w:val="auto"/>
              </w:rPr>
            </w:pPr>
            <w:r>
              <w:rPr>
                <w:rFonts w:ascii="Verdana" w:cs="Verdana" w:eastAsia="Verdana" w:hAnsi="Verdana"/>
                <w:sz w:val="18"/>
                <w:szCs w:val="18"/>
                <w:color w:val="auto"/>
              </w:rPr>
              <w:t>528,183</w:t>
            </w:r>
          </w:p>
        </w:tc>
        <w:tc>
          <w:tcPr>
            <w:tcW w:w="8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
              <w:spacing w:after="0"/>
              <w:rPr>
                <w:sz w:val="20"/>
                <w:szCs w:val="20"/>
                <w:color w:val="auto"/>
              </w:rPr>
            </w:pPr>
            <w:r>
              <w:rPr>
                <w:rFonts w:ascii="Verdana" w:cs="Verdana" w:eastAsia="Verdana" w:hAnsi="Verdana"/>
                <w:sz w:val="18"/>
                <w:szCs w:val="18"/>
                <w:color w:val="auto"/>
              </w:rPr>
              <w:t>39,685</w:t>
            </w:r>
          </w:p>
        </w:tc>
        <w:tc>
          <w:tcPr>
            <w:tcW w:w="0" w:type="dxa"/>
            <w:vAlign w:val="bottom"/>
          </w:tcPr>
          <w:p>
            <w:pPr>
              <w:spacing w:after="0"/>
              <w:rPr>
                <w:sz w:val="1"/>
                <w:szCs w:val="1"/>
                <w:color w:val="auto"/>
              </w:rPr>
            </w:pPr>
          </w:p>
        </w:tc>
      </w:tr>
      <w:tr>
        <w:trPr>
          <w:trHeight w:val="277"/>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swaps – pay fixed, receive floating</w:t>
            </w:r>
          </w:p>
        </w:tc>
        <w:tc>
          <w:tcPr>
            <w:tcW w:w="32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ind w:right="4"/>
              <w:spacing w:after="0"/>
              <w:rPr>
                <w:sz w:val="20"/>
                <w:szCs w:val="20"/>
                <w:color w:val="auto"/>
              </w:rPr>
            </w:pPr>
            <w:r>
              <w:rPr>
                <w:rFonts w:ascii="Verdana" w:cs="Verdana" w:eastAsia="Verdana" w:hAnsi="Verdana"/>
                <w:sz w:val="18"/>
                <w:szCs w:val="18"/>
                <w:color w:val="auto"/>
              </w:rPr>
              <w:t>528,183</w:t>
            </w:r>
          </w:p>
        </w:tc>
        <w:tc>
          <w:tcPr>
            <w:tcW w:w="100" w:type="dxa"/>
            <w:vAlign w:val="bottom"/>
            <w:shd w:val="clear" w:color="auto" w:fill="E0E7ED"/>
          </w:tcPr>
          <w:p>
            <w:pPr>
              <w:spacing w:after="0"/>
              <w:rPr>
                <w:sz w:val="24"/>
                <w:szCs w:val="24"/>
                <w:color w:val="auto"/>
              </w:rPr>
            </w:pPr>
          </w:p>
        </w:tc>
        <w:tc>
          <w:tcPr>
            <w:tcW w:w="560" w:type="dxa"/>
            <w:vAlign w:val="bottom"/>
            <w:tcBorders>
              <w:bottom w:val="single" w:sz="8" w:color="auto"/>
            </w:tcBorders>
            <w:shd w:val="clear" w:color="auto" w:fill="E0E7ED"/>
          </w:tcPr>
          <w:p>
            <w:pPr>
              <w:spacing w:after="0"/>
              <w:rPr>
                <w:sz w:val="24"/>
                <w:szCs w:val="24"/>
                <w:color w:val="auto"/>
              </w:rPr>
            </w:pPr>
          </w:p>
        </w:tc>
        <w:tc>
          <w:tcPr>
            <w:tcW w:w="104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39,685</w:t>
            </w:r>
          </w:p>
        </w:tc>
        <w:tc>
          <w:tcPr>
            <w:tcW w:w="80" w:type="dxa"/>
            <w:vAlign w:val="bottom"/>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spacing w:after="0"/>
              <w:rPr>
                <w:sz w:val="24"/>
                <w:szCs w:val="24"/>
                <w:color w:val="auto"/>
              </w:rPr>
            </w:pPr>
          </w:p>
        </w:tc>
        <w:tc>
          <w:tcPr>
            <w:tcW w:w="130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48,728</w:t>
            </w:r>
          </w:p>
        </w:tc>
        <w:tc>
          <w:tcPr>
            <w:tcW w:w="80" w:type="dxa"/>
            <w:vAlign w:val="bottom"/>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370</w:t>
            </w:r>
          </w:p>
        </w:tc>
        <w:tc>
          <w:tcPr>
            <w:tcW w:w="0" w:type="dxa"/>
            <w:vAlign w:val="bottom"/>
          </w:tcPr>
          <w:p>
            <w:pPr>
              <w:spacing w:after="0"/>
              <w:rPr>
                <w:sz w:val="1"/>
                <w:szCs w:val="1"/>
                <w:color w:val="auto"/>
              </w:rPr>
            </w:pPr>
          </w:p>
        </w:tc>
      </w:tr>
      <w:tr>
        <w:trPr>
          <w:trHeight w:val="218"/>
        </w:trPr>
        <w:tc>
          <w:tcPr>
            <w:tcW w:w="4560" w:type="dxa"/>
            <w:vAlign w:val="bottom"/>
          </w:tcPr>
          <w:p>
            <w:pPr>
              <w:ind w:left="20"/>
              <w:spacing w:after="0" w:line="217" w:lineRule="exact"/>
              <w:rPr>
                <w:sz w:val="20"/>
                <w:szCs w:val="20"/>
                <w:color w:val="auto"/>
              </w:rPr>
            </w:pPr>
            <w:r>
              <w:rPr>
                <w:rFonts w:ascii="Verdana" w:cs="Verdana" w:eastAsia="Verdana" w:hAnsi="Verdana"/>
                <w:sz w:val="18"/>
                <w:szCs w:val="18"/>
                <w:color w:val="auto"/>
              </w:rPr>
              <w:t>Total derivatives not designated as hedging</w:t>
            </w:r>
          </w:p>
        </w:tc>
        <w:tc>
          <w:tcPr>
            <w:tcW w:w="320" w:type="dxa"/>
            <w:vAlign w:val="bottom"/>
            <w:vMerge w:val="restart"/>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vMerge w:val="restart"/>
          </w:tcPr>
          <w:p>
            <w:pPr>
              <w:jc w:val="right"/>
              <w:ind w:right="4"/>
              <w:spacing w:after="0"/>
              <w:rPr>
                <w:sz w:val="20"/>
                <w:szCs w:val="20"/>
                <w:color w:val="auto"/>
              </w:rPr>
            </w:pPr>
            <w:r>
              <w:rPr>
                <w:rFonts w:ascii="Verdana" w:cs="Verdana" w:eastAsia="Verdana" w:hAnsi="Verdana"/>
                <w:sz w:val="18"/>
                <w:szCs w:val="18"/>
                <w:color w:val="auto"/>
              </w:rPr>
              <w:t>576,911</w:t>
            </w:r>
          </w:p>
        </w:tc>
        <w:tc>
          <w:tcPr>
            <w:tcW w:w="100" w:type="dxa"/>
            <w:vAlign w:val="bottom"/>
          </w:tcPr>
          <w:p>
            <w:pPr>
              <w:spacing w:after="0"/>
              <w:rPr>
                <w:sz w:val="18"/>
                <w:szCs w:val="18"/>
                <w:color w:val="auto"/>
              </w:rPr>
            </w:pPr>
          </w:p>
        </w:tc>
        <w:tc>
          <w:tcPr>
            <w:tcW w:w="560" w:type="dxa"/>
            <w:vAlign w:val="bottom"/>
            <w:vMerge w:val="restart"/>
          </w:tcPr>
          <w:p>
            <w:pPr>
              <w:jc w:val="right"/>
              <w:ind w:right="330"/>
              <w:spacing w:after="0"/>
              <w:rPr>
                <w:sz w:val="20"/>
                <w:szCs w:val="20"/>
                <w:color w:val="auto"/>
              </w:rPr>
            </w:pPr>
            <w:r>
              <w:rPr>
                <w:rFonts w:ascii="Verdana" w:cs="Verdana" w:eastAsia="Verdana" w:hAnsi="Verdana"/>
                <w:sz w:val="18"/>
                <w:szCs w:val="18"/>
                <w:color w:val="auto"/>
              </w:rPr>
              <w:t>$</w:t>
            </w:r>
          </w:p>
        </w:tc>
        <w:tc>
          <w:tcPr>
            <w:tcW w:w="1040" w:type="dxa"/>
            <w:vAlign w:val="bottom"/>
            <w:vMerge w:val="restart"/>
          </w:tcPr>
          <w:p>
            <w:pPr>
              <w:jc w:val="right"/>
              <w:ind w:right="24"/>
              <w:spacing w:after="0"/>
              <w:rPr>
                <w:sz w:val="20"/>
                <w:szCs w:val="20"/>
                <w:color w:val="auto"/>
              </w:rPr>
            </w:pPr>
            <w:r>
              <w:rPr>
                <w:rFonts w:ascii="Verdana" w:cs="Verdana" w:eastAsia="Verdana" w:hAnsi="Verdana"/>
                <w:sz w:val="18"/>
                <w:szCs w:val="18"/>
                <w:color w:val="auto"/>
              </w:rPr>
              <w:t>40,055</w:t>
            </w:r>
          </w:p>
        </w:tc>
        <w:tc>
          <w:tcPr>
            <w:tcW w:w="80" w:type="dxa"/>
            <w:vAlign w:val="bottom"/>
          </w:tcPr>
          <w:p>
            <w:pPr>
              <w:spacing w:after="0"/>
              <w:rPr>
                <w:sz w:val="18"/>
                <w:szCs w:val="18"/>
                <w:color w:val="auto"/>
              </w:rPr>
            </w:pPr>
          </w:p>
        </w:tc>
        <w:tc>
          <w:tcPr>
            <w:tcW w:w="320" w:type="dxa"/>
            <w:vAlign w:val="bottom"/>
            <w:vMerge w:val="restart"/>
          </w:tcPr>
          <w:p>
            <w:pPr>
              <w:jc w:val="right"/>
              <w:ind w:right="90"/>
              <w:spacing w:after="0"/>
              <w:rPr>
                <w:sz w:val="20"/>
                <w:szCs w:val="20"/>
                <w:color w:val="auto"/>
              </w:rPr>
            </w:pPr>
            <w:r>
              <w:rPr>
                <w:rFonts w:ascii="Verdana" w:cs="Verdana" w:eastAsia="Verdana" w:hAnsi="Verdana"/>
                <w:sz w:val="18"/>
                <w:szCs w:val="18"/>
                <w:color w:val="auto"/>
              </w:rPr>
              <w:t>$</w:t>
            </w:r>
          </w:p>
        </w:tc>
        <w:tc>
          <w:tcPr>
            <w:tcW w:w="1300" w:type="dxa"/>
            <w:vAlign w:val="bottom"/>
            <w:vMerge w:val="restart"/>
          </w:tcPr>
          <w:p>
            <w:pPr>
              <w:jc w:val="right"/>
              <w:ind w:right="24"/>
              <w:spacing w:after="0"/>
              <w:rPr>
                <w:sz w:val="20"/>
                <w:szCs w:val="20"/>
                <w:color w:val="auto"/>
              </w:rPr>
            </w:pPr>
            <w:r>
              <w:rPr>
                <w:rFonts w:ascii="Verdana" w:cs="Verdana" w:eastAsia="Verdana" w:hAnsi="Verdana"/>
                <w:sz w:val="18"/>
                <w:szCs w:val="18"/>
                <w:color w:val="auto"/>
              </w:rPr>
              <w:t>576,911</w:t>
            </w:r>
          </w:p>
        </w:tc>
        <w:tc>
          <w:tcPr>
            <w:tcW w:w="80" w:type="dxa"/>
            <w:vAlign w:val="bottom"/>
          </w:tcPr>
          <w:p>
            <w:pPr>
              <w:spacing w:after="0"/>
              <w:rPr>
                <w:sz w:val="18"/>
                <w:szCs w:val="18"/>
                <w:color w:val="auto"/>
              </w:rPr>
            </w:pPr>
          </w:p>
        </w:tc>
        <w:tc>
          <w:tcPr>
            <w:tcW w:w="380" w:type="dxa"/>
            <w:vAlign w:val="bottom"/>
            <w:vMerge w:val="restart"/>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vMerge w:val="restart"/>
          </w:tcPr>
          <w:p>
            <w:pPr>
              <w:jc w:val="right"/>
              <w:ind w:right="1"/>
              <w:spacing w:after="0"/>
              <w:rPr>
                <w:sz w:val="20"/>
                <w:szCs w:val="20"/>
                <w:color w:val="auto"/>
              </w:rPr>
            </w:pPr>
            <w:r>
              <w:rPr>
                <w:rFonts w:ascii="Verdana" w:cs="Verdana" w:eastAsia="Verdana" w:hAnsi="Verdana"/>
                <w:sz w:val="18"/>
                <w:szCs w:val="18"/>
                <w:color w:val="auto"/>
              </w:rPr>
              <w:t>40,055</w:t>
            </w: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Verdana" w:cs="Verdana" w:eastAsia="Verdana" w:hAnsi="Verdana"/>
                <w:sz w:val="18"/>
                <w:szCs w:val="18"/>
                <w:color w:val="auto"/>
              </w:rPr>
              <w:t>instruments</w:t>
            </w:r>
          </w:p>
        </w:tc>
        <w:tc>
          <w:tcPr>
            <w:tcW w:w="3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7" w:name="page158"/>
    <w:bookmarkEnd w:id="15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Changes in fair value of these derivative assets and liabilities were recorded in noninterest expense in the </w:t>
      </w:r>
      <w:r>
        <w:rPr>
          <w:rFonts w:ascii="Verdana" w:cs="Verdana" w:eastAsia="Verdana" w:hAnsi="Verdana"/>
          <w:sz w:val="18"/>
          <w:szCs w:val="18"/>
          <w:u w:val="single" w:color="auto"/>
          <w:color w:val="0000FF"/>
        </w:rPr>
        <w:t>Consolidated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Statements of Income</w:t>
      </w:r>
      <w:r>
        <w:rPr>
          <w:rFonts w:ascii="Verdana" w:cs="Verdana" w:eastAsia="Verdana" w:hAnsi="Verdana"/>
          <w:sz w:val="18"/>
          <w:szCs w:val="18"/>
          <w:color w:val="0000FF"/>
        </w:rPr>
        <w:t xml:space="preserve"> </w:t>
      </w:r>
      <w:r>
        <w:rPr>
          <w:rFonts w:ascii="Verdana" w:cs="Verdana" w:eastAsia="Verdana" w:hAnsi="Verdana"/>
          <w:sz w:val="18"/>
          <w:szCs w:val="18"/>
          <w:color w:val="000000"/>
        </w:rPr>
        <w:t>and are summarized as follows</w:t>
      </w:r>
      <w:r>
        <w:rPr>
          <w:rFonts w:ascii="Verdana" w:cs="Verdana" w:eastAsia="Verdana" w:hAnsi="Verdana"/>
          <w:sz w:val="18"/>
          <w:szCs w:val="18"/>
          <w:color w:val="0000FF"/>
        </w:rPr>
        <w:t xml:space="preserve"> </w:t>
      </w:r>
      <w:r>
        <w:rPr>
          <w:rFonts w:ascii="Verdana" w:cs="Verdana" w:eastAsia="Verdana" w:hAnsi="Verdana"/>
          <w:sz w:val="18"/>
          <w:szCs w:val="18"/>
          <w:i w:val="1"/>
          <w:iCs w:val="1"/>
          <w:color w:val="000000"/>
        </w:rPr>
        <w:t>(dollars in thousands)</w:t>
      </w:r>
      <w:r>
        <w:rPr>
          <w:rFonts w:ascii="Verdana" w:cs="Verdana" w:eastAsia="Verdana" w:hAnsi="Verdana"/>
          <w:sz w:val="18"/>
          <w:szCs w:val="18"/>
          <w:color w:val="000000"/>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4560" w:type="dxa"/>
            <w:vAlign w:val="bottom"/>
          </w:tcPr>
          <w:p>
            <w:pPr>
              <w:spacing w:after="0"/>
              <w:rPr>
                <w:sz w:val="14"/>
                <w:szCs w:val="14"/>
                <w:color w:val="auto"/>
              </w:rPr>
            </w:pPr>
          </w:p>
        </w:tc>
        <w:tc>
          <w:tcPr>
            <w:tcW w:w="1680" w:type="dxa"/>
            <w:vAlign w:val="bottom"/>
            <w:gridSpan w:val="2"/>
          </w:tcPr>
          <w:p>
            <w:pPr>
              <w:ind w:left="480"/>
              <w:spacing w:after="0"/>
              <w:rPr>
                <w:sz w:val="20"/>
                <w:szCs w:val="20"/>
                <w:color w:val="auto"/>
              </w:rPr>
            </w:pPr>
            <w:r>
              <w:rPr>
                <w:rFonts w:ascii="Verdana" w:cs="Verdana" w:eastAsia="Verdana" w:hAnsi="Verdana"/>
                <w:sz w:val="13"/>
                <w:szCs w:val="13"/>
                <w:b w:val="1"/>
                <w:bCs w:val="1"/>
                <w:color w:val="auto"/>
              </w:rPr>
              <w:t>Location</w:t>
            </w:r>
          </w:p>
        </w:tc>
        <w:tc>
          <w:tcPr>
            <w:tcW w:w="360" w:type="dxa"/>
            <w:vAlign w:val="bottom"/>
          </w:tcPr>
          <w:p>
            <w:pPr>
              <w:spacing w:after="0"/>
              <w:rPr>
                <w:sz w:val="14"/>
                <w:szCs w:val="14"/>
                <w:color w:val="auto"/>
              </w:rPr>
            </w:pPr>
          </w:p>
        </w:tc>
        <w:tc>
          <w:tcPr>
            <w:tcW w:w="1240" w:type="dxa"/>
            <w:vAlign w:val="bottom"/>
          </w:tcPr>
          <w:p>
            <w:pPr>
              <w:jc w:val="right"/>
              <w:ind w:right="541"/>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3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37"/>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4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Interest rate swaps</w:t>
            </w:r>
          </w:p>
        </w:tc>
        <w:tc>
          <w:tcPr>
            <w:tcW w:w="15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r>
      <w:tr>
        <w:trPr>
          <w:trHeight w:val="238"/>
        </w:trPr>
        <w:tc>
          <w:tcPr>
            <w:tcW w:w="4560" w:type="dxa"/>
            <w:vAlign w:val="bottom"/>
          </w:tcPr>
          <w:p>
            <w:pPr>
              <w:ind w:left="180"/>
              <w:spacing w:after="0"/>
              <w:rPr>
                <w:sz w:val="20"/>
                <w:szCs w:val="20"/>
                <w:color w:val="auto"/>
              </w:rPr>
            </w:pPr>
            <w:r>
              <w:rPr>
                <w:rFonts w:ascii="Verdana" w:cs="Verdana" w:eastAsia="Verdana" w:hAnsi="Verdana"/>
                <w:sz w:val="18"/>
                <w:szCs w:val="18"/>
                <w:color w:val="auto"/>
              </w:rPr>
              <w:t>Pay floating, receive fixed</w:t>
            </w:r>
          </w:p>
        </w:tc>
        <w:tc>
          <w:tcPr>
            <w:tcW w:w="1680" w:type="dxa"/>
            <w:vAlign w:val="bottom"/>
            <w:gridSpan w:val="2"/>
          </w:tcPr>
          <w:p>
            <w:pPr>
              <w:ind w:left="20"/>
              <w:spacing w:after="0"/>
              <w:rPr>
                <w:sz w:val="20"/>
                <w:szCs w:val="20"/>
                <w:color w:val="auto"/>
              </w:rPr>
            </w:pPr>
            <w:r>
              <w:rPr>
                <w:rFonts w:ascii="Verdana" w:cs="Verdana" w:eastAsia="Verdana" w:hAnsi="Verdana"/>
                <w:sz w:val="18"/>
                <w:szCs w:val="18"/>
                <w:color w:val="auto"/>
              </w:rPr>
              <w:t>Noninterest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2"/>
        </w:trPr>
        <w:tc>
          <w:tcPr>
            <w:tcW w:w="456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Verdana" w:cs="Verdana" w:eastAsia="Verdana" w:hAnsi="Verdana"/>
                <w:sz w:val="18"/>
                <w:szCs w:val="18"/>
                <w:color w:val="auto"/>
              </w:rPr>
              <w:t>expense</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(11,525)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19,308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(12,587)</w:t>
            </w:r>
          </w:p>
        </w:tc>
      </w:tr>
      <w:tr>
        <w:trPr>
          <w:trHeight w:val="244"/>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Pay fixed, receive floating</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Noninterest</w:t>
            </w: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r>
      <w:tr>
        <w:trPr>
          <w:trHeight w:val="242"/>
        </w:trPr>
        <w:tc>
          <w:tcPr>
            <w:tcW w:w="4560" w:type="dxa"/>
            <w:vAlign w:val="bottom"/>
            <w:shd w:val="clear" w:color="auto" w:fill="E0E7ED"/>
          </w:tcPr>
          <w:p>
            <w:pPr>
              <w:spacing w:after="0"/>
              <w:rPr>
                <w:sz w:val="21"/>
                <w:szCs w:val="21"/>
                <w:color w:val="auto"/>
              </w:rPr>
            </w:pP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expense</w:t>
            </w:r>
          </w:p>
        </w:tc>
        <w:tc>
          <w:tcPr>
            <w:tcW w:w="360" w:type="dxa"/>
            <w:vAlign w:val="bottom"/>
            <w:tcBorders>
              <w:bottom w:val="single" w:sz="8" w:color="auto"/>
            </w:tcBorders>
            <w:shd w:val="clear" w:color="auto" w:fill="E0E7ED"/>
          </w:tcPr>
          <w:p>
            <w:pPr>
              <w:spacing w:after="0"/>
              <w:rPr>
                <w:sz w:val="21"/>
                <w:szCs w:val="21"/>
                <w:color w:val="auto"/>
              </w:rPr>
            </w:pPr>
          </w:p>
        </w:tc>
        <w:tc>
          <w:tcPr>
            <w:tcW w:w="124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11,525</w:t>
            </w:r>
          </w:p>
        </w:tc>
        <w:tc>
          <w:tcPr>
            <w:tcW w:w="100" w:type="dxa"/>
            <w:vAlign w:val="bottom"/>
            <w:shd w:val="clear" w:color="auto" w:fill="E0E7ED"/>
          </w:tcPr>
          <w:p>
            <w:pPr>
              <w:spacing w:after="0"/>
              <w:rPr>
                <w:sz w:val="21"/>
                <w:szCs w:val="21"/>
                <w:color w:val="auto"/>
              </w:rPr>
            </w:pPr>
          </w:p>
        </w:tc>
        <w:tc>
          <w:tcPr>
            <w:tcW w:w="38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(19,308)</w:t>
            </w:r>
          </w:p>
        </w:tc>
        <w:tc>
          <w:tcPr>
            <w:tcW w:w="100" w:type="dxa"/>
            <w:vAlign w:val="bottom"/>
            <w:shd w:val="clear" w:color="auto" w:fill="E0E7ED"/>
          </w:tcPr>
          <w:p>
            <w:pPr>
              <w:spacing w:after="0"/>
              <w:rPr>
                <w:sz w:val="21"/>
                <w:szCs w:val="21"/>
                <w:color w:val="auto"/>
              </w:rPr>
            </w:pPr>
          </w:p>
        </w:tc>
        <w:tc>
          <w:tcPr>
            <w:tcW w:w="38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12,587</w:t>
            </w:r>
          </w:p>
        </w:tc>
      </w:tr>
      <w:tr>
        <w:trPr>
          <w:trHeight w:val="270"/>
        </w:trPr>
        <w:tc>
          <w:tcPr>
            <w:tcW w:w="4560" w:type="dxa"/>
            <w:vAlign w:val="bottom"/>
          </w:tcPr>
          <w:p>
            <w:pPr>
              <w:ind w:left="20"/>
              <w:spacing w:after="0"/>
              <w:rPr>
                <w:sz w:val="20"/>
                <w:szCs w:val="20"/>
                <w:color w:val="auto"/>
              </w:rPr>
            </w:pPr>
            <w:r>
              <w:rPr>
                <w:rFonts w:ascii="Verdana" w:cs="Verdana" w:eastAsia="Verdana" w:hAnsi="Verdana"/>
                <w:sz w:val="18"/>
                <w:szCs w:val="18"/>
                <w:color w:val="auto"/>
              </w:rPr>
              <w:t>Net change in fair value of interest rate swaps</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3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3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0"/>
        </w:trPr>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Risk Participation Agreements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To manage the credit risk exposure related to customer-facing swaps, Busey entered into risk participation agreements in conjunction with loan participation arrangements with other financial institutions. Under these risk participation agreements, Busey purchased a portion of the credit exposure, paying an up-front fee, and will receive a payment from the counterparty if the loan customer defaults on its obligations.</w:t>
      </w:r>
    </w:p>
    <w:p>
      <w:pPr>
        <w:spacing w:after="0" w:line="17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also entered into a risk participation agreement under which Busey sold a portion of its credit exposure, receiving an up-front fee, and will be required to make a payment to the counterparty if the loan customer defaults on its obligations.</w:t>
      </w:r>
    </w:p>
    <w:p>
      <w:pPr>
        <w:spacing w:after="0" w:line="14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The notional amount of the risk participation agreements reflect Busey's pro-rata share of the derivative instrument, consistent with its share of the related participated loan. The risk participation agreements mature between 2024 and 2029, and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54"/>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9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4"/>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Risk participation agreements purchased</w:t>
            </w: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Number of risk participation agreements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Verdana" w:cs="Verdana" w:eastAsia="Verdana" w:hAnsi="Verdana"/>
                <w:sz w:val="18"/>
                <w:szCs w:val="18"/>
                <w:color w:val="auto"/>
              </w:rPr>
              <w:t>2</w:t>
            </w: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Notional amount</w:t>
            </w: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34,251</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18,899</w:t>
            </w: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Fair value</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Verdana" w:cs="Verdana" w:eastAsia="Verdana" w:hAnsi="Verdana"/>
                <w:sz w:val="18"/>
                <w:szCs w:val="18"/>
                <w:color w:val="auto"/>
              </w:rPr>
              <w:t>5</w:t>
            </w:r>
          </w:p>
        </w:tc>
      </w:tr>
      <w:tr>
        <w:trPr>
          <w:trHeight w:val="277"/>
        </w:trPr>
        <w:tc>
          <w:tcPr>
            <w:tcW w:w="79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r>
      <w:tr>
        <w:trPr>
          <w:trHeight w:val="263"/>
        </w:trPr>
        <w:tc>
          <w:tcPr>
            <w:tcW w:w="7900" w:type="dxa"/>
            <w:vAlign w:val="bottom"/>
          </w:tcPr>
          <w:p>
            <w:pPr>
              <w:ind w:left="20"/>
              <w:spacing w:after="0"/>
              <w:rPr>
                <w:sz w:val="20"/>
                <w:szCs w:val="20"/>
                <w:color w:val="auto"/>
              </w:rPr>
            </w:pPr>
            <w:r>
              <w:rPr>
                <w:rFonts w:ascii="Verdana" w:cs="Verdana" w:eastAsia="Verdana" w:hAnsi="Verdana"/>
                <w:sz w:val="18"/>
                <w:szCs w:val="18"/>
                <w:b w:val="1"/>
                <w:bCs w:val="1"/>
                <w:color w:val="auto"/>
              </w:rPr>
              <w:t>Risk participation agreements sold</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Number of risk participation agreements</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w:t>
            </w:r>
          </w:p>
        </w:tc>
      </w:tr>
      <w:tr>
        <w:trPr>
          <w:trHeight w:val="263"/>
        </w:trPr>
        <w:tc>
          <w:tcPr>
            <w:tcW w:w="790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20,001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Verdana" w:cs="Verdana" w:eastAsia="Verdana" w:hAnsi="Verdana"/>
                <w:sz w:val="18"/>
                <w:szCs w:val="18"/>
                <w:color w:val="auto"/>
              </w:rPr>
              <w:t>—</w:t>
            </w:r>
          </w:p>
        </w:tc>
      </w:tr>
      <w:tr>
        <w:trPr>
          <w:trHeight w:val="277"/>
        </w:trPr>
        <w:tc>
          <w:tcPr>
            <w:tcW w:w="7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Fair value</w:t>
            </w:r>
          </w:p>
        </w:tc>
        <w:tc>
          <w:tcPr>
            <w:tcW w:w="380" w:type="dxa"/>
            <w:vAlign w:val="bottom"/>
            <w:shd w:val="clear" w:color="auto" w:fill="E0E7ED"/>
          </w:tcPr>
          <w:p>
            <w:pPr>
              <w:spacing w:after="0"/>
              <w:rPr>
                <w:sz w:val="24"/>
                <w:szCs w:val="24"/>
                <w:color w:val="auto"/>
              </w:rPr>
            </w:pP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w:t>
            </w: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8" w:name="page159"/>
    <w:bookmarkEnd w:id="15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Foreign Currency Forward Contracts</w:t>
      </w:r>
    </w:p>
    <w:p>
      <w:pPr>
        <w:spacing w:after="0" w:line="21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In 2023, Busey entered into foreign currency exchange contracts to support the business requirements of its customers. Foreign currency contracts involve the exchange of one currency for another on a specified date and at a specified rate. These contracts were executed on behalf of Busey's customers and were used by customers to manage fluctuations in foreign exchange rates. Busey minimized its exposure by entering into similar offsetting positions with other financial institutions. Busey was subject to the credit risk that another party would fail to perform. As of December 31, 2023, Busey had no derivative assets or derivative liabilities related to foreign currency contracts recorded in its </w:t>
      </w:r>
      <w:r>
        <w:rPr>
          <w:rFonts w:ascii="Verdana" w:cs="Verdana" w:eastAsia="Verdana" w:hAnsi="Verdana"/>
          <w:sz w:val="18"/>
          <w:szCs w:val="18"/>
          <w:u w:val="single" w:color="auto"/>
          <w:color w:val="0000FF"/>
        </w:rPr>
        <w:t>Consolidated Balance</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Sheets</w:t>
      </w:r>
      <w:r>
        <w:rPr>
          <w:rFonts w:ascii="Verdana" w:cs="Verdana" w:eastAsia="Verdana" w:hAnsi="Verdana"/>
          <w:sz w:val="18"/>
          <w:szCs w:val="18"/>
          <w:color w:val="000000"/>
        </w:rPr>
        <w:t>.</w:t>
      </w:r>
    </w:p>
    <w:p>
      <w:pPr>
        <w:spacing w:after="0" w:line="20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Mortgage Banking Derivatives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Lock Commitments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Interest rate lock commitments that meet the definition of derivative financial instruments under ASC Topic 815 </w:t>
      </w:r>
      <w:r>
        <w:rPr>
          <w:rFonts w:ascii="Verdana" w:cs="Verdana" w:eastAsia="Verdana" w:hAnsi="Verdana"/>
          <w:sz w:val="18"/>
          <w:szCs w:val="18"/>
          <w:i w:val="1"/>
          <w:iCs w:val="1"/>
          <w:color w:val="auto"/>
        </w:rPr>
        <w:t xml:space="preserve">“Derivatives and Hedging” </w:t>
      </w:r>
      <w:r>
        <w:rPr>
          <w:rFonts w:ascii="Verdana" w:cs="Verdana" w:eastAsia="Verdana" w:hAnsi="Verdana"/>
          <w:sz w:val="18"/>
          <w:szCs w:val="18"/>
          <w:color w:val="auto"/>
        </w:rPr>
        <w:t>are carried at their fair values in other assets or other liabilities in the</w:t>
      </w:r>
      <w:r>
        <w:rPr>
          <w:rFonts w:ascii="Verdana" w:cs="Verdana" w:eastAsia="Verdana" w:hAnsi="Verdana"/>
          <w:sz w:val="18"/>
          <w:szCs w:val="18"/>
          <w:i w:val="1"/>
          <w:iCs w:val="1"/>
          <w:color w:val="auto"/>
        </w:rPr>
        <w:t xml:space="preserve"> </w:t>
      </w:r>
      <w:r>
        <w:rPr>
          <w:rFonts w:ascii="Verdana" w:cs="Verdana" w:eastAsia="Verdana" w:hAnsi="Verdana"/>
          <w:sz w:val="18"/>
          <w:szCs w:val="18"/>
          <w:u w:val="single" w:color="auto"/>
          <w:color w:val="0000FF"/>
        </w:rPr>
        <w:t>Consolidated Balance</w:t>
      </w:r>
      <w:r>
        <w:rPr>
          <w:rFonts w:ascii="Verdana" w:cs="Verdana" w:eastAsia="Verdana" w:hAnsi="Verdana"/>
          <w:sz w:val="18"/>
          <w:szCs w:val="18"/>
          <w:i w:val="1"/>
          <w:iCs w:val="1"/>
          <w:color w:val="auto"/>
        </w:rPr>
        <w:t xml:space="preserve"> </w:t>
      </w:r>
      <w:r>
        <w:rPr>
          <w:rFonts w:ascii="Verdana" w:cs="Verdana" w:eastAsia="Verdana" w:hAnsi="Verdana"/>
          <w:sz w:val="18"/>
          <w:szCs w:val="18"/>
          <w:u w:val="single" w:color="auto"/>
          <w:color w:val="0000FF"/>
        </w:rPr>
        <w:t>Sheets</w:t>
      </w:r>
      <w:r>
        <w:rPr>
          <w:rFonts w:ascii="Verdana" w:cs="Verdana" w:eastAsia="Verdana" w:hAnsi="Verdana"/>
          <w:sz w:val="18"/>
          <w:szCs w:val="18"/>
          <w:color w:val="000000"/>
        </w:rPr>
        <w:t>, with changes in the fair values of the corresponding derivative financial assets or liabilities recorded as either a</w:t>
      </w:r>
      <w:r>
        <w:rPr>
          <w:rFonts w:ascii="Verdana" w:cs="Verdana" w:eastAsia="Verdana" w:hAnsi="Verdana"/>
          <w:sz w:val="18"/>
          <w:szCs w:val="18"/>
          <w:color w:val="0000FF"/>
        </w:rPr>
        <w:t xml:space="preserve"> </w:t>
      </w:r>
      <w:r>
        <w:rPr>
          <w:rFonts w:ascii="Verdana" w:cs="Verdana" w:eastAsia="Verdana" w:hAnsi="Verdana"/>
          <w:sz w:val="18"/>
          <w:szCs w:val="18"/>
          <w:color w:val="000000"/>
        </w:rPr>
        <w:t>charge or credit to current earnings during the period in which the changes occurred.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Forward Sales Commitments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Verdana" w:cs="Verdana" w:eastAsia="Verdana" w:hAnsi="Verdana"/>
          <w:sz w:val="18"/>
          <w:szCs w:val="18"/>
          <w:i w:val="1"/>
          <w:iCs w:val="1"/>
          <w:color w:val="auto"/>
        </w:rPr>
        <w:t>“Derivatives and</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Hedging” </w:t>
      </w:r>
      <w:r>
        <w:rPr>
          <w:rFonts w:ascii="Verdana" w:cs="Verdana" w:eastAsia="Verdana" w:hAnsi="Verdana"/>
          <w:sz w:val="18"/>
          <w:szCs w:val="18"/>
          <w:color w:val="auto"/>
        </w:rPr>
        <w:t>are carried at their fair values in other assets or other liabilities in the</w:t>
      </w:r>
      <w:r>
        <w:rPr>
          <w:rFonts w:ascii="Verdana" w:cs="Verdana" w:eastAsia="Verdana" w:hAnsi="Verdana"/>
          <w:sz w:val="18"/>
          <w:szCs w:val="18"/>
          <w:i w:val="1"/>
          <w:iCs w:val="1"/>
          <w:color w:val="auto"/>
        </w:rPr>
        <w:t xml:space="preserv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While such</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21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9" w:name="page160"/>
    <w:bookmarkEnd w:id="15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Amounts and fair values of mortgage banking derivatives included in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xml:space="preserve">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199"/>
              <w:spacing w:after="0"/>
              <w:rPr>
                <w:sz w:val="20"/>
                <w:szCs w:val="20"/>
                <w:color w:val="auto"/>
              </w:rPr>
            </w:pPr>
            <w:r>
              <w:rPr>
                <w:rFonts w:ascii="Verdana" w:cs="Verdana" w:eastAsia="Verdana" w:hAnsi="Verdana"/>
                <w:sz w:val="13"/>
                <w:szCs w:val="13"/>
                <w:b w:val="1"/>
                <w:bCs w:val="1"/>
                <w:color w:val="auto"/>
              </w:rPr>
              <w:t>As of December 31, 2023</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657"/>
              <w:spacing w:after="0"/>
              <w:rPr>
                <w:sz w:val="20"/>
                <w:szCs w:val="20"/>
                <w:color w:val="auto"/>
              </w:rPr>
            </w:pPr>
            <w:r>
              <w:rPr>
                <w:rFonts w:ascii="Verdana" w:cs="Verdana" w:eastAsia="Verdana" w:hAnsi="Verdana"/>
                <w:sz w:val="13"/>
                <w:szCs w:val="13"/>
                <w:b w:val="1"/>
                <w:bCs w:val="1"/>
                <w:color w:val="auto"/>
              </w:rPr>
              <w:t>As of December 31, 2022</w:t>
            </w: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1980" w:type="dxa"/>
            <w:vAlign w:val="bottom"/>
            <w:gridSpan w:val="3"/>
            <w:vMerge w:val="restart"/>
          </w:tcPr>
          <w:p>
            <w:pPr>
              <w:ind w:left="480"/>
              <w:spacing w:after="0"/>
              <w:rPr>
                <w:sz w:val="20"/>
                <w:szCs w:val="20"/>
                <w:color w:val="auto"/>
              </w:rPr>
            </w:pPr>
            <w:r>
              <w:rPr>
                <w:rFonts w:ascii="Verdana" w:cs="Verdana" w:eastAsia="Verdana" w:hAnsi="Verdana"/>
                <w:sz w:val="13"/>
                <w:szCs w:val="13"/>
                <w:b w:val="1"/>
                <w:bCs w:val="1"/>
                <w:color w:val="auto"/>
              </w:rPr>
              <w:t>Location</w:t>
            </w:r>
          </w:p>
        </w:tc>
        <w:tc>
          <w:tcPr>
            <w:tcW w:w="136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Notional</w:t>
            </w:r>
          </w:p>
        </w:tc>
        <w:tc>
          <w:tcPr>
            <w:tcW w:w="1120" w:type="dxa"/>
            <w:vAlign w:val="bottom"/>
          </w:tcPr>
          <w:p>
            <w:pPr>
              <w:jc w:val="right"/>
              <w:ind w:right="119"/>
              <w:spacing w:after="0" w:line="122" w:lineRule="exact"/>
              <w:rPr>
                <w:sz w:val="20"/>
                <w:szCs w:val="20"/>
                <w:color w:val="auto"/>
              </w:rPr>
            </w:pPr>
            <w:r>
              <w:rPr>
                <w:rFonts w:ascii="Verdana" w:cs="Verdana" w:eastAsia="Verdana" w:hAnsi="Verdana"/>
                <w:sz w:val="13"/>
                <w:szCs w:val="13"/>
                <w:b w:val="1"/>
                <w:bCs w:val="1"/>
                <w:color w:val="auto"/>
              </w:rPr>
              <w:t>Fair</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2"/>
          </w:tcPr>
          <w:p>
            <w:pPr>
              <w:ind w:left="200"/>
              <w:spacing w:after="0" w:line="122" w:lineRule="exact"/>
              <w:rPr>
                <w:sz w:val="20"/>
                <w:szCs w:val="20"/>
                <w:color w:val="auto"/>
              </w:rPr>
            </w:pPr>
            <w:r>
              <w:rPr>
                <w:rFonts w:ascii="Verdana" w:cs="Verdana" w:eastAsia="Verdana" w:hAnsi="Verdana"/>
                <w:sz w:val="13"/>
                <w:szCs w:val="13"/>
                <w:b w:val="1"/>
                <w:bCs w:val="1"/>
                <w:color w:val="auto"/>
              </w:rPr>
              <w:t>Notional</w:t>
            </w:r>
          </w:p>
        </w:tc>
        <w:tc>
          <w:tcPr>
            <w:tcW w:w="360" w:type="dxa"/>
            <w:vAlign w:val="bottom"/>
          </w:tcPr>
          <w:p>
            <w:pPr>
              <w:spacing w:after="0"/>
              <w:rPr>
                <w:sz w:val="10"/>
                <w:szCs w:val="10"/>
                <w:color w:val="auto"/>
              </w:rPr>
            </w:pPr>
          </w:p>
        </w:tc>
        <w:tc>
          <w:tcPr>
            <w:tcW w:w="1220" w:type="dxa"/>
            <w:vAlign w:val="bottom"/>
          </w:tcPr>
          <w:p>
            <w:pPr>
              <w:jc w:val="right"/>
              <w:ind w:right="577"/>
              <w:spacing w:after="0" w:line="122" w:lineRule="exact"/>
              <w:rPr>
                <w:sz w:val="20"/>
                <w:szCs w:val="20"/>
                <w:color w:val="auto"/>
              </w:rPr>
            </w:pPr>
            <w:r>
              <w:rPr>
                <w:rFonts w:ascii="Verdana" w:cs="Verdana" w:eastAsia="Verdana" w:hAnsi="Verdana"/>
                <w:sz w:val="13"/>
                <w:szCs w:val="13"/>
                <w:b w:val="1"/>
                <w:bCs w:val="1"/>
                <w:color w:val="auto"/>
              </w:rPr>
              <w:t>Fair</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Amount</w:t>
            </w:r>
          </w:p>
        </w:tc>
        <w:tc>
          <w:tcPr>
            <w:tcW w:w="1120" w:type="dxa"/>
            <w:vAlign w:val="bottom"/>
          </w:tcPr>
          <w:p>
            <w:pPr>
              <w:jc w:val="right"/>
              <w:ind w:right="59"/>
              <w:spacing w:after="0"/>
              <w:rPr>
                <w:sz w:val="20"/>
                <w:szCs w:val="20"/>
                <w:color w:val="auto"/>
              </w:rPr>
            </w:pPr>
            <w:r>
              <w:rPr>
                <w:rFonts w:ascii="Verdana" w:cs="Verdana" w:eastAsia="Verdana" w:hAnsi="Verdana"/>
                <w:sz w:val="13"/>
                <w:szCs w:val="13"/>
                <w:b w:val="1"/>
                <w:bCs w:val="1"/>
                <w:color w:val="auto"/>
              </w:rPr>
              <w:t>Value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Verdana" w:cs="Verdana" w:eastAsia="Verdana" w:hAnsi="Verdana"/>
                <w:sz w:val="13"/>
                <w:szCs w:val="13"/>
                <w:b w:val="1"/>
                <w:bCs w:val="1"/>
                <w:color w:val="auto"/>
              </w:rPr>
              <w:t>Amount</w:t>
            </w:r>
          </w:p>
        </w:tc>
        <w:tc>
          <w:tcPr>
            <w:tcW w:w="360" w:type="dxa"/>
            <w:vAlign w:val="bottom"/>
          </w:tcPr>
          <w:p>
            <w:pPr>
              <w:spacing w:after="0"/>
              <w:rPr>
                <w:sz w:val="14"/>
                <w:szCs w:val="14"/>
                <w:color w:val="auto"/>
              </w:rPr>
            </w:pPr>
          </w:p>
        </w:tc>
        <w:tc>
          <w:tcPr>
            <w:tcW w:w="1220" w:type="dxa"/>
            <w:vAlign w:val="bottom"/>
          </w:tcPr>
          <w:p>
            <w:pPr>
              <w:jc w:val="right"/>
              <w:ind w:right="517"/>
              <w:spacing w:after="0"/>
              <w:rPr>
                <w:sz w:val="20"/>
                <w:szCs w:val="20"/>
                <w:color w:val="auto"/>
              </w:rPr>
            </w:pPr>
            <w:r>
              <w:rPr>
                <w:rFonts w:ascii="Verdana" w:cs="Verdana" w:eastAsia="Verdana" w:hAnsi="Verdana"/>
                <w:sz w:val="13"/>
                <w:szCs w:val="13"/>
                <w:b w:val="1"/>
                <w:bCs w:val="1"/>
                <w:color w:val="auto"/>
              </w:rPr>
              <w:t>Value</w:t>
            </w:r>
          </w:p>
        </w:tc>
        <w:tc>
          <w:tcPr>
            <w:tcW w:w="0" w:type="dxa"/>
            <w:vAlign w:val="bottom"/>
          </w:tcPr>
          <w:p>
            <w:pPr>
              <w:spacing w:after="0"/>
              <w:rPr>
                <w:sz w:val="1"/>
                <w:szCs w:val="1"/>
                <w:color w:val="auto"/>
              </w:rPr>
            </w:pPr>
          </w:p>
        </w:tc>
      </w:tr>
      <w:tr>
        <w:trPr>
          <w:trHeight w:val="223"/>
        </w:trPr>
        <w:tc>
          <w:tcPr>
            <w:tcW w:w="2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Mortgage banking derivative</w:t>
            </w:r>
          </w:p>
        </w:tc>
        <w:tc>
          <w:tcPr>
            <w:tcW w:w="15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4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6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15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4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60" w:type="dxa"/>
            <w:vAlign w:val="bottom"/>
          </w:tcPr>
          <w:p>
            <w:pPr>
              <w:ind w:left="180"/>
              <w:spacing w:after="0"/>
              <w:rPr>
                <w:sz w:val="20"/>
                <w:szCs w:val="20"/>
                <w:color w:val="auto"/>
              </w:rPr>
            </w:pPr>
            <w:r>
              <w:rPr>
                <w:rFonts w:ascii="Verdana" w:cs="Verdana" w:eastAsia="Verdana" w:hAnsi="Verdana"/>
                <w:sz w:val="18"/>
                <w:szCs w:val="18"/>
                <w:color w:val="auto"/>
              </w:rPr>
              <w:t>Interest rate lock</w:t>
            </w:r>
          </w:p>
        </w:tc>
        <w:tc>
          <w:tcPr>
            <w:tcW w:w="1980" w:type="dxa"/>
            <w:vAlign w:val="bottom"/>
            <w:gridSpan w:val="3"/>
          </w:tcPr>
          <w:p>
            <w:pPr>
              <w:ind w:left="20"/>
              <w:spacing w:after="0"/>
              <w:rPr>
                <w:sz w:val="20"/>
                <w:szCs w:val="20"/>
                <w:color w:val="auto"/>
              </w:rPr>
            </w:pPr>
            <w:r>
              <w:rPr>
                <w:rFonts w:ascii="Verdana" w:cs="Verdana" w:eastAsia="Verdana" w:hAnsi="Verdana"/>
                <w:sz w:val="18"/>
                <w:szCs w:val="18"/>
                <w:color w:val="auto"/>
              </w:rPr>
              <w:t>Other assets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180"/>
              <w:spacing w:after="0"/>
              <w:rPr>
                <w:sz w:val="20"/>
                <w:szCs w:val="20"/>
                <w:color w:val="auto"/>
              </w:rPr>
            </w:pPr>
            <w:r>
              <w:rPr>
                <w:rFonts w:ascii="Verdana" w:cs="Verdana" w:eastAsia="Verdana" w:hAnsi="Verdana"/>
                <w:sz w:val="18"/>
                <w:szCs w:val="18"/>
                <w:color w:val="auto"/>
              </w:rPr>
              <w:t>commitments</w:t>
            </w:r>
          </w:p>
        </w:tc>
        <w:tc>
          <w:tcPr>
            <w:tcW w:w="198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3,477</w:t>
            </w:r>
          </w:p>
        </w:tc>
        <w:tc>
          <w:tcPr>
            <w:tcW w:w="100" w:type="dxa"/>
            <w:vAlign w:val="bottom"/>
          </w:tcPr>
          <w:p>
            <w:pPr>
              <w:spacing w:after="0"/>
              <w:rPr>
                <w:sz w:val="21"/>
                <w:szCs w:val="21"/>
                <w:color w:val="auto"/>
              </w:rPr>
            </w:pPr>
          </w:p>
        </w:tc>
        <w:tc>
          <w:tcPr>
            <w:tcW w:w="1120" w:type="dxa"/>
            <w:vAlign w:val="bottom"/>
          </w:tcPr>
          <w:p>
            <w:pPr>
              <w:jc w:val="right"/>
              <w:ind w:right="899"/>
              <w:spacing w:after="0"/>
              <w:rPr>
                <w:sz w:val="20"/>
                <w:szCs w:val="20"/>
                <w:color w:val="auto"/>
              </w:rPr>
            </w:pPr>
            <w:r>
              <w:rPr>
                <w:rFonts w:ascii="Verdana" w:cs="Verdana" w:eastAsia="Verdana" w:hAnsi="Verdana"/>
                <w:sz w:val="18"/>
                <w:szCs w:val="18"/>
                <w:color w:val="auto"/>
              </w:rPr>
              <w:t>$</w:t>
            </w:r>
          </w:p>
        </w:tc>
        <w:tc>
          <w:tcPr>
            <w:tcW w:w="460" w:type="dxa"/>
            <w:vAlign w:val="bottom"/>
          </w:tcPr>
          <w:p>
            <w:pPr>
              <w:jc w:val="right"/>
              <w:ind w:right="10"/>
              <w:spacing w:after="0"/>
              <w:rPr>
                <w:sz w:val="20"/>
                <w:szCs w:val="20"/>
                <w:color w:val="auto"/>
              </w:rPr>
            </w:pPr>
            <w:r>
              <w:rPr>
                <w:rFonts w:ascii="Verdana" w:cs="Verdana" w:eastAsia="Verdana" w:hAnsi="Verdana"/>
                <w:sz w:val="18"/>
                <w:szCs w:val="18"/>
                <w:color w:val="auto"/>
              </w:rPr>
              <w:t>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1,517</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16</w:t>
            </w:r>
          </w:p>
        </w:tc>
        <w:tc>
          <w:tcPr>
            <w:tcW w:w="0" w:type="dxa"/>
            <w:vAlign w:val="bottom"/>
          </w:tcPr>
          <w:p>
            <w:pPr>
              <w:spacing w:after="0"/>
              <w:rPr>
                <w:sz w:val="1"/>
                <w:szCs w:val="1"/>
                <w:color w:val="auto"/>
              </w:rPr>
            </w:pPr>
          </w:p>
        </w:tc>
      </w:tr>
      <w:tr>
        <w:trPr>
          <w:trHeight w:val="277"/>
        </w:trPr>
        <w:tc>
          <w:tcPr>
            <w:tcW w:w="2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Forward sales commitments</w:t>
            </w:r>
          </w:p>
        </w:tc>
        <w:tc>
          <w:tcPr>
            <w:tcW w:w="16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assets</w:t>
            </w:r>
          </w:p>
        </w:tc>
        <w:tc>
          <w:tcPr>
            <w:tcW w:w="320" w:type="dxa"/>
            <w:vAlign w:val="bottom"/>
            <w:tcBorders>
              <w:bottom w:val="single" w:sz="8" w:color="auto"/>
            </w:tcBorders>
            <w:shd w:val="clear" w:color="auto" w:fill="E0E7ED"/>
          </w:tcPr>
          <w:p>
            <w:pPr>
              <w:spacing w:after="0"/>
              <w:rPr>
                <w:sz w:val="24"/>
                <w:szCs w:val="24"/>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1,761</w:t>
            </w:r>
          </w:p>
        </w:tc>
        <w:tc>
          <w:tcPr>
            <w:tcW w:w="100" w:type="dxa"/>
            <w:vAlign w:val="bottom"/>
            <w:shd w:val="clear" w:color="auto" w:fill="E0E7ED"/>
          </w:tcPr>
          <w:p>
            <w:pPr>
              <w:spacing w:after="0"/>
              <w:rPr>
                <w:sz w:val="24"/>
                <w:szCs w:val="24"/>
                <w:color w:val="auto"/>
              </w:rPr>
            </w:pPr>
          </w:p>
        </w:tc>
        <w:tc>
          <w:tcPr>
            <w:tcW w:w="1120" w:type="dxa"/>
            <w:vAlign w:val="bottom"/>
            <w:tcBorders>
              <w:bottom w:val="single" w:sz="8" w:color="auto"/>
            </w:tcBorders>
            <w:shd w:val="clear" w:color="auto" w:fill="E0E7ED"/>
          </w:tcPr>
          <w:p>
            <w:pPr>
              <w:spacing w:after="0"/>
              <w:rPr>
                <w:sz w:val="24"/>
                <w:szCs w:val="24"/>
                <w:color w:val="auto"/>
              </w:rPr>
            </w:pPr>
          </w:p>
        </w:tc>
        <w:tc>
          <w:tcPr>
            <w:tcW w:w="46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11</w:t>
            </w:r>
          </w:p>
        </w:tc>
        <w:tc>
          <w:tcPr>
            <w:tcW w:w="10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83</w:t>
            </w:r>
          </w:p>
        </w:tc>
        <w:tc>
          <w:tcPr>
            <w:tcW w:w="100" w:type="dxa"/>
            <w:vAlign w:val="bottom"/>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w:t>
            </w:r>
          </w:p>
        </w:tc>
        <w:tc>
          <w:tcPr>
            <w:tcW w:w="0" w:type="dxa"/>
            <w:vAlign w:val="bottom"/>
          </w:tcPr>
          <w:p>
            <w:pPr>
              <w:spacing w:after="0"/>
              <w:rPr>
                <w:sz w:val="1"/>
                <w:szCs w:val="1"/>
                <w:color w:val="auto"/>
              </w:rPr>
            </w:pPr>
          </w:p>
        </w:tc>
      </w:tr>
      <w:tr>
        <w:trPr>
          <w:trHeight w:val="218"/>
        </w:trPr>
        <w:tc>
          <w:tcPr>
            <w:tcW w:w="2960" w:type="dxa"/>
            <w:vAlign w:val="bottom"/>
          </w:tcPr>
          <w:p>
            <w:pPr>
              <w:ind w:left="20"/>
              <w:spacing w:after="0" w:line="217" w:lineRule="exact"/>
              <w:rPr>
                <w:sz w:val="20"/>
                <w:szCs w:val="20"/>
                <w:color w:val="auto"/>
              </w:rPr>
            </w:pPr>
            <w:r>
              <w:rPr>
                <w:rFonts w:ascii="Verdana" w:cs="Verdana" w:eastAsia="Verdana" w:hAnsi="Verdana"/>
                <w:sz w:val="18"/>
                <w:szCs w:val="18"/>
                <w:color w:val="auto"/>
              </w:rPr>
              <w:t>Mortgage banking derivative</w:t>
            </w:r>
          </w:p>
        </w:tc>
        <w:tc>
          <w:tcPr>
            <w:tcW w:w="1980" w:type="dxa"/>
            <w:vAlign w:val="bottom"/>
            <w:gridSpan w:val="3"/>
            <w:vMerge w:val="restart"/>
          </w:tcPr>
          <w:p>
            <w:pPr>
              <w:jc w:val="right"/>
              <w:ind w:right="180"/>
              <w:spacing w:after="0"/>
              <w:rPr>
                <w:sz w:val="20"/>
                <w:szCs w:val="20"/>
                <w:color w:val="auto"/>
              </w:rPr>
            </w:pPr>
            <w:r>
              <w:rPr>
                <w:rFonts w:ascii="Verdana" w:cs="Verdana" w:eastAsia="Verdana" w:hAnsi="Verdana"/>
                <w:sz w:val="18"/>
                <w:szCs w:val="18"/>
                <w:color w:val="auto"/>
              </w:rPr>
              <w:t>$</w:t>
            </w:r>
          </w:p>
        </w:tc>
        <w:tc>
          <w:tcPr>
            <w:tcW w:w="1260" w:type="dxa"/>
            <w:vAlign w:val="bottom"/>
            <w:vMerge w:val="restart"/>
          </w:tcPr>
          <w:p>
            <w:pPr>
              <w:jc w:val="right"/>
              <w:spacing w:after="0"/>
              <w:rPr>
                <w:sz w:val="20"/>
                <w:szCs w:val="20"/>
                <w:color w:val="auto"/>
              </w:rPr>
            </w:pPr>
            <w:r>
              <w:rPr>
                <w:rFonts w:ascii="Verdana" w:cs="Verdana" w:eastAsia="Verdana" w:hAnsi="Verdana"/>
                <w:sz w:val="18"/>
                <w:szCs w:val="18"/>
                <w:color w:val="auto"/>
              </w:rPr>
              <w:t>5,238</w:t>
            </w:r>
          </w:p>
        </w:tc>
        <w:tc>
          <w:tcPr>
            <w:tcW w:w="100" w:type="dxa"/>
            <w:vAlign w:val="bottom"/>
          </w:tcPr>
          <w:p>
            <w:pPr>
              <w:spacing w:after="0"/>
              <w:rPr>
                <w:sz w:val="18"/>
                <w:szCs w:val="18"/>
                <w:color w:val="auto"/>
              </w:rPr>
            </w:pPr>
          </w:p>
        </w:tc>
        <w:tc>
          <w:tcPr>
            <w:tcW w:w="1120" w:type="dxa"/>
            <w:vAlign w:val="bottom"/>
            <w:vMerge w:val="restart"/>
          </w:tcPr>
          <w:p>
            <w:pPr>
              <w:jc w:val="right"/>
              <w:ind w:right="899"/>
              <w:spacing w:after="0"/>
              <w:rPr>
                <w:sz w:val="20"/>
                <w:szCs w:val="20"/>
                <w:color w:val="auto"/>
              </w:rPr>
            </w:pPr>
            <w:r>
              <w:rPr>
                <w:rFonts w:ascii="Verdana" w:cs="Verdana" w:eastAsia="Verdana" w:hAnsi="Verdana"/>
                <w:sz w:val="18"/>
                <w:szCs w:val="18"/>
                <w:color w:val="auto"/>
              </w:rPr>
              <w:t>$</w:t>
            </w:r>
          </w:p>
        </w:tc>
        <w:tc>
          <w:tcPr>
            <w:tcW w:w="460" w:type="dxa"/>
            <w:vAlign w:val="bottom"/>
            <w:vMerge w:val="restart"/>
          </w:tcPr>
          <w:p>
            <w:pPr>
              <w:jc w:val="right"/>
              <w:ind w:right="10"/>
              <w:spacing w:after="0"/>
              <w:rPr>
                <w:sz w:val="20"/>
                <w:szCs w:val="20"/>
                <w:color w:val="auto"/>
              </w:rPr>
            </w:pPr>
            <w:r>
              <w:rPr>
                <w:rFonts w:ascii="Verdana" w:cs="Verdana" w:eastAsia="Verdana" w:hAnsi="Verdana"/>
                <w:sz w:val="18"/>
                <w:szCs w:val="18"/>
                <w:color w:val="auto"/>
              </w:rPr>
              <w:t>36</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1,600</w:t>
            </w:r>
          </w:p>
        </w:tc>
        <w:tc>
          <w:tcPr>
            <w:tcW w:w="100" w:type="dxa"/>
            <w:vAlign w:val="bottom"/>
          </w:tcPr>
          <w:p>
            <w:pPr>
              <w:spacing w:after="0"/>
              <w:rPr>
                <w:sz w:val="18"/>
                <w:szCs w:val="18"/>
                <w:color w:val="auto"/>
              </w:rPr>
            </w:pPr>
          </w:p>
        </w:tc>
        <w:tc>
          <w:tcPr>
            <w:tcW w:w="360" w:type="dxa"/>
            <w:vAlign w:val="bottom"/>
            <w:vMerge w:val="restart"/>
          </w:tcPr>
          <w:p>
            <w:pPr>
              <w:jc w:val="right"/>
              <w:ind w:right="130"/>
              <w:spacing w:after="0"/>
              <w:rPr>
                <w:sz w:val="20"/>
                <w:szCs w:val="20"/>
                <w:color w:val="auto"/>
              </w:rPr>
            </w:pPr>
            <w:r>
              <w:rPr>
                <w:rFonts w:ascii="Verdana" w:cs="Verdana" w:eastAsia="Verdana" w:hAnsi="Verdana"/>
                <w:sz w:val="18"/>
                <w:szCs w:val="18"/>
                <w:color w:val="auto"/>
              </w:rPr>
              <w:t>$</w:t>
            </w:r>
          </w:p>
        </w:tc>
        <w:tc>
          <w:tcPr>
            <w:tcW w:w="1220" w:type="dxa"/>
            <w:vAlign w:val="bottom"/>
            <w:vMerge w:val="restart"/>
          </w:tcPr>
          <w:p>
            <w:pPr>
              <w:jc w:val="right"/>
              <w:spacing w:after="0"/>
              <w:rPr>
                <w:sz w:val="20"/>
                <w:szCs w:val="20"/>
                <w:color w:val="auto"/>
              </w:rPr>
            </w:pPr>
            <w:r>
              <w:rPr>
                <w:rFonts w:ascii="Verdana" w:cs="Verdana" w:eastAsia="Verdana" w:hAnsi="Verdana"/>
                <w:sz w:val="18"/>
                <w:szCs w:val="18"/>
                <w:color w:val="auto"/>
              </w:rPr>
              <w:t>17</w:t>
            </w:r>
          </w:p>
        </w:tc>
        <w:tc>
          <w:tcPr>
            <w:tcW w:w="0" w:type="dxa"/>
            <w:vAlign w:val="bottom"/>
          </w:tcPr>
          <w:p>
            <w:pPr>
              <w:spacing w:after="0"/>
              <w:rPr>
                <w:sz w:val="1"/>
                <w:szCs w:val="1"/>
                <w:color w:val="auto"/>
              </w:rPr>
            </w:pPr>
          </w:p>
        </w:tc>
      </w:tr>
      <w:tr>
        <w:trPr>
          <w:trHeight w:val="221"/>
        </w:trPr>
        <w:tc>
          <w:tcPr>
            <w:tcW w:w="2960" w:type="dxa"/>
            <w:vAlign w:val="bottom"/>
          </w:tcPr>
          <w:p>
            <w:pPr>
              <w:ind w:left="20"/>
              <w:spacing w:after="0"/>
              <w:rPr>
                <w:sz w:val="20"/>
                <w:szCs w:val="20"/>
                <w:color w:val="auto"/>
              </w:rPr>
            </w:pPr>
            <w:r>
              <w:rPr>
                <w:rFonts w:ascii="Verdana" w:cs="Verdana" w:eastAsia="Verdana" w:hAnsi="Verdana"/>
                <w:sz w:val="18"/>
                <w:szCs w:val="18"/>
                <w:color w:val="auto"/>
              </w:rPr>
              <w:t>assets</w:t>
            </w:r>
          </w:p>
        </w:tc>
        <w:tc>
          <w:tcPr>
            <w:tcW w:w="1980" w:type="dxa"/>
            <w:vAlign w:val="bottom"/>
            <w:gridSpan w:val="3"/>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E0E7ED"/>
          </w:tcPr>
          <w:p>
            <w:pPr>
              <w:spacing w:after="0"/>
              <w:rPr>
                <w:sz w:val="20"/>
                <w:szCs w:val="20"/>
                <w:color w:val="auto"/>
              </w:rPr>
            </w:pPr>
          </w:p>
        </w:tc>
        <w:tc>
          <w:tcPr>
            <w:tcW w:w="15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120" w:type="dxa"/>
            <w:vAlign w:val="bottom"/>
            <w:shd w:val="clear" w:color="auto" w:fill="E0E7ED"/>
          </w:tcPr>
          <w:p>
            <w:pPr>
              <w:spacing w:after="0"/>
              <w:rPr>
                <w:sz w:val="20"/>
                <w:szCs w:val="20"/>
                <w:color w:val="auto"/>
              </w:rPr>
            </w:pPr>
          </w:p>
        </w:tc>
        <w:tc>
          <w:tcPr>
            <w:tcW w:w="4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960" w:type="dxa"/>
            <w:vAlign w:val="bottom"/>
          </w:tcPr>
          <w:p>
            <w:pPr>
              <w:ind w:left="20"/>
              <w:spacing w:after="0"/>
              <w:rPr>
                <w:sz w:val="20"/>
                <w:szCs w:val="20"/>
                <w:color w:val="auto"/>
              </w:rPr>
            </w:pPr>
            <w:r>
              <w:rPr>
                <w:rFonts w:ascii="Verdana" w:cs="Verdana" w:eastAsia="Verdana" w:hAnsi="Verdana"/>
                <w:sz w:val="18"/>
                <w:szCs w:val="18"/>
                <w:b w:val="1"/>
                <w:bCs w:val="1"/>
                <w:color w:val="auto"/>
              </w:rPr>
              <w:t>Mortgage banking derivative</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20"/>
              <w:spacing w:after="0"/>
              <w:rPr>
                <w:sz w:val="20"/>
                <w:szCs w:val="20"/>
                <w:color w:val="auto"/>
              </w:rPr>
            </w:pPr>
            <w:r>
              <w:rPr>
                <w:rFonts w:ascii="Verdana" w:cs="Verdana" w:eastAsia="Verdana" w:hAnsi="Verdana"/>
                <w:sz w:val="18"/>
                <w:szCs w:val="18"/>
                <w:b w:val="1"/>
                <w:bCs w:val="1"/>
                <w:color w:val="auto"/>
              </w:rPr>
              <w:t>liabilities</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lock</w:t>
            </w:r>
          </w:p>
        </w:tc>
        <w:tc>
          <w:tcPr>
            <w:tcW w:w="198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Other liabilities</w:t>
            </w: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4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commitments</w:t>
            </w:r>
          </w:p>
        </w:tc>
        <w:tc>
          <w:tcPr>
            <w:tcW w:w="1980" w:type="dxa"/>
            <w:vAlign w:val="bottom"/>
            <w:gridSpan w:val="3"/>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1,615</w:t>
            </w:r>
          </w:p>
        </w:tc>
        <w:tc>
          <w:tcPr>
            <w:tcW w:w="100" w:type="dxa"/>
            <w:vAlign w:val="bottom"/>
            <w:shd w:val="clear" w:color="auto" w:fill="E0E7ED"/>
          </w:tcPr>
          <w:p>
            <w:pPr>
              <w:spacing w:after="0"/>
              <w:rPr>
                <w:sz w:val="21"/>
                <w:szCs w:val="21"/>
                <w:color w:val="auto"/>
              </w:rPr>
            </w:pPr>
          </w:p>
        </w:tc>
        <w:tc>
          <w:tcPr>
            <w:tcW w:w="1120" w:type="dxa"/>
            <w:vAlign w:val="bottom"/>
            <w:shd w:val="clear" w:color="auto" w:fill="E0E7ED"/>
          </w:tcPr>
          <w:p>
            <w:pPr>
              <w:jc w:val="right"/>
              <w:ind w:right="899"/>
              <w:spacing w:after="0"/>
              <w:rPr>
                <w:sz w:val="20"/>
                <w:szCs w:val="20"/>
                <w:color w:val="auto"/>
              </w:rPr>
            </w:pPr>
            <w:r>
              <w:rPr>
                <w:rFonts w:ascii="Verdana" w:cs="Verdana" w:eastAsia="Verdana" w:hAnsi="Verdana"/>
                <w:sz w:val="18"/>
                <w:szCs w:val="18"/>
                <w:color w:val="auto"/>
              </w:rPr>
              <w:t>$</w:t>
            </w:r>
          </w:p>
        </w:tc>
        <w:tc>
          <w:tcPr>
            <w:tcW w:w="46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10</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w:t>
            </w:r>
          </w:p>
        </w:tc>
        <w:tc>
          <w:tcPr>
            <w:tcW w:w="0" w:type="dxa"/>
            <w:vAlign w:val="bottom"/>
          </w:tcPr>
          <w:p>
            <w:pPr>
              <w:spacing w:after="0"/>
              <w:rPr>
                <w:sz w:val="1"/>
                <w:szCs w:val="1"/>
                <w:color w:val="auto"/>
              </w:rPr>
            </w:pPr>
          </w:p>
        </w:tc>
      </w:tr>
      <w:tr>
        <w:trPr>
          <w:trHeight w:val="263"/>
        </w:trPr>
        <w:tc>
          <w:tcPr>
            <w:tcW w:w="2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Forward sales commitments</w:t>
            </w:r>
          </w:p>
        </w:tc>
        <w:tc>
          <w:tcPr>
            <w:tcW w:w="1660" w:type="dxa"/>
            <w:vAlign w:val="bottom"/>
            <w:tcBorders>
              <w:bottom w:val="single" w:sz="8" w:color="E0E7ED"/>
            </w:tcBorders>
            <w:gridSpan w:val="2"/>
          </w:tcPr>
          <w:p>
            <w:pPr>
              <w:ind w:left="20"/>
              <w:spacing w:after="0"/>
              <w:rPr>
                <w:sz w:val="20"/>
                <w:szCs w:val="20"/>
                <w:color w:val="auto"/>
              </w:rPr>
            </w:pPr>
            <w:r>
              <w:rPr>
                <w:rFonts w:ascii="Verdana" w:cs="Verdana" w:eastAsia="Verdana" w:hAnsi="Verdana"/>
                <w:sz w:val="18"/>
                <w:szCs w:val="18"/>
                <w:color w:val="auto"/>
              </w:rPr>
              <w:t>Other liabilities</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5,216</w:t>
            </w:r>
          </w:p>
        </w:tc>
        <w:tc>
          <w:tcPr>
            <w:tcW w:w="100" w:type="dxa"/>
            <w:vAlign w:val="bottom"/>
            <w:tcBorders>
              <w:bottom w:val="single" w:sz="8" w:color="E0E7ED"/>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47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2,757</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39</w:t>
            </w:r>
          </w:p>
        </w:tc>
        <w:tc>
          <w:tcPr>
            <w:tcW w:w="0" w:type="dxa"/>
            <w:vAlign w:val="bottom"/>
          </w:tcPr>
          <w:p>
            <w:pPr>
              <w:spacing w:after="0"/>
              <w:rPr>
                <w:sz w:val="1"/>
                <w:szCs w:val="1"/>
                <w:color w:val="auto"/>
              </w:rPr>
            </w:pPr>
          </w:p>
        </w:tc>
      </w:tr>
      <w:tr>
        <w:trPr>
          <w:trHeight w:val="224"/>
        </w:trPr>
        <w:tc>
          <w:tcPr>
            <w:tcW w:w="2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Mortgage banking derivative</w:t>
            </w:r>
          </w:p>
        </w:tc>
        <w:tc>
          <w:tcPr>
            <w:tcW w:w="1980" w:type="dxa"/>
            <w:vAlign w:val="bottom"/>
            <w:gridSpan w:val="3"/>
            <w:vMerge w:val="restart"/>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2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6,831</w:t>
            </w:r>
          </w:p>
        </w:tc>
        <w:tc>
          <w:tcPr>
            <w:tcW w:w="100" w:type="dxa"/>
            <w:vAlign w:val="bottom"/>
            <w:shd w:val="clear" w:color="auto" w:fill="E0E7ED"/>
          </w:tcPr>
          <w:p>
            <w:pPr>
              <w:spacing w:after="0"/>
              <w:rPr>
                <w:sz w:val="19"/>
                <w:szCs w:val="19"/>
                <w:color w:val="auto"/>
              </w:rPr>
            </w:pPr>
          </w:p>
        </w:tc>
        <w:tc>
          <w:tcPr>
            <w:tcW w:w="1120" w:type="dxa"/>
            <w:vAlign w:val="bottom"/>
            <w:vMerge w:val="restart"/>
            <w:shd w:val="clear" w:color="auto" w:fill="E0E7ED"/>
          </w:tcPr>
          <w:p>
            <w:pPr>
              <w:jc w:val="right"/>
              <w:ind w:right="899"/>
              <w:spacing w:after="0"/>
              <w:rPr>
                <w:sz w:val="20"/>
                <w:szCs w:val="20"/>
                <w:color w:val="auto"/>
              </w:rPr>
            </w:pPr>
            <w:r>
              <w:rPr>
                <w:rFonts w:ascii="Verdana" w:cs="Verdana" w:eastAsia="Verdana" w:hAnsi="Verdana"/>
                <w:sz w:val="18"/>
                <w:szCs w:val="18"/>
                <w:color w:val="auto"/>
              </w:rPr>
              <w:t>$</w:t>
            </w:r>
          </w:p>
        </w:tc>
        <w:tc>
          <w:tcPr>
            <w:tcW w:w="46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57</w:t>
            </w:r>
          </w:p>
        </w:tc>
        <w:tc>
          <w:tcPr>
            <w:tcW w:w="100" w:type="dxa"/>
            <w:vAlign w:val="bottom"/>
            <w:shd w:val="clear" w:color="auto" w:fill="E0E7ED"/>
          </w:tcPr>
          <w:p>
            <w:pPr>
              <w:spacing w:after="0"/>
              <w:rPr>
                <w:sz w:val="19"/>
                <w:szCs w:val="19"/>
                <w:color w:val="auto"/>
              </w:rPr>
            </w:pPr>
          </w:p>
        </w:tc>
        <w:tc>
          <w:tcPr>
            <w:tcW w:w="300" w:type="dxa"/>
            <w:vAlign w:val="bottom"/>
            <w:vMerge w:val="restart"/>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2,840</w:t>
            </w:r>
          </w:p>
        </w:tc>
        <w:tc>
          <w:tcPr>
            <w:tcW w:w="100" w:type="dxa"/>
            <w:vAlign w:val="bottom"/>
            <w:shd w:val="clear" w:color="auto" w:fill="E0E7ED"/>
          </w:tcPr>
          <w:p>
            <w:pPr>
              <w:spacing w:after="0"/>
              <w:rPr>
                <w:sz w:val="19"/>
                <w:szCs w:val="19"/>
                <w:color w:val="auto"/>
              </w:rPr>
            </w:pPr>
          </w:p>
        </w:tc>
        <w:tc>
          <w:tcPr>
            <w:tcW w:w="36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40</w:t>
            </w:r>
          </w:p>
        </w:tc>
        <w:tc>
          <w:tcPr>
            <w:tcW w:w="0" w:type="dxa"/>
            <w:vAlign w:val="bottom"/>
          </w:tcPr>
          <w:p>
            <w:pPr>
              <w:spacing w:after="0"/>
              <w:rPr>
                <w:sz w:val="1"/>
                <w:szCs w:val="1"/>
                <w:color w:val="auto"/>
              </w:rPr>
            </w:pPr>
          </w:p>
        </w:tc>
      </w:tr>
      <w:tr>
        <w:trPr>
          <w:trHeight w:val="241"/>
        </w:trPr>
        <w:tc>
          <w:tcPr>
            <w:tcW w:w="2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liabilities</w:t>
            </w:r>
          </w:p>
        </w:tc>
        <w:tc>
          <w:tcPr>
            <w:tcW w:w="1980" w:type="dxa"/>
            <w:vAlign w:val="bottom"/>
            <w:gridSpan w:val="3"/>
            <w:vMerge w:val="continue"/>
            <w:shd w:val="clear" w:color="auto" w:fill="E0E7ED"/>
          </w:tcPr>
          <w:p>
            <w:pPr>
              <w:spacing w:after="0"/>
              <w:rPr>
                <w:sz w:val="20"/>
                <w:szCs w:val="20"/>
                <w:color w:val="auto"/>
              </w:rPr>
            </w:pPr>
          </w:p>
        </w:tc>
        <w:tc>
          <w:tcPr>
            <w:tcW w:w="126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120" w:type="dxa"/>
            <w:vAlign w:val="bottom"/>
            <w:vMerge w:val="continue"/>
            <w:shd w:val="clear" w:color="auto" w:fill="E0E7ED"/>
          </w:tcPr>
          <w:p>
            <w:pPr>
              <w:spacing w:after="0"/>
              <w:rPr>
                <w:sz w:val="20"/>
                <w:szCs w:val="20"/>
                <w:color w:val="auto"/>
              </w:rPr>
            </w:pPr>
          </w:p>
        </w:tc>
        <w:tc>
          <w:tcPr>
            <w:tcW w:w="46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vMerge w:val="continue"/>
            <w:shd w:val="clear" w:color="auto" w:fill="E0E7ED"/>
          </w:tcPr>
          <w:p>
            <w:pPr>
              <w:spacing w:after="0"/>
              <w:rPr>
                <w:sz w:val="20"/>
                <w:szCs w:val="20"/>
                <w:color w:val="auto"/>
              </w:rPr>
            </w:pPr>
          </w:p>
        </w:tc>
        <w:tc>
          <w:tcPr>
            <w:tcW w:w="128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vMerge w:val="continue"/>
            <w:shd w:val="clear" w:color="auto" w:fill="E0E7ED"/>
          </w:tcPr>
          <w:p>
            <w:pPr>
              <w:spacing w:after="0"/>
              <w:rPr>
                <w:sz w:val="20"/>
                <w:szCs w:val="20"/>
                <w:color w:val="auto"/>
              </w:rPr>
            </w:pPr>
          </w:p>
        </w:tc>
        <w:tc>
          <w:tcPr>
            <w:tcW w:w="1220" w:type="dxa"/>
            <w:vAlign w:val="bottom"/>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Net gains (losses) relating to these derivative instruments are summarized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center"/>
              <w:ind w:right="21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4580" w:type="dxa"/>
            <w:vAlign w:val="bottom"/>
          </w:tcPr>
          <w:p>
            <w:pPr>
              <w:spacing w:after="0"/>
              <w:rPr>
                <w:sz w:val="14"/>
                <w:szCs w:val="14"/>
                <w:color w:val="auto"/>
              </w:rPr>
            </w:pPr>
          </w:p>
        </w:tc>
        <w:tc>
          <w:tcPr>
            <w:tcW w:w="1680" w:type="dxa"/>
            <w:vAlign w:val="bottom"/>
            <w:gridSpan w:val="2"/>
          </w:tcPr>
          <w:p>
            <w:pPr>
              <w:ind w:left="500"/>
              <w:spacing w:after="0"/>
              <w:rPr>
                <w:sz w:val="20"/>
                <w:szCs w:val="20"/>
                <w:color w:val="auto"/>
              </w:rPr>
            </w:pPr>
            <w:r>
              <w:rPr>
                <w:rFonts w:ascii="Verdana" w:cs="Verdana" w:eastAsia="Verdana" w:hAnsi="Verdana"/>
                <w:sz w:val="13"/>
                <w:szCs w:val="13"/>
                <w:b w:val="1"/>
                <w:bCs w:val="1"/>
                <w:color w:val="auto"/>
              </w:rPr>
              <w:t>Location</w:t>
            </w:r>
          </w:p>
        </w:tc>
        <w:tc>
          <w:tcPr>
            <w:tcW w:w="38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3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37"/>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4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gains (losses)</w:t>
            </w:r>
          </w:p>
        </w:tc>
        <w:tc>
          <w:tcPr>
            <w:tcW w:w="15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11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r>
      <w:tr>
        <w:trPr>
          <w:trHeight w:val="238"/>
        </w:trPr>
        <w:tc>
          <w:tcPr>
            <w:tcW w:w="4580" w:type="dxa"/>
            <w:vAlign w:val="bottom"/>
          </w:tcPr>
          <w:p>
            <w:pPr>
              <w:ind w:left="180"/>
              <w:spacing w:after="0"/>
              <w:rPr>
                <w:sz w:val="20"/>
                <w:szCs w:val="20"/>
                <w:color w:val="auto"/>
              </w:rPr>
            </w:pPr>
            <w:r>
              <w:rPr>
                <w:rFonts w:ascii="Verdana" w:cs="Verdana" w:eastAsia="Verdana" w:hAnsi="Verdana"/>
                <w:sz w:val="18"/>
                <w:szCs w:val="18"/>
                <w:color w:val="auto"/>
              </w:rPr>
              <w:t>Interest rate lock commitments</w:t>
            </w:r>
          </w:p>
        </w:tc>
        <w:tc>
          <w:tcPr>
            <w:tcW w:w="1680" w:type="dxa"/>
            <w:vAlign w:val="bottom"/>
            <w:gridSpan w:val="2"/>
          </w:tcPr>
          <w:p>
            <w:pPr>
              <w:ind w:left="20"/>
              <w:spacing w:after="0"/>
              <w:rPr>
                <w:sz w:val="20"/>
                <w:szCs w:val="20"/>
                <w:color w:val="auto"/>
              </w:rPr>
            </w:pPr>
            <w:r>
              <w:rPr>
                <w:rFonts w:ascii="Verdana" w:cs="Verdana" w:eastAsia="Verdana" w:hAnsi="Verdana"/>
                <w:sz w:val="18"/>
                <w:szCs w:val="18"/>
                <w:color w:val="auto"/>
              </w:rPr>
              <w:t>Mortgage</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2"/>
        </w:trPr>
        <w:tc>
          <w:tcPr>
            <w:tcW w:w="458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Verdana" w:cs="Verdana" w:eastAsia="Verdana" w:hAnsi="Verdana"/>
                <w:sz w:val="18"/>
                <w:szCs w:val="18"/>
                <w:color w:val="auto"/>
              </w:rPr>
              <w:t>revenue</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w:t>
            </w:r>
          </w:p>
        </w:tc>
        <w:tc>
          <w:tcPr>
            <w:tcW w:w="540" w:type="dxa"/>
            <w:vAlign w:val="bottom"/>
            <w:gridSpan w:val="3"/>
          </w:tcPr>
          <w:p>
            <w:pPr>
              <w:jc w:val="right"/>
              <w:ind w:right="240"/>
              <w:spacing w:after="0"/>
              <w:rPr>
                <w:sz w:val="20"/>
                <w:szCs w:val="20"/>
                <w:color w:val="auto"/>
              </w:rPr>
            </w:pPr>
            <w:r>
              <w:rPr>
                <w:rFonts w:ascii="Verdana" w:cs="Verdana" w:eastAsia="Verdana" w:hAnsi="Verdana"/>
                <w:sz w:val="18"/>
                <w:szCs w:val="18"/>
                <w:color w:val="auto"/>
              </w:rPr>
              <w:t>$</w:t>
            </w:r>
          </w:p>
        </w:tc>
        <w:tc>
          <w:tcPr>
            <w:tcW w:w="1220" w:type="dxa"/>
            <w:vAlign w:val="bottom"/>
          </w:tcPr>
          <w:p>
            <w:pPr>
              <w:jc w:val="center"/>
              <w:ind w:left="717"/>
              <w:spacing w:after="0"/>
              <w:rPr>
                <w:sz w:val="20"/>
                <w:szCs w:val="20"/>
                <w:color w:val="auto"/>
              </w:rPr>
            </w:pPr>
            <w:r>
              <w:rPr>
                <w:rFonts w:ascii="Verdana" w:cs="Verdana" w:eastAsia="Verdana" w:hAnsi="Verdana"/>
                <w:sz w:val="18"/>
                <w:szCs w:val="18"/>
                <w:color w:val="auto"/>
                <w:w w:val="95"/>
              </w:rPr>
              <w:t>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center"/>
              <w:ind w:left="417"/>
              <w:spacing w:after="0"/>
              <w:rPr>
                <w:sz w:val="20"/>
                <w:szCs w:val="20"/>
                <w:color w:val="auto"/>
              </w:rPr>
            </w:pPr>
            <w:r>
              <w:rPr>
                <w:rFonts w:ascii="Verdana" w:cs="Verdana" w:eastAsia="Verdana" w:hAnsi="Verdana"/>
                <w:sz w:val="18"/>
                <w:szCs w:val="18"/>
                <w:color w:val="auto"/>
                <w:w w:val="99"/>
              </w:rPr>
              <w:t>1,702</w:t>
            </w:r>
          </w:p>
        </w:tc>
      </w:tr>
      <w:tr>
        <w:trPr>
          <w:trHeight w:val="244"/>
        </w:trPr>
        <w:tc>
          <w:tcPr>
            <w:tcW w:w="4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Forward sales commitments</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Mortgage</w:t>
            </w:r>
          </w:p>
        </w:tc>
        <w:tc>
          <w:tcPr>
            <w:tcW w:w="38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r>
      <w:tr>
        <w:trPr>
          <w:trHeight w:val="242"/>
        </w:trPr>
        <w:tc>
          <w:tcPr>
            <w:tcW w:w="4580" w:type="dxa"/>
            <w:vAlign w:val="bottom"/>
            <w:shd w:val="clear" w:color="auto" w:fill="E0E7ED"/>
          </w:tcPr>
          <w:p>
            <w:pPr>
              <w:spacing w:after="0"/>
              <w:rPr>
                <w:sz w:val="21"/>
                <w:szCs w:val="21"/>
                <w:color w:val="auto"/>
              </w:rPr>
            </w:pP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revenue</w:t>
            </w:r>
          </w:p>
        </w:tc>
        <w:tc>
          <w:tcPr>
            <w:tcW w:w="38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w:t>
            </w:r>
          </w:p>
        </w:tc>
        <w:tc>
          <w:tcPr>
            <w:tcW w:w="80" w:type="dxa"/>
            <w:vAlign w:val="bottom"/>
            <w:tcBorders>
              <w:bottom w:val="single" w:sz="8" w:color="auto"/>
            </w:tcBorders>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8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center"/>
              <w:ind w:left="697"/>
              <w:spacing w:after="0"/>
              <w:rPr>
                <w:sz w:val="20"/>
                <w:szCs w:val="20"/>
                <w:color w:val="auto"/>
              </w:rPr>
            </w:pPr>
            <w:r>
              <w:rPr>
                <w:rFonts w:ascii="Verdana" w:cs="Verdana" w:eastAsia="Verdana" w:hAnsi="Verdana"/>
                <w:sz w:val="18"/>
                <w:szCs w:val="18"/>
                <w:color w:val="auto"/>
              </w:rPr>
              <w:t>(38)</w:t>
            </w:r>
          </w:p>
        </w:tc>
        <w:tc>
          <w:tcPr>
            <w:tcW w:w="100" w:type="dxa"/>
            <w:vAlign w:val="bottom"/>
            <w:shd w:val="clear" w:color="auto" w:fill="E0E7ED"/>
          </w:tcPr>
          <w:p>
            <w:pPr>
              <w:spacing w:after="0"/>
              <w:rPr>
                <w:sz w:val="21"/>
                <w:szCs w:val="21"/>
                <w:color w:val="auto"/>
              </w:rPr>
            </w:pPr>
          </w:p>
        </w:tc>
        <w:tc>
          <w:tcPr>
            <w:tcW w:w="38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center"/>
              <w:ind w:left="397"/>
              <w:spacing w:after="0"/>
              <w:rPr>
                <w:sz w:val="20"/>
                <w:szCs w:val="20"/>
                <w:color w:val="auto"/>
              </w:rPr>
            </w:pPr>
            <w:r>
              <w:rPr>
                <w:rFonts w:ascii="Verdana" w:cs="Verdana" w:eastAsia="Verdana" w:hAnsi="Verdana"/>
                <w:sz w:val="18"/>
                <w:szCs w:val="18"/>
                <w:color w:val="auto"/>
              </w:rPr>
              <w:t>(4,045)</w:t>
            </w:r>
          </w:p>
        </w:tc>
      </w:tr>
      <w:tr>
        <w:trPr>
          <w:trHeight w:val="270"/>
        </w:trPr>
        <w:tc>
          <w:tcPr>
            <w:tcW w:w="4580" w:type="dxa"/>
            <w:vAlign w:val="bottom"/>
          </w:tcPr>
          <w:p>
            <w:pPr>
              <w:ind w:left="20"/>
              <w:spacing w:after="0"/>
              <w:rPr>
                <w:sz w:val="20"/>
                <w:szCs w:val="20"/>
                <w:color w:val="auto"/>
              </w:rPr>
            </w:pPr>
            <w:r>
              <w:rPr>
                <w:rFonts w:ascii="Verdana" w:cs="Verdana" w:eastAsia="Verdana" w:hAnsi="Verdana"/>
                <w:sz w:val="18"/>
                <w:szCs w:val="18"/>
                <w:color w:val="auto"/>
              </w:rPr>
              <w:t>Net gains (losses)</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2</w:t>
            </w:r>
          </w:p>
        </w:tc>
        <w:tc>
          <w:tcPr>
            <w:tcW w:w="540" w:type="dxa"/>
            <w:vAlign w:val="bottom"/>
            <w:gridSpan w:val="3"/>
          </w:tcPr>
          <w:p>
            <w:pPr>
              <w:jc w:val="right"/>
              <w:ind w:right="240"/>
              <w:spacing w:after="0"/>
              <w:rPr>
                <w:sz w:val="20"/>
                <w:szCs w:val="20"/>
                <w:color w:val="auto"/>
              </w:rPr>
            </w:pPr>
            <w:r>
              <w:rPr>
                <w:rFonts w:ascii="Verdana" w:cs="Verdana" w:eastAsia="Verdana" w:hAnsi="Verdana"/>
                <w:sz w:val="18"/>
                <w:szCs w:val="18"/>
                <w:color w:val="auto"/>
              </w:rPr>
              <w:t>$</w:t>
            </w:r>
          </w:p>
        </w:tc>
        <w:tc>
          <w:tcPr>
            <w:tcW w:w="1220" w:type="dxa"/>
            <w:vAlign w:val="bottom"/>
          </w:tcPr>
          <w:p>
            <w:pPr>
              <w:jc w:val="center"/>
              <w:ind w:left="697"/>
              <w:spacing w:after="0"/>
              <w:rPr>
                <w:sz w:val="20"/>
                <w:szCs w:val="20"/>
                <w:color w:val="auto"/>
              </w:rPr>
            </w:pPr>
            <w:r>
              <w:rPr>
                <w:rFonts w:ascii="Verdana" w:cs="Verdana" w:eastAsia="Verdana" w:hAnsi="Verdana"/>
                <w:sz w:val="18"/>
                <w:szCs w:val="18"/>
                <w:color w:val="auto"/>
              </w:rPr>
              <w:t>(23)</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center"/>
              <w:ind w:left="397"/>
              <w:spacing w:after="0"/>
              <w:rPr>
                <w:sz w:val="20"/>
                <w:szCs w:val="20"/>
                <w:color w:val="auto"/>
              </w:rPr>
            </w:pPr>
            <w:r>
              <w:rPr>
                <w:rFonts w:ascii="Verdana" w:cs="Verdana" w:eastAsia="Verdana" w:hAnsi="Verdana"/>
                <w:sz w:val="18"/>
                <w:szCs w:val="18"/>
                <w:color w:val="auto"/>
              </w:rPr>
              <w:t>(2,343)</w:t>
            </w:r>
          </w:p>
        </w:tc>
      </w:tr>
      <w:tr>
        <w:trPr>
          <w:trHeight w:val="20"/>
        </w:trPr>
        <w:tc>
          <w:tcPr>
            <w:tcW w:w="4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2021, the impact of the net gains or losses recognized in earnings on interest rate lock commitments and forward sales commitments was almost entirely offset by the recognition of a corresponding change in the fair value of loans held for sale. In 2022, Busey began carrying loans held for sale at LOCOM, so while Busey will continue to recognize gains or losses on these mortgage banking derivative instruments in earnings, any corresponding increase in the fair value of loans held for sale will not be recognized in earnings until the loans are sold, at which time the increase is factored into the calculated gain on sale. Decreases in the market value of loans held for sale will continue to be recognized in earnings at each measurement period.</w:t>
      </w:r>
    </w:p>
    <w:p>
      <w:pPr>
        <w:spacing w:after="0" w:line="23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0" w:name="page161"/>
    <w:bookmarkEnd w:id="16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18. FAIR VALUE MEASUREMENTS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Verdana" w:cs="Verdana" w:eastAsia="Verdana" w:hAnsi="Verdana"/>
          <w:sz w:val="18"/>
          <w:szCs w:val="18"/>
          <w:i w:val="1"/>
          <w:iCs w:val="1"/>
          <w:color w:val="auto"/>
        </w:rPr>
        <w:t>“Fair Value Measurement”</w:t>
      </w:r>
      <w:r>
        <w:rPr>
          <w:rFonts w:ascii="Verdana" w:cs="Verdana" w:eastAsia="Verdana" w:hAnsi="Verdana"/>
          <w:sz w:val="18"/>
          <w:szCs w:val="18"/>
          <w:color w:val="auto"/>
        </w:rPr>
        <w:t xml:space="preserve">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57" w:lineRule="exact"/>
        <w:rPr>
          <w:sz w:val="20"/>
          <w:szCs w:val="20"/>
          <w:color w:val="auto"/>
        </w:rPr>
      </w:pPr>
    </w:p>
    <w:p>
      <w:pPr>
        <w:ind w:left="660" w:hanging="328"/>
        <w:spacing w:after="0" w:line="254" w:lineRule="auto"/>
        <w:tabs>
          <w:tab w:leader="none" w:pos="650" w:val="left"/>
        </w:tabs>
        <w:numPr>
          <w:ilvl w:val="0"/>
          <w:numId w:val="64"/>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Level 1 Inputs </w:t>
      </w:r>
      <w:r>
        <w:rPr>
          <w:rFonts w:ascii="Verdana" w:cs="Verdana" w:eastAsia="Verdana" w:hAnsi="Verdana"/>
          <w:sz w:val="18"/>
          <w:szCs w:val="18"/>
          <w:color w:val="auto"/>
        </w:rPr>
        <w:t>– Unadjusted quoted prices in active markets for identical assets or liabilities that the Company has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the ability to access at the measurement date.</w:t>
      </w:r>
    </w:p>
    <w:p>
      <w:pPr>
        <w:spacing w:after="0" w:line="157" w:lineRule="exact"/>
        <w:rPr>
          <w:rFonts w:ascii="Verdana" w:cs="Verdana" w:eastAsia="Verdana" w:hAnsi="Verdana"/>
          <w:sz w:val="18"/>
          <w:szCs w:val="18"/>
          <w:color w:val="auto"/>
        </w:rPr>
      </w:pPr>
    </w:p>
    <w:p>
      <w:pPr>
        <w:jc w:val="both"/>
        <w:ind w:left="660" w:hanging="328"/>
        <w:spacing w:after="0" w:line="259" w:lineRule="auto"/>
        <w:tabs>
          <w:tab w:leader="none" w:pos="650" w:val="left"/>
        </w:tabs>
        <w:numPr>
          <w:ilvl w:val="0"/>
          <w:numId w:val="64"/>
        </w:numPr>
        <w:rPr>
          <w:rFonts w:ascii="Verdana" w:cs="Verdana" w:eastAsia="Verdana" w:hAnsi="Verdana"/>
          <w:sz w:val="17"/>
          <w:szCs w:val="17"/>
          <w:color w:val="auto"/>
        </w:rPr>
      </w:pPr>
      <w:r>
        <w:rPr>
          <w:rFonts w:ascii="Verdana" w:cs="Verdana" w:eastAsia="Verdana" w:hAnsi="Verdana"/>
          <w:sz w:val="17"/>
          <w:szCs w:val="17"/>
          <w:i w:val="1"/>
          <w:iCs w:val="1"/>
          <w:color w:val="auto"/>
        </w:rPr>
        <w:t xml:space="preserve">Level 2 Inputs </w:t>
      </w:r>
      <w:r>
        <w:rPr>
          <w:rFonts w:ascii="Verdana" w:cs="Verdana" w:eastAsia="Verdana" w:hAnsi="Verdana"/>
          <w:sz w:val="17"/>
          <w:szCs w:val="17"/>
          <w:color w:val="auto"/>
        </w:rPr>
        <w:t>– Inputs other than quoted prices included in Level 1 that are observable for the asset or liability,</w:t>
      </w:r>
      <w:r>
        <w:rPr>
          <w:rFonts w:ascii="Verdana" w:cs="Verdana" w:eastAsia="Verdana" w:hAnsi="Verdana"/>
          <w:sz w:val="17"/>
          <w:szCs w:val="17"/>
          <w:i w:val="1"/>
          <w:iCs w:val="1"/>
          <w:color w:val="auto"/>
        </w:rPr>
        <w:t xml:space="preserve"> </w:t>
      </w:r>
      <w:r>
        <w:rPr>
          <w:rFonts w:ascii="Verdana" w:cs="Verdana" w:eastAsia="Verdana" w:hAnsi="Verdana"/>
          <w:sz w:val="17"/>
          <w:szCs w:val="17"/>
          <w:color w:val="auto"/>
        </w:rPr>
        <w:t>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40" w:lineRule="exact"/>
        <w:rPr>
          <w:rFonts w:ascii="Verdana" w:cs="Verdana" w:eastAsia="Verdana" w:hAnsi="Verdana"/>
          <w:sz w:val="17"/>
          <w:szCs w:val="17"/>
          <w:color w:val="auto"/>
        </w:rPr>
      </w:pPr>
    </w:p>
    <w:p>
      <w:pPr>
        <w:jc w:val="both"/>
        <w:ind w:left="660" w:hanging="328"/>
        <w:spacing w:after="0" w:line="245" w:lineRule="auto"/>
        <w:tabs>
          <w:tab w:leader="none" w:pos="650" w:val="left"/>
        </w:tabs>
        <w:numPr>
          <w:ilvl w:val="0"/>
          <w:numId w:val="64"/>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Level 3 Inputs </w:t>
      </w:r>
      <w:r>
        <w:rPr>
          <w:rFonts w:ascii="Verdana" w:cs="Verdana" w:eastAsia="Verdana" w:hAnsi="Verdana"/>
          <w:sz w:val="18"/>
          <w:szCs w:val="18"/>
          <w:color w:val="auto"/>
        </w:rPr>
        <w:t>– Unobservable inputs for determining the fair values of assets or liabilities that reflect the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Company’s own assumptions about the assumptions that market participants would use in pricing the assets or liabilities.</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Busey’s assets and liabilities that are carried at fair value.</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61" w:lineRule="exact"/>
        <w:rPr>
          <w:sz w:val="20"/>
          <w:szCs w:val="20"/>
          <w:color w:val="auto"/>
        </w:rPr>
      </w:pPr>
    </w:p>
    <w:p>
      <w:pPr>
        <w:ind w:right="3600"/>
        <w:spacing w:after="0" w:line="436" w:lineRule="auto"/>
        <w:rPr>
          <w:sz w:val="20"/>
          <w:szCs w:val="20"/>
          <w:color w:val="auto"/>
        </w:rPr>
      </w:pPr>
      <w:r>
        <w:rPr>
          <w:rFonts w:ascii="Verdana" w:cs="Verdana" w:eastAsia="Verdana" w:hAnsi="Verdana"/>
          <w:sz w:val="18"/>
          <w:szCs w:val="18"/>
          <w:b w:val="1"/>
          <w:bCs w:val="1"/>
          <w:i w:val="1"/>
          <w:iCs w:val="1"/>
          <w:color w:val="auto"/>
        </w:rPr>
        <w:t xml:space="preserve">Financial Assets and Liabilities Measured at Fair Value on a Recurring Basis </w:t>
      </w:r>
      <w:r>
        <w:rPr>
          <w:rFonts w:ascii="Verdana" w:cs="Verdana" w:eastAsia="Verdana" w:hAnsi="Verdana"/>
          <w:sz w:val="18"/>
          <w:szCs w:val="18"/>
          <w:u w:val="single" w:color="auto"/>
          <w:color w:val="auto"/>
        </w:rPr>
        <w:t>Debt Securities Available for Sale</w:t>
      </w:r>
    </w:p>
    <w:p>
      <w:pPr>
        <w:spacing w:after="0" w:line="2"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Debt securities classified as available for sale are reported at fair value utilizing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5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211"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1" w:name="page162"/>
    <w:bookmarkEnd w:id="16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Equity Securities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Equity securities are reported at fair value utilizing Level 1 or Level 2 inputs. Fair value measurements of mutual funds, when held, are determined using unadjusted quoted prices in active markets for identical assets at the measurement date and are classified as Level 1. For stock, quoted prices for identical or similar assets in markets that are not active are utilized and classified as Level 2.</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Derivative Assets and Derivative Liabilities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The majority of our derivative assets and derivative liabilities are reported at fair value utilizing Level 2 or Level 3 inputs. Derivative balances are included in other assets or other liabilities on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and consist of interest rate swaps and risk participation agreements where there is no significant deterioration in the counterparties (loan customers) credit risk since origination of the interest rate swap or risk participation agreement, as well as mortgage banking derivatives, including interest rate lock commitments and forward sales commitments.</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Fair values of derivative assets and liabilities are determined based on prices that are obtained from a third-party which uses observable market inputs and, with the exception of our risk participation agreements, are classified as Level 2. For purposes of potential valuation adjustments to our derivative positions, Busey evaluates the credit risk of its counterparties as well as its own credit risk. Accordingly, Busey has considered factors such as the likelihood of default, expected loss given default, net exposures, and remaining contractual life, among other things, in determining if any estimated fair value adjustments related to credit risk are required. Busey reviews counterparty exposure quarterly, and when necessary, appropriate adjustments are made to reflect the exposure. No changes in counterparty credit were identified.</w:t>
      </w:r>
    </w:p>
    <w:p>
      <w:pPr>
        <w:spacing w:after="0" w:line="17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Due to the significance of unobservable inputs, derivative assets related to our risk participation agreements are classified as Level 3.</w:t>
      </w:r>
    </w:p>
    <w:p>
      <w:pPr>
        <w:spacing w:after="0" w:line="198"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2" w:name="page163"/>
    <w:bookmarkEnd w:id="16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 xml:space="preserve">The following tables summarize financial assets and financial liabilities measured at fair value on a recurring basis as of December 31, 2023, and 2022, segregated by the level of the valuation inputs within the fair value hierarchy utilized to measure fair value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ind w:left="440"/>
              <w:spacing w:after="0"/>
              <w:rPr>
                <w:sz w:val="20"/>
                <w:szCs w:val="20"/>
                <w:color w:val="auto"/>
              </w:rPr>
            </w:pPr>
            <w:r>
              <w:rPr>
                <w:rFonts w:ascii="Verdana" w:cs="Verdana" w:eastAsia="Verdana" w:hAnsi="Verdana"/>
                <w:sz w:val="13"/>
                <w:szCs w:val="13"/>
                <w:b w:val="1"/>
                <w:bCs w:val="1"/>
                <w:color w:val="auto"/>
              </w:rPr>
              <w:t>As of December 31, 2023</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22"/>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ind w:left="520"/>
              <w:spacing w:after="0" w:line="122" w:lineRule="exact"/>
              <w:rPr>
                <w:sz w:val="20"/>
                <w:szCs w:val="20"/>
                <w:color w:val="auto"/>
              </w:rPr>
            </w:pPr>
            <w:r>
              <w:rPr>
                <w:rFonts w:ascii="Verdana" w:cs="Verdana" w:eastAsia="Verdana" w:hAnsi="Verdana"/>
                <w:sz w:val="13"/>
                <w:szCs w:val="13"/>
                <w:b w:val="1"/>
                <w:bCs w:val="1"/>
                <w:color w:val="auto"/>
              </w:rPr>
              <w:t>Level 1</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2"/>
          </w:tcPr>
          <w:p>
            <w:pPr>
              <w:ind w:left="220"/>
              <w:spacing w:after="0" w:line="122" w:lineRule="exact"/>
              <w:rPr>
                <w:sz w:val="20"/>
                <w:szCs w:val="20"/>
                <w:color w:val="auto"/>
              </w:rPr>
            </w:pPr>
            <w:r>
              <w:rPr>
                <w:rFonts w:ascii="Verdana" w:cs="Verdana" w:eastAsia="Verdana" w:hAnsi="Verdana"/>
                <w:sz w:val="13"/>
                <w:szCs w:val="13"/>
                <w:b w:val="1"/>
                <w:bCs w:val="1"/>
                <w:color w:val="auto"/>
              </w:rPr>
              <w:t>Level 2</w:t>
            </w:r>
          </w:p>
        </w:tc>
        <w:tc>
          <w:tcPr>
            <w:tcW w:w="1160" w:type="dxa"/>
            <w:vAlign w:val="bottom"/>
          </w:tcPr>
          <w:p>
            <w:pPr>
              <w:ind w:left="560"/>
              <w:spacing w:after="0" w:line="122" w:lineRule="exact"/>
              <w:rPr>
                <w:sz w:val="20"/>
                <w:szCs w:val="20"/>
                <w:color w:val="auto"/>
              </w:rPr>
            </w:pPr>
            <w:r>
              <w:rPr>
                <w:rFonts w:ascii="Verdana" w:cs="Verdana" w:eastAsia="Verdana" w:hAnsi="Verdana"/>
                <w:sz w:val="13"/>
                <w:szCs w:val="13"/>
                <w:b w:val="1"/>
                <w:bCs w:val="1"/>
                <w:color w:val="auto"/>
              </w:rPr>
              <w:t>Level 3</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jc w:val="center"/>
              <w:ind w:right="195"/>
              <w:spacing w:after="0" w:line="122" w:lineRule="exact"/>
              <w:rPr>
                <w:sz w:val="20"/>
                <w:szCs w:val="20"/>
                <w:color w:val="auto"/>
              </w:rPr>
            </w:pPr>
            <w:r>
              <w:rPr>
                <w:rFonts w:ascii="Verdana" w:cs="Verdana" w:eastAsia="Verdana" w:hAnsi="Verdana"/>
                <w:sz w:val="13"/>
                <w:szCs w:val="13"/>
                <w:b w:val="1"/>
                <w:bCs w:val="1"/>
                <w:color w:val="auto"/>
                <w:w w:val="97"/>
              </w:rPr>
              <w:t>Total</w:t>
            </w:r>
          </w:p>
        </w:tc>
      </w:tr>
      <w:tr>
        <w:trPr>
          <w:trHeight w:val="170"/>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ind w:left="540"/>
              <w:spacing w:after="0"/>
              <w:rPr>
                <w:sz w:val="20"/>
                <w:szCs w:val="20"/>
                <w:color w:val="auto"/>
              </w:rPr>
            </w:pPr>
            <w:r>
              <w:rPr>
                <w:rFonts w:ascii="Verdana" w:cs="Verdana" w:eastAsia="Verdana" w:hAnsi="Verdana"/>
                <w:sz w:val="13"/>
                <w:szCs w:val="13"/>
                <w:b w:val="1"/>
                <w:bCs w:val="1"/>
                <w:color w:val="auto"/>
              </w:rPr>
              <w:t>Inputs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Verdana" w:cs="Verdana" w:eastAsia="Verdana" w:hAnsi="Verdana"/>
                <w:sz w:val="13"/>
                <w:szCs w:val="13"/>
                <w:b w:val="1"/>
                <w:bCs w:val="1"/>
                <w:color w:val="auto"/>
              </w:rPr>
              <w:t>Inputs</w:t>
            </w:r>
          </w:p>
        </w:tc>
        <w:tc>
          <w:tcPr>
            <w:tcW w:w="1160" w:type="dxa"/>
            <w:vAlign w:val="bottom"/>
          </w:tcPr>
          <w:p>
            <w:pPr>
              <w:ind w:left="560"/>
              <w:spacing w:after="0"/>
              <w:rPr>
                <w:sz w:val="20"/>
                <w:szCs w:val="20"/>
                <w:color w:val="auto"/>
              </w:rPr>
            </w:pPr>
            <w:r>
              <w:rPr>
                <w:rFonts w:ascii="Verdana" w:cs="Verdana" w:eastAsia="Verdana" w:hAnsi="Verdana"/>
                <w:sz w:val="13"/>
                <w:szCs w:val="13"/>
                <w:b w:val="1"/>
                <w:bCs w:val="1"/>
                <w:color w:val="auto"/>
              </w:rPr>
              <w:t>Inputs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95"/>
              <w:spacing w:after="0"/>
              <w:rPr>
                <w:sz w:val="20"/>
                <w:szCs w:val="20"/>
                <w:color w:val="auto"/>
              </w:rPr>
            </w:pPr>
            <w:r>
              <w:rPr>
                <w:rFonts w:ascii="Verdana" w:cs="Verdana" w:eastAsia="Verdana" w:hAnsi="Verdana"/>
                <w:sz w:val="13"/>
                <w:szCs w:val="13"/>
                <w:b w:val="1"/>
                <w:bCs w:val="1"/>
                <w:color w:val="auto"/>
                <w:w w:val="97"/>
              </w:rPr>
              <w:t>Fair Value</w:t>
            </w:r>
          </w:p>
        </w:tc>
      </w:tr>
      <w:tr>
        <w:trPr>
          <w:trHeight w:val="255"/>
        </w:trPr>
        <w:tc>
          <w:tcPr>
            <w:tcW w:w="45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1080" w:type="dxa"/>
            <w:vAlign w:val="bottom"/>
            <w:tcBorders>
              <w:top w:val="single" w:sz="8" w:color="auto"/>
            </w:tcBorders>
            <w:shd w:val="clear" w:color="auto" w:fill="E0E7ED"/>
          </w:tcPr>
          <w:p>
            <w:pPr>
              <w:spacing w:after="0"/>
              <w:rPr>
                <w:sz w:val="22"/>
                <w:szCs w:val="22"/>
                <w:color w:val="auto"/>
              </w:rPr>
            </w:pPr>
          </w:p>
        </w:tc>
        <w:tc>
          <w:tcPr>
            <w:tcW w:w="5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4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r>
      <w:tr>
        <w:trPr>
          <w:trHeight w:val="263"/>
        </w:trPr>
        <w:tc>
          <w:tcPr>
            <w:tcW w:w="4580" w:type="dxa"/>
            <w:vAlign w:val="bottom"/>
            <w:gridSpan w:val="2"/>
          </w:tcPr>
          <w:p>
            <w:pPr>
              <w:ind w:left="180"/>
              <w:spacing w:after="0"/>
              <w:rPr>
                <w:sz w:val="20"/>
                <w:szCs w:val="20"/>
                <w:color w:val="auto"/>
              </w:rPr>
            </w:pPr>
            <w:r>
              <w:rPr>
                <w:rFonts w:ascii="Verdana" w:cs="Verdana" w:eastAsia="Verdana" w:hAnsi="Verdana"/>
                <w:sz w:val="18"/>
                <w:szCs w:val="18"/>
                <w:color w:val="auto"/>
              </w:rPr>
              <w:t>U.S. Treasury securities</w:t>
            </w:r>
          </w:p>
        </w:tc>
        <w:tc>
          <w:tcPr>
            <w:tcW w:w="1080" w:type="dxa"/>
            <w:vAlign w:val="bottom"/>
          </w:tcPr>
          <w:p>
            <w:pPr>
              <w:spacing w:after="0"/>
              <w:rPr>
                <w:sz w:val="20"/>
                <w:szCs w:val="20"/>
                <w:color w:val="auto"/>
              </w:rPr>
            </w:pPr>
            <w:r>
              <w:rPr>
                <w:rFonts w:ascii="Verdana" w:cs="Verdana" w:eastAsia="Verdana" w:hAnsi="Verdana"/>
                <w:sz w:val="18"/>
                <w:szCs w:val="18"/>
                <w:color w:val="auto"/>
              </w:rPr>
              <w:t>$</w:t>
            </w:r>
          </w:p>
        </w:tc>
        <w:tc>
          <w:tcPr>
            <w:tcW w:w="5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15,946</w:t>
            </w: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Verdana" w:cs="Verdana" w:eastAsia="Verdana" w:hAnsi="Verdana"/>
                <w:sz w:val="18"/>
                <w:szCs w:val="18"/>
                <w:color w:val="auto"/>
              </w:rPr>
              <w:t>$</w:t>
            </w:r>
          </w:p>
        </w:tc>
        <w:tc>
          <w:tcPr>
            <w:tcW w:w="5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15,946</w:t>
            </w:r>
          </w:p>
        </w:tc>
      </w:tr>
      <w:tr>
        <w:trPr>
          <w:trHeight w:val="244"/>
        </w:trPr>
        <w:tc>
          <w:tcPr>
            <w:tcW w:w="45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w:t>
            </w:r>
          </w:p>
        </w:tc>
        <w:tc>
          <w:tcPr>
            <w:tcW w:w="1080" w:type="dxa"/>
            <w:vAlign w:val="bottom"/>
            <w:shd w:val="clear" w:color="auto" w:fill="E0E7ED"/>
          </w:tcPr>
          <w:p>
            <w:pPr>
              <w:spacing w:after="0"/>
              <w:rPr>
                <w:sz w:val="21"/>
                <w:szCs w:val="21"/>
                <w:color w:val="auto"/>
              </w:rPr>
            </w:pPr>
          </w:p>
        </w:tc>
        <w:tc>
          <w:tcPr>
            <w:tcW w:w="5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r>
      <w:tr>
        <w:trPr>
          <w:trHeight w:val="248"/>
        </w:trPr>
        <w:tc>
          <w:tcPr>
            <w:tcW w:w="45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and agencies</w:t>
            </w:r>
          </w:p>
        </w:tc>
        <w:tc>
          <w:tcPr>
            <w:tcW w:w="1080" w:type="dxa"/>
            <w:vAlign w:val="bottom"/>
            <w:shd w:val="clear" w:color="auto" w:fill="E0E7ED"/>
          </w:tcPr>
          <w:p>
            <w:pPr>
              <w:spacing w:after="0"/>
              <w:rPr>
                <w:sz w:val="21"/>
                <w:szCs w:val="21"/>
                <w:color w:val="auto"/>
              </w:rPr>
            </w:pPr>
          </w:p>
        </w:tc>
        <w:tc>
          <w:tcPr>
            <w:tcW w:w="5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1"/>
                <w:szCs w:val="21"/>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5,832</w:t>
            </w:r>
          </w:p>
        </w:tc>
        <w:tc>
          <w:tcPr>
            <w:tcW w:w="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5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5,832</w:t>
            </w:r>
          </w:p>
        </w:tc>
      </w:tr>
      <w:tr>
        <w:trPr>
          <w:trHeight w:val="263"/>
        </w:trPr>
        <w:tc>
          <w:tcPr>
            <w:tcW w:w="4580" w:type="dxa"/>
            <w:vAlign w:val="bottom"/>
            <w:gridSpan w:val="2"/>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10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172,845</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172,845</w:t>
            </w:r>
          </w:p>
        </w:tc>
      </w:tr>
      <w:tr>
        <w:trPr>
          <w:trHeight w:val="277"/>
        </w:trPr>
        <w:tc>
          <w:tcPr>
            <w:tcW w:w="45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1080" w:type="dxa"/>
            <w:vAlign w:val="bottom"/>
            <w:shd w:val="clear" w:color="auto" w:fill="E0E7ED"/>
          </w:tcPr>
          <w:p>
            <w:pPr>
              <w:spacing w:after="0"/>
              <w:rPr>
                <w:sz w:val="24"/>
                <w:szCs w:val="24"/>
                <w:color w:val="auto"/>
              </w:rPr>
            </w:pPr>
          </w:p>
        </w:tc>
        <w:tc>
          <w:tcPr>
            <w:tcW w:w="5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468,223</w:t>
            </w:r>
          </w:p>
        </w:tc>
        <w:tc>
          <w:tcPr>
            <w:tcW w:w="8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r>
      <w:tr>
        <w:trPr>
          <w:trHeight w:val="263"/>
        </w:trPr>
        <w:tc>
          <w:tcPr>
            <w:tcW w:w="4580" w:type="dxa"/>
            <w:vAlign w:val="bottom"/>
            <w:gridSpan w:val="2"/>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10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103,509</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103,509</w:t>
            </w:r>
          </w:p>
        </w:tc>
      </w:tr>
      <w:tr>
        <w:trPr>
          <w:trHeight w:val="277"/>
        </w:trPr>
        <w:tc>
          <w:tcPr>
            <w:tcW w:w="45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1080" w:type="dxa"/>
            <w:vAlign w:val="bottom"/>
            <w:shd w:val="clear" w:color="auto" w:fill="E0E7ED"/>
          </w:tcPr>
          <w:p>
            <w:pPr>
              <w:spacing w:after="0"/>
              <w:rPr>
                <w:sz w:val="24"/>
                <w:szCs w:val="24"/>
                <w:color w:val="auto"/>
              </w:rPr>
            </w:pPr>
          </w:p>
        </w:tc>
        <w:tc>
          <w:tcPr>
            <w:tcW w:w="5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1,111,312</w:t>
            </w:r>
          </w:p>
        </w:tc>
        <w:tc>
          <w:tcPr>
            <w:tcW w:w="8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r>
      <w:tr>
        <w:trPr>
          <w:trHeight w:val="263"/>
        </w:trPr>
        <w:tc>
          <w:tcPr>
            <w:tcW w:w="4580" w:type="dxa"/>
            <w:vAlign w:val="bottom"/>
            <w:gridSpan w:val="2"/>
          </w:tcPr>
          <w:p>
            <w:pPr>
              <w:ind w:left="180"/>
              <w:spacing w:after="0"/>
              <w:rPr>
                <w:sz w:val="20"/>
                <w:szCs w:val="20"/>
                <w:color w:val="auto"/>
              </w:rPr>
            </w:pPr>
            <w:r>
              <w:rPr>
                <w:rFonts w:ascii="Verdana" w:cs="Verdana" w:eastAsia="Verdana" w:hAnsi="Verdana"/>
                <w:sz w:val="18"/>
                <w:szCs w:val="18"/>
                <w:color w:val="auto"/>
              </w:rPr>
              <w:t>Corporate debt securities</w:t>
            </w:r>
          </w:p>
        </w:tc>
        <w:tc>
          <w:tcPr>
            <w:tcW w:w="10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209,904</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209,904</w:t>
            </w:r>
          </w:p>
        </w:tc>
      </w:tr>
      <w:tr>
        <w:trPr>
          <w:trHeight w:val="277"/>
        </w:trPr>
        <w:tc>
          <w:tcPr>
            <w:tcW w:w="4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Equity securities</w:t>
            </w:r>
          </w:p>
        </w:tc>
        <w:tc>
          <w:tcPr>
            <w:tcW w:w="1080" w:type="dxa"/>
            <w:vAlign w:val="bottom"/>
            <w:shd w:val="clear" w:color="auto" w:fill="E0E7ED"/>
          </w:tcPr>
          <w:p>
            <w:pPr>
              <w:spacing w:after="0"/>
              <w:rPr>
                <w:sz w:val="24"/>
                <w:szCs w:val="24"/>
                <w:color w:val="auto"/>
              </w:rPr>
            </w:pPr>
          </w:p>
        </w:tc>
        <w:tc>
          <w:tcPr>
            <w:tcW w:w="50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448</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9,364</w:t>
            </w:r>
          </w:p>
        </w:tc>
        <w:tc>
          <w:tcPr>
            <w:tcW w:w="8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9,812</w:t>
            </w:r>
          </w:p>
        </w:tc>
      </w:tr>
      <w:tr>
        <w:trPr>
          <w:trHeight w:val="263"/>
        </w:trPr>
        <w:tc>
          <w:tcPr>
            <w:tcW w:w="4580" w:type="dxa"/>
            <w:vAlign w:val="bottom"/>
            <w:gridSpan w:val="2"/>
          </w:tcPr>
          <w:p>
            <w:pPr>
              <w:ind w:left="20"/>
              <w:spacing w:after="0"/>
              <w:rPr>
                <w:sz w:val="20"/>
                <w:szCs w:val="20"/>
                <w:color w:val="auto"/>
              </w:rPr>
            </w:pPr>
            <w:r>
              <w:rPr>
                <w:rFonts w:ascii="Verdana" w:cs="Verdana" w:eastAsia="Verdana" w:hAnsi="Verdana"/>
                <w:sz w:val="18"/>
                <w:szCs w:val="18"/>
                <w:color w:val="auto"/>
              </w:rPr>
              <w:t>Derivative assets</w:t>
            </w:r>
          </w:p>
        </w:tc>
        <w:tc>
          <w:tcPr>
            <w:tcW w:w="10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29,993</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Verdana" w:cs="Verdana" w:eastAsia="Verdana" w:hAnsi="Verdana"/>
                <w:sz w:val="18"/>
                <w:szCs w:val="18"/>
                <w:color w:val="auto"/>
              </w:rPr>
              <w:t>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30,008</w:t>
            </w:r>
          </w:p>
        </w:tc>
      </w:tr>
      <w:tr>
        <w:trPr>
          <w:trHeight w:val="277"/>
        </w:trPr>
        <w:tc>
          <w:tcPr>
            <w:tcW w:w="4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Derivative liabilities</w:t>
            </w:r>
          </w:p>
        </w:tc>
        <w:tc>
          <w:tcPr>
            <w:tcW w:w="1080" w:type="dxa"/>
            <w:vAlign w:val="bottom"/>
            <w:shd w:val="clear" w:color="auto" w:fill="E0E7ED"/>
          </w:tcPr>
          <w:p>
            <w:pPr>
              <w:spacing w:after="0"/>
              <w:rPr>
                <w:sz w:val="24"/>
                <w:szCs w:val="24"/>
                <w:color w:val="auto"/>
              </w:rPr>
            </w:pPr>
          </w:p>
        </w:tc>
        <w:tc>
          <w:tcPr>
            <w:tcW w:w="5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54,132</w:t>
            </w:r>
          </w:p>
        </w:tc>
        <w:tc>
          <w:tcPr>
            <w:tcW w:w="8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54,132</w:t>
            </w:r>
          </w:p>
        </w:tc>
      </w:tr>
      <w:tr>
        <w:trPr>
          <w:trHeight w:val="466"/>
        </w:trPr>
        <w:tc>
          <w:tcPr>
            <w:tcW w:w="4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ind w:left="420"/>
              <w:spacing w:after="0"/>
              <w:rPr>
                <w:sz w:val="20"/>
                <w:szCs w:val="20"/>
                <w:color w:val="auto"/>
              </w:rPr>
            </w:pPr>
            <w:r>
              <w:rPr>
                <w:rFonts w:ascii="Verdana" w:cs="Verdana" w:eastAsia="Verdana" w:hAnsi="Verdana"/>
                <w:sz w:val="13"/>
                <w:szCs w:val="13"/>
                <w:b w:val="1"/>
                <w:bCs w:val="1"/>
                <w:color w:val="auto"/>
              </w:rPr>
              <w:t>As of December 31, 2022</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21"/>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ind w:left="520"/>
              <w:spacing w:after="0" w:line="122" w:lineRule="exact"/>
              <w:rPr>
                <w:sz w:val="20"/>
                <w:szCs w:val="20"/>
                <w:color w:val="auto"/>
              </w:rPr>
            </w:pPr>
            <w:r>
              <w:rPr>
                <w:rFonts w:ascii="Verdana" w:cs="Verdana" w:eastAsia="Verdana" w:hAnsi="Verdana"/>
                <w:sz w:val="13"/>
                <w:szCs w:val="13"/>
                <w:b w:val="1"/>
                <w:bCs w:val="1"/>
                <w:color w:val="auto"/>
              </w:rPr>
              <w:t>Level 1</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2"/>
          </w:tcPr>
          <w:p>
            <w:pPr>
              <w:ind w:left="220"/>
              <w:spacing w:after="0" w:line="122" w:lineRule="exact"/>
              <w:rPr>
                <w:sz w:val="20"/>
                <w:szCs w:val="20"/>
                <w:color w:val="auto"/>
              </w:rPr>
            </w:pPr>
            <w:r>
              <w:rPr>
                <w:rFonts w:ascii="Verdana" w:cs="Verdana" w:eastAsia="Verdana" w:hAnsi="Verdana"/>
                <w:sz w:val="13"/>
                <w:szCs w:val="13"/>
                <w:b w:val="1"/>
                <w:bCs w:val="1"/>
                <w:color w:val="auto"/>
              </w:rPr>
              <w:t>Level 2</w:t>
            </w:r>
          </w:p>
        </w:tc>
        <w:tc>
          <w:tcPr>
            <w:tcW w:w="1160" w:type="dxa"/>
            <w:vAlign w:val="bottom"/>
          </w:tcPr>
          <w:p>
            <w:pPr>
              <w:ind w:left="560"/>
              <w:spacing w:after="0" w:line="122" w:lineRule="exact"/>
              <w:rPr>
                <w:sz w:val="20"/>
                <w:szCs w:val="20"/>
                <w:color w:val="auto"/>
              </w:rPr>
            </w:pPr>
            <w:r>
              <w:rPr>
                <w:rFonts w:ascii="Verdana" w:cs="Verdana" w:eastAsia="Verdana" w:hAnsi="Verdana"/>
                <w:sz w:val="13"/>
                <w:szCs w:val="13"/>
                <w:b w:val="1"/>
                <w:bCs w:val="1"/>
                <w:color w:val="auto"/>
              </w:rPr>
              <w:t>Level 3</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jc w:val="center"/>
              <w:ind w:right="195"/>
              <w:spacing w:after="0" w:line="122" w:lineRule="exact"/>
              <w:rPr>
                <w:sz w:val="20"/>
                <w:szCs w:val="20"/>
                <w:color w:val="auto"/>
              </w:rPr>
            </w:pPr>
            <w:r>
              <w:rPr>
                <w:rFonts w:ascii="Verdana" w:cs="Verdana" w:eastAsia="Verdana" w:hAnsi="Verdana"/>
                <w:sz w:val="13"/>
                <w:szCs w:val="13"/>
                <w:b w:val="1"/>
                <w:bCs w:val="1"/>
                <w:color w:val="auto"/>
                <w:w w:val="97"/>
              </w:rPr>
              <w:t>Total</w:t>
            </w:r>
          </w:p>
        </w:tc>
      </w:tr>
      <w:tr>
        <w:trPr>
          <w:trHeight w:val="170"/>
        </w:trPr>
        <w:tc>
          <w:tcPr>
            <w:tcW w:w="4560" w:type="dxa"/>
            <w:vAlign w:val="bottom"/>
            <w:tcBorders>
              <w:bottom w:val="single" w:sz="8" w:color="E0E7ED"/>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540"/>
              <w:spacing w:after="0"/>
              <w:rPr>
                <w:sz w:val="20"/>
                <w:szCs w:val="20"/>
                <w:color w:val="auto"/>
              </w:rPr>
            </w:pPr>
            <w:r>
              <w:rPr>
                <w:rFonts w:ascii="Verdana" w:cs="Verdana" w:eastAsia="Verdana" w:hAnsi="Verdana"/>
                <w:sz w:val="13"/>
                <w:szCs w:val="13"/>
                <w:b w:val="1"/>
                <w:bCs w:val="1"/>
                <w:color w:val="auto"/>
              </w:rPr>
              <w:t>Inputs</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240"/>
              <w:spacing w:after="0"/>
              <w:rPr>
                <w:sz w:val="20"/>
                <w:szCs w:val="20"/>
                <w:color w:val="auto"/>
              </w:rPr>
            </w:pPr>
            <w:r>
              <w:rPr>
                <w:rFonts w:ascii="Verdana" w:cs="Verdana" w:eastAsia="Verdana" w:hAnsi="Verdana"/>
                <w:sz w:val="13"/>
                <w:szCs w:val="13"/>
                <w:b w:val="1"/>
                <w:bCs w:val="1"/>
                <w:color w:val="auto"/>
              </w:rPr>
              <w:t>Inputs</w:t>
            </w:r>
          </w:p>
        </w:tc>
        <w:tc>
          <w:tcPr>
            <w:tcW w:w="80" w:type="dxa"/>
            <w:vAlign w:val="bottom"/>
            <w:tcBorders>
              <w:bottom w:val="single" w:sz="8" w:color="E0E7ED"/>
            </w:tcBorders>
          </w:tcPr>
          <w:p>
            <w:pPr>
              <w:spacing w:after="0"/>
              <w:rPr>
                <w:sz w:val="14"/>
                <w:szCs w:val="14"/>
                <w:color w:val="auto"/>
              </w:rPr>
            </w:pPr>
          </w:p>
        </w:tc>
        <w:tc>
          <w:tcPr>
            <w:tcW w:w="1160" w:type="dxa"/>
            <w:vAlign w:val="bottom"/>
            <w:tcBorders>
              <w:bottom w:val="single" w:sz="8" w:color="auto"/>
            </w:tcBorders>
          </w:tcPr>
          <w:p>
            <w:pPr>
              <w:ind w:left="560"/>
              <w:spacing w:after="0"/>
              <w:rPr>
                <w:sz w:val="20"/>
                <w:szCs w:val="20"/>
                <w:color w:val="auto"/>
              </w:rPr>
            </w:pPr>
            <w:r>
              <w:rPr>
                <w:rFonts w:ascii="Verdana" w:cs="Verdana" w:eastAsia="Verdana" w:hAnsi="Verdana"/>
                <w:sz w:val="13"/>
                <w:szCs w:val="13"/>
                <w:b w:val="1"/>
                <w:bCs w:val="1"/>
                <w:color w:val="auto"/>
              </w:rPr>
              <w:t>Inputs</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5"/>
              <w:spacing w:after="0"/>
              <w:rPr>
                <w:sz w:val="20"/>
                <w:szCs w:val="20"/>
                <w:color w:val="auto"/>
              </w:rPr>
            </w:pPr>
            <w:r>
              <w:rPr>
                <w:rFonts w:ascii="Verdana" w:cs="Verdana" w:eastAsia="Verdana" w:hAnsi="Verdana"/>
                <w:sz w:val="13"/>
                <w:szCs w:val="13"/>
                <w:b w:val="1"/>
                <w:bCs w:val="1"/>
                <w:color w:val="auto"/>
                <w:w w:val="97"/>
              </w:rPr>
              <w:t>Fair Value</w:t>
            </w:r>
          </w:p>
        </w:tc>
      </w:tr>
      <w:tr>
        <w:trPr>
          <w:trHeight w:val="255"/>
        </w:trPr>
        <w:tc>
          <w:tcPr>
            <w:tcW w:w="4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1080" w:type="dxa"/>
            <w:vAlign w:val="bottom"/>
            <w:shd w:val="clear" w:color="auto" w:fill="E0E7ED"/>
          </w:tcPr>
          <w:p>
            <w:pPr>
              <w:spacing w:after="0"/>
              <w:rPr>
                <w:sz w:val="22"/>
                <w:szCs w:val="22"/>
                <w:color w:val="auto"/>
              </w:rPr>
            </w:pPr>
          </w:p>
        </w:tc>
        <w:tc>
          <w:tcPr>
            <w:tcW w:w="5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4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4580" w:type="dxa"/>
            <w:vAlign w:val="bottom"/>
            <w:gridSpan w:val="2"/>
          </w:tcPr>
          <w:p>
            <w:pPr>
              <w:ind w:left="180"/>
              <w:spacing w:after="0"/>
              <w:rPr>
                <w:sz w:val="20"/>
                <w:szCs w:val="20"/>
                <w:color w:val="auto"/>
              </w:rPr>
            </w:pPr>
            <w:r>
              <w:rPr>
                <w:rFonts w:ascii="Verdana" w:cs="Verdana" w:eastAsia="Verdana" w:hAnsi="Verdana"/>
                <w:sz w:val="18"/>
                <w:szCs w:val="18"/>
                <w:color w:val="auto"/>
              </w:rPr>
              <w:t>U.S. Treasury securities</w:t>
            </w:r>
          </w:p>
        </w:tc>
        <w:tc>
          <w:tcPr>
            <w:tcW w:w="1080" w:type="dxa"/>
            <w:vAlign w:val="bottom"/>
          </w:tcPr>
          <w:p>
            <w:pPr>
              <w:spacing w:after="0"/>
              <w:rPr>
                <w:sz w:val="20"/>
                <w:szCs w:val="20"/>
                <w:color w:val="auto"/>
              </w:rPr>
            </w:pPr>
            <w:r>
              <w:rPr>
                <w:rFonts w:ascii="Verdana" w:cs="Verdana" w:eastAsia="Verdana" w:hAnsi="Verdana"/>
                <w:sz w:val="18"/>
                <w:szCs w:val="18"/>
                <w:color w:val="auto"/>
              </w:rPr>
              <w:t>$</w:t>
            </w:r>
          </w:p>
        </w:tc>
        <w:tc>
          <w:tcPr>
            <w:tcW w:w="5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114,061</w:t>
            </w: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Verdana" w:cs="Verdana" w:eastAsia="Verdana" w:hAnsi="Verdana"/>
                <w:sz w:val="18"/>
                <w:szCs w:val="18"/>
                <w:color w:val="auto"/>
              </w:rPr>
              <w:t>$</w:t>
            </w:r>
          </w:p>
        </w:tc>
        <w:tc>
          <w:tcPr>
            <w:tcW w:w="5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114,061</w:t>
            </w:r>
          </w:p>
        </w:tc>
      </w:tr>
      <w:tr>
        <w:trPr>
          <w:trHeight w:val="244"/>
        </w:trPr>
        <w:tc>
          <w:tcPr>
            <w:tcW w:w="45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w:t>
            </w:r>
          </w:p>
        </w:tc>
        <w:tc>
          <w:tcPr>
            <w:tcW w:w="1080" w:type="dxa"/>
            <w:vAlign w:val="bottom"/>
            <w:shd w:val="clear" w:color="auto" w:fill="E0E7ED"/>
          </w:tcPr>
          <w:p>
            <w:pPr>
              <w:spacing w:after="0"/>
              <w:rPr>
                <w:sz w:val="21"/>
                <w:szCs w:val="21"/>
                <w:color w:val="auto"/>
              </w:rPr>
            </w:pPr>
          </w:p>
        </w:tc>
        <w:tc>
          <w:tcPr>
            <w:tcW w:w="5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r>
      <w:tr>
        <w:trPr>
          <w:trHeight w:val="248"/>
        </w:trPr>
        <w:tc>
          <w:tcPr>
            <w:tcW w:w="45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and agencies</w:t>
            </w:r>
          </w:p>
        </w:tc>
        <w:tc>
          <w:tcPr>
            <w:tcW w:w="1080" w:type="dxa"/>
            <w:vAlign w:val="bottom"/>
            <w:shd w:val="clear" w:color="auto" w:fill="E0E7ED"/>
          </w:tcPr>
          <w:p>
            <w:pPr>
              <w:spacing w:after="0"/>
              <w:rPr>
                <w:sz w:val="21"/>
                <w:szCs w:val="21"/>
                <w:color w:val="auto"/>
              </w:rPr>
            </w:pPr>
          </w:p>
        </w:tc>
        <w:tc>
          <w:tcPr>
            <w:tcW w:w="5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1"/>
                <w:szCs w:val="21"/>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19,779</w:t>
            </w:r>
          </w:p>
        </w:tc>
        <w:tc>
          <w:tcPr>
            <w:tcW w:w="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5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19,779</w:t>
            </w:r>
          </w:p>
        </w:tc>
      </w:tr>
      <w:tr>
        <w:trPr>
          <w:trHeight w:val="263"/>
        </w:trPr>
        <w:tc>
          <w:tcPr>
            <w:tcW w:w="4580" w:type="dxa"/>
            <w:vAlign w:val="bottom"/>
            <w:gridSpan w:val="2"/>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10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257,512</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257,512</w:t>
            </w:r>
          </w:p>
        </w:tc>
      </w:tr>
      <w:tr>
        <w:trPr>
          <w:trHeight w:val="277"/>
        </w:trPr>
        <w:tc>
          <w:tcPr>
            <w:tcW w:w="45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1080" w:type="dxa"/>
            <w:vAlign w:val="bottom"/>
            <w:shd w:val="clear" w:color="auto" w:fill="E0E7ED"/>
          </w:tcPr>
          <w:p>
            <w:pPr>
              <w:spacing w:after="0"/>
              <w:rPr>
                <w:sz w:val="24"/>
                <w:szCs w:val="24"/>
                <w:color w:val="auto"/>
              </w:rPr>
            </w:pPr>
          </w:p>
        </w:tc>
        <w:tc>
          <w:tcPr>
            <w:tcW w:w="5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469,875</w:t>
            </w:r>
          </w:p>
        </w:tc>
        <w:tc>
          <w:tcPr>
            <w:tcW w:w="8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469,875</w:t>
            </w:r>
          </w:p>
        </w:tc>
      </w:tr>
      <w:tr>
        <w:trPr>
          <w:trHeight w:val="263"/>
        </w:trPr>
        <w:tc>
          <w:tcPr>
            <w:tcW w:w="4580" w:type="dxa"/>
            <w:vAlign w:val="bottom"/>
            <w:gridSpan w:val="2"/>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10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108,394</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108,394</w:t>
            </w:r>
          </w:p>
        </w:tc>
      </w:tr>
      <w:tr>
        <w:trPr>
          <w:trHeight w:val="277"/>
        </w:trPr>
        <w:tc>
          <w:tcPr>
            <w:tcW w:w="45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1080" w:type="dxa"/>
            <w:vAlign w:val="bottom"/>
            <w:shd w:val="clear" w:color="auto" w:fill="E0E7ED"/>
          </w:tcPr>
          <w:p>
            <w:pPr>
              <w:spacing w:after="0"/>
              <w:rPr>
                <w:sz w:val="24"/>
                <w:szCs w:val="24"/>
                <w:color w:val="auto"/>
              </w:rPr>
            </w:pPr>
          </w:p>
        </w:tc>
        <w:tc>
          <w:tcPr>
            <w:tcW w:w="5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1,243,256</w:t>
            </w:r>
          </w:p>
        </w:tc>
        <w:tc>
          <w:tcPr>
            <w:tcW w:w="8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1,243,256</w:t>
            </w:r>
          </w:p>
        </w:tc>
      </w:tr>
      <w:tr>
        <w:trPr>
          <w:trHeight w:val="263"/>
        </w:trPr>
        <w:tc>
          <w:tcPr>
            <w:tcW w:w="4580" w:type="dxa"/>
            <w:vAlign w:val="bottom"/>
            <w:gridSpan w:val="2"/>
          </w:tcPr>
          <w:p>
            <w:pPr>
              <w:ind w:left="180"/>
              <w:spacing w:after="0"/>
              <w:rPr>
                <w:sz w:val="20"/>
                <w:szCs w:val="20"/>
                <w:color w:val="auto"/>
              </w:rPr>
            </w:pPr>
            <w:r>
              <w:rPr>
                <w:rFonts w:ascii="Verdana" w:cs="Verdana" w:eastAsia="Verdana" w:hAnsi="Verdana"/>
                <w:sz w:val="18"/>
                <w:szCs w:val="18"/>
                <w:color w:val="auto"/>
              </w:rPr>
              <w:t>Corporate debt securities</w:t>
            </w:r>
          </w:p>
        </w:tc>
        <w:tc>
          <w:tcPr>
            <w:tcW w:w="10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248,516</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248,516</w:t>
            </w:r>
          </w:p>
        </w:tc>
      </w:tr>
      <w:tr>
        <w:trPr>
          <w:trHeight w:val="277"/>
        </w:trPr>
        <w:tc>
          <w:tcPr>
            <w:tcW w:w="4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Equity securities</w:t>
            </w:r>
          </w:p>
        </w:tc>
        <w:tc>
          <w:tcPr>
            <w:tcW w:w="1080" w:type="dxa"/>
            <w:vAlign w:val="bottom"/>
            <w:shd w:val="clear" w:color="auto" w:fill="E0E7ED"/>
          </w:tcPr>
          <w:p>
            <w:pPr>
              <w:spacing w:after="0"/>
              <w:rPr>
                <w:sz w:val="24"/>
                <w:szCs w:val="24"/>
                <w:color w:val="auto"/>
              </w:rPr>
            </w:pPr>
          </w:p>
        </w:tc>
        <w:tc>
          <w:tcPr>
            <w:tcW w:w="5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11,535</w:t>
            </w:r>
          </w:p>
        </w:tc>
        <w:tc>
          <w:tcPr>
            <w:tcW w:w="8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11,535</w:t>
            </w:r>
          </w:p>
        </w:tc>
      </w:tr>
      <w:tr>
        <w:trPr>
          <w:trHeight w:val="263"/>
        </w:trPr>
        <w:tc>
          <w:tcPr>
            <w:tcW w:w="4580" w:type="dxa"/>
            <w:vAlign w:val="bottom"/>
            <w:gridSpan w:val="2"/>
          </w:tcPr>
          <w:p>
            <w:pPr>
              <w:ind w:left="20"/>
              <w:spacing w:after="0"/>
              <w:rPr>
                <w:sz w:val="20"/>
                <w:szCs w:val="20"/>
                <w:color w:val="auto"/>
              </w:rPr>
            </w:pPr>
            <w:r>
              <w:rPr>
                <w:rFonts w:ascii="Verdana" w:cs="Verdana" w:eastAsia="Verdana" w:hAnsi="Verdana"/>
                <w:sz w:val="18"/>
                <w:szCs w:val="18"/>
                <w:color w:val="auto"/>
              </w:rPr>
              <w:t>Derivative assets</w:t>
            </w:r>
          </w:p>
        </w:tc>
        <w:tc>
          <w:tcPr>
            <w:tcW w:w="10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42,607</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Verdana" w:cs="Verdana" w:eastAsia="Verdana" w:hAnsi="Verdana"/>
                <w:sz w:val="18"/>
                <w:szCs w:val="18"/>
                <w:color w:val="auto"/>
              </w:rPr>
              <w:t>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42,612</w:t>
            </w:r>
          </w:p>
        </w:tc>
      </w:tr>
      <w:tr>
        <w:trPr>
          <w:trHeight w:val="277"/>
        </w:trPr>
        <w:tc>
          <w:tcPr>
            <w:tcW w:w="4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Derivative liabilities</w:t>
            </w:r>
          </w:p>
        </w:tc>
        <w:tc>
          <w:tcPr>
            <w:tcW w:w="1080" w:type="dxa"/>
            <w:vAlign w:val="bottom"/>
            <w:shd w:val="clear" w:color="auto" w:fill="E0E7ED"/>
          </w:tcPr>
          <w:p>
            <w:pPr>
              <w:spacing w:after="0"/>
              <w:rPr>
                <w:sz w:val="24"/>
                <w:szCs w:val="24"/>
                <w:color w:val="auto"/>
              </w:rPr>
            </w:pPr>
          </w:p>
        </w:tc>
        <w:tc>
          <w:tcPr>
            <w:tcW w:w="5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72,462</w:t>
            </w:r>
          </w:p>
        </w:tc>
        <w:tc>
          <w:tcPr>
            <w:tcW w:w="8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72,462</w:t>
            </w: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Assets and Liabilities Measured at Fair Value on a Nonrecurring Basis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22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3" w:name="page164"/>
    <w:bookmarkEnd w:id="16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Loans Evaluated Individually</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Bank Property Held for Sale</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Bank property held for sale represents certain banking center office buildings which Busey has closed and consolidated with other existing banking centers. Bank property held for sale is measured at the lower of amortized cost or fair value less estimated costs to sell, and is included in premises and equipment, net on the </w:t>
      </w:r>
      <w:r>
        <w:rPr>
          <w:rFonts w:ascii="Verdana" w:cs="Verdana" w:eastAsia="Verdana" w:hAnsi="Verdana"/>
          <w:sz w:val="18"/>
          <w:szCs w:val="18"/>
          <w:u w:val="single" w:color="auto"/>
          <w:color w:val="0000FF"/>
        </w:rPr>
        <w:t>Consolidated Balance Sheets</w:t>
      </w:r>
      <w:r>
        <w:rPr>
          <w:rFonts w:ascii="Verdana" w:cs="Verdana" w:eastAsia="Verdana" w:hAnsi="Verdana"/>
          <w:sz w:val="18"/>
          <w:szCs w:val="18"/>
          <w:color w:val="auto"/>
        </w:rPr>
        <w:t>. Fair values were based upon discounted appraisals or real estate listing prices. Due to the significance of unobservable inputs, fair values of all bank property held for sale have been classified as Level 3.</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The following tables summarize assets and liabilities measured at fair value on a non-recurring basis for the periods presented, segregated by the level of the valuation inputs within the fair value hierarchy utilized to measure fair value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ind w:left="740"/>
              <w:spacing w:after="0"/>
              <w:rPr>
                <w:sz w:val="20"/>
                <w:szCs w:val="20"/>
                <w:color w:val="auto"/>
              </w:rPr>
            </w:pPr>
            <w:r>
              <w:rPr>
                <w:rFonts w:ascii="Verdana" w:cs="Verdana" w:eastAsia="Verdana" w:hAnsi="Verdana"/>
                <w:sz w:val="13"/>
                <w:szCs w:val="13"/>
                <w:b w:val="1"/>
                <w:bCs w:val="1"/>
                <w:color w:val="auto"/>
              </w:rPr>
              <w:t>As of December 31, 2023</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22"/>
        </w:trPr>
        <w:tc>
          <w:tcPr>
            <w:tcW w:w="4580" w:type="dxa"/>
            <w:vAlign w:val="bottom"/>
          </w:tcPr>
          <w:p>
            <w:pPr>
              <w:spacing w:after="0"/>
              <w:rPr>
                <w:sz w:val="10"/>
                <w:szCs w:val="10"/>
                <w:color w:val="auto"/>
              </w:rPr>
            </w:pPr>
          </w:p>
        </w:tc>
        <w:tc>
          <w:tcPr>
            <w:tcW w:w="1200" w:type="dxa"/>
            <w:vAlign w:val="bottom"/>
          </w:tcPr>
          <w:p>
            <w:pPr>
              <w:ind w:left="540"/>
              <w:spacing w:after="0" w:line="122" w:lineRule="exact"/>
              <w:rPr>
                <w:sz w:val="20"/>
                <w:szCs w:val="20"/>
                <w:color w:val="auto"/>
              </w:rPr>
            </w:pPr>
            <w:r>
              <w:rPr>
                <w:rFonts w:ascii="Verdana" w:cs="Verdana" w:eastAsia="Verdana" w:hAnsi="Verdana"/>
                <w:sz w:val="13"/>
                <w:szCs w:val="13"/>
                <w:b w:val="1"/>
                <w:bCs w:val="1"/>
                <w:color w:val="auto"/>
              </w:rPr>
              <w:t>Level 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ind w:left="540"/>
              <w:spacing w:after="0" w:line="122" w:lineRule="exact"/>
              <w:rPr>
                <w:sz w:val="20"/>
                <w:szCs w:val="20"/>
                <w:color w:val="auto"/>
              </w:rPr>
            </w:pPr>
            <w:r>
              <w:rPr>
                <w:rFonts w:ascii="Verdana" w:cs="Verdana" w:eastAsia="Verdana" w:hAnsi="Verdana"/>
                <w:sz w:val="13"/>
                <w:szCs w:val="13"/>
                <w:b w:val="1"/>
                <w:bCs w:val="1"/>
                <w:color w:val="auto"/>
              </w:rPr>
              <w:t>Level 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2"/>
          </w:tcPr>
          <w:p>
            <w:pPr>
              <w:ind w:left="200"/>
              <w:spacing w:after="0" w:line="122" w:lineRule="exact"/>
              <w:rPr>
                <w:sz w:val="20"/>
                <w:szCs w:val="20"/>
                <w:color w:val="auto"/>
              </w:rPr>
            </w:pPr>
            <w:r>
              <w:rPr>
                <w:rFonts w:ascii="Verdana" w:cs="Verdana" w:eastAsia="Verdana" w:hAnsi="Verdana"/>
                <w:sz w:val="13"/>
                <w:szCs w:val="13"/>
                <w:b w:val="1"/>
                <w:bCs w:val="1"/>
                <w:color w:val="auto"/>
              </w:rPr>
              <w:t>Level 3</w:t>
            </w:r>
          </w:p>
        </w:tc>
        <w:tc>
          <w:tcPr>
            <w:tcW w:w="300" w:type="dxa"/>
            <w:vAlign w:val="bottom"/>
          </w:tcPr>
          <w:p>
            <w:pPr>
              <w:spacing w:after="0"/>
              <w:rPr>
                <w:sz w:val="10"/>
                <w:szCs w:val="10"/>
                <w:color w:val="auto"/>
              </w:rPr>
            </w:pPr>
          </w:p>
        </w:tc>
        <w:tc>
          <w:tcPr>
            <w:tcW w:w="1300" w:type="dxa"/>
            <w:vAlign w:val="bottom"/>
          </w:tcPr>
          <w:p>
            <w:pPr>
              <w:jc w:val="center"/>
              <w:ind w:right="224"/>
              <w:spacing w:after="0" w:line="122" w:lineRule="exact"/>
              <w:rPr>
                <w:sz w:val="20"/>
                <w:szCs w:val="20"/>
                <w:color w:val="auto"/>
              </w:rPr>
            </w:pPr>
            <w:r>
              <w:rPr>
                <w:rFonts w:ascii="Verdana" w:cs="Verdana" w:eastAsia="Verdana" w:hAnsi="Verdana"/>
                <w:sz w:val="13"/>
                <w:szCs w:val="13"/>
                <w:b w:val="1"/>
                <w:bCs w:val="1"/>
                <w:color w:val="auto"/>
                <w:w w:val="97"/>
              </w:rPr>
              <w:t>Total</w:t>
            </w:r>
          </w:p>
        </w:tc>
      </w:tr>
      <w:tr>
        <w:trPr>
          <w:trHeight w:val="170"/>
        </w:trPr>
        <w:tc>
          <w:tcPr>
            <w:tcW w:w="4580" w:type="dxa"/>
            <w:vAlign w:val="bottom"/>
          </w:tcPr>
          <w:p>
            <w:pPr>
              <w:spacing w:after="0"/>
              <w:rPr>
                <w:sz w:val="14"/>
                <w:szCs w:val="14"/>
                <w:color w:val="auto"/>
              </w:rPr>
            </w:pPr>
          </w:p>
        </w:tc>
        <w:tc>
          <w:tcPr>
            <w:tcW w:w="1200" w:type="dxa"/>
            <w:vAlign w:val="bottom"/>
          </w:tcPr>
          <w:p>
            <w:pPr>
              <w:ind w:left="560"/>
              <w:spacing w:after="0"/>
              <w:rPr>
                <w:sz w:val="20"/>
                <w:szCs w:val="20"/>
                <w:color w:val="auto"/>
              </w:rPr>
            </w:pPr>
            <w:r>
              <w:rPr>
                <w:rFonts w:ascii="Verdana" w:cs="Verdana" w:eastAsia="Verdana" w:hAnsi="Verdana"/>
                <w:sz w:val="13"/>
                <w:szCs w:val="13"/>
                <w:b w:val="1"/>
                <w:bCs w:val="1"/>
                <w:color w:val="auto"/>
              </w:rPr>
              <w:t>Inputs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560"/>
              <w:spacing w:after="0"/>
              <w:rPr>
                <w:sz w:val="20"/>
                <w:szCs w:val="20"/>
                <w:color w:val="auto"/>
              </w:rPr>
            </w:pPr>
            <w:r>
              <w:rPr>
                <w:rFonts w:ascii="Verdana" w:cs="Verdana" w:eastAsia="Verdana" w:hAnsi="Verdana"/>
                <w:sz w:val="13"/>
                <w:szCs w:val="13"/>
                <w:b w:val="1"/>
                <w:bCs w:val="1"/>
                <w:color w:val="auto"/>
              </w:rPr>
              <w:t>Inputs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Verdana" w:cs="Verdana" w:eastAsia="Verdana" w:hAnsi="Verdana"/>
                <w:sz w:val="13"/>
                <w:szCs w:val="13"/>
                <w:b w:val="1"/>
                <w:bCs w:val="1"/>
                <w:color w:val="auto"/>
              </w:rPr>
              <w:t>Inputs</w:t>
            </w:r>
          </w:p>
        </w:tc>
        <w:tc>
          <w:tcPr>
            <w:tcW w:w="300" w:type="dxa"/>
            <w:vAlign w:val="bottom"/>
          </w:tcPr>
          <w:p>
            <w:pPr>
              <w:spacing w:after="0"/>
              <w:rPr>
                <w:sz w:val="14"/>
                <w:szCs w:val="14"/>
                <w:color w:val="auto"/>
              </w:rPr>
            </w:pPr>
          </w:p>
        </w:tc>
        <w:tc>
          <w:tcPr>
            <w:tcW w:w="1300" w:type="dxa"/>
            <w:vAlign w:val="bottom"/>
          </w:tcPr>
          <w:p>
            <w:pPr>
              <w:jc w:val="center"/>
              <w:ind w:right="224"/>
              <w:spacing w:after="0"/>
              <w:rPr>
                <w:sz w:val="20"/>
                <w:szCs w:val="20"/>
                <w:color w:val="auto"/>
              </w:rPr>
            </w:pPr>
            <w:r>
              <w:rPr>
                <w:rFonts w:ascii="Verdana" w:cs="Verdana" w:eastAsia="Verdana" w:hAnsi="Verdana"/>
                <w:sz w:val="13"/>
                <w:szCs w:val="13"/>
                <w:b w:val="1"/>
                <w:bCs w:val="1"/>
                <w:color w:val="auto"/>
                <w:w w:val="97"/>
              </w:rPr>
              <w:t>Fair Value</w:t>
            </w:r>
          </w:p>
        </w:tc>
      </w:tr>
      <w:tr>
        <w:trPr>
          <w:trHeight w:val="223"/>
        </w:trPr>
        <w:tc>
          <w:tcPr>
            <w:tcW w:w="4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 related</w:t>
            </w:r>
          </w:p>
        </w:tc>
        <w:tc>
          <w:tcPr>
            <w:tcW w:w="1200" w:type="dxa"/>
            <w:vAlign w:val="bottom"/>
            <w:tcBorders>
              <w:top w:val="single" w:sz="8" w:color="auto"/>
            </w:tcBorders>
            <w:shd w:val="clear" w:color="auto" w:fill="E0E7ED"/>
          </w:tcPr>
          <w:p>
            <w:pPr>
              <w:spacing w:after="0"/>
              <w:rPr>
                <w:sz w:val="19"/>
                <w:szCs w:val="19"/>
                <w:color w:val="auto"/>
              </w:rPr>
            </w:pPr>
          </w:p>
        </w:tc>
        <w:tc>
          <w:tcPr>
            <w:tcW w:w="4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4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r>
      <w:tr>
        <w:trPr>
          <w:trHeight w:val="248"/>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allowance</w:t>
            </w:r>
          </w:p>
        </w:tc>
        <w:tc>
          <w:tcPr>
            <w:tcW w:w="1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500" w:type="dxa"/>
            <w:vAlign w:val="bottom"/>
            <w:gridSpan w:val="2"/>
            <w:shd w:val="clear" w:color="auto" w:fill="E0E7ED"/>
          </w:tcPr>
          <w:p>
            <w:pPr>
              <w:ind w:left="12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500" w:type="dxa"/>
            <w:vAlign w:val="bottom"/>
            <w:gridSpan w:val="2"/>
            <w:shd w:val="clear" w:color="auto" w:fill="E0E7ED"/>
          </w:tcPr>
          <w:p>
            <w:pPr>
              <w:ind w:left="14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1,000</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1,000</w:t>
            </w:r>
          </w:p>
        </w:tc>
      </w:tr>
      <w:tr>
        <w:trPr>
          <w:trHeight w:val="257"/>
        </w:trPr>
        <w:tc>
          <w:tcPr>
            <w:tcW w:w="4580" w:type="dxa"/>
            <w:vAlign w:val="bottom"/>
          </w:tcPr>
          <w:p>
            <w:pPr>
              <w:ind w:left="20"/>
              <w:spacing w:after="0"/>
              <w:rPr>
                <w:sz w:val="20"/>
                <w:szCs w:val="20"/>
                <w:color w:val="auto"/>
              </w:rPr>
            </w:pPr>
            <w:r>
              <w:rPr>
                <w:rFonts w:ascii="Verdana" w:cs="Verdana" w:eastAsia="Verdana" w:hAnsi="Verdana"/>
                <w:sz w:val="18"/>
                <w:szCs w:val="18"/>
                <w:color w:val="auto"/>
              </w:rPr>
              <w:t>Bank property held for sale with impairment</w:t>
            </w: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Verdana" w:cs="Verdana" w:eastAsia="Verdana" w:hAnsi="Verdana"/>
                <w:sz w:val="18"/>
                <w:szCs w:val="18"/>
                <w:color w:val="auto"/>
              </w:rPr>
              <w:t>—</w:t>
            </w:r>
          </w:p>
        </w:tc>
        <w:tc>
          <w:tcPr>
            <w:tcW w:w="118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ind w:right="24"/>
              <w:spacing w:after="0"/>
              <w:rPr>
                <w:sz w:val="20"/>
                <w:szCs w:val="20"/>
                <w:color w:val="auto"/>
              </w:rPr>
            </w:pPr>
            <w:r>
              <w:rPr>
                <w:rFonts w:ascii="Verdana" w:cs="Verdana" w:eastAsia="Verdana" w:hAnsi="Verdana"/>
                <w:sz w:val="18"/>
                <w:szCs w:val="18"/>
                <w:color w:val="auto"/>
              </w:rPr>
              <w:t>4,286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24"/>
              <w:spacing w:after="0"/>
              <w:rPr>
                <w:sz w:val="20"/>
                <w:szCs w:val="20"/>
                <w:color w:val="auto"/>
              </w:rPr>
            </w:pPr>
            <w:r>
              <w:rPr>
                <w:rFonts w:ascii="Verdana" w:cs="Verdana" w:eastAsia="Verdana" w:hAnsi="Verdana"/>
                <w:sz w:val="18"/>
                <w:szCs w:val="18"/>
                <w:color w:val="auto"/>
              </w:rPr>
              <w:t>4,286</w:t>
            </w:r>
          </w:p>
        </w:tc>
      </w:tr>
      <w:tr>
        <w:trPr>
          <w:trHeight w:val="479"/>
        </w:trPr>
        <w:tc>
          <w:tcPr>
            <w:tcW w:w="45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ind w:left="740"/>
              <w:spacing w:after="0"/>
              <w:rPr>
                <w:sz w:val="20"/>
                <w:szCs w:val="20"/>
                <w:color w:val="auto"/>
              </w:rPr>
            </w:pPr>
            <w:r>
              <w:rPr>
                <w:rFonts w:ascii="Verdana" w:cs="Verdana" w:eastAsia="Verdana" w:hAnsi="Verdana"/>
                <w:sz w:val="13"/>
                <w:szCs w:val="13"/>
                <w:b w:val="1"/>
                <w:bCs w:val="1"/>
                <w:color w:val="auto"/>
              </w:rPr>
              <w:t>As of December 31, 2022</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22"/>
        </w:trPr>
        <w:tc>
          <w:tcPr>
            <w:tcW w:w="4580" w:type="dxa"/>
            <w:vAlign w:val="bottom"/>
          </w:tcPr>
          <w:p>
            <w:pPr>
              <w:spacing w:after="0"/>
              <w:rPr>
                <w:sz w:val="10"/>
                <w:szCs w:val="10"/>
                <w:color w:val="auto"/>
              </w:rPr>
            </w:pPr>
          </w:p>
        </w:tc>
        <w:tc>
          <w:tcPr>
            <w:tcW w:w="1200" w:type="dxa"/>
            <w:vAlign w:val="bottom"/>
          </w:tcPr>
          <w:p>
            <w:pPr>
              <w:ind w:left="540"/>
              <w:spacing w:after="0" w:line="122" w:lineRule="exact"/>
              <w:rPr>
                <w:sz w:val="20"/>
                <w:szCs w:val="20"/>
                <w:color w:val="auto"/>
              </w:rPr>
            </w:pPr>
            <w:r>
              <w:rPr>
                <w:rFonts w:ascii="Verdana" w:cs="Verdana" w:eastAsia="Verdana" w:hAnsi="Verdana"/>
                <w:sz w:val="13"/>
                <w:szCs w:val="13"/>
                <w:b w:val="1"/>
                <w:bCs w:val="1"/>
                <w:color w:val="auto"/>
              </w:rPr>
              <w:t>Level 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ind w:left="540"/>
              <w:spacing w:after="0" w:line="122" w:lineRule="exact"/>
              <w:rPr>
                <w:sz w:val="20"/>
                <w:szCs w:val="20"/>
                <w:color w:val="auto"/>
              </w:rPr>
            </w:pPr>
            <w:r>
              <w:rPr>
                <w:rFonts w:ascii="Verdana" w:cs="Verdana" w:eastAsia="Verdana" w:hAnsi="Verdana"/>
                <w:sz w:val="13"/>
                <w:szCs w:val="13"/>
                <w:b w:val="1"/>
                <w:bCs w:val="1"/>
                <w:color w:val="auto"/>
              </w:rPr>
              <w:t>Level 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2"/>
          </w:tcPr>
          <w:p>
            <w:pPr>
              <w:ind w:left="200"/>
              <w:spacing w:after="0" w:line="122" w:lineRule="exact"/>
              <w:rPr>
                <w:sz w:val="20"/>
                <w:szCs w:val="20"/>
                <w:color w:val="auto"/>
              </w:rPr>
            </w:pPr>
            <w:r>
              <w:rPr>
                <w:rFonts w:ascii="Verdana" w:cs="Verdana" w:eastAsia="Verdana" w:hAnsi="Verdana"/>
                <w:sz w:val="13"/>
                <w:szCs w:val="13"/>
                <w:b w:val="1"/>
                <w:bCs w:val="1"/>
                <w:color w:val="auto"/>
              </w:rPr>
              <w:t>Level 3</w:t>
            </w:r>
          </w:p>
        </w:tc>
        <w:tc>
          <w:tcPr>
            <w:tcW w:w="300" w:type="dxa"/>
            <w:vAlign w:val="bottom"/>
          </w:tcPr>
          <w:p>
            <w:pPr>
              <w:spacing w:after="0"/>
              <w:rPr>
                <w:sz w:val="10"/>
                <w:szCs w:val="10"/>
                <w:color w:val="auto"/>
              </w:rPr>
            </w:pPr>
          </w:p>
        </w:tc>
        <w:tc>
          <w:tcPr>
            <w:tcW w:w="1300" w:type="dxa"/>
            <w:vAlign w:val="bottom"/>
          </w:tcPr>
          <w:p>
            <w:pPr>
              <w:jc w:val="center"/>
              <w:ind w:right="224"/>
              <w:spacing w:after="0" w:line="122" w:lineRule="exact"/>
              <w:rPr>
                <w:sz w:val="20"/>
                <w:szCs w:val="20"/>
                <w:color w:val="auto"/>
              </w:rPr>
            </w:pPr>
            <w:r>
              <w:rPr>
                <w:rFonts w:ascii="Verdana" w:cs="Verdana" w:eastAsia="Verdana" w:hAnsi="Verdana"/>
                <w:sz w:val="13"/>
                <w:szCs w:val="13"/>
                <w:b w:val="1"/>
                <w:bCs w:val="1"/>
                <w:color w:val="auto"/>
                <w:w w:val="97"/>
              </w:rPr>
              <w:t>Total</w:t>
            </w:r>
          </w:p>
        </w:tc>
      </w:tr>
      <w:tr>
        <w:trPr>
          <w:trHeight w:val="170"/>
        </w:trPr>
        <w:tc>
          <w:tcPr>
            <w:tcW w:w="4580" w:type="dxa"/>
            <w:vAlign w:val="bottom"/>
          </w:tcPr>
          <w:p>
            <w:pPr>
              <w:spacing w:after="0"/>
              <w:rPr>
                <w:sz w:val="14"/>
                <w:szCs w:val="14"/>
                <w:color w:val="auto"/>
              </w:rPr>
            </w:pPr>
          </w:p>
        </w:tc>
        <w:tc>
          <w:tcPr>
            <w:tcW w:w="1200" w:type="dxa"/>
            <w:vAlign w:val="bottom"/>
          </w:tcPr>
          <w:p>
            <w:pPr>
              <w:ind w:left="560"/>
              <w:spacing w:after="0"/>
              <w:rPr>
                <w:sz w:val="20"/>
                <w:szCs w:val="20"/>
                <w:color w:val="auto"/>
              </w:rPr>
            </w:pPr>
            <w:r>
              <w:rPr>
                <w:rFonts w:ascii="Verdana" w:cs="Verdana" w:eastAsia="Verdana" w:hAnsi="Verdana"/>
                <w:sz w:val="13"/>
                <w:szCs w:val="13"/>
                <w:b w:val="1"/>
                <w:bCs w:val="1"/>
                <w:color w:val="auto"/>
              </w:rPr>
              <w:t>Inputs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560"/>
              <w:spacing w:after="0"/>
              <w:rPr>
                <w:sz w:val="20"/>
                <w:szCs w:val="20"/>
                <w:color w:val="auto"/>
              </w:rPr>
            </w:pPr>
            <w:r>
              <w:rPr>
                <w:rFonts w:ascii="Verdana" w:cs="Verdana" w:eastAsia="Verdana" w:hAnsi="Verdana"/>
                <w:sz w:val="13"/>
                <w:szCs w:val="13"/>
                <w:b w:val="1"/>
                <w:bCs w:val="1"/>
                <w:color w:val="auto"/>
              </w:rPr>
              <w:t>Inputs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Verdana" w:cs="Verdana" w:eastAsia="Verdana" w:hAnsi="Verdana"/>
                <w:sz w:val="13"/>
                <w:szCs w:val="13"/>
                <w:b w:val="1"/>
                <w:bCs w:val="1"/>
                <w:color w:val="auto"/>
              </w:rPr>
              <w:t>Inputs</w:t>
            </w:r>
          </w:p>
        </w:tc>
        <w:tc>
          <w:tcPr>
            <w:tcW w:w="300" w:type="dxa"/>
            <w:vAlign w:val="bottom"/>
          </w:tcPr>
          <w:p>
            <w:pPr>
              <w:spacing w:after="0"/>
              <w:rPr>
                <w:sz w:val="14"/>
                <w:szCs w:val="14"/>
                <w:color w:val="auto"/>
              </w:rPr>
            </w:pPr>
          </w:p>
        </w:tc>
        <w:tc>
          <w:tcPr>
            <w:tcW w:w="1300" w:type="dxa"/>
            <w:vAlign w:val="bottom"/>
          </w:tcPr>
          <w:p>
            <w:pPr>
              <w:jc w:val="center"/>
              <w:ind w:right="224"/>
              <w:spacing w:after="0"/>
              <w:rPr>
                <w:sz w:val="20"/>
                <w:szCs w:val="20"/>
                <w:color w:val="auto"/>
              </w:rPr>
            </w:pPr>
            <w:r>
              <w:rPr>
                <w:rFonts w:ascii="Verdana" w:cs="Verdana" w:eastAsia="Verdana" w:hAnsi="Verdana"/>
                <w:sz w:val="13"/>
                <w:szCs w:val="13"/>
                <w:b w:val="1"/>
                <w:bCs w:val="1"/>
                <w:color w:val="auto"/>
                <w:w w:val="97"/>
              </w:rPr>
              <w:t>Fair Value</w:t>
            </w:r>
          </w:p>
        </w:tc>
      </w:tr>
      <w:tr>
        <w:trPr>
          <w:trHeight w:val="223"/>
        </w:trPr>
        <w:tc>
          <w:tcPr>
            <w:tcW w:w="4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 related</w:t>
            </w:r>
          </w:p>
        </w:tc>
        <w:tc>
          <w:tcPr>
            <w:tcW w:w="1200" w:type="dxa"/>
            <w:vAlign w:val="bottom"/>
            <w:tcBorders>
              <w:top w:val="single" w:sz="8" w:color="auto"/>
            </w:tcBorders>
            <w:shd w:val="clear" w:color="auto" w:fill="E0E7ED"/>
          </w:tcPr>
          <w:p>
            <w:pPr>
              <w:spacing w:after="0"/>
              <w:rPr>
                <w:sz w:val="19"/>
                <w:szCs w:val="19"/>
                <w:color w:val="auto"/>
              </w:rPr>
            </w:pPr>
          </w:p>
        </w:tc>
        <w:tc>
          <w:tcPr>
            <w:tcW w:w="4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4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r>
      <w:tr>
        <w:trPr>
          <w:trHeight w:val="248"/>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allowance</w:t>
            </w:r>
          </w:p>
        </w:tc>
        <w:tc>
          <w:tcPr>
            <w:tcW w:w="1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500" w:type="dxa"/>
            <w:vAlign w:val="bottom"/>
            <w:gridSpan w:val="2"/>
            <w:shd w:val="clear" w:color="auto" w:fill="E0E7ED"/>
          </w:tcPr>
          <w:p>
            <w:pPr>
              <w:ind w:left="12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500" w:type="dxa"/>
            <w:vAlign w:val="bottom"/>
            <w:gridSpan w:val="2"/>
            <w:shd w:val="clear" w:color="auto" w:fill="E0E7ED"/>
          </w:tcPr>
          <w:p>
            <w:pPr>
              <w:ind w:left="14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5,345</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5,345</w:t>
            </w:r>
          </w:p>
        </w:tc>
      </w:tr>
      <w:tr>
        <w:trPr>
          <w:trHeight w:val="257"/>
        </w:trPr>
        <w:tc>
          <w:tcPr>
            <w:tcW w:w="4580" w:type="dxa"/>
            <w:vAlign w:val="bottom"/>
          </w:tcPr>
          <w:p>
            <w:pPr>
              <w:ind w:left="20"/>
              <w:spacing w:after="0"/>
              <w:rPr>
                <w:sz w:val="20"/>
                <w:szCs w:val="20"/>
                <w:color w:val="auto"/>
              </w:rPr>
            </w:pPr>
            <w:r>
              <w:rPr>
                <w:rFonts w:ascii="Verdana" w:cs="Verdana" w:eastAsia="Verdana" w:hAnsi="Verdana"/>
                <w:sz w:val="18"/>
                <w:szCs w:val="18"/>
                <w:color w:val="auto"/>
              </w:rPr>
              <w:t>Bank property held for sale with impairment</w:t>
            </w: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Verdana" w:cs="Verdana" w:eastAsia="Verdana" w:hAnsi="Verdana"/>
                <w:sz w:val="18"/>
                <w:szCs w:val="18"/>
                <w:color w:val="auto"/>
              </w:rPr>
              <w:t>—</w:t>
            </w:r>
          </w:p>
        </w:tc>
        <w:tc>
          <w:tcPr>
            <w:tcW w:w="118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ind w:right="24"/>
              <w:spacing w:after="0"/>
              <w:rPr>
                <w:sz w:val="20"/>
                <w:szCs w:val="20"/>
                <w:color w:val="auto"/>
              </w:rPr>
            </w:pPr>
            <w:r>
              <w:rPr>
                <w:rFonts w:ascii="Verdana" w:cs="Verdana" w:eastAsia="Verdana" w:hAnsi="Verdana"/>
                <w:sz w:val="18"/>
                <w:szCs w:val="18"/>
                <w:color w:val="auto"/>
              </w:rPr>
              <w:t>7,923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24"/>
              <w:spacing w:after="0"/>
              <w:rPr>
                <w:sz w:val="20"/>
                <w:szCs w:val="20"/>
                <w:color w:val="auto"/>
              </w:rPr>
            </w:pPr>
            <w:r>
              <w:rPr>
                <w:rFonts w:ascii="Verdana" w:cs="Verdana" w:eastAsia="Verdana" w:hAnsi="Verdana"/>
                <w:sz w:val="18"/>
                <w:szCs w:val="18"/>
                <w:color w:val="auto"/>
              </w:rPr>
              <w:t>7,923</w:t>
            </w:r>
          </w:p>
        </w:tc>
      </w:tr>
    </w:tbl>
    <w:p>
      <w:pPr>
        <w:spacing w:after="0" w:line="33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4" w:name="page165"/>
    <w:bookmarkEnd w:id="16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4"/>
          </w:tcPr>
          <w:p>
            <w:pPr>
              <w:ind w:left="1840"/>
              <w:spacing w:after="0"/>
              <w:rPr>
                <w:sz w:val="20"/>
                <w:szCs w:val="20"/>
                <w:color w:val="auto"/>
              </w:rPr>
            </w:pPr>
            <w:r>
              <w:rPr>
                <w:rFonts w:ascii="Verdana" w:cs="Verdana" w:eastAsia="Verdana" w:hAnsi="Verdana"/>
                <w:sz w:val="13"/>
                <w:szCs w:val="13"/>
                <w:b w:val="1"/>
                <w:bCs w:val="1"/>
                <w:color w:val="auto"/>
              </w:rPr>
              <w:t>As of December 31, 2023</w:t>
            </w:r>
          </w:p>
        </w:tc>
        <w:tc>
          <w:tcPr>
            <w:tcW w:w="2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144"/>
              <w:spacing w:after="0"/>
              <w:rPr>
                <w:sz w:val="20"/>
                <w:szCs w:val="20"/>
                <w:color w:val="auto"/>
              </w:rPr>
            </w:pPr>
            <w:r>
              <w:rPr>
                <w:rFonts w:ascii="Verdana" w:cs="Verdana" w:eastAsia="Verdana" w:hAnsi="Verdana"/>
                <w:sz w:val="13"/>
                <w:szCs w:val="13"/>
                <w:b w:val="1"/>
                <w:bCs w:val="1"/>
                <w:color w:val="auto"/>
              </w:rPr>
              <w:t>Fair Value</w:t>
            </w:r>
          </w:p>
        </w:tc>
        <w:tc>
          <w:tcPr>
            <w:tcW w:w="100" w:type="dxa"/>
            <w:vAlign w:val="bottom"/>
            <w:vMerge w:val="restart"/>
          </w:tcPr>
          <w:p>
            <w:pPr>
              <w:spacing w:after="0"/>
              <w:rPr>
                <w:sz w:val="10"/>
                <w:szCs w:val="10"/>
                <w:color w:val="auto"/>
              </w:rPr>
            </w:pPr>
          </w:p>
        </w:tc>
        <w:tc>
          <w:tcPr>
            <w:tcW w:w="264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4"/>
              </w:rPr>
              <w:t>Valuation</w:t>
            </w:r>
          </w:p>
        </w:tc>
        <w:tc>
          <w:tcPr>
            <w:tcW w:w="168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Unobservable</w:t>
            </w:r>
          </w:p>
        </w:tc>
        <w:tc>
          <w:tcPr>
            <w:tcW w:w="238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5"/>
              </w:rPr>
              <w:t>Range</w:t>
            </w:r>
          </w:p>
        </w:tc>
        <w:tc>
          <w:tcPr>
            <w:tcW w:w="0" w:type="dxa"/>
            <w:vAlign w:val="bottom"/>
          </w:tcPr>
          <w:p>
            <w:pPr>
              <w:spacing w:after="0"/>
              <w:rPr>
                <w:sz w:val="1"/>
                <w:szCs w:val="1"/>
                <w:color w:val="auto"/>
              </w:rPr>
            </w:pPr>
          </w:p>
        </w:tc>
      </w:tr>
      <w:tr>
        <w:trPr>
          <w:trHeight w:val="170"/>
        </w:trPr>
        <w:tc>
          <w:tcPr>
            <w:tcW w:w="328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Techniques</w:t>
            </w:r>
          </w:p>
        </w:tc>
        <w:tc>
          <w:tcPr>
            <w:tcW w:w="10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3"/>
              </w:rPr>
              <w:t>Input</w:t>
            </w:r>
          </w:p>
        </w:tc>
        <w:tc>
          <w:tcPr>
            <w:tcW w:w="100" w:type="dxa"/>
            <w:vAlign w:val="bottom"/>
            <w:tcBorders>
              <w:bottom w:val="single" w:sz="8" w:color="E0E7ED"/>
            </w:tcBorders>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(Weighted Average)</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 $</w:t>
            </w:r>
          </w:p>
        </w:tc>
        <w:tc>
          <w:tcPr>
            <w:tcW w:w="9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1,000</w:t>
            </w:r>
          </w:p>
        </w:tc>
        <w:tc>
          <w:tcPr>
            <w:tcW w:w="100" w:type="dxa"/>
            <w:vAlign w:val="bottom"/>
            <w:shd w:val="clear" w:color="auto" w:fill="E0E7ED"/>
          </w:tcPr>
          <w:p>
            <w:pPr>
              <w:spacing w:after="0"/>
              <w:rPr>
                <w:sz w:val="19"/>
                <w:szCs w:val="19"/>
                <w:color w:val="auto"/>
              </w:rPr>
            </w:pPr>
          </w:p>
        </w:tc>
        <w:tc>
          <w:tcPr>
            <w:tcW w:w="2640" w:type="dxa"/>
            <w:vAlign w:val="bottom"/>
            <w:gridSpan w:val="2"/>
            <w:shd w:val="clear" w:color="auto" w:fill="E0E7ED"/>
          </w:tcPr>
          <w:p>
            <w:pPr>
              <w:jc w:val="center"/>
              <w:ind w:right="100"/>
              <w:spacing w:after="0"/>
              <w:rPr>
                <w:sz w:val="20"/>
                <w:szCs w:val="20"/>
                <w:color w:val="auto"/>
              </w:rPr>
            </w:pPr>
            <w:r>
              <w:rPr>
                <w:rFonts w:ascii="Verdana" w:cs="Verdana" w:eastAsia="Verdana" w:hAnsi="Verdana"/>
                <w:sz w:val="18"/>
                <w:szCs w:val="18"/>
                <w:color w:val="auto"/>
                <w:w w:val="99"/>
              </w:rPr>
              <w:t>Appraisal of collateral</w:t>
            </w:r>
          </w:p>
        </w:tc>
        <w:tc>
          <w:tcPr>
            <w:tcW w:w="1680" w:type="dxa"/>
            <w:vAlign w:val="bottom"/>
            <w:gridSpan w:val="2"/>
            <w:shd w:val="clear" w:color="auto" w:fill="E0E7ED"/>
          </w:tcPr>
          <w:p>
            <w:pPr>
              <w:jc w:val="center"/>
              <w:ind w:right="100"/>
              <w:spacing w:after="0"/>
              <w:rPr>
                <w:sz w:val="20"/>
                <w:szCs w:val="20"/>
                <w:color w:val="auto"/>
              </w:rPr>
            </w:pPr>
            <w:r>
              <w:rPr>
                <w:rFonts w:ascii="Verdana" w:cs="Verdana" w:eastAsia="Verdana" w:hAnsi="Verdana"/>
                <w:sz w:val="18"/>
                <w:szCs w:val="18"/>
                <w:color w:val="auto"/>
                <w:w w:val="98"/>
              </w:rPr>
              <w:t>Appraisal</w:t>
            </w:r>
          </w:p>
        </w:tc>
        <w:tc>
          <w:tcPr>
            <w:tcW w:w="238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9"/>
              </w:rPr>
              <w:t>-41.2% to -100.0%</w:t>
            </w:r>
          </w:p>
        </w:tc>
        <w:tc>
          <w:tcPr>
            <w:tcW w:w="0" w:type="dxa"/>
            <w:vAlign w:val="bottom"/>
          </w:tcPr>
          <w:p>
            <w:pPr>
              <w:spacing w:after="0"/>
              <w:rPr>
                <w:sz w:val="1"/>
                <w:szCs w:val="1"/>
                <w:color w:val="auto"/>
              </w:rPr>
            </w:pPr>
          </w:p>
        </w:tc>
      </w:tr>
      <w:tr>
        <w:trPr>
          <w:trHeight w:val="262"/>
        </w:trPr>
        <w:tc>
          <w:tcPr>
            <w:tcW w:w="34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related allowance</w:t>
            </w:r>
          </w:p>
        </w:tc>
        <w:tc>
          <w:tcPr>
            <w:tcW w:w="9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5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8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9"/>
              </w:rPr>
              <w:t>adjustments</w:t>
            </w:r>
          </w:p>
        </w:tc>
        <w:tc>
          <w:tcPr>
            <w:tcW w:w="238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rPr>
              <w:t>(-47.2)%</w:t>
            </w: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310" w:right="339" w:bottom="1440" w:gutter="0" w:footer="0" w:header="0"/>
        </w:sectPr>
      </w:pPr>
    </w:p>
    <w:p>
      <w:pPr>
        <w:spacing w:after="0" w:line="3" w:lineRule="exact"/>
        <w:rPr>
          <w:sz w:val="20"/>
          <w:szCs w:val="20"/>
          <w:color w:val="auto"/>
        </w:rPr>
      </w:pPr>
    </w:p>
    <w:p>
      <w:pPr>
        <w:ind w:left="20" w:right="180"/>
        <w:spacing w:after="0" w:line="254" w:lineRule="auto"/>
        <w:rPr>
          <w:sz w:val="20"/>
          <w:szCs w:val="20"/>
          <w:color w:val="auto"/>
        </w:rPr>
      </w:pPr>
      <w:r>
        <w:rPr>
          <w:rFonts w:ascii="Verdana" w:cs="Verdana" w:eastAsia="Verdana" w:hAnsi="Verdana"/>
          <w:sz w:val="18"/>
          <w:szCs w:val="18"/>
          <w:color w:val="auto"/>
        </w:rPr>
        <w:t>Bank property held for sale with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00" w:type="dxa"/>
            <w:vAlign w:val="bottom"/>
          </w:tcPr>
          <w:p>
            <w:pPr>
              <w:jc w:val="right"/>
              <w:ind w:right="90"/>
              <w:spacing w:after="0"/>
              <w:rPr>
                <w:sz w:val="20"/>
                <w:szCs w:val="20"/>
                <w:color w:val="auto"/>
              </w:rPr>
            </w:pPr>
            <w:r>
              <w:rPr>
                <w:rFonts w:ascii="Verdana" w:cs="Verdana" w:eastAsia="Verdana" w:hAnsi="Verdana"/>
                <w:sz w:val="18"/>
                <w:szCs w:val="18"/>
                <w:color w:val="auto"/>
                <w:w w:val="95"/>
              </w:rPr>
              <w:t>4,286</w:t>
            </w:r>
          </w:p>
        </w:tc>
        <w:tc>
          <w:tcPr>
            <w:tcW w:w="2620" w:type="dxa"/>
            <w:vAlign w:val="bottom"/>
          </w:tcPr>
          <w:p>
            <w:pPr>
              <w:jc w:val="center"/>
              <w:spacing w:after="0"/>
              <w:rPr>
                <w:sz w:val="20"/>
                <w:szCs w:val="20"/>
                <w:color w:val="auto"/>
              </w:rPr>
            </w:pPr>
            <w:r>
              <w:rPr>
                <w:rFonts w:ascii="Verdana" w:cs="Verdana" w:eastAsia="Verdana" w:hAnsi="Verdana"/>
                <w:sz w:val="18"/>
                <w:szCs w:val="18"/>
                <w:color w:val="auto"/>
                <w:w w:val="99"/>
              </w:rPr>
              <w:t>Appraisal of collateral or</w:t>
            </w:r>
          </w:p>
        </w:tc>
        <w:tc>
          <w:tcPr>
            <w:tcW w:w="1740" w:type="dxa"/>
            <w:vAlign w:val="bottom"/>
          </w:tcPr>
          <w:p>
            <w:pPr>
              <w:jc w:val="center"/>
              <w:ind w:right="30"/>
              <w:spacing w:after="0"/>
              <w:rPr>
                <w:sz w:val="20"/>
                <w:szCs w:val="20"/>
                <w:color w:val="auto"/>
              </w:rPr>
            </w:pPr>
            <w:r>
              <w:rPr>
                <w:rFonts w:ascii="Verdana" w:cs="Verdana" w:eastAsia="Verdana" w:hAnsi="Verdana"/>
                <w:sz w:val="18"/>
                <w:szCs w:val="18"/>
                <w:color w:val="auto"/>
                <w:w w:val="98"/>
              </w:rPr>
              <w:t>Appraisal</w:t>
            </w:r>
          </w:p>
        </w:tc>
        <w:tc>
          <w:tcPr>
            <w:tcW w:w="1940" w:type="dxa"/>
            <w:vAlign w:val="bottom"/>
          </w:tcPr>
          <w:p>
            <w:pPr>
              <w:jc w:val="center"/>
              <w:ind w:left="290"/>
              <w:spacing w:after="0"/>
              <w:rPr>
                <w:sz w:val="20"/>
                <w:szCs w:val="20"/>
                <w:color w:val="auto"/>
              </w:rPr>
            </w:pPr>
            <w:r>
              <w:rPr>
                <w:rFonts w:ascii="Verdana" w:cs="Verdana" w:eastAsia="Verdana" w:hAnsi="Verdana"/>
                <w:sz w:val="18"/>
                <w:szCs w:val="18"/>
                <w:color w:val="auto"/>
                <w:w w:val="99"/>
              </w:rPr>
              <w:t>-6.2% to -64.9%</w:t>
            </w:r>
          </w:p>
        </w:tc>
      </w:tr>
      <w:tr>
        <w:trPr>
          <w:trHeight w:val="235"/>
        </w:trPr>
        <w:tc>
          <w:tcPr>
            <w:tcW w:w="7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Verdana" w:cs="Verdana" w:eastAsia="Verdana" w:hAnsi="Verdana"/>
                <w:sz w:val="18"/>
                <w:szCs w:val="18"/>
                <w:color w:val="auto"/>
                <w:w w:val="99"/>
              </w:rPr>
              <w:t>real estate listing price</w:t>
            </w:r>
          </w:p>
        </w:tc>
        <w:tc>
          <w:tcPr>
            <w:tcW w:w="1740" w:type="dxa"/>
            <w:vAlign w:val="bottom"/>
          </w:tcPr>
          <w:p>
            <w:pPr>
              <w:jc w:val="center"/>
              <w:ind w:right="10"/>
              <w:spacing w:after="0"/>
              <w:rPr>
                <w:sz w:val="20"/>
                <w:szCs w:val="20"/>
                <w:color w:val="auto"/>
              </w:rPr>
            </w:pPr>
            <w:r>
              <w:rPr>
                <w:rFonts w:ascii="Verdana" w:cs="Verdana" w:eastAsia="Verdana" w:hAnsi="Verdana"/>
                <w:sz w:val="18"/>
                <w:szCs w:val="18"/>
                <w:color w:val="auto"/>
                <w:w w:val="99"/>
              </w:rPr>
              <w:t>adjustments</w:t>
            </w:r>
          </w:p>
        </w:tc>
        <w:tc>
          <w:tcPr>
            <w:tcW w:w="1940" w:type="dxa"/>
            <w:vAlign w:val="bottom"/>
          </w:tcPr>
          <w:p>
            <w:pPr>
              <w:jc w:val="right"/>
              <w:ind w:right="270"/>
              <w:spacing w:after="0"/>
              <w:rPr>
                <w:sz w:val="20"/>
                <w:szCs w:val="20"/>
                <w:color w:val="auto"/>
              </w:rPr>
            </w:pPr>
            <w:r>
              <w:rPr>
                <w:rFonts w:ascii="Verdana" w:cs="Verdana" w:eastAsia="Verdana" w:hAnsi="Verdana"/>
                <w:sz w:val="18"/>
                <w:szCs w:val="18"/>
                <w:color w:val="auto"/>
              </w:rPr>
              <w:t>(-38.4)%</w:t>
            </w:r>
          </w:p>
        </w:tc>
      </w:tr>
    </w:tbl>
    <w:p>
      <w:pPr>
        <w:spacing w:after="0" w:line="212" w:lineRule="exact"/>
        <w:rPr>
          <w:sz w:val="20"/>
          <w:szCs w:val="20"/>
          <w:color w:val="auto"/>
        </w:rPr>
      </w:pPr>
    </w:p>
    <w:p>
      <w:pPr>
        <w:sectPr>
          <w:pgSz w:w="11900" w:h="16838" w:orient="portrait"/>
          <w:cols w:equalWidth="0" w:num="2">
            <w:col w:w="3120" w:space="720"/>
            <w:col w:w="7400"/>
          </w:cols>
          <w:pgMar w:left="320" w:top="310"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4"/>
          </w:tcPr>
          <w:p>
            <w:pPr>
              <w:ind w:left="1840"/>
              <w:spacing w:after="0"/>
              <w:rPr>
                <w:sz w:val="20"/>
                <w:szCs w:val="20"/>
                <w:color w:val="auto"/>
              </w:rPr>
            </w:pPr>
            <w:r>
              <w:rPr>
                <w:rFonts w:ascii="Verdana" w:cs="Verdana" w:eastAsia="Verdana" w:hAnsi="Verdana"/>
                <w:sz w:val="13"/>
                <w:szCs w:val="13"/>
                <w:b w:val="1"/>
                <w:bCs w:val="1"/>
                <w:color w:val="auto"/>
              </w:rPr>
              <w:t>As of December 31, 2022</w:t>
            </w:r>
          </w:p>
        </w:tc>
        <w:tc>
          <w:tcPr>
            <w:tcW w:w="2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144"/>
              <w:spacing w:after="0"/>
              <w:rPr>
                <w:sz w:val="20"/>
                <w:szCs w:val="20"/>
                <w:color w:val="auto"/>
              </w:rPr>
            </w:pPr>
            <w:r>
              <w:rPr>
                <w:rFonts w:ascii="Verdana" w:cs="Verdana" w:eastAsia="Verdana" w:hAnsi="Verdana"/>
                <w:sz w:val="13"/>
                <w:szCs w:val="13"/>
                <w:b w:val="1"/>
                <w:bCs w:val="1"/>
                <w:color w:val="auto"/>
              </w:rPr>
              <w:t>Fair Value</w:t>
            </w:r>
          </w:p>
        </w:tc>
        <w:tc>
          <w:tcPr>
            <w:tcW w:w="100" w:type="dxa"/>
            <w:vAlign w:val="bottom"/>
            <w:vMerge w:val="restart"/>
          </w:tcPr>
          <w:p>
            <w:pPr>
              <w:spacing w:after="0"/>
              <w:rPr>
                <w:sz w:val="10"/>
                <w:szCs w:val="10"/>
                <w:color w:val="auto"/>
              </w:rPr>
            </w:pPr>
          </w:p>
        </w:tc>
        <w:tc>
          <w:tcPr>
            <w:tcW w:w="264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4"/>
              </w:rPr>
              <w:t>Valuation</w:t>
            </w:r>
          </w:p>
        </w:tc>
        <w:tc>
          <w:tcPr>
            <w:tcW w:w="168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Unobservable</w:t>
            </w:r>
          </w:p>
        </w:tc>
        <w:tc>
          <w:tcPr>
            <w:tcW w:w="238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5"/>
              </w:rPr>
              <w:t>Range</w:t>
            </w:r>
          </w:p>
        </w:tc>
        <w:tc>
          <w:tcPr>
            <w:tcW w:w="0" w:type="dxa"/>
            <w:vAlign w:val="bottom"/>
          </w:tcPr>
          <w:p>
            <w:pPr>
              <w:spacing w:after="0"/>
              <w:rPr>
                <w:sz w:val="1"/>
                <w:szCs w:val="1"/>
                <w:color w:val="auto"/>
              </w:rPr>
            </w:pPr>
          </w:p>
        </w:tc>
      </w:tr>
      <w:tr>
        <w:trPr>
          <w:trHeight w:val="170"/>
        </w:trPr>
        <w:tc>
          <w:tcPr>
            <w:tcW w:w="328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Techniques</w:t>
            </w:r>
          </w:p>
        </w:tc>
        <w:tc>
          <w:tcPr>
            <w:tcW w:w="10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3"/>
              </w:rPr>
              <w:t>Input</w:t>
            </w:r>
          </w:p>
        </w:tc>
        <w:tc>
          <w:tcPr>
            <w:tcW w:w="100" w:type="dxa"/>
            <w:vAlign w:val="bottom"/>
            <w:tcBorders>
              <w:bottom w:val="single" w:sz="8" w:color="E0E7ED"/>
            </w:tcBorders>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(Weighted Average)</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 $</w:t>
            </w:r>
          </w:p>
        </w:tc>
        <w:tc>
          <w:tcPr>
            <w:tcW w:w="9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5,345</w:t>
            </w:r>
          </w:p>
        </w:tc>
        <w:tc>
          <w:tcPr>
            <w:tcW w:w="100" w:type="dxa"/>
            <w:vAlign w:val="bottom"/>
            <w:shd w:val="clear" w:color="auto" w:fill="E0E7ED"/>
          </w:tcPr>
          <w:p>
            <w:pPr>
              <w:spacing w:after="0"/>
              <w:rPr>
                <w:sz w:val="19"/>
                <w:szCs w:val="19"/>
                <w:color w:val="auto"/>
              </w:rPr>
            </w:pPr>
          </w:p>
        </w:tc>
        <w:tc>
          <w:tcPr>
            <w:tcW w:w="2640" w:type="dxa"/>
            <w:vAlign w:val="bottom"/>
            <w:gridSpan w:val="2"/>
            <w:shd w:val="clear" w:color="auto" w:fill="E0E7ED"/>
          </w:tcPr>
          <w:p>
            <w:pPr>
              <w:jc w:val="center"/>
              <w:ind w:right="100"/>
              <w:spacing w:after="0"/>
              <w:rPr>
                <w:sz w:val="20"/>
                <w:szCs w:val="20"/>
                <w:color w:val="auto"/>
              </w:rPr>
            </w:pPr>
            <w:r>
              <w:rPr>
                <w:rFonts w:ascii="Verdana" w:cs="Verdana" w:eastAsia="Verdana" w:hAnsi="Verdana"/>
                <w:sz w:val="18"/>
                <w:szCs w:val="18"/>
                <w:color w:val="auto"/>
                <w:w w:val="99"/>
              </w:rPr>
              <w:t>Appraisal of collateral</w:t>
            </w:r>
          </w:p>
        </w:tc>
        <w:tc>
          <w:tcPr>
            <w:tcW w:w="1680" w:type="dxa"/>
            <w:vAlign w:val="bottom"/>
            <w:gridSpan w:val="2"/>
            <w:shd w:val="clear" w:color="auto" w:fill="E0E7ED"/>
          </w:tcPr>
          <w:p>
            <w:pPr>
              <w:jc w:val="center"/>
              <w:ind w:right="100"/>
              <w:spacing w:after="0"/>
              <w:rPr>
                <w:sz w:val="20"/>
                <w:szCs w:val="20"/>
                <w:color w:val="auto"/>
              </w:rPr>
            </w:pPr>
            <w:r>
              <w:rPr>
                <w:rFonts w:ascii="Verdana" w:cs="Verdana" w:eastAsia="Verdana" w:hAnsi="Verdana"/>
                <w:sz w:val="18"/>
                <w:szCs w:val="18"/>
                <w:color w:val="auto"/>
                <w:w w:val="98"/>
              </w:rPr>
              <w:t>Appraisal</w:t>
            </w:r>
          </w:p>
        </w:tc>
        <w:tc>
          <w:tcPr>
            <w:tcW w:w="238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9"/>
              </w:rPr>
              <w:t>-22.7% to -100.0%</w:t>
            </w:r>
          </w:p>
        </w:tc>
        <w:tc>
          <w:tcPr>
            <w:tcW w:w="0" w:type="dxa"/>
            <w:vAlign w:val="bottom"/>
          </w:tcPr>
          <w:p>
            <w:pPr>
              <w:spacing w:after="0"/>
              <w:rPr>
                <w:sz w:val="1"/>
                <w:szCs w:val="1"/>
                <w:color w:val="auto"/>
              </w:rPr>
            </w:pPr>
          </w:p>
        </w:tc>
      </w:tr>
      <w:tr>
        <w:trPr>
          <w:trHeight w:val="262"/>
        </w:trPr>
        <w:tc>
          <w:tcPr>
            <w:tcW w:w="34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related allowance</w:t>
            </w:r>
          </w:p>
        </w:tc>
        <w:tc>
          <w:tcPr>
            <w:tcW w:w="9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5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8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9"/>
              </w:rPr>
              <w:t>adjustments</w:t>
            </w:r>
          </w:p>
        </w:tc>
        <w:tc>
          <w:tcPr>
            <w:tcW w:w="238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rPr>
              <w:t>(-45.7)%</w:t>
            </w: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310" w:right="339" w:bottom="1440" w:gutter="0" w:footer="0" w:header="0"/>
          <w:type w:val="continuous"/>
        </w:sectPr>
      </w:pPr>
    </w:p>
    <w:p>
      <w:pPr>
        <w:spacing w:after="0" w:line="3" w:lineRule="exact"/>
        <w:rPr>
          <w:sz w:val="20"/>
          <w:szCs w:val="20"/>
          <w:color w:val="auto"/>
        </w:rPr>
      </w:pPr>
    </w:p>
    <w:p>
      <w:pPr>
        <w:ind w:left="20" w:right="180"/>
        <w:spacing w:after="0" w:line="254" w:lineRule="auto"/>
        <w:rPr>
          <w:sz w:val="20"/>
          <w:szCs w:val="20"/>
          <w:color w:val="auto"/>
        </w:rPr>
      </w:pPr>
      <w:r>
        <w:rPr>
          <w:rFonts w:ascii="Verdana" w:cs="Verdana" w:eastAsia="Verdana" w:hAnsi="Verdana"/>
          <w:sz w:val="18"/>
          <w:szCs w:val="18"/>
          <w:color w:val="auto"/>
        </w:rPr>
        <w:t>Bank property held for sale with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00" w:type="dxa"/>
            <w:vAlign w:val="bottom"/>
          </w:tcPr>
          <w:p>
            <w:pPr>
              <w:jc w:val="right"/>
              <w:ind w:right="90"/>
              <w:spacing w:after="0"/>
              <w:rPr>
                <w:sz w:val="20"/>
                <w:szCs w:val="20"/>
                <w:color w:val="auto"/>
              </w:rPr>
            </w:pPr>
            <w:r>
              <w:rPr>
                <w:rFonts w:ascii="Verdana" w:cs="Verdana" w:eastAsia="Verdana" w:hAnsi="Verdana"/>
                <w:sz w:val="18"/>
                <w:szCs w:val="18"/>
                <w:color w:val="auto"/>
                <w:w w:val="95"/>
              </w:rPr>
              <w:t>7,923</w:t>
            </w:r>
          </w:p>
        </w:tc>
        <w:tc>
          <w:tcPr>
            <w:tcW w:w="2620" w:type="dxa"/>
            <w:vAlign w:val="bottom"/>
          </w:tcPr>
          <w:p>
            <w:pPr>
              <w:jc w:val="center"/>
              <w:spacing w:after="0"/>
              <w:rPr>
                <w:sz w:val="20"/>
                <w:szCs w:val="20"/>
                <w:color w:val="auto"/>
              </w:rPr>
            </w:pPr>
            <w:r>
              <w:rPr>
                <w:rFonts w:ascii="Verdana" w:cs="Verdana" w:eastAsia="Verdana" w:hAnsi="Verdana"/>
                <w:sz w:val="18"/>
                <w:szCs w:val="18"/>
                <w:color w:val="auto"/>
                <w:w w:val="99"/>
              </w:rPr>
              <w:t>Appraisal of collateral or</w:t>
            </w:r>
          </w:p>
        </w:tc>
        <w:tc>
          <w:tcPr>
            <w:tcW w:w="1740" w:type="dxa"/>
            <w:vAlign w:val="bottom"/>
          </w:tcPr>
          <w:p>
            <w:pPr>
              <w:jc w:val="center"/>
              <w:ind w:right="30"/>
              <w:spacing w:after="0"/>
              <w:rPr>
                <w:sz w:val="20"/>
                <w:szCs w:val="20"/>
                <w:color w:val="auto"/>
              </w:rPr>
            </w:pPr>
            <w:r>
              <w:rPr>
                <w:rFonts w:ascii="Verdana" w:cs="Verdana" w:eastAsia="Verdana" w:hAnsi="Verdana"/>
                <w:sz w:val="18"/>
                <w:szCs w:val="18"/>
                <w:color w:val="auto"/>
                <w:w w:val="98"/>
              </w:rPr>
              <w:t>Appraisal</w:t>
            </w:r>
          </w:p>
        </w:tc>
        <w:tc>
          <w:tcPr>
            <w:tcW w:w="1940" w:type="dxa"/>
            <w:vAlign w:val="bottom"/>
          </w:tcPr>
          <w:p>
            <w:pPr>
              <w:jc w:val="center"/>
              <w:ind w:left="290"/>
              <w:spacing w:after="0"/>
              <w:rPr>
                <w:sz w:val="20"/>
                <w:szCs w:val="20"/>
                <w:color w:val="auto"/>
              </w:rPr>
            </w:pPr>
            <w:r>
              <w:rPr>
                <w:rFonts w:ascii="Verdana" w:cs="Verdana" w:eastAsia="Verdana" w:hAnsi="Verdana"/>
                <w:sz w:val="18"/>
                <w:szCs w:val="18"/>
                <w:color w:val="auto"/>
                <w:w w:val="99"/>
              </w:rPr>
              <w:t>-0.7% to -70.1%</w:t>
            </w:r>
          </w:p>
        </w:tc>
      </w:tr>
      <w:tr>
        <w:trPr>
          <w:trHeight w:val="235"/>
        </w:trPr>
        <w:tc>
          <w:tcPr>
            <w:tcW w:w="7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Verdana" w:cs="Verdana" w:eastAsia="Verdana" w:hAnsi="Verdana"/>
                <w:sz w:val="18"/>
                <w:szCs w:val="18"/>
                <w:color w:val="auto"/>
                <w:w w:val="99"/>
              </w:rPr>
              <w:t>real estate listing price</w:t>
            </w:r>
          </w:p>
        </w:tc>
        <w:tc>
          <w:tcPr>
            <w:tcW w:w="1740" w:type="dxa"/>
            <w:vAlign w:val="bottom"/>
          </w:tcPr>
          <w:p>
            <w:pPr>
              <w:jc w:val="center"/>
              <w:ind w:right="10"/>
              <w:spacing w:after="0"/>
              <w:rPr>
                <w:sz w:val="20"/>
                <w:szCs w:val="20"/>
                <w:color w:val="auto"/>
              </w:rPr>
            </w:pPr>
            <w:r>
              <w:rPr>
                <w:rFonts w:ascii="Verdana" w:cs="Verdana" w:eastAsia="Verdana" w:hAnsi="Verdana"/>
                <w:sz w:val="18"/>
                <w:szCs w:val="18"/>
                <w:color w:val="auto"/>
                <w:w w:val="99"/>
              </w:rPr>
              <w:t>adjustments</w:t>
            </w:r>
          </w:p>
        </w:tc>
        <w:tc>
          <w:tcPr>
            <w:tcW w:w="1940" w:type="dxa"/>
            <w:vAlign w:val="bottom"/>
          </w:tcPr>
          <w:p>
            <w:pPr>
              <w:jc w:val="right"/>
              <w:ind w:right="270"/>
              <w:spacing w:after="0"/>
              <w:rPr>
                <w:sz w:val="20"/>
                <w:szCs w:val="20"/>
                <w:color w:val="auto"/>
              </w:rPr>
            </w:pPr>
            <w:r>
              <w:rPr>
                <w:rFonts w:ascii="Verdana" w:cs="Verdana" w:eastAsia="Verdana" w:hAnsi="Verdana"/>
                <w:sz w:val="18"/>
                <w:szCs w:val="18"/>
                <w:color w:val="auto"/>
              </w:rPr>
              <w:t>(-35.1)%</w:t>
            </w:r>
          </w:p>
        </w:tc>
      </w:tr>
    </w:tbl>
    <w:p>
      <w:pPr>
        <w:spacing w:after="0" w:line="212" w:lineRule="exact"/>
        <w:rPr>
          <w:sz w:val="20"/>
          <w:szCs w:val="20"/>
          <w:color w:val="auto"/>
        </w:rPr>
      </w:pPr>
    </w:p>
    <w:p>
      <w:pPr>
        <w:sectPr>
          <w:pgSz w:w="11900" w:h="16838" w:orient="portrait"/>
          <w:cols w:equalWidth="0" w:num="2">
            <w:col w:w="3120" w:space="720"/>
            <w:col w:w="7400"/>
          </w:cols>
          <w:pgMar w:left="320" w:top="310" w:right="339" w:bottom="1440" w:gutter="0" w:footer="0" w:header="0"/>
          <w:type w:val="continuous"/>
        </w:sectPr>
      </w:pPr>
    </w:p>
    <w:p>
      <w:pPr>
        <w:spacing w:after="0" w:line="120"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65" w:name="page166"/>
    <w:bookmarkEnd w:id="16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Financial Assets and Financial Liabilities That Are Not Carried at Fair Value</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Estimated fair values of financial instruments that are not carried at fair value in the Company’s Consolidated Balance Sheets, segregated by the level of the valuation inputs within the fair value hierarchy utilized to measure fair value,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gridSpan w:val="5"/>
          </w:tcPr>
          <w:p>
            <w:pPr>
              <w:ind w:left="460"/>
              <w:spacing w:after="0"/>
              <w:rPr>
                <w:sz w:val="20"/>
                <w:szCs w:val="20"/>
                <w:color w:val="auto"/>
              </w:rPr>
            </w:pPr>
            <w:r>
              <w:rPr>
                <w:rFonts w:ascii="Verdana" w:cs="Verdana" w:eastAsia="Verdana" w:hAnsi="Verdana"/>
                <w:sz w:val="13"/>
                <w:szCs w:val="13"/>
                <w:b w:val="1"/>
                <w:bCs w:val="1"/>
                <w:color w:val="auto"/>
              </w:rPr>
              <w:t>As of December 31, 2023</w:t>
            </w:r>
          </w:p>
        </w:tc>
        <w:tc>
          <w:tcPr>
            <w:tcW w:w="300" w:type="dxa"/>
            <w:vAlign w:val="bottom"/>
          </w:tcPr>
          <w:p>
            <w:pPr>
              <w:spacing w:after="0"/>
              <w:rPr>
                <w:sz w:val="15"/>
                <w:szCs w:val="15"/>
                <w:color w:val="auto"/>
              </w:rPr>
            </w:pPr>
          </w:p>
        </w:tc>
        <w:tc>
          <w:tcPr>
            <w:tcW w:w="3000" w:type="dxa"/>
            <w:vAlign w:val="bottom"/>
            <w:gridSpan w:val="4"/>
          </w:tcPr>
          <w:p>
            <w:pPr>
              <w:jc w:val="right"/>
              <w:ind w:right="673"/>
              <w:spacing w:after="0"/>
              <w:rPr>
                <w:sz w:val="20"/>
                <w:szCs w:val="20"/>
                <w:color w:val="auto"/>
              </w:rPr>
            </w:pPr>
            <w:r>
              <w:rPr>
                <w:rFonts w:ascii="Verdana" w:cs="Verdana" w:eastAsia="Verdana" w:hAnsi="Verdana"/>
                <w:sz w:val="13"/>
                <w:szCs w:val="13"/>
                <w:b w:val="1"/>
                <w:bCs w:val="1"/>
                <w:color w:val="auto"/>
              </w:rPr>
              <w:t>As of December 31, 2022</w:t>
            </w:r>
          </w:p>
        </w:tc>
      </w:tr>
      <w:tr>
        <w:trPr>
          <w:trHeight w:val="122"/>
        </w:trPr>
        <w:tc>
          <w:tcPr>
            <w:tcW w:w="45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200"/>
              <w:spacing w:after="0" w:line="122" w:lineRule="exact"/>
              <w:rPr>
                <w:sz w:val="20"/>
                <w:szCs w:val="20"/>
                <w:color w:val="auto"/>
              </w:rPr>
            </w:pPr>
            <w:r>
              <w:rPr>
                <w:rFonts w:ascii="Verdana" w:cs="Verdana" w:eastAsia="Verdana" w:hAnsi="Verdana"/>
                <w:sz w:val="13"/>
                <w:szCs w:val="13"/>
                <w:b w:val="1"/>
                <w:bCs w:val="1"/>
                <w:color w:val="auto"/>
              </w:rPr>
              <w:t>Carrying</w:t>
            </w:r>
          </w:p>
        </w:tc>
        <w:tc>
          <w:tcPr>
            <w:tcW w:w="3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273"/>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200"/>
              <w:spacing w:after="0" w:line="122" w:lineRule="exact"/>
              <w:rPr>
                <w:sz w:val="20"/>
                <w:szCs w:val="20"/>
                <w:color w:val="auto"/>
              </w:rPr>
            </w:pPr>
            <w:r>
              <w:rPr>
                <w:rFonts w:ascii="Verdana" w:cs="Verdana" w:eastAsia="Verdana" w:hAnsi="Verdana"/>
                <w:sz w:val="13"/>
                <w:szCs w:val="13"/>
                <w:b w:val="1"/>
                <w:bCs w:val="1"/>
                <w:color w:val="auto"/>
              </w:rPr>
              <w:t>Carrying</w:t>
            </w:r>
          </w:p>
        </w:tc>
        <w:tc>
          <w:tcPr>
            <w:tcW w:w="3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573"/>
              <w:spacing w:after="0" w:line="122" w:lineRule="exact"/>
              <w:rPr>
                <w:sz w:val="20"/>
                <w:szCs w:val="20"/>
                <w:color w:val="auto"/>
              </w:rPr>
            </w:pPr>
            <w:r>
              <w:rPr>
                <w:rFonts w:ascii="Verdana" w:cs="Verdana" w:eastAsia="Verdana" w:hAnsi="Verdana"/>
                <w:sz w:val="13"/>
                <w:szCs w:val="13"/>
                <w:b w:val="1"/>
                <w:bCs w:val="1"/>
                <w:color w:val="auto"/>
              </w:rPr>
              <w:t>Fair</w:t>
            </w:r>
          </w:p>
        </w:tc>
      </w:tr>
      <w:tr>
        <w:trPr>
          <w:trHeight w:val="170"/>
        </w:trPr>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Verdana" w:cs="Verdana" w:eastAsia="Verdana" w:hAnsi="Verdana"/>
                <w:sz w:val="13"/>
                <w:szCs w:val="13"/>
                <w:b w:val="1"/>
                <w:bCs w:val="1"/>
                <w:color w:val="auto"/>
              </w:rPr>
              <w:t>Amount</w:t>
            </w:r>
          </w:p>
        </w:tc>
        <w:tc>
          <w:tcPr>
            <w:tcW w:w="36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Verdana" w:cs="Verdana" w:eastAsia="Verdana" w:hAnsi="Verdana"/>
                <w:sz w:val="13"/>
                <w:szCs w:val="13"/>
                <w:b w:val="1"/>
                <w:bCs w:val="1"/>
                <w:color w:val="auto"/>
                <w:w w:val="97"/>
              </w:rPr>
              <w:t>Value</w:t>
            </w:r>
          </w:p>
        </w:tc>
        <w:tc>
          <w:tcPr>
            <w:tcW w:w="30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Verdana" w:cs="Verdana" w:eastAsia="Verdana" w:hAnsi="Verdana"/>
                <w:sz w:val="13"/>
                <w:szCs w:val="13"/>
                <w:b w:val="1"/>
                <w:bCs w:val="1"/>
                <w:color w:val="auto"/>
              </w:rPr>
              <w:t>Amount</w:t>
            </w:r>
          </w:p>
        </w:tc>
        <w:tc>
          <w:tcPr>
            <w:tcW w:w="360" w:type="dxa"/>
            <w:vAlign w:val="bottom"/>
          </w:tcPr>
          <w:p>
            <w:pPr>
              <w:spacing w:after="0"/>
              <w:rPr>
                <w:sz w:val="14"/>
                <w:szCs w:val="14"/>
                <w:color w:val="auto"/>
              </w:rPr>
            </w:pPr>
          </w:p>
        </w:tc>
        <w:tc>
          <w:tcPr>
            <w:tcW w:w="1240" w:type="dxa"/>
            <w:vAlign w:val="bottom"/>
          </w:tcPr>
          <w:p>
            <w:pPr>
              <w:jc w:val="right"/>
              <w:ind w:right="513"/>
              <w:spacing w:after="0"/>
              <w:rPr>
                <w:sz w:val="20"/>
                <w:szCs w:val="20"/>
                <w:color w:val="auto"/>
              </w:rPr>
            </w:pPr>
            <w:r>
              <w:rPr>
                <w:rFonts w:ascii="Verdana" w:cs="Verdana" w:eastAsia="Verdana" w:hAnsi="Verdana"/>
                <w:sz w:val="13"/>
                <w:szCs w:val="13"/>
                <w:b w:val="1"/>
                <w:bCs w:val="1"/>
                <w:color w:val="auto"/>
              </w:rPr>
              <w:t>Value</w:t>
            </w:r>
          </w:p>
        </w:tc>
      </w:tr>
      <w:tr>
        <w:trPr>
          <w:trHeight w:val="255"/>
        </w:trPr>
        <w:tc>
          <w:tcPr>
            <w:tcW w:w="45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assets</w:t>
            </w:r>
          </w:p>
        </w:tc>
        <w:tc>
          <w:tcPr>
            <w:tcW w:w="300" w:type="dxa"/>
            <w:vAlign w:val="bottom"/>
            <w:tcBorders>
              <w:top w:val="single" w:sz="8" w:color="auto"/>
            </w:tcBorders>
            <w:shd w:val="clear" w:color="auto" w:fill="E0E7ED"/>
          </w:tcPr>
          <w:p>
            <w:pPr>
              <w:spacing w:after="0"/>
              <w:rPr>
                <w:sz w:val="22"/>
                <w:szCs w:val="22"/>
                <w:color w:val="auto"/>
              </w:rPr>
            </w:pPr>
          </w:p>
        </w:tc>
        <w:tc>
          <w:tcPr>
            <w:tcW w:w="13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3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r>
      <w:tr>
        <w:trPr>
          <w:trHeight w:val="263"/>
        </w:trPr>
        <w:tc>
          <w:tcPr>
            <w:tcW w:w="4540" w:type="dxa"/>
            <w:vAlign w:val="bottom"/>
          </w:tcPr>
          <w:p>
            <w:pPr>
              <w:ind w:left="180"/>
              <w:spacing w:after="0"/>
              <w:rPr>
                <w:sz w:val="20"/>
                <w:szCs w:val="20"/>
                <w:color w:val="auto"/>
              </w:rPr>
            </w:pPr>
            <w:r>
              <w:rPr>
                <w:rFonts w:ascii="Verdana" w:cs="Verdana" w:eastAsia="Verdana" w:hAnsi="Verdana"/>
                <w:sz w:val="18"/>
                <w:szCs w:val="18"/>
                <w:color w:val="auto"/>
              </w:rPr>
              <w:t>Level 1 inputs: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5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Cash and cash equivalents</w:t>
            </w: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719,581</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719,581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227,164</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227,164</w:t>
            </w:r>
          </w:p>
        </w:tc>
      </w:tr>
      <w:tr>
        <w:trPr>
          <w:trHeight w:val="263"/>
        </w:trPr>
        <w:tc>
          <w:tcPr>
            <w:tcW w:w="4540" w:type="dxa"/>
            <w:vAlign w:val="bottom"/>
          </w:tcPr>
          <w:p>
            <w:pPr>
              <w:ind w:left="180"/>
              <w:spacing w:after="0"/>
              <w:rPr>
                <w:sz w:val="20"/>
                <w:szCs w:val="20"/>
                <w:color w:val="auto"/>
              </w:rPr>
            </w:pPr>
            <w:r>
              <w:rPr>
                <w:rFonts w:ascii="Verdana" w:cs="Verdana" w:eastAsia="Verdana" w:hAnsi="Verdana"/>
                <w:sz w:val="18"/>
                <w:szCs w:val="18"/>
                <w:color w:val="auto"/>
              </w:rPr>
              <w:t>Level 2 inputs: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5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Debt securities held to maturity</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872,628</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730,397</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918,312</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785,295</w:t>
            </w:r>
          </w:p>
        </w:tc>
      </w:tr>
      <w:tr>
        <w:trPr>
          <w:trHeight w:val="263"/>
        </w:trPr>
        <w:tc>
          <w:tcPr>
            <w:tcW w:w="4540" w:type="dxa"/>
            <w:vAlign w:val="bottom"/>
          </w:tcPr>
          <w:p>
            <w:pPr>
              <w:ind w:left="360"/>
              <w:spacing w:after="0"/>
              <w:rPr>
                <w:sz w:val="20"/>
                <w:szCs w:val="20"/>
                <w:color w:val="auto"/>
              </w:rPr>
            </w:pPr>
            <w:r>
              <w:rPr>
                <w:rFonts w:ascii="Verdana" w:cs="Verdana" w:eastAsia="Verdana" w:hAnsi="Verdana"/>
                <w:sz w:val="18"/>
                <w:szCs w:val="18"/>
                <w:color w:val="auto"/>
              </w:rPr>
              <w:t>Loans held for sale</w:t>
            </w:r>
          </w:p>
        </w:tc>
        <w:tc>
          <w:tcPr>
            <w:tcW w:w="30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2,379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2,401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1,253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1,276</w:t>
            </w:r>
          </w:p>
        </w:tc>
      </w:tr>
      <w:tr>
        <w:trPr>
          <w:trHeight w:val="277"/>
        </w:trPr>
        <w:tc>
          <w:tcPr>
            <w:tcW w:w="45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Accrued interest receivable</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45,288</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45,288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43,372</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43,372</w:t>
            </w:r>
          </w:p>
        </w:tc>
      </w:tr>
      <w:tr>
        <w:trPr>
          <w:trHeight w:val="263"/>
        </w:trPr>
        <w:tc>
          <w:tcPr>
            <w:tcW w:w="4540" w:type="dxa"/>
            <w:vAlign w:val="bottom"/>
          </w:tcPr>
          <w:p>
            <w:pPr>
              <w:ind w:left="180"/>
              <w:spacing w:after="0"/>
              <w:rPr>
                <w:sz w:val="20"/>
                <w:szCs w:val="20"/>
                <w:color w:val="auto"/>
              </w:rPr>
            </w:pPr>
            <w:r>
              <w:rPr>
                <w:rFonts w:ascii="Verdana" w:cs="Verdana" w:eastAsia="Verdana" w:hAnsi="Verdana"/>
                <w:sz w:val="18"/>
                <w:szCs w:val="18"/>
                <w:color w:val="auto"/>
              </w:rPr>
              <w:t>Level 3 inputs: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5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Portfolio loans, net</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7,559,294</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7,276,905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7,634,094</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7,320,422</w:t>
            </w:r>
          </w:p>
        </w:tc>
      </w:tr>
      <w:tr>
        <w:trPr>
          <w:trHeight w:val="263"/>
        </w:trPr>
        <w:tc>
          <w:tcPr>
            <w:tcW w:w="4540" w:type="dxa"/>
            <w:vAlign w:val="bottom"/>
          </w:tcPr>
          <w:p>
            <w:pPr>
              <w:ind w:left="360"/>
              <w:spacing w:after="0"/>
              <w:rPr>
                <w:sz w:val="20"/>
                <w:szCs w:val="20"/>
                <w:color w:val="auto"/>
              </w:rPr>
            </w:pPr>
            <w:r>
              <w:rPr>
                <w:rFonts w:ascii="Verdana" w:cs="Verdana" w:eastAsia="Verdana" w:hAnsi="Verdana"/>
                <w:sz w:val="18"/>
                <w:szCs w:val="18"/>
                <w:color w:val="auto"/>
              </w:rPr>
              <w:t>Mortgage servicing rights</w:t>
            </w:r>
          </w:p>
        </w:tc>
        <w:tc>
          <w:tcPr>
            <w:tcW w:w="30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3,289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18,079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5,861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18,284</w:t>
            </w:r>
          </w:p>
        </w:tc>
      </w:tr>
      <w:tr>
        <w:trPr>
          <w:trHeight w:val="277"/>
        </w:trPr>
        <w:tc>
          <w:tcPr>
            <w:tcW w:w="45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Other servicing rights</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1,597</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2,062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1,914</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2,331</w:t>
            </w:r>
          </w:p>
        </w:tc>
      </w:tr>
      <w:tr>
        <w:trPr>
          <w:trHeight w:val="270"/>
        </w:trPr>
        <w:tc>
          <w:tcPr>
            <w:tcW w:w="4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liabilities</w:t>
            </w: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r>
      <w:tr>
        <w:trPr>
          <w:trHeight w:val="263"/>
        </w:trPr>
        <w:tc>
          <w:tcPr>
            <w:tcW w:w="4540" w:type="dxa"/>
            <w:vAlign w:val="bottom"/>
          </w:tcPr>
          <w:p>
            <w:pPr>
              <w:ind w:left="180"/>
              <w:spacing w:after="0"/>
              <w:rPr>
                <w:sz w:val="20"/>
                <w:szCs w:val="20"/>
                <w:color w:val="auto"/>
              </w:rPr>
            </w:pPr>
            <w:r>
              <w:rPr>
                <w:rFonts w:ascii="Verdana" w:cs="Verdana" w:eastAsia="Verdana" w:hAnsi="Verdana"/>
                <w:sz w:val="18"/>
                <w:szCs w:val="18"/>
                <w:color w:val="auto"/>
              </w:rPr>
              <w:t>Level 2 inputs: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5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Time deposits</w:t>
            </w: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1,819,274</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1,804,905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855,375</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830,596</w:t>
            </w:r>
          </w:p>
        </w:tc>
      </w:tr>
      <w:tr>
        <w:trPr>
          <w:trHeight w:val="238"/>
        </w:trPr>
        <w:tc>
          <w:tcPr>
            <w:tcW w:w="4540" w:type="dxa"/>
            <w:vAlign w:val="bottom"/>
          </w:tcPr>
          <w:p>
            <w:pPr>
              <w:ind w:left="360"/>
              <w:spacing w:after="0"/>
              <w:rPr>
                <w:sz w:val="20"/>
                <w:szCs w:val="20"/>
                <w:color w:val="auto"/>
              </w:rPr>
            </w:pPr>
            <w:r>
              <w:rPr>
                <w:rFonts w:ascii="Verdana" w:cs="Verdana" w:eastAsia="Verdana" w:hAnsi="Verdana"/>
                <w:sz w:val="18"/>
                <w:szCs w:val="18"/>
                <w:color w:val="auto"/>
              </w:rPr>
              <w:t>Securities sold under agreements to</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4540" w:type="dxa"/>
            <w:vAlign w:val="bottom"/>
          </w:tcPr>
          <w:p>
            <w:pPr>
              <w:ind w:left="360"/>
              <w:spacing w:after="0"/>
              <w:rPr>
                <w:sz w:val="20"/>
                <w:szCs w:val="20"/>
                <w:color w:val="auto"/>
              </w:rPr>
            </w:pPr>
            <w:r>
              <w:rPr>
                <w:rFonts w:ascii="Verdana" w:cs="Verdana" w:eastAsia="Verdana" w:hAnsi="Verdana"/>
                <w:sz w:val="18"/>
                <w:szCs w:val="18"/>
                <w:color w:val="auto"/>
              </w:rPr>
              <w:t>repurchase</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187,396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187,396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229,806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229,806</w:t>
            </w:r>
          </w:p>
        </w:tc>
      </w:tr>
      <w:tr>
        <w:trPr>
          <w:trHeight w:val="277"/>
        </w:trPr>
        <w:tc>
          <w:tcPr>
            <w:tcW w:w="45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Short-term borrowings</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12,000</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12,034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351,054</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351,085</w:t>
            </w:r>
          </w:p>
        </w:tc>
      </w:tr>
      <w:tr>
        <w:trPr>
          <w:trHeight w:val="263"/>
        </w:trPr>
        <w:tc>
          <w:tcPr>
            <w:tcW w:w="4540" w:type="dxa"/>
            <w:vAlign w:val="bottom"/>
          </w:tcPr>
          <w:p>
            <w:pPr>
              <w:ind w:left="360"/>
              <w:spacing w:after="0"/>
              <w:rPr>
                <w:sz w:val="20"/>
                <w:szCs w:val="20"/>
                <w:color w:val="auto"/>
              </w:rPr>
            </w:pPr>
            <w:r>
              <w:rPr>
                <w:rFonts w:ascii="Verdana" w:cs="Verdana" w:eastAsia="Verdana" w:hAnsi="Verdana"/>
                <w:sz w:val="18"/>
                <w:szCs w:val="18"/>
                <w:color w:val="auto"/>
              </w:rPr>
              <w:t>Long-term debt</w:t>
            </w:r>
          </w:p>
        </w:tc>
        <w:tc>
          <w:tcPr>
            <w:tcW w:w="30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18,000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18,020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30,000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30,052</w:t>
            </w:r>
          </w:p>
        </w:tc>
      </w:tr>
      <w:tr>
        <w:trPr>
          <w:trHeight w:val="244"/>
        </w:trPr>
        <w:tc>
          <w:tcPr>
            <w:tcW w:w="45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Junior subordinated debt owed to</w:t>
            </w:r>
          </w:p>
        </w:tc>
        <w:tc>
          <w:tcPr>
            <w:tcW w:w="30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r>
      <w:tr>
        <w:trPr>
          <w:trHeight w:val="248"/>
        </w:trPr>
        <w:tc>
          <w:tcPr>
            <w:tcW w:w="45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unconsolidated trusts</w:t>
            </w:r>
          </w:p>
        </w:tc>
        <w:tc>
          <w:tcPr>
            <w:tcW w:w="300" w:type="dxa"/>
            <w:vAlign w:val="bottom"/>
            <w:shd w:val="clear" w:color="auto" w:fill="E0E7ED"/>
          </w:tcPr>
          <w:p>
            <w:pPr>
              <w:spacing w:after="0"/>
              <w:rPr>
                <w:sz w:val="21"/>
                <w:szCs w:val="21"/>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71,993</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57,153</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71,810</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59,111</w:t>
            </w:r>
          </w:p>
        </w:tc>
      </w:tr>
      <w:tr>
        <w:trPr>
          <w:trHeight w:val="263"/>
        </w:trPr>
        <w:tc>
          <w:tcPr>
            <w:tcW w:w="4540" w:type="dxa"/>
            <w:vAlign w:val="bottom"/>
          </w:tcPr>
          <w:p>
            <w:pPr>
              <w:ind w:left="360"/>
              <w:spacing w:after="0"/>
              <w:rPr>
                <w:sz w:val="20"/>
                <w:szCs w:val="20"/>
                <w:color w:val="auto"/>
              </w:rPr>
            </w:pPr>
            <w:r>
              <w:rPr>
                <w:rFonts w:ascii="Verdana" w:cs="Verdana" w:eastAsia="Verdana" w:hAnsi="Verdana"/>
                <w:sz w:val="18"/>
                <w:szCs w:val="18"/>
                <w:color w:val="auto"/>
              </w:rPr>
              <w:t>Accrued interest payable</w:t>
            </w:r>
          </w:p>
        </w:tc>
        <w:tc>
          <w:tcPr>
            <w:tcW w:w="30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28,418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28,418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3,978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3,978</w:t>
            </w:r>
          </w:p>
        </w:tc>
      </w:tr>
      <w:tr>
        <w:trPr>
          <w:trHeight w:val="277"/>
        </w:trPr>
        <w:tc>
          <w:tcPr>
            <w:tcW w:w="45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Level 3 inputs:</w:t>
            </w: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r>
      <w:tr>
        <w:trPr>
          <w:trHeight w:val="238"/>
        </w:trPr>
        <w:tc>
          <w:tcPr>
            <w:tcW w:w="4540" w:type="dxa"/>
            <w:vAlign w:val="bottom"/>
          </w:tcPr>
          <w:p>
            <w:pPr>
              <w:ind w:left="360"/>
              <w:spacing w:after="0"/>
              <w:rPr>
                <w:sz w:val="20"/>
                <w:szCs w:val="20"/>
                <w:color w:val="auto"/>
              </w:rPr>
            </w:pPr>
            <w:r>
              <w:rPr>
                <w:rFonts w:ascii="Verdana" w:cs="Verdana" w:eastAsia="Verdana" w:hAnsi="Verdana"/>
                <w:sz w:val="18"/>
                <w:szCs w:val="18"/>
                <w:color w:val="auto"/>
              </w:rPr>
              <w:t>Subordinated notes, net of unamortized</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5"/>
        </w:trPr>
        <w:tc>
          <w:tcPr>
            <w:tcW w:w="4540" w:type="dxa"/>
            <w:vAlign w:val="bottom"/>
          </w:tcPr>
          <w:p>
            <w:pPr>
              <w:ind w:left="360"/>
              <w:spacing w:after="0"/>
              <w:rPr>
                <w:sz w:val="20"/>
                <w:szCs w:val="20"/>
                <w:color w:val="auto"/>
              </w:rPr>
            </w:pPr>
            <w:r>
              <w:rPr>
                <w:rFonts w:ascii="Verdana" w:cs="Verdana" w:eastAsia="Verdana" w:hAnsi="Verdana"/>
                <w:sz w:val="18"/>
                <w:szCs w:val="18"/>
                <w:color w:val="auto"/>
              </w:rPr>
              <w:t>issuance costs</w:t>
            </w:r>
          </w:p>
        </w:tc>
        <w:tc>
          <w:tcPr>
            <w:tcW w:w="3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222,882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200,000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Verdana" w:cs="Verdana" w:eastAsia="Verdana" w:hAnsi="Verdana"/>
                <w:sz w:val="18"/>
                <w:szCs w:val="18"/>
                <w:color w:val="auto"/>
              </w:rPr>
              <w:t>222,038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208,562</w:t>
            </w:r>
          </w:p>
        </w:tc>
      </w:tr>
    </w:tbl>
    <w:p>
      <w:pPr>
        <w:spacing w:after="0" w:line="15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6" w:name="page167"/>
    <w:bookmarkEnd w:id="16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19. EARNINGS PER SHARE</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Busey’s outstanding stock options and warrants were exercised, stock units were vested, and shares were issued under the 2021 ESPP.</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Earnings per common share have been computed as follows </w:t>
      </w:r>
      <w:r>
        <w:rPr>
          <w:rFonts w:ascii="Verdana" w:cs="Verdana" w:eastAsia="Verdana" w:hAnsi="Verdana"/>
          <w:sz w:val="18"/>
          <w:szCs w:val="18"/>
          <w:i w:val="1"/>
          <w:iCs w:val="1"/>
          <w:color w:val="auto"/>
        </w:rPr>
        <w:t>(dollars in thousands, except per share amounts)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Verdana" w:cs="Verdana" w:eastAsia="Verdana" w:hAnsi="Verdana"/>
                <w:sz w:val="13"/>
                <w:szCs w:val="13"/>
                <w:b w:val="1"/>
                <w:bCs w:val="1"/>
                <w:color w:val="auto"/>
              </w:rPr>
              <w:t>Years Ended December 31,</w:t>
            </w:r>
          </w:p>
        </w:tc>
        <w:tc>
          <w:tcPr>
            <w:tcW w:w="1280" w:type="dxa"/>
            <w:vAlign w:val="bottom"/>
            <w:tcBorders>
              <w:bottom w:val="single" w:sz="8" w:color="auto"/>
            </w:tcBorders>
          </w:tcPr>
          <w:p>
            <w:pPr>
              <w:spacing w:after="0"/>
              <w:rPr>
                <w:sz w:val="15"/>
                <w:szCs w:val="15"/>
                <w:color w:val="auto"/>
              </w:rPr>
            </w:pPr>
          </w:p>
        </w:tc>
      </w:tr>
      <w:tr>
        <w:trPr>
          <w:trHeight w:val="170"/>
        </w:trPr>
        <w:tc>
          <w:tcPr>
            <w:tcW w:w="62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4"/>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2021</w:t>
            </w:r>
          </w:p>
        </w:tc>
      </w:tr>
      <w:tr>
        <w:trPr>
          <w:trHeight w:val="294"/>
        </w:trPr>
        <w:tc>
          <w:tcPr>
            <w:tcW w:w="62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income</w:t>
            </w:r>
          </w:p>
        </w:tc>
        <w:tc>
          <w:tcPr>
            <w:tcW w:w="34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122,565</w:t>
            </w:r>
          </w:p>
        </w:tc>
        <w:tc>
          <w:tcPr>
            <w:tcW w:w="8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128,311</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123,449</w:t>
            </w:r>
          </w:p>
        </w:tc>
      </w:tr>
      <w:tr>
        <w:trPr>
          <w:trHeight w:val="20"/>
        </w:trPr>
        <w:tc>
          <w:tcPr>
            <w:tcW w:w="62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0"/>
        </w:trPr>
        <w:tc>
          <w:tcPr>
            <w:tcW w:w="6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number of common shares outstanding, basic</w:t>
            </w:r>
          </w:p>
        </w:tc>
        <w:tc>
          <w:tcPr>
            <w:tcW w:w="34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55,432,322</w:t>
            </w:r>
          </w:p>
        </w:tc>
        <w:tc>
          <w:tcPr>
            <w:tcW w:w="8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55,387,073</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55,369,476</w:t>
            </w:r>
          </w:p>
        </w:tc>
      </w:tr>
      <w:tr>
        <w:trPr>
          <w:trHeight w:val="263"/>
        </w:trPr>
        <w:tc>
          <w:tcPr>
            <w:tcW w:w="6200" w:type="dxa"/>
            <w:vAlign w:val="bottom"/>
          </w:tcPr>
          <w:p>
            <w:pPr>
              <w:ind w:left="20"/>
              <w:spacing w:after="0"/>
              <w:rPr>
                <w:sz w:val="20"/>
                <w:szCs w:val="20"/>
                <w:color w:val="auto"/>
              </w:rPr>
            </w:pPr>
            <w:r>
              <w:rPr>
                <w:rFonts w:ascii="Verdana" w:cs="Verdana" w:eastAsia="Verdana" w:hAnsi="Verdana"/>
                <w:sz w:val="18"/>
                <w:szCs w:val="18"/>
                <w:color w:val="auto"/>
              </w:rPr>
              <w:t>Dilutive effect of common stock equivalents:</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Options</w:t>
            </w:r>
          </w:p>
        </w:tc>
        <w:tc>
          <w:tcPr>
            <w:tcW w:w="340" w:type="dxa"/>
            <w:vAlign w:val="bottom"/>
            <w:shd w:val="clear" w:color="auto" w:fill="E0E7ED"/>
          </w:tcPr>
          <w:p>
            <w:pPr>
              <w:spacing w:after="0"/>
              <w:rPr>
                <w:sz w:val="24"/>
                <w:szCs w:val="24"/>
                <w:color w:val="auto"/>
              </w:rPr>
            </w:pPr>
          </w:p>
        </w:tc>
        <w:tc>
          <w:tcPr>
            <w:tcW w:w="136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1,632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1,639</w:t>
            </w: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Warrants</w:t>
            </w: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324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1,753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1,753</w:t>
            </w: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RSU awards</w:t>
            </w: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647,217</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665,998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615,759</w:t>
            </w: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PSU awards</w:t>
            </w: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151,190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58,206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5,429</w:t>
            </w: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DSU awards</w:t>
            </w: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18,154</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15,532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10,641</w:t>
            </w:r>
          </w:p>
        </w:tc>
      </w:tr>
      <w:tr>
        <w:trPr>
          <w:trHeight w:val="263"/>
        </w:trPr>
        <w:tc>
          <w:tcPr>
            <w:tcW w:w="62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2021 ESPP</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6,941</w:t>
            </w:r>
          </w:p>
        </w:tc>
        <w:tc>
          <w:tcPr>
            <w:tcW w:w="8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6,970</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4,108</w:t>
            </w:r>
          </w:p>
        </w:tc>
      </w:tr>
      <w:tr>
        <w:trPr>
          <w:trHeight w:val="295"/>
        </w:trPr>
        <w:tc>
          <w:tcPr>
            <w:tcW w:w="62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Weighted average number of common shares outstanding, diluted</w:t>
            </w:r>
          </w:p>
        </w:tc>
        <w:tc>
          <w:tcPr>
            <w:tcW w:w="34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56,256,148</w:t>
            </w:r>
          </w:p>
        </w:tc>
        <w:tc>
          <w:tcPr>
            <w:tcW w:w="8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56,137,164</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56,008,805</w:t>
            </w:r>
          </w:p>
        </w:tc>
      </w:tr>
      <w:tr>
        <w:trPr>
          <w:trHeight w:val="20"/>
        </w:trPr>
        <w:tc>
          <w:tcPr>
            <w:tcW w:w="62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0"/>
        </w:trPr>
        <w:tc>
          <w:tcPr>
            <w:tcW w:w="6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Basic earnings per common share</w:t>
            </w: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2.21</w:t>
            </w:r>
          </w:p>
        </w:tc>
        <w:tc>
          <w:tcPr>
            <w:tcW w:w="8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2.32</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2.23</w:t>
            </w:r>
          </w:p>
        </w:tc>
      </w:tr>
      <w:tr>
        <w:trPr>
          <w:trHeight w:val="257"/>
        </w:trPr>
        <w:tc>
          <w:tcPr>
            <w:tcW w:w="6200" w:type="dxa"/>
            <w:vAlign w:val="bottom"/>
          </w:tcPr>
          <w:p>
            <w:pPr>
              <w:ind w:left="20"/>
              <w:spacing w:after="0"/>
              <w:rPr>
                <w:sz w:val="20"/>
                <w:szCs w:val="20"/>
                <w:color w:val="auto"/>
              </w:rPr>
            </w:pPr>
            <w:r>
              <w:rPr>
                <w:rFonts w:ascii="Verdana" w:cs="Verdana" w:eastAsia="Verdana" w:hAnsi="Verdana"/>
                <w:sz w:val="18"/>
                <w:szCs w:val="18"/>
                <w:color w:val="auto"/>
              </w:rPr>
              <w:t>Diluted earnings per common share</w:t>
            </w:r>
          </w:p>
        </w:tc>
        <w:tc>
          <w:tcPr>
            <w:tcW w:w="34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Verdana" w:cs="Verdana" w:eastAsia="Verdana" w:hAnsi="Verdana"/>
                <w:sz w:val="18"/>
                <w:szCs w:val="18"/>
                <w:color w:val="auto"/>
              </w:rPr>
              <w:t>2.18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Verdana" w:cs="Verdana" w:eastAsia="Verdana" w:hAnsi="Verdana"/>
                <w:sz w:val="18"/>
                <w:szCs w:val="18"/>
                <w:color w:val="auto"/>
              </w:rPr>
              <w:t>2.20</w:t>
            </w:r>
          </w:p>
        </w:tc>
      </w:tr>
    </w:tbl>
    <w:p>
      <w:pPr>
        <w:spacing w:after="0" w:line="27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Average shares that were excluded from the computation of diluted earnings per common share because their effect would have been anti-dilutive are summarized in the table below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80" w:type="dxa"/>
            <w:vAlign w:val="bottom"/>
          </w:tcPr>
          <w:p>
            <w:pPr>
              <w:spacing w:after="0"/>
              <w:rPr>
                <w:sz w:val="15"/>
                <w:szCs w:val="15"/>
                <w:color w:val="auto"/>
              </w:rPr>
            </w:pPr>
          </w:p>
        </w:tc>
        <w:tc>
          <w:tcPr>
            <w:tcW w:w="3700" w:type="dxa"/>
            <w:vAlign w:val="bottom"/>
            <w:tcBorders>
              <w:bottom w:val="single" w:sz="8" w:color="auto"/>
            </w:tcBorders>
            <w:gridSpan w:val="5"/>
          </w:tcPr>
          <w:p>
            <w:pPr>
              <w:ind w:left="1520"/>
              <w:spacing w:after="0"/>
              <w:rPr>
                <w:sz w:val="20"/>
                <w:szCs w:val="20"/>
                <w:color w:val="auto"/>
              </w:rPr>
            </w:pPr>
            <w:r>
              <w:rPr>
                <w:rFonts w:ascii="Verdana" w:cs="Verdana" w:eastAsia="Verdana" w:hAnsi="Verdana"/>
                <w:sz w:val="13"/>
                <w:szCs w:val="13"/>
                <w:b w:val="1"/>
                <w:bCs w:val="1"/>
                <w:color w:val="auto"/>
              </w:rPr>
              <w:t>Years Ended December 31,</w:t>
            </w:r>
          </w:p>
        </w:tc>
        <w:tc>
          <w:tcPr>
            <w:tcW w:w="1260" w:type="dxa"/>
            <w:vAlign w:val="bottom"/>
            <w:tcBorders>
              <w:bottom w:val="single" w:sz="8" w:color="auto"/>
            </w:tcBorders>
          </w:tcPr>
          <w:p>
            <w:pPr>
              <w:spacing w:after="0"/>
              <w:rPr>
                <w:sz w:val="15"/>
                <w:szCs w:val="15"/>
                <w:color w:val="auto"/>
              </w:rPr>
            </w:pPr>
          </w:p>
        </w:tc>
      </w:tr>
      <w:tr>
        <w:trPr>
          <w:trHeight w:val="170"/>
        </w:trPr>
        <w:tc>
          <w:tcPr>
            <w:tcW w:w="628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tcPr>
          <w:p>
            <w:pPr>
              <w:jc w:val="right"/>
              <w:ind w:right="538"/>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160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2022</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Anti-dilutive common stock equivalents</w:t>
            </w:r>
          </w:p>
        </w:tc>
        <w:tc>
          <w:tcPr>
            <w:tcW w:w="15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r>
      <w:tr>
        <w:trPr>
          <w:trHeight w:val="263"/>
        </w:trPr>
        <w:tc>
          <w:tcPr>
            <w:tcW w:w="6280" w:type="dxa"/>
            <w:vAlign w:val="bottom"/>
          </w:tcPr>
          <w:p>
            <w:pPr>
              <w:ind w:left="180"/>
              <w:spacing w:after="0"/>
              <w:rPr>
                <w:sz w:val="20"/>
                <w:szCs w:val="20"/>
                <w:color w:val="auto"/>
              </w:rPr>
            </w:pPr>
            <w:r>
              <w:rPr>
                <w:rFonts w:ascii="Verdana" w:cs="Verdana" w:eastAsia="Verdana" w:hAnsi="Verdana"/>
                <w:sz w:val="18"/>
                <w:szCs w:val="18"/>
                <w:color w:val="auto"/>
              </w:rPr>
              <w:t>Options</w:t>
            </w:r>
          </w:p>
        </w:tc>
        <w:tc>
          <w:tcPr>
            <w:tcW w:w="1580" w:type="dxa"/>
            <w:vAlign w:val="bottom"/>
          </w:tcPr>
          <w:p>
            <w:pPr>
              <w:jc w:val="right"/>
              <w:spacing w:after="0"/>
              <w:rPr>
                <w:sz w:val="20"/>
                <w:szCs w:val="20"/>
                <w:color w:val="auto"/>
              </w:rPr>
            </w:pPr>
            <w:r>
              <w:rPr>
                <w:rFonts w:ascii="Verdana" w:cs="Verdana" w:eastAsia="Verdana" w:hAnsi="Verdana"/>
                <w:sz w:val="18"/>
                <w:szCs w:val="18"/>
                <w:color w:val="auto"/>
              </w:rPr>
              <w:t>21,981</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Verdana" w:cs="Verdana" w:eastAsia="Verdana" w:hAnsi="Verdana"/>
                <w:sz w:val="18"/>
                <w:szCs w:val="18"/>
                <w:color w:val="auto"/>
              </w:rPr>
              <w:t>7,792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77"/>
        </w:trPr>
        <w:tc>
          <w:tcPr>
            <w:tcW w:w="6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RSU awards</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39,445</w:t>
            </w:r>
          </w:p>
        </w:tc>
        <w:tc>
          <w:tcPr>
            <w:tcW w:w="100" w:type="dxa"/>
            <w:vAlign w:val="bottom"/>
            <w:shd w:val="clear" w:color="auto" w:fill="E0E7ED"/>
          </w:tcPr>
          <w:p>
            <w:pPr>
              <w:spacing w:after="0"/>
              <w:rPr>
                <w:sz w:val="24"/>
                <w:szCs w:val="24"/>
                <w:color w:val="auto"/>
              </w:rPr>
            </w:pPr>
          </w:p>
        </w:tc>
        <w:tc>
          <w:tcPr>
            <w:tcW w:w="16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38,912</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65,058</w:t>
            </w:r>
          </w:p>
        </w:tc>
      </w:tr>
      <w:tr>
        <w:trPr>
          <w:trHeight w:val="263"/>
        </w:trPr>
        <w:tc>
          <w:tcPr>
            <w:tcW w:w="6280" w:type="dxa"/>
            <w:vAlign w:val="bottom"/>
          </w:tcPr>
          <w:p>
            <w:pPr>
              <w:ind w:left="180"/>
              <w:spacing w:after="0"/>
              <w:rPr>
                <w:sz w:val="20"/>
                <w:szCs w:val="20"/>
                <w:color w:val="auto"/>
              </w:rPr>
            </w:pPr>
            <w:r>
              <w:rPr>
                <w:rFonts w:ascii="Verdana" w:cs="Verdana" w:eastAsia="Verdana" w:hAnsi="Verdana"/>
                <w:sz w:val="18"/>
                <w:szCs w:val="18"/>
                <w:color w:val="auto"/>
              </w:rPr>
              <w:t>PSU awards</w:t>
            </w:r>
          </w:p>
        </w:tc>
        <w:tc>
          <w:tcPr>
            <w:tcW w:w="1580" w:type="dxa"/>
            <w:vAlign w:val="bottom"/>
          </w:tcPr>
          <w:p>
            <w:pPr>
              <w:jc w:val="right"/>
              <w:spacing w:after="0"/>
              <w:rPr>
                <w:sz w:val="20"/>
                <w:szCs w:val="20"/>
                <w:color w:val="auto"/>
              </w:rPr>
            </w:pPr>
            <w:r>
              <w:rPr>
                <w:rFonts w:ascii="Verdana" w:cs="Verdana" w:eastAsia="Verdana" w:hAnsi="Verdana"/>
                <w:sz w:val="18"/>
                <w:szCs w:val="18"/>
                <w:color w:val="auto"/>
              </w:rPr>
              <w:t>106,955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Verdana" w:cs="Verdana" w:eastAsia="Verdana" w:hAnsi="Verdana"/>
                <w:sz w:val="18"/>
                <w:szCs w:val="18"/>
                <w:color w:val="auto"/>
              </w:rPr>
              <w:t>189,000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93,026</w:t>
            </w:r>
          </w:p>
        </w:tc>
      </w:tr>
      <w:tr>
        <w:trPr>
          <w:trHeight w:val="270"/>
        </w:trPr>
        <w:tc>
          <w:tcPr>
            <w:tcW w:w="6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DSU awards</w:t>
            </w:r>
          </w:p>
        </w:tc>
        <w:tc>
          <w:tcPr>
            <w:tcW w:w="16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202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7,742</w:t>
            </w:r>
          </w:p>
        </w:tc>
      </w:tr>
      <w:tr>
        <w:trPr>
          <w:trHeight w:val="270"/>
        </w:trPr>
        <w:tc>
          <w:tcPr>
            <w:tcW w:w="6280" w:type="dxa"/>
            <w:vAlign w:val="bottom"/>
          </w:tcPr>
          <w:p>
            <w:pPr>
              <w:ind w:left="20"/>
              <w:spacing w:after="0"/>
              <w:rPr>
                <w:sz w:val="20"/>
                <w:szCs w:val="20"/>
                <w:color w:val="auto"/>
              </w:rPr>
            </w:pPr>
            <w:r>
              <w:rPr>
                <w:rFonts w:ascii="Verdana" w:cs="Verdana" w:eastAsia="Verdana" w:hAnsi="Verdana"/>
                <w:sz w:val="18"/>
                <w:szCs w:val="18"/>
                <w:color w:val="auto"/>
              </w:rPr>
              <w:t>Total anti-dilutive common stock equivalents</w:t>
            </w:r>
          </w:p>
        </w:tc>
        <w:tc>
          <w:tcPr>
            <w:tcW w:w="15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168,381</w:t>
            </w:r>
          </w:p>
        </w:tc>
        <w:tc>
          <w:tcPr>
            <w:tcW w:w="100" w:type="dxa"/>
            <w:vAlign w:val="bottom"/>
          </w:tcPr>
          <w:p>
            <w:pPr>
              <w:spacing w:after="0"/>
              <w:rPr>
                <w:sz w:val="23"/>
                <w:szCs w:val="23"/>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235,704</w:t>
            </w:r>
          </w:p>
        </w:tc>
        <w:tc>
          <w:tcPr>
            <w:tcW w:w="8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165,826</w:t>
            </w:r>
          </w:p>
        </w:tc>
      </w:tr>
      <w:tr>
        <w:trPr>
          <w:trHeight w:val="21"/>
        </w:trPr>
        <w:tc>
          <w:tcPr>
            <w:tcW w:w="6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7" w:name="page168"/>
    <w:bookmarkEnd w:id="16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20. ACCUMULATED OTHER COMPREHENSIVE INCOME (LOSS)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tables present changes in AOCI by component, net of tax, for the periods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3460" w:type="dxa"/>
            <w:vAlign w:val="bottom"/>
            <w:tcBorders>
              <w:top w:val="single" w:sz="8" w:color="auto"/>
              <w:bottom w:val="single" w:sz="8" w:color="auto"/>
            </w:tcBorders>
            <w:gridSpan w:val="6"/>
          </w:tcPr>
          <w:p>
            <w:pPr>
              <w:jc w:val="center"/>
              <w:ind w:left="914"/>
              <w:spacing w:after="0"/>
              <w:rPr>
                <w:sz w:val="20"/>
                <w:szCs w:val="20"/>
                <w:color w:val="auto"/>
              </w:rPr>
            </w:pPr>
            <w:r>
              <w:rPr>
                <w:rFonts w:ascii="Verdana" w:cs="Verdana" w:eastAsia="Verdana" w:hAnsi="Verdana"/>
                <w:sz w:val="13"/>
                <w:szCs w:val="13"/>
                <w:b w:val="1"/>
                <w:bCs w:val="1"/>
                <w:color w:val="auto"/>
                <w:w w:val="96"/>
              </w:rPr>
              <w:t>Year Ended December 31, 2023</w:t>
            </w:r>
          </w:p>
        </w:tc>
        <w:tc>
          <w:tcPr>
            <w:tcW w:w="128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6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Verdana" w:cs="Verdana" w:eastAsia="Verdana" w:hAnsi="Verdana"/>
                <w:sz w:val="13"/>
                <w:szCs w:val="13"/>
                <w:b w:val="1"/>
                <w:bCs w:val="1"/>
                <w:color w:val="auto"/>
              </w:rPr>
              <w:t>Before Tax</w:t>
            </w:r>
          </w:p>
        </w:tc>
        <w:tc>
          <w:tcPr>
            <w:tcW w:w="28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Verdana" w:cs="Verdana" w:eastAsia="Verdana" w:hAnsi="Verdana"/>
                <w:sz w:val="13"/>
                <w:szCs w:val="13"/>
                <w:b w:val="1"/>
                <w:bCs w:val="1"/>
                <w:color w:val="auto"/>
                <w:w w:val="96"/>
              </w:rPr>
              <w:t>Tax Effect</w:t>
            </w:r>
          </w:p>
        </w:tc>
        <w:tc>
          <w:tcPr>
            <w:tcW w:w="320" w:type="dxa"/>
            <w:vAlign w:val="bottom"/>
          </w:tcPr>
          <w:p>
            <w:pPr>
              <w:spacing w:after="0"/>
              <w:rPr>
                <w:sz w:val="14"/>
                <w:szCs w:val="14"/>
                <w:color w:val="auto"/>
              </w:rPr>
            </w:pPr>
          </w:p>
        </w:tc>
        <w:tc>
          <w:tcPr>
            <w:tcW w:w="1280" w:type="dxa"/>
            <w:vAlign w:val="bottom"/>
          </w:tcPr>
          <w:p>
            <w:pPr>
              <w:jc w:val="right"/>
              <w:ind w:right="352"/>
              <w:spacing w:after="0"/>
              <w:rPr>
                <w:sz w:val="20"/>
                <w:szCs w:val="20"/>
                <w:color w:val="auto"/>
              </w:rPr>
            </w:pPr>
            <w:r>
              <w:rPr>
                <w:rFonts w:ascii="Verdana" w:cs="Verdana" w:eastAsia="Verdana" w:hAnsi="Verdana"/>
                <w:sz w:val="13"/>
                <w:szCs w:val="13"/>
                <w:b w:val="1"/>
                <w:bCs w:val="1"/>
                <w:color w:val="auto"/>
              </w:rPr>
              <w:t>Net of Tax</w:t>
            </w:r>
          </w:p>
        </w:tc>
        <w:tc>
          <w:tcPr>
            <w:tcW w:w="20" w:type="dxa"/>
            <w:vAlign w:val="bottom"/>
          </w:tcPr>
          <w:p>
            <w:pPr>
              <w:spacing w:after="0"/>
              <w:rPr>
                <w:sz w:val="14"/>
                <w:szCs w:val="14"/>
                <w:color w:val="auto"/>
              </w:rPr>
            </w:pPr>
          </w:p>
        </w:tc>
      </w:tr>
      <w:tr>
        <w:trPr>
          <w:trHeight w:val="255"/>
        </w:trPr>
        <w:tc>
          <w:tcPr>
            <w:tcW w:w="62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Unrealized/Unrecognized gains (losses) on debt securities</w:t>
            </w:r>
          </w:p>
        </w:tc>
        <w:tc>
          <w:tcPr>
            <w:tcW w:w="260" w:type="dxa"/>
            <w:vAlign w:val="bottom"/>
            <w:tcBorders>
              <w:top w:val="single" w:sz="8" w:color="auto"/>
            </w:tcBorders>
            <w:shd w:val="clear" w:color="auto" w:fill="E0E7ED"/>
          </w:tcPr>
          <w:p>
            <w:pPr>
              <w:spacing w:after="0"/>
              <w:rPr>
                <w:sz w:val="22"/>
                <w:szCs w:val="22"/>
                <w:color w:val="auto"/>
              </w:rPr>
            </w:pPr>
          </w:p>
        </w:tc>
        <w:tc>
          <w:tcPr>
            <w:tcW w:w="13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24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(352,878)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2"/>
              <w:spacing w:after="0"/>
              <w:rPr>
                <w:sz w:val="20"/>
                <w:szCs w:val="20"/>
                <w:color w:val="auto"/>
              </w:rPr>
            </w:pPr>
            <w:r>
              <w:rPr>
                <w:rFonts w:ascii="Verdana" w:cs="Verdana" w:eastAsia="Verdana" w:hAnsi="Verdana"/>
                <w:sz w:val="18"/>
                <w:szCs w:val="18"/>
                <w:color w:val="auto"/>
              </w:rPr>
              <w:t>100,585</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(252,293)</w:t>
            </w:r>
          </w:p>
        </w:tc>
        <w:tc>
          <w:tcPr>
            <w:tcW w:w="20" w:type="dxa"/>
            <w:vAlign w:val="bottom"/>
          </w:tcPr>
          <w:p>
            <w:pPr>
              <w:spacing w:after="0"/>
              <w:rPr>
                <w:sz w:val="22"/>
                <w:szCs w:val="22"/>
                <w:color w:val="auto"/>
              </w:rPr>
            </w:pPr>
          </w:p>
        </w:tc>
      </w:tr>
      <w:tr>
        <w:trPr>
          <w:trHeight w:val="244"/>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debt securities available for</w:t>
            </w:r>
          </w:p>
        </w:tc>
        <w:tc>
          <w:tcPr>
            <w:tcW w:w="26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20" w:type="dxa"/>
            <w:vAlign w:val="bottom"/>
          </w:tcPr>
          <w:p>
            <w:pPr>
              <w:spacing w:after="0"/>
              <w:rPr>
                <w:sz w:val="21"/>
                <w:szCs w:val="21"/>
                <w:color w:val="auto"/>
              </w:rPr>
            </w:pPr>
          </w:p>
        </w:tc>
      </w:tr>
      <w:tr>
        <w:trPr>
          <w:trHeight w:val="248"/>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sale, net</w:t>
            </w:r>
          </w:p>
        </w:tc>
        <w:tc>
          <w:tcPr>
            <w:tcW w:w="260" w:type="dxa"/>
            <w:vAlign w:val="bottom"/>
            <w:shd w:val="clear" w:color="auto" w:fill="E0E7ED"/>
          </w:tcPr>
          <w:p>
            <w:pPr>
              <w:spacing w:after="0"/>
              <w:rPr>
                <w:sz w:val="21"/>
                <w:szCs w:val="21"/>
                <w:color w:val="auto"/>
              </w:rPr>
            </w:pPr>
          </w:p>
        </w:tc>
        <w:tc>
          <w:tcPr>
            <w:tcW w:w="134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58,498</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(16,674)</w:t>
            </w: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41,824</w:t>
            </w:r>
          </w:p>
        </w:tc>
        <w:tc>
          <w:tcPr>
            <w:tcW w:w="20" w:type="dxa"/>
            <w:vAlign w:val="bottom"/>
          </w:tcPr>
          <w:p>
            <w:pPr>
              <w:spacing w:after="0"/>
              <w:rPr>
                <w:sz w:val="21"/>
                <w:szCs w:val="21"/>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Verdana" w:cs="Verdana" w:eastAsia="Verdana" w:hAnsi="Verdana"/>
                <w:sz w:val="18"/>
                <w:szCs w:val="18"/>
                <w:color w:val="auto"/>
              </w:rPr>
              <w:t>5,503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(1,569)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Verdana" w:cs="Verdana" w:eastAsia="Verdana" w:hAnsi="Verdana"/>
                <w:sz w:val="18"/>
                <w:szCs w:val="18"/>
                <w:color w:val="auto"/>
              </w:rPr>
              <w:t>3,934</w:t>
            </w:r>
          </w:p>
        </w:tc>
        <w:tc>
          <w:tcPr>
            <w:tcW w:w="20" w:type="dxa"/>
            <w:vAlign w:val="bottom"/>
          </w:tcPr>
          <w:p>
            <w:pPr>
              <w:spacing w:after="0"/>
              <w:rPr>
                <w:sz w:val="22"/>
                <w:szCs w:val="22"/>
                <w:color w:val="auto"/>
              </w:rPr>
            </w:pPr>
          </w:p>
        </w:tc>
      </w:tr>
      <w:tr>
        <w:trPr>
          <w:trHeight w:val="244"/>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unrecognized losses on securities transferred to</w:t>
            </w:r>
          </w:p>
        </w:tc>
        <w:tc>
          <w:tcPr>
            <w:tcW w:w="26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held to maturity</w:t>
            </w:r>
          </w:p>
        </w:tc>
        <w:tc>
          <w:tcPr>
            <w:tcW w:w="260" w:type="dxa"/>
            <w:vAlign w:val="bottom"/>
            <w:tcBorders>
              <w:bottom w:val="single" w:sz="8" w:color="auto"/>
            </w:tcBorders>
            <w:shd w:val="clear" w:color="auto" w:fill="E0E7ED"/>
          </w:tcPr>
          <w:p>
            <w:pPr>
              <w:spacing w:after="0"/>
              <w:rPr>
                <w:sz w:val="21"/>
                <w:szCs w:val="21"/>
                <w:color w:val="auto"/>
              </w:rPr>
            </w:pPr>
          </w:p>
        </w:tc>
        <w:tc>
          <w:tcPr>
            <w:tcW w:w="13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6,189</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(1,763)</w:t>
            </w:r>
          </w:p>
        </w:tc>
        <w:tc>
          <w:tcPr>
            <w:tcW w:w="100" w:type="dxa"/>
            <w:vAlign w:val="bottom"/>
            <w:shd w:val="clear" w:color="auto" w:fill="E0E7ED"/>
          </w:tcPr>
          <w:p>
            <w:pPr>
              <w:spacing w:after="0"/>
              <w:rPr>
                <w:sz w:val="21"/>
                <w:szCs w:val="21"/>
                <w:color w:val="auto"/>
              </w:rPr>
            </w:pPr>
          </w:p>
        </w:tc>
        <w:tc>
          <w:tcPr>
            <w:tcW w:w="32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4,426</w:t>
            </w:r>
          </w:p>
        </w:tc>
        <w:tc>
          <w:tcPr>
            <w:tcW w:w="20" w:type="dxa"/>
            <w:vAlign w:val="bottom"/>
          </w:tcPr>
          <w:p>
            <w:pPr>
              <w:spacing w:after="0"/>
              <w:rPr>
                <w:sz w:val="21"/>
                <w:szCs w:val="21"/>
                <w:color w:val="auto"/>
              </w:rPr>
            </w:pPr>
          </w:p>
        </w:tc>
      </w:tr>
      <w:tr>
        <w:trPr>
          <w:trHeight w:val="263"/>
        </w:trPr>
        <w:tc>
          <w:tcPr>
            <w:tcW w:w="624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Balance at end of period</w:t>
            </w:r>
          </w:p>
        </w:tc>
        <w:tc>
          <w:tcPr>
            <w:tcW w:w="26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(282,688)</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80,579</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(202,109)</w:t>
            </w:r>
          </w:p>
        </w:tc>
        <w:tc>
          <w:tcPr>
            <w:tcW w:w="20" w:type="dxa"/>
            <w:vAlign w:val="bottom"/>
          </w:tcPr>
          <w:p>
            <w:pPr>
              <w:spacing w:after="0"/>
              <w:rPr>
                <w:sz w:val="22"/>
                <w:szCs w:val="22"/>
                <w:color w:val="auto"/>
              </w:rPr>
            </w:pPr>
          </w:p>
        </w:tc>
      </w:tr>
      <w:tr>
        <w:trPr>
          <w:trHeight w:val="257"/>
        </w:trPr>
        <w:tc>
          <w:tcPr>
            <w:tcW w:w="624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240" w:type="dxa"/>
            <w:vAlign w:val="bottom"/>
          </w:tcPr>
          <w:p>
            <w:pPr>
              <w:ind w:left="20"/>
              <w:spacing w:after="0"/>
              <w:rPr>
                <w:sz w:val="20"/>
                <w:szCs w:val="20"/>
                <w:color w:val="auto"/>
              </w:rPr>
            </w:pPr>
            <w:r>
              <w:rPr>
                <w:rFonts w:ascii="Verdana" w:cs="Verdana" w:eastAsia="Verdana" w:hAnsi="Verdana"/>
                <w:sz w:val="18"/>
                <w:szCs w:val="18"/>
                <w:b w:val="1"/>
                <w:bCs w:val="1"/>
                <w:color w:val="auto"/>
              </w:rPr>
              <w:t>Unrealized gains (losses) on cash flow hedges</w:t>
            </w: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at beginning of period</w:t>
            </w: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(29,350)</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8,365</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(20,985)</w:t>
            </w:r>
          </w:p>
        </w:tc>
        <w:tc>
          <w:tcPr>
            <w:tcW w:w="20" w:type="dxa"/>
            <w:vAlign w:val="bottom"/>
          </w:tcPr>
          <w:p>
            <w:pPr>
              <w:spacing w:after="0"/>
              <w:rPr>
                <w:sz w:val="24"/>
                <w:szCs w:val="24"/>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Unrealized holding gains (losses) on cash flow hedges, net</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(2,567)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Verdana" w:cs="Verdana" w:eastAsia="Verdana" w:hAnsi="Verdana"/>
                <w:sz w:val="18"/>
                <w:szCs w:val="18"/>
                <w:color w:val="auto"/>
              </w:rPr>
              <w:t>732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(1,835)</w:t>
            </w:r>
          </w:p>
        </w:tc>
        <w:tc>
          <w:tcPr>
            <w:tcW w:w="20" w:type="dxa"/>
            <w:vAlign w:val="bottom"/>
          </w:tcPr>
          <w:p>
            <w:pPr>
              <w:spacing w:after="0"/>
              <w:rPr>
                <w:sz w:val="22"/>
                <w:szCs w:val="22"/>
                <w:color w:val="auto"/>
              </w:rPr>
            </w:pP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26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8,569</w:t>
            </w:r>
          </w:p>
        </w:tc>
        <w:tc>
          <w:tcPr>
            <w:tcW w:w="10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(2,443)</w:t>
            </w:r>
          </w:p>
        </w:tc>
        <w:tc>
          <w:tcPr>
            <w:tcW w:w="10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6,126</w:t>
            </w:r>
          </w:p>
        </w:tc>
        <w:tc>
          <w:tcPr>
            <w:tcW w:w="20" w:type="dxa"/>
            <w:vAlign w:val="bottom"/>
          </w:tcPr>
          <w:p>
            <w:pPr>
              <w:spacing w:after="0"/>
              <w:rPr>
                <w:sz w:val="23"/>
                <w:szCs w:val="23"/>
                <w:color w:val="auto"/>
              </w:rPr>
            </w:pPr>
          </w:p>
        </w:tc>
      </w:tr>
      <w:tr>
        <w:trPr>
          <w:trHeight w:val="263"/>
        </w:trPr>
        <w:tc>
          <w:tcPr>
            <w:tcW w:w="624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Balance at end of period</w:t>
            </w:r>
          </w:p>
        </w:tc>
        <w:tc>
          <w:tcPr>
            <w:tcW w:w="26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(23,348)</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6,654</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(16,694)</w:t>
            </w:r>
          </w:p>
        </w:tc>
        <w:tc>
          <w:tcPr>
            <w:tcW w:w="20" w:type="dxa"/>
            <w:vAlign w:val="bottom"/>
          </w:tcPr>
          <w:p>
            <w:pPr>
              <w:spacing w:after="0"/>
              <w:rPr>
                <w:sz w:val="22"/>
                <w:szCs w:val="22"/>
                <w:color w:val="auto"/>
              </w:rPr>
            </w:pPr>
          </w:p>
        </w:tc>
      </w:tr>
      <w:tr>
        <w:trPr>
          <w:trHeight w:val="257"/>
        </w:trPr>
        <w:tc>
          <w:tcPr>
            <w:tcW w:w="624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Total AOCI</w:t>
            </w:r>
          </w:p>
        </w:tc>
        <w:tc>
          <w:tcPr>
            <w:tcW w:w="26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(306,036)</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87,233</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(218,803)</w:t>
            </w:r>
          </w:p>
        </w:tc>
        <w:tc>
          <w:tcPr>
            <w:tcW w:w="20" w:type="dxa"/>
            <w:vAlign w:val="bottom"/>
          </w:tcPr>
          <w:p>
            <w:pPr>
              <w:spacing w:after="0"/>
              <w:rPr>
                <w:sz w:val="23"/>
                <w:szCs w:val="23"/>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6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4"/>
        </w:trPr>
        <w:tc>
          <w:tcPr>
            <w:tcW w:w="6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6"/>
          </w:tcPr>
          <w:p>
            <w:pPr>
              <w:jc w:val="center"/>
              <w:ind w:left="914"/>
              <w:spacing w:after="0"/>
              <w:rPr>
                <w:sz w:val="20"/>
                <w:szCs w:val="20"/>
                <w:color w:val="auto"/>
              </w:rPr>
            </w:pPr>
            <w:r>
              <w:rPr>
                <w:rFonts w:ascii="Verdana" w:cs="Verdana" w:eastAsia="Verdana" w:hAnsi="Verdana"/>
                <w:sz w:val="13"/>
                <w:szCs w:val="13"/>
                <w:b w:val="1"/>
                <w:bCs w:val="1"/>
                <w:color w:val="auto"/>
                <w:w w:val="96"/>
              </w:rPr>
              <w:t>Year Ended December 31, 2022</w:t>
            </w:r>
          </w:p>
        </w:tc>
        <w:tc>
          <w:tcPr>
            <w:tcW w:w="1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6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Verdana" w:cs="Verdana" w:eastAsia="Verdana" w:hAnsi="Verdana"/>
                <w:sz w:val="13"/>
                <w:szCs w:val="13"/>
                <w:b w:val="1"/>
                <w:bCs w:val="1"/>
                <w:color w:val="auto"/>
              </w:rPr>
              <w:t>Before Tax</w:t>
            </w:r>
          </w:p>
        </w:tc>
        <w:tc>
          <w:tcPr>
            <w:tcW w:w="28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Verdana" w:cs="Verdana" w:eastAsia="Verdana" w:hAnsi="Verdana"/>
                <w:sz w:val="13"/>
                <w:szCs w:val="13"/>
                <w:b w:val="1"/>
                <w:bCs w:val="1"/>
                <w:color w:val="auto"/>
                <w:w w:val="96"/>
              </w:rPr>
              <w:t>Tax Effect</w:t>
            </w:r>
          </w:p>
        </w:tc>
        <w:tc>
          <w:tcPr>
            <w:tcW w:w="320" w:type="dxa"/>
            <w:vAlign w:val="bottom"/>
          </w:tcPr>
          <w:p>
            <w:pPr>
              <w:spacing w:after="0"/>
              <w:rPr>
                <w:sz w:val="14"/>
                <w:szCs w:val="14"/>
                <w:color w:val="auto"/>
              </w:rPr>
            </w:pPr>
          </w:p>
        </w:tc>
        <w:tc>
          <w:tcPr>
            <w:tcW w:w="1280" w:type="dxa"/>
            <w:vAlign w:val="bottom"/>
          </w:tcPr>
          <w:p>
            <w:pPr>
              <w:jc w:val="right"/>
              <w:ind w:right="352"/>
              <w:spacing w:after="0"/>
              <w:rPr>
                <w:sz w:val="20"/>
                <w:szCs w:val="20"/>
                <w:color w:val="auto"/>
              </w:rPr>
            </w:pPr>
            <w:r>
              <w:rPr>
                <w:rFonts w:ascii="Verdana" w:cs="Verdana" w:eastAsia="Verdana" w:hAnsi="Verdana"/>
                <w:sz w:val="13"/>
                <w:szCs w:val="13"/>
                <w:b w:val="1"/>
                <w:bCs w:val="1"/>
                <w:color w:val="auto"/>
              </w:rPr>
              <w:t>Net of Tax</w:t>
            </w:r>
          </w:p>
        </w:tc>
        <w:tc>
          <w:tcPr>
            <w:tcW w:w="20" w:type="dxa"/>
            <w:vAlign w:val="bottom"/>
          </w:tcPr>
          <w:p>
            <w:pPr>
              <w:spacing w:after="0"/>
              <w:rPr>
                <w:sz w:val="14"/>
                <w:szCs w:val="14"/>
                <w:color w:val="auto"/>
              </w:rPr>
            </w:pPr>
          </w:p>
        </w:tc>
      </w:tr>
      <w:tr>
        <w:trPr>
          <w:trHeight w:val="255"/>
        </w:trPr>
        <w:tc>
          <w:tcPr>
            <w:tcW w:w="62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Unrealized/Unrecognized gains (losses) on debt securities</w:t>
            </w:r>
          </w:p>
        </w:tc>
        <w:tc>
          <w:tcPr>
            <w:tcW w:w="260" w:type="dxa"/>
            <w:vAlign w:val="bottom"/>
            <w:tcBorders>
              <w:top w:val="single" w:sz="8" w:color="auto"/>
            </w:tcBorders>
            <w:shd w:val="clear" w:color="auto" w:fill="E0E7ED"/>
          </w:tcPr>
          <w:p>
            <w:pPr>
              <w:spacing w:after="0"/>
              <w:rPr>
                <w:sz w:val="22"/>
                <w:szCs w:val="22"/>
                <w:color w:val="auto"/>
              </w:rPr>
            </w:pPr>
          </w:p>
        </w:tc>
        <w:tc>
          <w:tcPr>
            <w:tcW w:w="13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24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(32,272)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2"/>
              <w:spacing w:after="0"/>
              <w:rPr>
                <w:sz w:val="20"/>
                <w:szCs w:val="20"/>
                <w:color w:val="auto"/>
              </w:rPr>
            </w:pPr>
            <w:r>
              <w:rPr>
                <w:rFonts w:ascii="Verdana" w:cs="Verdana" w:eastAsia="Verdana" w:hAnsi="Verdana"/>
                <w:sz w:val="18"/>
                <w:szCs w:val="18"/>
                <w:color w:val="auto"/>
              </w:rPr>
              <w:t>9,199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(23,073)</w:t>
            </w:r>
          </w:p>
        </w:tc>
        <w:tc>
          <w:tcPr>
            <w:tcW w:w="20" w:type="dxa"/>
            <w:vAlign w:val="bottom"/>
          </w:tcPr>
          <w:p>
            <w:pPr>
              <w:spacing w:after="0"/>
              <w:rPr>
                <w:sz w:val="22"/>
                <w:szCs w:val="22"/>
                <w:color w:val="auto"/>
              </w:rPr>
            </w:pPr>
          </w:p>
        </w:tc>
      </w:tr>
      <w:tr>
        <w:trPr>
          <w:trHeight w:val="244"/>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debt securities available for</w:t>
            </w:r>
          </w:p>
        </w:tc>
        <w:tc>
          <w:tcPr>
            <w:tcW w:w="26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20" w:type="dxa"/>
            <w:vAlign w:val="bottom"/>
          </w:tcPr>
          <w:p>
            <w:pPr>
              <w:spacing w:after="0"/>
              <w:rPr>
                <w:sz w:val="21"/>
                <w:szCs w:val="21"/>
                <w:color w:val="auto"/>
              </w:rPr>
            </w:pPr>
          </w:p>
        </w:tc>
      </w:tr>
      <w:tr>
        <w:trPr>
          <w:trHeight w:val="248"/>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sale, net</w:t>
            </w:r>
          </w:p>
        </w:tc>
        <w:tc>
          <w:tcPr>
            <w:tcW w:w="260" w:type="dxa"/>
            <w:vAlign w:val="bottom"/>
            <w:shd w:val="clear" w:color="auto" w:fill="E0E7ED"/>
          </w:tcPr>
          <w:p>
            <w:pPr>
              <w:spacing w:after="0"/>
              <w:rPr>
                <w:sz w:val="21"/>
                <w:szCs w:val="21"/>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(278,762)</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79,460</w:t>
            </w: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(199,302)</w:t>
            </w:r>
          </w:p>
        </w:tc>
        <w:tc>
          <w:tcPr>
            <w:tcW w:w="20" w:type="dxa"/>
            <w:vAlign w:val="bottom"/>
          </w:tcPr>
          <w:p>
            <w:pPr>
              <w:spacing w:after="0"/>
              <w:rPr>
                <w:sz w:val="21"/>
                <w:szCs w:val="21"/>
                <w:color w:val="auto"/>
              </w:rPr>
            </w:pPr>
          </w:p>
        </w:tc>
      </w:tr>
      <w:tr>
        <w:trPr>
          <w:trHeight w:val="238"/>
        </w:trPr>
        <w:tc>
          <w:tcPr>
            <w:tcW w:w="6240" w:type="dxa"/>
            <w:vAlign w:val="bottom"/>
          </w:tcPr>
          <w:p>
            <w:pPr>
              <w:ind w:left="180"/>
              <w:spacing w:after="0"/>
              <w:rPr>
                <w:sz w:val="20"/>
                <w:szCs w:val="20"/>
                <w:color w:val="auto"/>
              </w:rPr>
            </w:pPr>
            <w:r>
              <w:rPr>
                <w:rFonts w:ascii="Verdana" w:cs="Verdana" w:eastAsia="Verdana" w:hAnsi="Verdana"/>
                <w:sz w:val="18"/>
                <w:szCs w:val="18"/>
                <w:color w:val="auto"/>
              </w:rPr>
              <w:t>Unrecognized losses on debt securities transferred to held to</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6240" w:type="dxa"/>
            <w:vAlign w:val="bottom"/>
          </w:tcPr>
          <w:p>
            <w:pPr>
              <w:ind w:left="180"/>
              <w:spacing w:after="0"/>
              <w:rPr>
                <w:sz w:val="20"/>
                <w:szCs w:val="20"/>
                <w:color w:val="auto"/>
              </w:rPr>
            </w:pPr>
            <w:r>
              <w:rPr>
                <w:rFonts w:ascii="Verdana" w:cs="Verdana" w:eastAsia="Verdana" w:hAnsi="Verdana"/>
                <w:sz w:val="18"/>
                <w:szCs w:val="18"/>
                <w:color w:val="auto"/>
              </w:rPr>
              <w:t>maturity from available for sale</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(48,456)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Verdana" w:cs="Verdana" w:eastAsia="Verdana" w:hAnsi="Verdana"/>
                <w:sz w:val="18"/>
                <w:szCs w:val="18"/>
                <w:color w:val="auto"/>
              </w:rPr>
              <w:t>13,812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(34,644)</w:t>
            </w:r>
          </w:p>
        </w:tc>
        <w:tc>
          <w:tcPr>
            <w:tcW w:w="20" w:type="dxa"/>
            <w:vAlign w:val="bottom"/>
          </w:tcPr>
          <w:p>
            <w:pPr>
              <w:spacing w:after="0"/>
              <w:rPr>
                <w:sz w:val="21"/>
                <w:szCs w:val="21"/>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26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7</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w:t>
            </w:r>
          </w:p>
        </w:tc>
        <w:tc>
          <w:tcPr>
            <w:tcW w:w="20" w:type="dxa"/>
            <w:vAlign w:val="bottom"/>
          </w:tcPr>
          <w:p>
            <w:pPr>
              <w:spacing w:after="0"/>
              <w:rPr>
                <w:sz w:val="24"/>
                <w:szCs w:val="24"/>
                <w:color w:val="auto"/>
              </w:rPr>
            </w:pPr>
          </w:p>
        </w:tc>
      </w:tr>
      <w:tr>
        <w:trPr>
          <w:trHeight w:val="238"/>
        </w:trPr>
        <w:tc>
          <w:tcPr>
            <w:tcW w:w="6240" w:type="dxa"/>
            <w:vAlign w:val="bottom"/>
          </w:tcPr>
          <w:p>
            <w:pPr>
              <w:ind w:left="180"/>
              <w:spacing w:after="0"/>
              <w:rPr>
                <w:sz w:val="20"/>
                <w:szCs w:val="20"/>
                <w:color w:val="auto"/>
              </w:rPr>
            </w:pPr>
            <w:r>
              <w:rPr>
                <w:rFonts w:ascii="Verdana" w:cs="Verdana" w:eastAsia="Verdana" w:hAnsi="Verdana"/>
                <w:sz w:val="18"/>
                <w:szCs w:val="18"/>
                <w:color w:val="auto"/>
              </w:rPr>
              <w:t>Amortization of unrecognized losses on securities transferred to</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62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held to maturity</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6,638</w:t>
            </w:r>
          </w:p>
        </w:tc>
        <w:tc>
          <w:tcPr>
            <w:tcW w:w="100" w:type="dxa"/>
            <w:vAlign w:val="bottom"/>
            <w:tcBorders>
              <w:bottom w:val="single" w:sz="8" w:color="E0E7E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(1,893)</w:t>
            </w:r>
          </w:p>
        </w:tc>
        <w:tc>
          <w:tcPr>
            <w:tcW w:w="100" w:type="dxa"/>
            <w:vAlign w:val="bottom"/>
            <w:tcBorders>
              <w:bottom w:val="single" w:sz="8" w:color="E0E7ED"/>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4,745</w:t>
            </w:r>
          </w:p>
        </w:tc>
        <w:tc>
          <w:tcPr>
            <w:tcW w:w="20" w:type="dxa"/>
            <w:vAlign w:val="bottom"/>
          </w:tcPr>
          <w:p>
            <w:pPr>
              <w:spacing w:after="0"/>
              <w:rPr>
                <w:sz w:val="21"/>
                <w:szCs w:val="21"/>
                <w:color w:val="auto"/>
              </w:rPr>
            </w:pPr>
          </w:p>
        </w:tc>
      </w:tr>
      <w:tr>
        <w:trPr>
          <w:trHeight w:val="264"/>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at end of period</w:t>
            </w: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(352,878)</w:t>
            </w:r>
          </w:p>
        </w:tc>
        <w:tc>
          <w:tcPr>
            <w:tcW w:w="100" w:type="dxa"/>
            <w:vAlign w:val="bottom"/>
            <w:shd w:val="clear" w:color="auto" w:fill="E0E7ED"/>
          </w:tcPr>
          <w:p>
            <w:pPr>
              <w:spacing w:after="0"/>
              <w:rPr>
                <w:sz w:val="22"/>
                <w:szCs w:val="22"/>
                <w:color w:val="auto"/>
              </w:rPr>
            </w:pP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100,585</w:t>
            </w:r>
          </w:p>
        </w:tc>
        <w:tc>
          <w:tcPr>
            <w:tcW w:w="10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(252,293)</w:t>
            </w:r>
          </w:p>
        </w:tc>
        <w:tc>
          <w:tcPr>
            <w:tcW w:w="20" w:type="dxa"/>
            <w:vAlign w:val="bottom"/>
          </w:tcPr>
          <w:p>
            <w:pPr>
              <w:spacing w:after="0"/>
              <w:rPr>
                <w:sz w:val="22"/>
                <w:szCs w:val="22"/>
                <w:color w:val="auto"/>
              </w:rPr>
            </w:pPr>
          </w:p>
        </w:tc>
      </w:tr>
      <w:tr>
        <w:trPr>
          <w:trHeight w:val="256"/>
        </w:trPr>
        <w:tc>
          <w:tcPr>
            <w:tcW w:w="6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 gains (losses) on cash flow hedges</w:t>
            </w:r>
          </w:p>
        </w:tc>
        <w:tc>
          <w:tcPr>
            <w:tcW w:w="26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3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624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(958)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2"/>
              <w:spacing w:after="0"/>
              <w:rPr>
                <w:sz w:val="20"/>
                <w:szCs w:val="20"/>
                <w:color w:val="auto"/>
              </w:rPr>
            </w:pPr>
            <w:r>
              <w:rPr>
                <w:rFonts w:ascii="Verdana" w:cs="Verdana" w:eastAsia="Verdana" w:hAnsi="Verdana"/>
                <w:sz w:val="18"/>
                <w:szCs w:val="18"/>
                <w:color w:val="auto"/>
              </w:rPr>
              <w:t>273</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(685)</w:t>
            </w:r>
          </w:p>
        </w:tc>
        <w:tc>
          <w:tcPr>
            <w:tcW w:w="20" w:type="dxa"/>
            <w:vAlign w:val="bottom"/>
          </w:tcPr>
          <w:p>
            <w:pPr>
              <w:spacing w:after="0"/>
              <w:rPr>
                <w:sz w:val="22"/>
                <w:szCs w:val="22"/>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cash flow hedges, net</w:t>
            </w:r>
          </w:p>
        </w:tc>
        <w:tc>
          <w:tcPr>
            <w:tcW w:w="26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(28,975)</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8,258</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(20,717)</w:t>
            </w:r>
          </w:p>
        </w:tc>
        <w:tc>
          <w:tcPr>
            <w:tcW w:w="20" w:type="dxa"/>
            <w:vAlign w:val="bottom"/>
          </w:tcPr>
          <w:p>
            <w:pPr>
              <w:spacing w:after="0"/>
              <w:rPr>
                <w:sz w:val="24"/>
                <w:szCs w:val="24"/>
                <w:color w:val="auto"/>
              </w:rPr>
            </w:pPr>
          </w:p>
        </w:tc>
      </w:tr>
      <w:tr>
        <w:trPr>
          <w:trHeight w:val="264"/>
        </w:trPr>
        <w:tc>
          <w:tcPr>
            <w:tcW w:w="62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583</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(166)</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417</w:t>
            </w:r>
          </w:p>
        </w:tc>
        <w:tc>
          <w:tcPr>
            <w:tcW w:w="20" w:type="dxa"/>
            <w:vAlign w:val="bottom"/>
          </w:tcPr>
          <w:p>
            <w:pPr>
              <w:spacing w:after="0"/>
              <w:rPr>
                <w:sz w:val="22"/>
                <w:szCs w:val="22"/>
                <w:color w:val="auto"/>
              </w:rPr>
            </w:pPr>
          </w:p>
        </w:tc>
      </w:tr>
      <w:tr>
        <w:trPr>
          <w:trHeight w:val="263"/>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at end of period</w:t>
            </w: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(29,350)</w:t>
            </w:r>
          </w:p>
        </w:tc>
        <w:tc>
          <w:tcPr>
            <w:tcW w:w="100" w:type="dxa"/>
            <w:vAlign w:val="bottom"/>
            <w:shd w:val="clear" w:color="auto" w:fill="E0E7ED"/>
          </w:tcPr>
          <w:p>
            <w:pPr>
              <w:spacing w:after="0"/>
              <w:rPr>
                <w:sz w:val="22"/>
                <w:szCs w:val="22"/>
                <w:color w:val="auto"/>
              </w:rPr>
            </w:pP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8,365</w:t>
            </w:r>
          </w:p>
        </w:tc>
        <w:tc>
          <w:tcPr>
            <w:tcW w:w="10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(20,985)</w:t>
            </w:r>
          </w:p>
        </w:tc>
        <w:tc>
          <w:tcPr>
            <w:tcW w:w="20" w:type="dxa"/>
            <w:vAlign w:val="bottom"/>
          </w:tcPr>
          <w:p>
            <w:pPr>
              <w:spacing w:after="0"/>
              <w:rPr>
                <w:sz w:val="22"/>
                <w:szCs w:val="22"/>
                <w:color w:val="auto"/>
              </w:rPr>
            </w:pPr>
          </w:p>
        </w:tc>
      </w:tr>
      <w:tr>
        <w:trPr>
          <w:trHeight w:val="256"/>
        </w:trPr>
        <w:tc>
          <w:tcPr>
            <w:tcW w:w="6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5"/>
        </w:trPr>
        <w:tc>
          <w:tcPr>
            <w:tcW w:w="62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AOCI</w:t>
            </w: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(382,228)</w:t>
            </w:r>
          </w:p>
        </w:tc>
        <w:tc>
          <w:tcPr>
            <w:tcW w:w="10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108,950</w:t>
            </w: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(273,278)</w:t>
            </w:r>
          </w:p>
        </w:tc>
        <w:tc>
          <w:tcPr>
            <w:tcW w:w="20" w:type="dxa"/>
            <w:vAlign w:val="bottom"/>
          </w:tcPr>
          <w:p>
            <w:pPr>
              <w:spacing w:after="0"/>
              <w:rPr>
                <w:sz w:val="24"/>
                <w:szCs w:val="24"/>
                <w:color w:val="auto"/>
              </w:rPr>
            </w:pPr>
          </w:p>
        </w:tc>
      </w:tr>
      <w:tr>
        <w:trPr>
          <w:trHeight w:val="20"/>
        </w:trPr>
        <w:tc>
          <w:tcPr>
            <w:tcW w:w="624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6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gridSpan w:val="8"/>
          </w:tcPr>
          <w:p>
            <w:pPr>
              <w:ind w:left="1260"/>
              <w:spacing w:after="0"/>
              <w:rPr>
                <w:sz w:val="20"/>
                <w:szCs w:val="20"/>
                <w:color w:val="auto"/>
              </w:rPr>
            </w:pPr>
            <w:r>
              <w:rPr>
                <w:rFonts w:ascii="Verdana" w:cs="Verdana" w:eastAsia="Verdana" w:hAnsi="Verdana"/>
                <w:sz w:val="18"/>
                <w:szCs w:val="18"/>
                <w:color w:val="808285"/>
                <w:w w:val="99"/>
              </w:rPr>
              <w:t xml:space="preserve">First Busey Corporation | 2023 </w:t>
            </w:r>
            <w:r>
              <w:rPr>
                <w:rFonts w:ascii="Verdana" w:cs="Verdana" w:eastAsia="Verdana" w:hAnsi="Verdana"/>
                <w:sz w:val="18"/>
                <w:szCs w:val="18"/>
                <w:b w:val="1"/>
                <w:bCs w:val="1"/>
                <w:color w:val="376484"/>
                <w:w w:val="99"/>
              </w:rPr>
              <w:t>— 168</w:t>
            </w:r>
          </w:p>
        </w:tc>
      </w:tr>
      <w:tr>
        <w:trPr>
          <w:trHeight w:val="641"/>
        </w:trPr>
        <w:tc>
          <w:tcPr>
            <w:tcW w:w="6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8" w:name="page169"/>
    <w:bookmarkEnd w:id="16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3460" w:type="dxa"/>
            <w:vAlign w:val="bottom"/>
            <w:tcBorders>
              <w:top w:val="single" w:sz="8" w:color="auto"/>
              <w:bottom w:val="single" w:sz="8" w:color="auto"/>
            </w:tcBorders>
            <w:gridSpan w:val="6"/>
          </w:tcPr>
          <w:p>
            <w:pPr>
              <w:jc w:val="center"/>
              <w:ind w:left="915"/>
              <w:spacing w:after="0"/>
              <w:rPr>
                <w:sz w:val="20"/>
                <w:szCs w:val="20"/>
                <w:color w:val="auto"/>
              </w:rPr>
            </w:pPr>
            <w:r>
              <w:rPr>
                <w:rFonts w:ascii="Verdana" w:cs="Verdana" w:eastAsia="Verdana" w:hAnsi="Verdana"/>
                <w:sz w:val="13"/>
                <w:szCs w:val="13"/>
                <w:b w:val="1"/>
                <w:bCs w:val="1"/>
                <w:color w:val="auto"/>
                <w:w w:val="96"/>
              </w:rPr>
              <w:t>Year Ended December 31, 2021</w:t>
            </w:r>
          </w:p>
        </w:tc>
        <w:tc>
          <w:tcPr>
            <w:tcW w:w="128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6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Verdana" w:cs="Verdana" w:eastAsia="Verdana" w:hAnsi="Verdana"/>
                <w:sz w:val="13"/>
                <w:szCs w:val="13"/>
                <w:b w:val="1"/>
                <w:bCs w:val="1"/>
                <w:color w:val="auto"/>
              </w:rPr>
              <w:t>Before Tax</w:t>
            </w:r>
          </w:p>
        </w:tc>
        <w:tc>
          <w:tcPr>
            <w:tcW w:w="28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Verdana" w:cs="Verdana" w:eastAsia="Verdana" w:hAnsi="Verdana"/>
                <w:sz w:val="13"/>
                <w:szCs w:val="13"/>
                <w:b w:val="1"/>
                <w:bCs w:val="1"/>
                <w:color w:val="auto"/>
                <w:w w:val="96"/>
              </w:rPr>
              <w:t>Tax Effect</w:t>
            </w:r>
          </w:p>
        </w:tc>
        <w:tc>
          <w:tcPr>
            <w:tcW w:w="320" w:type="dxa"/>
            <w:vAlign w:val="bottom"/>
          </w:tcPr>
          <w:p>
            <w:pPr>
              <w:spacing w:after="0"/>
              <w:rPr>
                <w:sz w:val="14"/>
                <w:szCs w:val="14"/>
                <w:color w:val="auto"/>
              </w:rPr>
            </w:pPr>
          </w:p>
        </w:tc>
        <w:tc>
          <w:tcPr>
            <w:tcW w:w="1280" w:type="dxa"/>
            <w:vAlign w:val="bottom"/>
          </w:tcPr>
          <w:p>
            <w:pPr>
              <w:jc w:val="right"/>
              <w:ind w:right="353"/>
              <w:spacing w:after="0"/>
              <w:rPr>
                <w:sz w:val="20"/>
                <w:szCs w:val="20"/>
                <w:color w:val="auto"/>
              </w:rPr>
            </w:pPr>
            <w:r>
              <w:rPr>
                <w:rFonts w:ascii="Verdana" w:cs="Verdana" w:eastAsia="Verdana" w:hAnsi="Verdana"/>
                <w:sz w:val="13"/>
                <w:szCs w:val="13"/>
                <w:b w:val="1"/>
                <w:bCs w:val="1"/>
                <w:color w:val="auto"/>
              </w:rPr>
              <w:t>Net of Tax</w:t>
            </w:r>
          </w:p>
        </w:tc>
        <w:tc>
          <w:tcPr>
            <w:tcW w:w="20" w:type="dxa"/>
            <w:vAlign w:val="bottom"/>
          </w:tcPr>
          <w:p>
            <w:pPr>
              <w:spacing w:after="0"/>
              <w:rPr>
                <w:sz w:val="14"/>
                <w:szCs w:val="14"/>
                <w:color w:val="auto"/>
              </w:rPr>
            </w:pPr>
          </w:p>
        </w:tc>
      </w:tr>
      <w:tr>
        <w:trPr>
          <w:trHeight w:val="255"/>
        </w:trPr>
        <w:tc>
          <w:tcPr>
            <w:tcW w:w="62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Unrealized/Unrecognized gains (losses) on debt securities</w:t>
            </w:r>
          </w:p>
        </w:tc>
        <w:tc>
          <w:tcPr>
            <w:tcW w:w="260" w:type="dxa"/>
            <w:vAlign w:val="bottom"/>
            <w:tcBorders>
              <w:top w:val="single" w:sz="8" w:color="auto"/>
            </w:tcBorders>
            <w:shd w:val="clear" w:color="auto" w:fill="E0E7ED"/>
          </w:tcPr>
          <w:p>
            <w:pPr>
              <w:spacing w:after="0"/>
              <w:rPr>
                <w:sz w:val="22"/>
                <w:szCs w:val="22"/>
                <w:color w:val="auto"/>
              </w:rPr>
            </w:pPr>
          </w:p>
        </w:tc>
        <w:tc>
          <w:tcPr>
            <w:tcW w:w="13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24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5"/>
              <w:spacing w:after="0"/>
              <w:rPr>
                <w:sz w:val="20"/>
                <w:szCs w:val="20"/>
                <w:color w:val="auto"/>
              </w:rPr>
            </w:pPr>
            <w:r>
              <w:rPr>
                <w:rFonts w:ascii="Verdana" w:cs="Verdana" w:eastAsia="Verdana" w:hAnsi="Verdana"/>
                <w:sz w:val="18"/>
                <w:szCs w:val="18"/>
                <w:color w:val="auto"/>
              </w:rPr>
              <w:t>49,644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(14,151)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35,493</w:t>
            </w:r>
          </w:p>
        </w:tc>
        <w:tc>
          <w:tcPr>
            <w:tcW w:w="20" w:type="dxa"/>
            <w:vAlign w:val="bottom"/>
          </w:tcPr>
          <w:p>
            <w:pPr>
              <w:spacing w:after="0"/>
              <w:rPr>
                <w:sz w:val="22"/>
                <w:szCs w:val="22"/>
                <w:color w:val="auto"/>
              </w:rPr>
            </w:pPr>
          </w:p>
        </w:tc>
      </w:tr>
      <w:tr>
        <w:trPr>
          <w:trHeight w:val="244"/>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debt securities available for</w:t>
            </w:r>
          </w:p>
        </w:tc>
        <w:tc>
          <w:tcPr>
            <w:tcW w:w="26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20" w:type="dxa"/>
            <w:vAlign w:val="bottom"/>
          </w:tcPr>
          <w:p>
            <w:pPr>
              <w:spacing w:after="0"/>
              <w:rPr>
                <w:sz w:val="21"/>
                <w:szCs w:val="21"/>
                <w:color w:val="auto"/>
              </w:rPr>
            </w:pPr>
          </w:p>
        </w:tc>
      </w:tr>
      <w:tr>
        <w:trPr>
          <w:trHeight w:val="248"/>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sale, net</w:t>
            </w:r>
          </w:p>
        </w:tc>
        <w:tc>
          <w:tcPr>
            <w:tcW w:w="260" w:type="dxa"/>
            <w:vAlign w:val="bottom"/>
            <w:shd w:val="clear" w:color="auto" w:fill="E0E7ED"/>
          </w:tcPr>
          <w:p>
            <w:pPr>
              <w:spacing w:after="0"/>
              <w:rPr>
                <w:sz w:val="21"/>
                <w:szCs w:val="21"/>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(81,977)</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23,367</w:t>
            </w: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(58,610)</w:t>
            </w:r>
          </w:p>
        </w:tc>
        <w:tc>
          <w:tcPr>
            <w:tcW w:w="20" w:type="dxa"/>
            <w:vAlign w:val="bottom"/>
          </w:tcPr>
          <w:p>
            <w:pPr>
              <w:spacing w:after="0"/>
              <w:rPr>
                <w:sz w:val="21"/>
                <w:szCs w:val="21"/>
                <w:color w:val="auto"/>
              </w:rPr>
            </w:pPr>
          </w:p>
        </w:tc>
      </w:tr>
      <w:tr>
        <w:trPr>
          <w:trHeight w:val="263"/>
        </w:trPr>
        <w:tc>
          <w:tcPr>
            <w:tcW w:w="62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61</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w:t>
            </w:r>
          </w:p>
        </w:tc>
        <w:tc>
          <w:tcPr>
            <w:tcW w:w="20" w:type="dxa"/>
            <w:vAlign w:val="bottom"/>
          </w:tcPr>
          <w:p>
            <w:pPr>
              <w:spacing w:after="0"/>
              <w:rPr>
                <w:sz w:val="22"/>
                <w:szCs w:val="22"/>
                <w:color w:val="auto"/>
              </w:rPr>
            </w:pPr>
          </w:p>
        </w:tc>
      </w:tr>
      <w:tr>
        <w:trPr>
          <w:trHeight w:val="263"/>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at end of period</w:t>
            </w: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(32,272)</w:t>
            </w:r>
          </w:p>
        </w:tc>
        <w:tc>
          <w:tcPr>
            <w:tcW w:w="100" w:type="dxa"/>
            <w:vAlign w:val="bottom"/>
            <w:shd w:val="clear" w:color="auto" w:fill="E0E7ED"/>
          </w:tcPr>
          <w:p>
            <w:pPr>
              <w:spacing w:after="0"/>
              <w:rPr>
                <w:sz w:val="22"/>
                <w:szCs w:val="22"/>
                <w:color w:val="auto"/>
              </w:rPr>
            </w:pP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9,199</w:t>
            </w:r>
          </w:p>
        </w:tc>
        <w:tc>
          <w:tcPr>
            <w:tcW w:w="10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(23,073)</w:t>
            </w:r>
          </w:p>
        </w:tc>
        <w:tc>
          <w:tcPr>
            <w:tcW w:w="20" w:type="dxa"/>
            <w:vAlign w:val="bottom"/>
          </w:tcPr>
          <w:p>
            <w:pPr>
              <w:spacing w:after="0"/>
              <w:rPr>
                <w:sz w:val="22"/>
                <w:szCs w:val="22"/>
                <w:color w:val="auto"/>
              </w:rPr>
            </w:pPr>
          </w:p>
        </w:tc>
      </w:tr>
      <w:tr>
        <w:trPr>
          <w:trHeight w:val="257"/>
        </w:trPr>
        <w:tc>
          <w:tcPr>
            <w:tcW w:w="6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 gains (losses) on cash flow hedges</w:t>
            </w:r>
          </w:p>
        </w:tc>
        <w:tc>
          <w:tcPr>
            <w:tcW w:w="26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3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624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(3,055)</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3"/>
              <w:spacing w:after="0"/>
              <w:rPr>
                <w:sz w:val="20"/>
                <w:szCs w:val="20"/>
                <w:color w:val="auto"/>
              </w:rPr>
            </w:pPr>
            <w:r>
              <w:rPr>
                <w:rFonts w:ascii="Verdana" w:cs="Verdana" w:eastAsia="Verdana" w:hAnsi="Verdana"/>
                <w:sz w:val="18"/>
                <w:szCs w:val="18"/>
                <w:color w:val="auto"/>
              </w:rPr>
              <w:t>871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(2,184)</w:t>
            </w:r>
          </w:p>
        </w:tc>
        <w:tc>
          <w:tcPr>
            <w:tcW w:w="20" w:type="dxa"/>
            <w:vAlign w:val="bottom"/>
          </w:tcPr>
          <w:p>
            <w:pPr>
              <w:spacing w:after="0"/>
              <w:rPr>
                <w:sz w:val="22"/>
                <w:szCs w:val="22"/>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cash flow hedges, net</w:t>
            </w:r>
          </w:p>
        </w:tc>
        <w:tc>
          <w:tcPr>
            <w:tcW w:w="26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1,030</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(294)</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736</w:t>
            </w:r>
          </w:p>
        </w:tc>
        <w:tc>
          <w:tcPr>
            <w:tcW w:w="20" w:type="dxa"/>
            <w:vAlign w:val="bottom"/>
          </w:tcPr>
          <w:p>
            <w:pPr>
              <w:spacing w:after="0"/>
              <w:rPr>
                <w:sz w:val="24"/>
                <w:szCs w:val="24"/>
                <w:color w:val="auto"/>
              </w:rPr>
            </w:pPr>
          </w:p>
        </w:tc>
      </w:tr>
      <w:tr>
        <w:trPr>
          <w:trHeight w:val="263"/>
        </w:trPr>
        <w:tc>
          <w:tcPr>
            <w:tcW w:w="62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1,067</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(304)</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763</w:t>
            </w:r>
          </w:p>
        </w:tc>
        <w:tc>
          <w:tcPr>
            <w:tcW w:w="20" w:type="dxa"/>
            <w:vAlign w:val="bottom"/>
          </w:tcPr>
          <w:p>
            <w:pPr>
              <w:spacing w:after="0"/>
              <w:rPr>
                <w:sz w:val="22"/>
                <w:szCs w:val="22"/>
                <w:color w:val="auto"/>
              </w:rPr>
            </w:pPr>
          </w:p>
        </w:tc>
      </w:tr>
      <w:tr>
        <w:trPr>
          <w:trHeight w:val="263"/>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at end of period</w:t>
            </w: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(958)</w:t>
            </w:r>
          </w:p>
        </w:tc>
        <w:tc>
          <w:tcPr>
            <w:tcW w:w="100" w:type="dxa"/>
            <w:vAlign w:val="bottom"/>
            <w:shd w:val="clear" w:color="auto" w:fill="E0E7ED"/>
          </w:tcPr>
          <w:p>
            <w:pPr>
              <w:spacing w:after="0"/>
              <w:rPr>
                <w:sz w:val="22"/>
                <w:szCs w:val="22"/>
                <w:color w:val="auto"/>
              </w:rPr>
            </w:pP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273</w:t>
            </w:r>
          </w:p>
        </w:tc>
        <w:tc>
          <w:tcPr>
            <w:tcW w:w="10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(685)</w:t>
            </w:r>
          </w:p>
        </w:tc>
        <w:tc>
          <w:tcPr>
            <w:tcW w:w="20" w:type="dxa"/>
            <w:vAlign w:val="bottom"/>
          </w:tcPr>
          <w:p>
            <w:pPr>
              <w:spacing w:after="0"/>
              <w:rPr>
                <w:sz w:val="22"/>
                <w:szCs w:val="22"/>
                <w:color w:val="auto"/>
              </w:rPr>
            </w:pPr>
          </w:p>
        </w:tc>
      </w:tr>
      <w:tr>
        <w:trPr>
          <w:trHeight w:val="257"/>
        </w:trPr>
        <w:tc>
          <w:tcPr>
            <w:tcW w:w="6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5"/>
        </w:trPr>
        <w:tc>
          <w:tcPr>
            <w:tcW w:w="62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AOCI</w:t>
            </w: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(33,230)</w:t>
            </w:r>
          </w:p>
        </w:tc>
        <w:tc>
          <w:tcPr>
            <w:tcW w:w="10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9,472</w:t>
            </w: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(23,758)</w:t>
            </w:r>
          </w:p>
        </w:tc>
        <w:tc>
          <w:tcPr>
            <w:tcW w:w="20" w:type="dxa"/>
            <w:vAlign w:val="bottom"/>
          </w:tcPr>
          <w:p>
            <w:pPr>
              <w:spacing w:after="0"/>
              <w:rPr>
                <w:sz w:val="24"/>
                <w:szCs w:val="24"/>
                <w:color w:val="auto"/>
              </w:rPr>
            </w:pPr>
          </w:p>
        </w:tc>
      </w:tr>
      <w:tr>
        <w:trPr>
          <w:trHeight w:val="20"/>
        </w:trPr>
        <w:tc>
          <w:tcPr>
            <w:tcW w:w="624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6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gridSpan w:val="8"/>
          </w:tcPr>
          <w:p>
            <w:pPr>
              <w:ind w:left="1260"/>
              <w:spacing w:after="0"/>
              <w:rPr>
                <w:sz w:val="20"/>
                <w:szCs w:val="20"/>
                <w:color w:val="auto"/>
              </w:rPr>
            </w:pPr>
            <w:r>
              <w:rPr>
                <w:rFonts w:ascii="Verdana" w:cs="Verdana" w:eastAsia="Verdana" w:hAnsi="Verdana"/>
                <w:sz w:val="18"/>
                <w:szCs w:val="18"/>
                <w:color w:val="808285"/>
                <w:w w:val="99"/>
              </w:rPr>
              <w:t xml:space="preserve">First Busey Corporation | 2023 </w:t>
            </w:r>
            <w:r>
              <w:rPr>
                <w:rFonts w:ascii="Verdana" w:cs="Verdana" w:eastAsia="Verdana" w:hAnsi="Verdana"/>
                <w:sz w:val="18"/>
                <w:szCs w:val="18"/>
                <w:b w:val="1"/>
                <w:bCs w:val="1"/>
                <w:color w:val="376484"/>
                <w:w w:val="99"/>
              </w:rPr>
              <w:t>— 169</w:t>
            </w:r>
          </w:p>
        </w:tc>
      </w:tr>
      <w:tr>
        <w:trPr>
          <w:trHeight w:val="642"/>
        </w:trPr>
        <w:tc>
          <w:tcPr>
            <w:tcW w:w="6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9" w:name="page170"/>
    <w:bookmarkEnd w:id="16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21. OPERATING SEGMENTS AND RELATED INFORMATION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has three reportable operating segments: Banking, Wealth Management, and FirsTech. Busey’s three operating segments are strategic business units that are separately managed, as they offer different products and services and have different marketing strategies.</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Banking Operating Segment</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Banking operating segment provides a full range of banking services to individual and corporate customers through First Busey Corporation’s wholly-owned bank subsidiary, Busey Bank, with 58 banking centers in Illinois; the St. Louis, Missouri, metropolitan area; southwest Florida; and Indianapolis, Indiana.</w:t>
      </w:r>
    </w:p>
    <w:p>
      <w:pPr>
        <w:spacing w:after="0" w:line="15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commercial real estate, real estate construction, and agricultural loans, as well as commercial depository services such as cash management.</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Wealth Management Operating Segment</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FirsTech Operating Segment</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but are not limited to,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w:t>
      </w:r>
    </w:p>
    <w:p>
      <w:pPr>
        <w:spacing w:after="0" w:line="161"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FirsTech's client base represents a diverse set of industries, with a higher concentration in highly regulated industries, such as financial institutions, utility, insurance, and telecommunications industries.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Segment Financial Information</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segment financial information provided below has been derived from information used by management to monitor and manage Busey’s financial performance. The accounting policies of the three operating segments are the same as those described in the summary of significant accounting policies in “</w:t>
      </w:r>
      <w:r>
        <w:rPr>
          <w:rFonts w:ascii="Verdana" w:cs="Verdana" w:eastAsia="Verdana" w:hAnsi="Verdana"/>
          <w:sz w:val="18"/>
          <w:szCs w:val="18"/>
          <w:u w:val="single" w:color="auto"/>
          <w:color w:val="0000FF"/>
        </w:rPr>
        <w:t>Note 1. Significant Accounting Policies.</w:t>
      </w:r>
      <w:r>
        <w:rPr>
          <w:rFonts w:ascii="Verdana" w:cs="Verdana" w:eastAsia="Verdana" w:hAnsi="Verdana"/>
          <w:sz w:val="18"/>
          <w:szCs w:val="18"/>
          <w:color w:val="auto"/>
        </w:rPr>
        <w:t>” Busey accounts for intersegment revenue and transfers at current market prices.</w:t>
      </w:r>
    </w:p>
    <w:p>
      <w:pPr>
        <w:spacing w:after="0" w:line="211"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0" w:name="page171"/>
    <w:bookmarkEnd w:id="17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Following is a summary of selected financial information for Busey’s operating segments. The “other” category included in the tables below consists of the parent company, First Busey Risk Management until its dissolution on December 18, 2023, and the elimination of intercompany transactions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Verdana" w:cs="Verdana" w:eastAsia="Verdana" w:hAnsi="Verdana"/>
                <w:sz w:val="13"/>
                <w:szCs w:val="13"/>
                <w:b w:val="1"/>
                <w:bCs w:val="1"/>
                <w:color w:val="auto"/>
              </w:rPr>
              <w:t>Goodwill</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Total Assets</w:t>
            </w:r>
          </w:p>
        </w:tc>
        <w:tc>
          <w:tcPr>
            <w:tcW w:w="1180" w:type="dxa"/>
            <w:vAlign w:val="bottom"/>
            <w:tcBorders>
              <w:bottom w:val="single" w:sz="8" w:color="auto"/>
            </w:tcBorders>
          </w:tcPr>
          <w:p>
            <w:pPr>
              <w:spacing w:after="0"/>
              <w:rPr>
                <w:sz w:val="15"/>
                <w:szCs w:val="15"/>
                <w:color w:val="auto"/>
              </w:rPr>
            </w:pPr>
          </w:p>
        </w:tc>
      </w:tr>
      <w:tr>
        <w:trPr>
          <w:trHeight w:val="170"/>
        </w:trPr>
        <w:tc>
          <w:tcPr>
            <w:tcW w:w="4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875"/>
              <w:spacing w:after="0"/>
              <w:rPr>
                <w:sz w:val="20"/>
                <w:szCs w:val="20"/>
                <w:color w:val="auto"/>
              </w:rPr>
            </w:pPr>
            <w:r>
              <w:rPr>
                <w:rFonts w:ascii="Verdana" w:cs="Verdana" w:eastAsia="Verdana" w:hAnsi="Verdana"/>
                <w:sz w:val="13"/>
                <w:szCs w:val="13"/>
                <w:b w:val="1"/>
                <w:bCs w:val="1"/>
                <w:color w:val="auto"/>
              </w:rPr>
              <w:t>As of December 31,</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875"/>
              <w:spacing w:after="0"/>
              <w:rPr>
                <w:sz w:val="20"/>
                <w:szCs w:val="20"/>
                <w:color w:val="auto"/>
              </w:rPr>
            </w:pPr>
            <w:r>
              <w:rPr>
                <w:rFonts w:ascii="Verdana" w:cs="Verdana" w:eastAsia="Verdana" w:hAnsi="Verdana"/>
                <w:sz w:val="13"/>
                <w:szCs w:val="13"/>
                <w:b w:val="1"/>
                <w:bCs w:val="1"/>
                <w:color w:val="auto"/>
              </w:rPr>
              <w:t>As of December 31,</w:t>
            </w:r>
          </w:p>
        </w:tc>
      </w:tr>
      <w:tr>
        <w:trPr>
          <w:trHeight w:val="169"/>
        </w:trPr>
        <w:tc>
          <w:tcPr>
            <w:tcW w:w="456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0"/>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40"/>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45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Operating segment</w:t>
            </w: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4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r>
      <w:tr>
        <w:trPr>
          <w:trHeight w:val="263"/>
        </w:trPr>
        <w:tc>
          <w:tcPr>
            <w:tcW w:w="456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20"/>
              <w:spacing w:after="0"/>
              <w:rPr>
                <w:sz w:val="20"/>
                <w:szCs w:val="20"/>
                <w:color w:val="auto"/>
              </w:rPr>
            </w:pPr>
            <w:r>
              <w:rPr>
                <w:rFonts w:ascii="Verdana" w:cs="Verdana" w:eastAsia="Verdana" w:hAnsi="Verdana"/>
                <w:sz w:val="18"/>
                <w:szCs w:val="18"/>
                <w:color w:val="auto"/>
              </w:rPr>
              <w:t>294,773</w:t>
            </w:r>
          </w:p>
        </w:tc>
        <w:tc>
          <w:tcPr>
            <w:tcW w:w="80" w:type="dxa"/>
            <w:vAlign w:val="bottom"/>
          </w:tcPr>
          <w:p>
            <w:pPr>
              <w:spacing w:after="0"/>
              <w:rPr>
                <w:sz w:val="22"/>
                <w:szCs w:val="22"/>
                <w:color w:val="auto"/>
              </w:rPr>
            </w:pPr>
          </w:p>
        </w:tc>
        <w:tc>
          <w:tcPr>
            <w:tcW w:w="440" w:type="dxa"/>
            <w:vAlign w:val="bottom"/>
          </w:tcPr>
          <w:p>
            <w:pPr>
              <w:jc w:val="right"/>
              <w:ind w:right="21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294,773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ind w:right="20"/>
              <w:spacing w:after="0"/>
              <w:rPr>
                <w:sz w:val="20"/>
                <w:szCs w:val="20"/>
                <w:color w:val="auto"/>
              </w:rPr>
            </w:pPr>
            <w:r>
              <w:rPr>
                <w:rFonts w:ascii="Verdana" w:cs="Verdana" w:eastAsia="Verdana" w:hAnsi="Verdana"/>
                <w:sz w:val="18"/>
                <w:szCs w:val="18"/>
                <w:color w:val="auto"/>
              </w:rPr>
              <w:t>12,125,298</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12,199,960</w:t>
            </w:r>
          </w:p>
        </w:tc>
      </w:tr>
      <w:tr>
        <w:trPr>
          <w:trHeight w:val="277"/>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14,108</w:t>
            </w:r>
          </w:p>
        </w:tc>
        <w:tc>
          <w:tcPr>
            <w:tcW w:w="80" w:type="dxa"/>
            <w:vAlign w:val="bottom"/>
            <w:shd w:val="clear" w:color="auto" w:fill="E0E7ED"/>
          </w:tcPr>
          <w:p>
            <w:pPr>
              <w:spacing w:after="0"/>
              <w:rPr>
                <w:sz w:val="24"/>
                <w:szCs w:val="24"/>
                <w:color w:val="auto"/>
              </w:rPr>
            </w:pPr>
          </w:p>
        </w:tc>
        <w:tc>
          <w:tcPr>
            <w:tcW w:w="4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14,108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103,147</w:t>
            </w:r>
          </w:p>
        </w:tc>
        <w:tc>
          <w:tcPr>
            <w:tcW w:w="100" w:type="dxa"/>
            <w:vAlign w:val="bottom"/>
            <w:shd w:val="clear" w:color="auto" w:fill="E0E7ED"/>
          </w:tcPr>
          <w:p>
            <w:pPr>
              <w:spacing w:after="0"/>
              <w:rPr>
                <w:sz w:val="24"/>
                <w:szCs w:val="24"/>
                <w:color w:val="auto"/>
              </w:rPr>
            </w:pPr>
          </w:p>
        </w:tc>
        <w:tc>
          <w:tcPr>
            <w:tcW w:w="4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84,082</w:t>
            </w:r>
          </w:p>
        </w:tc>
      </w:tr>
      <w:tr>
        <w:trPr>
          <w:trHeight w:val="263"/>
        </w:trPr>
        <w:tc>
          <w:tcPr>
            <w:tcW w:w="456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Verdana" w:cs="Verdana" w:eastAsia="Verdana" w:hAnsi="Verdana"/>
                <w:sz w:val="18"/>
                <w:szCs w:val="18"/>
                <w:color w:val="auto"/>
              </w:rPr>
              <w:t>8,992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8,992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Verdana" w:cs="Verdana" w:eastAsia="Verdana" w:hAnsi="Verdana"/>
                <w:sz w:val="18"/>
                <w:szCs w:val="18"/>
                <w:color w:val="auto"/>
              </w:rPr>
              <w:t>51,600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48,715</w:t>
            </w:r>
          </w:p>
        </w:tc>
      </w:tr>
      <w:tr>
        <w:trPr>
          <w:trHeight w:val="270"/>
        </w:trPr>
        <w:tc>
          <w:tcPr>
            <w:tcW w:w="4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380" w:type="dxa"/>
            <w:vAlign w:val="bottom"/>
            <w:shd w:val="clear" w:color="auto" w:fill="E0E7ED"/>
          </w:tcPr>
          <w:p>
            <w:pPr>
              <w:spacing w:after="0"/>
              <w:rPr>
                <w:sz w:val="23"/>
                <w:szCs w:val="23"/>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shd w:val="clear" w:color="auto" w:fill="E0E7ED"/>
          </w:tcPr>
          <w:p>
            <w:pPr>
              <w:spacing w:after="0"/>
              <w:rPr>
                <w:sz w:val="23"/>
                <w:szCs w:val="23"/>
                <w:color w:val="auto"/>
              </w:rPr>
            </w:pPr>
          </w:p>
        </w:tc>
        <w:tc>
          <w:tcPr>
            <w:tcW w:w="126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300" w:type="dxa"/>
            <w:vAlign w:val="bottom"/>
            <w:shd w:val="clear" w:color="auto" w:fill="E0E7ED"/>
          </w:tcPr>
          <w:p>
            <w:pPr>
              <w:spacing w:after="0"/>
              <w:rPr>
                <w:sz w:val="23"/>
                <w:szCs w:val="23"/>
                <w:color w:val="auto"/>
              </w:rPr>
            </w:pPr>
          </w:p>
        </w:tc>
        <w:tc>
          <w:tcPr>
            <w:tcW w:w="130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3,370</w:t>
            </w: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18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3,920</w:t>
            </w:r>
          </w:p>
        </w:tc>
      </w:tr>
      <w:tr>
        <w:trPr>
          <w:trHeight w:val="270"/>
        </w:trPr>
        <w:tc>
          <w:tcPr>
            <w:tcW w:w="4560" w:type="dxa"/>
            <w:vAlign w:val="bottom"/>
          </w:tcPr>
          <w:p>
            <w:pPr>
              <w:ind w:left="20"/>
              <w:spacing w:after="0"/>
              <w:rPr>
                <w:sz w:val="20"/>
                <w:szCs w:val="20"/>
                <w:color w:val="auto"/>
              </w:rPr>
            </w:pPr>
            <w:r>
              <w:rPr>
                <w:rFonts w:ascii="Verdana" w:cs="Verdana" w:eastAsia="Verdana" w:hAnsi="Verdana"/>
                <w:sz w:val="18"/>
                <w:szCs w:val="18"/>
                <w:color w:val="auto"/>
              </w:rPr>
              <w:t>Consolidated 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317,873</w:t>
            </w:r>
          </w:p>
        </w:tc>
        <w:tc>
          <w:tcPr>
            <w:tcW w:w="80" w:type="dxa"/>
            <w:vAlign w:val="bottom"/>
          </w:tcPr>
          <w:p>
            <w:pPr>
              <w:spacing w:after="0"/>
              <w:rPr>
                <w:sz w:val="23"/>
                <w:szCs w:val="23"/>
                <w:color w:val="auto"/>
              </w:rPr>
            </w:pP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Verdana" w:cs="Verdana" w:eastAsia="Verdana" w:hAnsi="Verdana"/>
                <w:sz w:val="18"/>
                <w:szCs w:val="18"/>
                <w:color w:val="auto"/>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317,873</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12,283,415</w:t>
            </w:r>
          </w:p>
        </w:tc>
        <w:tc>
          <w:tcPr>
            <w:tcW w:w="100" w:type="dxa"/>
            <w:vAlign w:val="bottom"/>
          </w:tcPr>
          <w:p>
            <w:pPr>
              <w:spacing w:after="0"/>
              <w:rPr>
                <w:sz w:val="23"/>
                <w:szCs w:val="23"/>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Verdana" w:cs="Verdana" w:eastAsia="Verdana" w:hAnsi="Verdana"/>
                <w:sz w:val="18"/>
                <w:szCs w:val="18"/>
                <w:color w:val="auto"/>
                <w:w w:val="8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12,336,677</w:t>
            </w:r>
          </w:p>
        </w:tc>
      </w:tr>
      <w:tr>
        <w:trPr>
          <w:trHeight w:val="20"/>
        </w:trPr>
        <w:tc>
          <w:tcPr>
            <w:tcW w:w="4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1" w:name="page172"/>
    <w:bookmarkEnd w:id="17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1"/>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1"/>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3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335,345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340,083</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285,678</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54</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65</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79</w:t>
            </w:r>
          </w:p>
        </w:tc>
      </w:tr>
      <w:tr>
        <w:trPr>
          <w:trHeight w:val="263"/>
        </w:trPr>
        <w:tc>
          <w:tcPr>
            <w:tcW w:w="62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(15,948)</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(16,710)</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(15,059)</w:t>
            </w:r>
          </w:p>
        </w:tc>
      </w:tr>
      <w:tr>
        <w:trPr>
          <w:trHeight w:val="295"/>
        </w:trPr>
        <w:tc>
          <w:tcPr>
            <w:tcW w:w="62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net interest income</w:t>
            </w:r>
          </w:p>
        </w:tc>
        <w:tc>
          <w:tcPr>
            <w:tcW w:w="36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319,451</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323,438</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270,698</w:t>
            </w:r>
          </w:p>
        </w:tc>
      </w:tr>
      <w:tr>
        <w:trPr>
          <w:trHeight w:val="20"/>
        </w:trPr>
        <w:tc>
          <w:tcPr>
            <w:tcW w:w="624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46,701</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54,154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59,393</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57,823</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55,394</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53,082</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22,746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21,720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19,629</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(4,886)</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(4,465)</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700</w:t>
            </w: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Total noninterest income</w:t>
            </w:r>
          </w:p>
        </w:tc>
        <w:tc>
          <w:tcPr>
            <w:tcW w:w="36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122,384</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126,803</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132,804</w:t>
            </w:r>
          </w:p>
        </w:tc>
      </w:tr>
      <w:tr>
        <w:trPr>
          <w:trHeight w:val="20"/>
        </w:trPr>
        <w:tc>
          <w:tcPr>
            <w:tcW w:w="624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r>
      <w:tr>
        <w:trPr>
          <w:trHeight w:val="263"/>
        </w:trPr>
        <w:tc>
          <w:tcPr>
            <w:tcW w:w="6240" w:type="dxa"/>
            <w:vAlign w:val="bottom"/>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Banking</w:t>
            </w: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223,451</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221,997</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205,905</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Wealth Management</w:t>
            </w: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33,081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31,545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29,198</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21,653</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20,619</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17,574</w:t>
            </w:r>
          </w:p>
        </w:tc>
      </w:tr>
      <w:tr>
        <w:trPr>
          <w:trHeight w:val="263"/>
        </w:trPr>
        <w:tc>
          <w:tcPr>
            <w:tcW w:w="62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7,347</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9,720</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9,103</w:t>
            </w:r>
          </w:p>
        </w:tc>
      </w:tr>
      <w:tr>
        <w:trPr>
          <w:trHeight w:val="295"/>
        </w:trPr>
        <w:tc>
          <w:tcPr>
            <w:tcW w:w="62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36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285,532</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283,881</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261,780</w:t>
            </w:r>
          </w:p>
        </w:tc>
      </w:tr>
      <w:tr>
        <w:trPr>
          <w:trHeight w:val="20"/>
        </w:trPr>
        <w:tc>
          <w:tcPr>
            <w:tcW w:w="624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Income before income taxes</w:t>
            </w: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156,196</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167,617</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154,267</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24,742</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23,849</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23,884</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1,147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1,166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2,134</w:t>
            </w:r>
          </w:p>
        </w:tc>
      </w:tr>
      <w:tr>
        <w:trPr>
          <w:trHeight w:val="270"/>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(28,181)</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(30,895)</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(23,462)</w:t>
            </w: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color w:val="auto"/>
              </w:rPr>
              <w:t>Total income before income taxes</w:t>
            </w:r>
          </w:p>
        </w:tc>
        <w:tc>
          <w:tcPr>
            <w:tcW w:w="36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153,904</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161,737</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156,823</w:t>
            </w:r>
          </w:p>
        </w:tc>
      </w:tr>
      <w:tr>
        <w:trPr>
          <w:trHeight w:val="20"/>
        </w:trPr>
        <w:tc>
          <w:tcPr>
            <w:tcW w:w="624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r>
      <w:tr>
        <w:trPr>
          <w:trHeight w:val="263"/>
        </w:trPr>
        <w:tc>
          <w:tcPr>
            <w:tcW w:w="6240" w:type="dxa"/>
            <w:vAlign w:val="bottom"/>
          </w:tcPr>
          <w:p>
            <w:pPr>
              <w:ind w:left="20"/>
              <w:spacing w:after="0"/>
              <w:rPr>
                <w:sz w:val="20"/>
                <w:szCs w:val="20"/>
                <w:color w:val="auto"/>
              </w:rPr>
            </w:pPr>
            <w:r>
              <w:rPr>
                <w:rFonts w:ascii="Verdana" w:cs="Verdana" w:eastAsia="Verdana" w:hAnsi="Verdana"/>
                <w:sz w:val="18"/>
                <w:szCs w:val="18"/>
                <w:b w:val="1"/>
                <w:bCs w:val="1"/>
                <w:color w:val="auto"/>
              </w:rPr>
              <w:t>Net income</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Banking</w:t>
            </w: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123,853</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131,596</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117,844</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Wealth Management</w:t>
            </w: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18,804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18,543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18,570</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830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847</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1,527</w:t>
            </w:r>
          </w:p>
        </w:tc>
      </w:tr>
      <w:tr>
        <w:trPr>
          <w:trHeight w:val="263"/>
        </w:trPr>
        <w:tc>
          <w:tcPr>
            <w:tcW w:w="62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(20,922)</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(22,675)</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(14,492)</w:t>
            </w:r>
          </w:p>
        </w:tc>
      </w:tr>
      <w:tr>
        <w:trPr>
          <w:trHeight w:val="295"/>
        </w:trPr>
        <w:tc>
          <w:tcPr>
            <w:tcW w:w="62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net income</w:t>
            </w:r>
          </w:p>
        </w:tc>
        <w:tc>
          <w:tcPr>
            <w:tcW w:w="36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122,565</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128,311</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123,449</w:t>
            </w:r>
          </w:p>
        </w:tc>
      </w:tr>
      <w:tr>
        <w:trPr>
          <w:trHeight w:val="20"/>
        </w:trPr>
        <w:tc>
          <w:tcPr>
            <w:tcW w:w="624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2" w:name="page173"/>
    <w:bookmarkEnd w:id="17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22. PARENT COMPANY ONLY FINANCIAL INFORMATION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Condensed financial data for First Busey Corporation is presented below.</w:t>
      </w:r>
    </w:p>
    <w:p>
      <w:pPr>
        <w:spacing w:after="0" w:line="170" w:lineRule="exact"/>
        <w:rPr>
          <w:sz w:val="20"/>
          <w:szCs w:val="20"/>
          <w:color w:val="auto"/>
        </w:rPr>
      </w:pPr>
    </w:p>
    <w:p>
      <w:pPr>
        <w:ind w:left="4080"/>
        <w:spacing w:after="0"/>
        <w:rPr>
          <w:sz w:val="20"/>
          <w:szCs w:val="20"/>
          <w:color w:val="auto"/>
        </w:rPr>
      </w:pPr>
      <w:r>
        <w:rPr>
          <w:rFonts w:ascii="Verdana" w:cs="Verdana" w:eastAsia="Verdana" w:hAnsi="Verdana"/>
          <w:sz w:val="18"/>
          <w:szCs w:val="18"/>
          <w:b w:val="1"/>
          <w:bCs w:val="1"/>
          <w:color w:val="auto"/>
        </w:rPr>
        <w:t>CONDENSED BALANCE SHEETS</w:t>
      </w: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7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72"/>
              <w:spacing w:after="0"/>
              <w:rPr>
                <w:sz w:val="20"/>
                <w:szCs w:val="20"/>
                <w:color w:val="auto"/>
              </w:rPr>
            </w:pPr>
            <w:r>
              <w:rPr>
                <w:rFonts w:ascii="Verdana" w:cs="Verdana" w:eastAsia="Verdana" w:hAnsi="Verdana"/>
                <w:sz w:val="13"/>
                <w:szCs w:val="13"/>
                <w:b w:val="1"/>
                <w:bCs w:val="1"/>
                <w:color w:val="auto"/>
              </w:rPr>
              <w:t>As of December 31,</w:t>
            </w:r>
          </w:p>
        </w:tc>
      </w:tr>
      <w:tr>
        <w:trPr>
          <w:trHeight w:val="170"/>
        </w:trPr>
        <w:tc>
          <w:tcPr>
            <w:tcW w:w="78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3"/>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2022</w:t>
            </w:r>
          </w:p>
        </w:tc>
      </w:tr>
      <w:tr>
        <w:trPr>
          <w:trHeight w:val="255"/>
        </w:trPr>
        <w:tc>
          <w:tcPr>
            <w:tcW w:w="78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r>
      <w:tr>
        <w:trPr>
          <w:trHeight w:val="263"/>
        </w:trPr>
        <w:tc>
          <w:tcPr>
            <w:tcW w:w="7880" w:type="dxa"/>
            <w:vAlign w:val="bottom"/>
          </w:tcPr>
          <w:p>
            <w:pPr>
              <w:ind w:left="180"/>
              <w:spacing w:after="0"/>
              <w:rPr>
                <w:sz w:val="20"/>
                <w:szCs w:val="20"/>
                <w:color w:val="auto"/>
              </w:rPr>
            </w:pPr>
            <w:r>
              <w:rPr>
                <w:rFonts w:ascii="Verdana" w:cs="Verdana" w:eastAsia="Verdana" w:hAnsi="Verdana"/>
                <w:sz w:val="18"/>
                <w:szCs w:val="18"/>
                <w:color w:val="auto"/>
              </w:rPr>
              <w:t>Cash and cash equivalents</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100,098</w:t>
            </w:r>
          </w:p>
        </w:tc>
        <w:tc>
          <w:tcPr>
            <w:tcW w:w="8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91,812</w:t>
            </w:r>
          </w:p>
        </w:tc>
      </w:tr>
      <w:tr>
        <w:trPr>
          <w:trHeight w:val="277"/>
        </w:trPr>
        <w:tc>
          <w:tcPr>
            <w:tcW w:w="78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Debt securities</w:t>
            </w: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987</w:t>
            </w:r>
          </w:p>
        </w:tc>
        <w:tc>
          <w:tcPr>
            <w:tcW w:w="8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63"/>
        </w:trPr>
        <w:tc>
          <w:tcPr>
            <w:tcW w:w="7880" w:type="dxa"/>
            <w:vAlign w:val="bottom"/>
          </w:tcPr>
          <w:p>
            <w:pPr>
              <w:ind w:left="180"/>
              <w:spacing w:after="0"/>
              <w:rPr>
                <w:sz w:val="20"/>
                <w:szCs w:val="20"/>
                <w:color w:val="auto"/>
              </w:rPr>
            </w:pPr>
            <w:r>
              <w:rPr>
                <w:rFonts w:ascii="Verdana" w:cs="Verdana" w:eastAsia="Verdana" w:hAnsi="Verdana"/>
                <w:sz w:val="18"/>
                <w:szCs w:val="18"/>
                <w:color w:val="auto"/>
              </w:rPr>
              <w:t>Equity securities</w:t>
            </w:r>
          </w:p>
        </w:tc>
        <w:tc>
          <w:tcPr>
            <w:tcW w:w="36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9,364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11,535</w:t>
            </w:r>
          </w:p>
        </w:tc>
      </w:tr>
      <w:tr>
        <w:trPr>
          <w:trHeight w:val="277"/>
        </w:trPr>
        <w:tc>
          <w:tcPr>
            <w:tcW w:w="78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Investments in subsidiaries:</w:t>
            </w: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r>
      <w:tr>
        <w:trPr>
          <w:trHeight w:val="263"/>
        </w:trPr>
        <w:tc>
          <w:tcPr>
            <w:tcW w:w="7880" w:type="dxa"/>
            <w:vAlign w:val="bottom"/>
          </w:tcPr>
          <w:p>
            <w:pPr>
              <w:ind w:left="340"/>
              <w:spacing w:after="0"/>
              <w:rPr>
                <w:sz w:val="20"/>
                <w:szCs w:val="20"/>
                <w:color w:val="auto"/>
              </w:rPr>
            </w:pPr>
            <w:r>
              <w:rPr>
                <w:rFonts w:ascii="Verdana" w:cs="Verdana" w:eastAsia="Verdana" w:hAnsi="Verdana"/>
                <w:sz w:val="18"/>
                <w:szCs w:val="18"/>
                <w:color w:val="auto"/>
              </w:rPr>
              <w:t>Bank</w:t>
            </w:r>
          </w:p>
        </w:tc>
        <w:tc>
          <w:tcPr>
            <w:tcW w:w="36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1,478,118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1,369,261</w:t>
            </w:r>
          </w:p>
        </w:tc>
      </w:tr>
      <w:tr>
        <w:trPr>
          <w:trHeight w:val="277"/>
        </w:trPr>
        <w:tc>
          <w:tcPr>
            <w:tcW w:w="7880" w:type="dxa"/>
            <w:vAlign w:val="bottom"/>
            <w:shd w:val="clear" w:color="auto" w:fill="E0E7ED"/>
          </w:tcPr>
          <w:p>
            <w:pPr>
              <w:ind w:left="340"/>
              <w:spacing w:after="0"/>
              <w:rPr>
                <w:sz w:val="20"/>
                <w:szCs w:val="20"/>
                <w:color w:val="auto"/>
              </w:rPr>
            </w:pPr>
            <w:r>
              <w:rPr>
                <w:rFonts w:ascii="Verdana" w:cs="Verdana" w:eastAsia="Verdana" w:hAnsi="Verdana"/>
                <w:sz w:val="18"/>
                <w:szCs w:val="18"/>
                <w:color w:val="auto"/>
              </w:rPr>
              <w:t>Non-bank</w:t>
            </w:r>
          </w:p>
        </w:tc>
        <w:tc>
          <w:tcPr>
            <w:tcW w:w="360" w:type="dxa"/>
            <w:vAlign w:val="bottom"/>
            <w:shd w:val="clear" w:color="auto" w:fill="E0E7ED"/>
          </w:tcPr>
          <w:p>
            <w:pPr>
              <w:spacing w:after="0"/>
              <w:rPr>
                <w:sz w:val="24"/>
                <w:szCs w:val="24"/>
                <w:color w:val="auto"/>
              </w:rPr>
            </w:pP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2,181</w:t>
            </w:r>
          </w:p>
        </w:tc>
      </w:tr>
      <w:tr>
        <w:trPr>
          <w:trHeight w:val="263"/>
        </w:trPr>
        <w:tc>
          <w:tcPr>
            <w:tcW w:w="7880" w:type="dxa"/>
            <w:vAlign w:val="bottom"/>
          </w:tcPr>
          <w:p>
            <w:pPr>
              <w:ind w:left="180"/>
              <w:spacing w:after="0"/>
              <w:rPr>
                <w:sz w:val="20"/>
                <w:szCs w:val="20"/>
                <w:color w:val="auto"/>
              </w:rPr>
            </w:pPr>
            <w:r>
              <w:rPr>
                <w:rFonts w:ascii="Verdana" w:cs="Verdana" w:eastAsia="Verdana" w:hAnsi="Verdana"/>
                <w:sz w:val="18"/>
                <w:szCs w:val="18"/>
                <w:color w:val="auto"/>
              </w:rPr>
              <w:t>Premises and equipment, net</w:t>
            </w:r>
          </w:p>
        </w:tc>
        <w:tc>
          <w:tcPr>
            <w:tcW w:w="36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w:t>
            </w:r>
          </w:p>
        </w:tc>
      </w:tr>
      <w:tr>
        <w:trPr>
          <w:trHeight w:val="270"/>
        </w:trPr>
        <w:tc>
          <w:tcPr>
            <w:tcW w:w="78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assets</w:t>
            </w: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20,100</w:t>
            </w:r>
          </w:p>
        </w:tc>
        <w:tc>
          <w:tcPr>
            <w:tcW w:w="8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22,316</w:t>
            </w:r>
          </w:p>
        </w:tc>
      </w:tr>
      <w:tr>
        <w:trPr>
          <w:trHeight w:val="270"/>
        </w:trPr>
        <w:tc>
          <w:tcPr>
            <w:tcW w:w="7880" w:type="dxa"/>
            <w:vAlign w:val="bottom"/>
          </w:tcPr>
          <w:p>
            <w:pPr>
              <w:ind w:left="20"/>
              <w:spacing w:after="0"/>
              <w:rPr>
                <w:sz w:val="20"/>
                <w:szCs w:val="20"/>
                <w:color w:val="auto"/>
              </w:rPr>
            </w:pPr>
            <w:r>
              <w:rPr>
                <w:rFonts w:ascii="Verdana" w:cs="Verdana" w:eastAsia="Verdana" w:hAnsi="Verdana"/>
                <w:sz w:val="18"/>
                <w:szCs w:val="18"/>
                <w:color w:val="auto"/>
              </w:rPr>
              <w:t>Total assets</w:t>
            </w: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1,608,674</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1,497,123</w:t>
            </w:r>
          </w:p>
        </w:tc>
      </w:tr>
      <w:tr>
        <w:trPr>
          <w:trHeight w:val="20"/>
        </w:trPr>
        <w:tc>
          <w:tcPr>
            <w:tcW w:w="78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78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r>
      <w:tr>
        <w:trPr>
          <w:trHeight w:val="263"/>
        </w:trPr>
        <w:tc>
          <w:tcPr>
            <w:tcW w:w="7880" w:type="dxa"/>
            <w:vAlign w:val="bottom"/>
          </w:tcPr>
          <w:p>
            <w:pPr>
              <w:ind w:left="20"/>
              <w:spacing w:after="0"/>
              <w:rPr>
                <w:sz w:val="20"/>
                <w:szCs w:val="20"/>
                <w:color w:val="auto"/>
              </w:rPr>
            </w:pPr>
            <w:r>
              <w:rPr>
                <w:rFonts w:ascii="Verdana" w:cs="Verdana" w:eastAsia="Verdana" w:hAnsi="Verdana"/>
                <w:sz w:val="18"/>
                <w:szCs w:val="18"/>
                <w:b w:val="1"/>
                <w:bCs w:val="1"/>
                <w:color w:val="auto"/>
              </w:rPr>
              <w:t>Liabilities and stockholders' equity</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8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Liabilities:</w:t>
            </w: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r>
      <w:tr>
        <w:trPr>
          <w:trHeight w:val="263"/>
        </w:trPr>
        <w:tc>
          <w:tcPr>
            <w:tcW w:w="7880" w:type="dxa"/>
            <w:vAlign w:val="bottom"/>
          </w:tcPr>
          <w:p>
            <w:pPr>
              <w:ind w:left="340"/>
              <w:spacing w:after="0"/>
              <w:rPr>
                <w:sz w:val="20"/>
                <w:szCs w:val="20"/>
                <w:color w:val="auto"/>
              </w:rPr>
            </w:pPr>
            <w:r>
              <w:rPr>
                <w:rFonts w:ascii="Verdana" w:cs="Verdana" w:eastAsia="Verdana" w:hAnsi="Verdana"/>
                <w:sz w:val="18"/>
                <w:szCs w:val="18"/>
                <w:color w:val="auto"/>
              </w:rPr>
              <w:t>Short-term borrowings</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12,000</w:t>
            </w:r>
          </w:p>
        </w:tc>
        <w:tc>
          <w:tcPr>
            <w:tcW w:w="8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12,000</w:t>
            </w:r>
          </w:p>
        </w:tc>
      </w:tr>
      <w:tr>
        <w:trPr>
          <w:trHeight w:val="277"/>
        </w:trPr>
        <w:tc>
          <w:tcPr>
            <w:tcW w:w="7880" w:type="dxa"/>
            <w:vAlign w:val="bottom"/>
            <w:shd w:val="clear" w:color="auto" w:fill="E0E7ED"/>
          </w:tcPr>
          <w:p>
            <w:pPr>
              <w:ind w:left="340"/>
              <w:spacing w:after="0"/>
              <w:rPr>
                <w:sz w:val="20"/>
                <w:szCs w:val="20"/>
                <w:color w:val="auto"/>
              </w:rPr>
            </w:pPr>
            <w:r>
              <w:rPr>
                <w:rFonts w:ascii="Verdana" w:cs="Verdana" w:eastAsia="Verdana" w:hAnsi="Verdana"/>
                <w:sz w:val="18"/>
                <w:szCs w:val="18"/>
                <w:color w:val="auto"/>
              </w:rPr>
              <w:t>Long-term debt</w:t>
            </w: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18,000</w:t>
            </w:r>
          </w:p>
        </w:tc>
        <w:tc>
          <w:tcPr>
            <w:tcW w:w="8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30,000</w:t>
            </w:r>
          </w:p>
        </w:tc>
      </w:tr>
      <w:tr>
        <w:trPr>
          <w:trHeight w:val="263"/>
        </w:trPr>
        <w:tc>
          <w:tcPr>
            <w:tcW w:w="7880" w:type="dxa"/>
            <w:vAlign w:val="bottom"/>
          </w:tcPr>
          <w:p>
            <w:pPr>
              <w:ind w:left="340"/>
              <w:spacing w:after="0"/>
              <w:rPr>
                <w:sz w:val="20"/>
                <w:szCs w:val="20"/>
                <w:color w:val="auto"/>
              </w:rPr>
            </w:pPr>
            <w:r>
              <w:rPr>
                <w:rFonts w:ascii="Verdana" w:cs="Verdana" w:eastAsia="Verdana" w:hAnsi="Verdana"/>
                <w:sz w:val="18"/>
                <w:szCs w:val="18"/>
                <w:color w:val="auto"/>
              </w:rPr>
              <w:t>Subordinated notes, net of unamortized issuance costs</w:t>
            </w:r>
          </w:p>
        </w:tc>
        <w:tc>
          <w:tcPr>
            <w:tcW w:w="36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222,882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222,038</w:t>
            </w:r>
          </w:p>
        </w:tc>
      </w:tr>
      <w:tr>
        <w:trPr>
          <w:trHeight w:val="277"/>
        </w:trPr>
        <w:tc>
          <w:tcPr>
            <w:tcW w:w="7880" w:type="dxa"/>
            <w:vAlign w:val="bottom"/>
            <w:shd w:val="clear" w:color="auto" w:fill="E0E7ED"/>
          </w:tcPr>
          <w:p>
            <w:pPr>
              <w:ind w:left="340"/>
              <w:spacing w:after="0"/>
              <w:rPr>
                <w:sz w:val="20"/>
                <w:szCs w:val="20"/>
                <w:color w:val="auto"/>
              </w:rPr>
            </w:pPr>
            <w:r>
              <w:rPr>
                <w:rFonts w:ascii="Verdana" w:cs="Verdana" w:eastAsia="Verdana" w:hAnsi="Verdana"/>
                <w:sz w:val="18"/>
                <w:szCs w:val="18"/>
                <w:color w:val="auto"/>
              </w:rPr>
              <w:t>Junior subordinated debentures owed to unconsolidated trusts</w:t>
            </w: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71,993</w:t>
            </w:r>
          </w:p>
        </w:tc>
        <w:tc>
          <w:tcPr>
            <w:tcW w:w="8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71,810</w:t>
            </w:r>
          </w:p>
        </w:tc>
      </w:tr>
      <w:tr>
        <w:trPr>
          <w:trHeight w:val="264"/>
        </w:trPr>
        <w:tc>
          <w:tcPr>
            <w:tcW w:w="7880" w:type="dxa"/>
            <w:vAlign w:val="bottom"/>
            <w:tcBorders>
              <w:bottom w:val="single" w:sz="8" w:color="E0E7ED"/>
            </w:tcBorders>
          </w:tcPr>
          <w:p>
            <w:pPr>
              <w:ind w:left="340"/>
              <w:spacing w:after="0"/>
              <w:rPr>
                <w:sz w:val="20"/>
                <w:szCs w:val="20"/>
                <w:color w:val="auto"/>
              </w:rPr>
            </w:pPr>
            <w:r>
              <w:rPr>
                <w:rFonts w:ascii="Verdana" w:cs="Verdana" w:eastAsia="Verdana" w:hAnsi="Verdana"/>
                <w:sz w:val="18"/>
                <w:szCs w:val="18"/>
                <w:color w:val="auto"/>
              </w:rPr>
              <w:t>Other liabilities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11,818</w:t>
            </w:r>
          </w:p>
        </w:tc>
        <w:tc>
          <w:tcPr>
            <w:tcW w:w="8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15,298</w:t>
            </w:r>
          </w:p>
        </w:tc>
      </w:tr>
      <w:tr>
        <w:trPr>
          <w:trHeight w:val="270"/>
        </w:trPr>
        <w:tc>
          <w:tcPr>
            <w:tcW w:w="78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liabilities</w:t>
            </w:r>
          </w:p>
        </w:tc>
        <w:tc>
          <w:tcPr>
            <w:tcW w:w="3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336,693</w:t>
            </w:r>
          </w:p>
        </w:tc>
        <w:tc>
          <w:tcPr>
            <w:tcW w:w="8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351,146</w:t>
            </w:r>
          </w:p>
        </w:tc>
      </w:tr>
      <w:tr>
        <w:trPr>
          <w:trHeight w:val="270"/>
        </w:trPr>
        <w:tc>
          <w:tcPr>
            <w:tcW w:w="7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63"/>
        </w:trPr>
        <w:tc>
          <w:tcPr>
            <w:tcW w:w="78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stockholders' equity</w:t>
            </w:r>
          </w:p>
        </w:tc>
        <w:tc>
          <w:tcPr>
            <w:tcW w:w="36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1,271,981</w:t>
            </w:r>
          </w:p>
        </w:tc>
        <w:tc>
          <w:tcPr>
            <w:tcW w:w="80" w:type="dxa"/>
            <w:vAlign w:val="bottom"/>
            <w:shd w:val="clear" w:color="auto" w:fill="E0E7ED"/>
          </w:tcPr>
          <w:p>
            <w:pPr>
              <w:spacing w:after="0"/>
              <w:rPr>
                <w:sz w:val="22"/>
                <w:szCs w:val="22"/>
                <w:color w:val="auto"/>
              </w:rPr>
            </w:pPr>
          </w:p>
        </w:tc>
        <w:tc>
          <w:tcPr>
            <w:tcW w:w="38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1,145,977</w:t>
            </w:r>
          </w:p>
        </w:tc>
      </w:tr>
      <w:tr>
        <w:trPr>
          <w:trHeight w:val="270"/>
        </w:trPr>
        <w:tc>
          <w:tcPr>
            <w:tcW w:w="7880" w:type="dxa"/>
            <w:vAlign w:val="bottom"/>
          </w:tcPr>
          <w:p>
            <w:pPr>
              <w:ind w:left="20"/>
              <w:spacing w:after="0"/>
              <w:rPr>
                <w:sz w:val="20"/>
                <w:szCs w:val="20"/>
                <w:color w:val="auto"/>
              </w:rPr>
            </w:pPr>
            <w:r>
              <w:rPr>
                <w:rFonts w:ascii="Verdana" w:cs="Verdana" w:eastAsia="Verdana" w:hAnsi="Verdana"/>
                <w:sz w:val="18"/>
                <w:szCs w:val="18"/>
                <w:color w:val="auto"/>
              </w:rPr>
              <w:t>Total liabilities and stockholders' equity</w:t>
            </w: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1,608,674</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1,497,123</w:t>
            </w: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19"/>
        </w:trPr>
        <w:tc>
          <w:tcPr>
            <w:tcW w:w="1580" w:type="dxa"/>
            <w:vAlign w:val="bottom"/>
          </w:tcPr>
          <w:p>
            <w:pPr>
              <w:spacing w:after="0"/>
              <w:rPr>
                <w:sz w:val="20"/>
                <w:szCs w:val="20"/>
                <w:color w:val="auto"/>
              </w:rPr>
            </w:pPr>
            <w:r>
              <w:rPr>
                <w:rFonts w:ascii="Verdana" w:cs="Verdana" w:eastAsia="Verdana" w:hAnsi="Verdana"/>
                <w:sz w:val="18"/>
                <w:szCs w:val="18"/>
                <w:color w:val="0000FF"/>
                <w:w w:val="97"/>
              </w:rPr>
              <w:t>Table of Contents</w:t>
            </w:r>
          </w:p>
        </w:tc>
        <w:tc>
          <w:tcPr>
            <w:tcW w:w="260" w:type="dxa"/>
            <w:vAlign w:val="bottom"/>
          </w:tcPr>
          <w:p>
            <w:pPr>
              <w:spacing w:after="0"/>
              <w:rPr>
                <w:sz w:val="19"/>
                <w:szCs w:val="19"/>
                <w:color w:val="auto"/>
              </w:rPr>
            </w:pPr>
          </w:p>
        </w:tc>
        <w:tc>
          <w:tcPr>
            <w:tcW w:w="5920" w:type="dxa"/>
            <w:vAlign w:val="bottom"/>
            <w:gridSpan w:val="4"/>
          </w:tcPr>
          <w:p>
            <w:pPr>
              <w:jc w:val="right"/>
              <w:ind w:right="80"/>
              <w:spacing w:after="0"/>
              <w:rPr>
                <w:sz w:val="20"/>
                <w:szCs w:val="20"/>
                <w:color w:val="auto"/>
              </w:rPr>
            </w:pPr>
            <w:r>
              <w:rPr>
                <w:rFonts w:ascii="Verdana" w:cs="Verdana" w:eastAsia="Verdana" w:hAnsi="Verdana"/>
                <w:sz w:val="18"/>
                <w:szCs w:val="18"/>
                <w:color w:val="0000FF"/>
                <w:w w:val="99"/>
              </w:rPr>
              <w:t>Contents of Item 8. Financial Statements &amp; Supplementary Data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61"/>
        </w:trPr>
        <w:tc>
          <w:tcPr>
            <w:tcW w:w="15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840" w:type="dxa"/>
            <w:vAlign w:val="bottom"/>
            <w:tcBorders>
              <w:top w:val="single" w:sz="8" w:color="0000FF"/>
            </w:tcBorders>
            <w:gridSpan w:val="3"/>
          </w:tcPr>
          <w:p>
            <w:pPr>
              <w:jc w:val="center"/>
              <w:ind w:left="1630"/>
              <w:spacing w:after="0"/>
              <w:rPr>
                <w:sz w:val="20"/>
                <w:szCs w:val="20"/>
                <w:color w:val="auto"/>
              </w:rPr>
            </w:pPr>
            <w:r>
              <w:rPr>
                <w:rFonts w:ascii="Verdana" w:cs="Verdana" w:eastAsia="Verdana" w:hAnsi="Verdana"/>
                <w:sz w:val="18"/>
                <w:szCs w:val="18"/>
                <w:b w:val="1"/>
                <w:bCs w:val="1"/>
                <w:color w:val="auto"/>
              </w:rPr>
              <w:t>FIRST BUSEY CORPORATION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5"/>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7"/>
          </w:tcPr>
          <w:p>
            <w:pPr>
              <w:jc w:val="center"/>
              <w:ind w:left="890"/>
              <w:spacing w:after="0"/>
              <w:rPr>
                <w:sz w:val="20"/>
                <w:szCs w:val="20"/>
                <w:color w:val="auto"/>
              </w:rPr>
            </w:pPr>
            <w:r>
              <w:rPr>
                <w:rFonts w:ascii="Verdana" w:cs="Verdana" w:eastAsia="Verdana" w:hAnsi="Verdana"/>
                <w:sz w:val="18"/>
                <w:szCs w:val="18"/>
                <w:b w:val="1"/>
                <w:bCs w:val="1"/>
                <w:color w:val="auto"/>
                <w:w w:val="99"/>
              </w:rPr>
              <w:t>NOTES TO CONSOLIDATED FINANCIAL STATEMENTS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02"/>
        </w:trPr>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gridSpan w:val="4"/>
          </w:tcPr>
          <w:p>
            <w:pPr>
              <w:jc w:val="center"/>
              <w:ind w:left="1550"/>
              <w:spacing w:after="0"/>
              <w:rPr>
                <w:sz w:val="20"/>
                <w:szCs w:val="20"/>
                <w:color w:val="auto"/>
              </w:rPr>
            </w:pPr>
            <w:r>
              <w:rPr>
                <w:rFonts w:ascii="Verdana" w:cs="Verdana" w:eastAsia="Verdana" w:hAnsi="Verdana"/>
                <w:sz w:val="18"/>
                <w:szCs w:val="18"/>
                <w:b w:val="1"/>
                <w:bCs w:val="1"/>
                <w:color w:val="auto"/>
              </w:rPr>
              <w:t>CONDENSED STATEMENTS OF INCOME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5"/>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00" w:type="dxa"/>
            <w:vAlign w:val="bottom"/>
            <w:gridSpan w:val="2"/>
          </w:tcPr>
          <w:p>
            <w:pPr>
              <w:jc w:val="center"/>
              <w:ind w:left="2590"/>
              <w:spacing w:after="0"/>
              <w:rPr>
                <w:sz w:val="20"/>
                <w:szCs w:val="20"/>
                <w:color w:val="auto"/>
              </w:rPr>
            </w:pPr>
            <w:r>
              <w:rPr>
                <w:rFonts w:ascii="Verdana" w:cs="Verdana" w:eastAsia="Verdana" w:hAnsi="Verdana"/>
                <w:sz w:val="18"/>
                <w:szCs w:val="18"/>
                <w:i w:val="1"/>
                <w:iCs w:val="1"/>
                <w:color w:val="auto"/>
                <w:w w:val="99"/>
              </w:rPr>
              <w:t>(dollars 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2"/>
        </w:trPr>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w w:val="96"/>
              </w:rPr>
              <w:t>Years Ended December 31,</w:t>
            </w:r>
          </w:p>
        </w:tc>
        <w:tc>
          <w:tcPr>
            <w:tcW w:w="1220" w:type="dxa"/>
            <w:vAlign w:val="bottom"/>
            <w:tcBorders>
              <w:bottom w:val="single" w:sz="8" w:color="auto"/>
            </w:tcBorders>
          </w:tcPr>
          <w:p>
            <w:pPr>
              <w:spacing w:after="0"/>
              <w:rPr>
                <w:sz w:val="24"/>
                <w:szCs w:val="24"/>
                <w:color w:val="auto"/>
              </w:rPr>
            </w:pPr>
          </w:p>
        </w:tc>
      </w:tr>
      <w:tr>
        <w:trPr>
          <w:trHeight w:val="170"/>
        </w:trPr>
        <w:tc>
          <w:tcPr>
            <w:tcW w:w="1580" w:type="dxa"/>
            <w:vAlign w:val="bottom"/>
            <w:tcBorders>
              <w:bottom w:val="single" w:sz="8" w:color="E0E7ED"/>
            </w:tcBorders>
          </w:tcPr>
          <w:p>
            <w:pPr>
              <w:spacing w:after="0"/>
              <w:rPr>
                <w:sz w:val="14"/>
                <w:szCs w:val="14"/>
                <w:color w:val="auto"/>
              </w:rPr>
            </w:pPr>
          </w:p>
        </w:tc>
        <w:tc>
          <w:tcPr>
            <w:tcW w:w="260" w:type="dxa"/>
            <w:vAlign w:val="bottom"/>
            <w:tcBorders>
              <w:bottom w:val="single" w:sz="8" w:color="E0E7ED"/>
            </w:tcBorders>
          </w:tcPr>
          <w:p>
            <w:pPr>
              <w:spacing w:after="0"/>
              <w:rPr>
                <w:sz w:val="14"/>
                <w:szCs w:val="14"/>
                <w:color w:val="auto"/>
              </w:rPr>
            </w:pPr>
          </w:p>
        </w:tc>
        <w:tc>
          <w:tcPr>
            <w:tcW w:w="4400" w:type="dxa"/>
            <w:vAlign w:val="bottom"/>
            <w:tcBorders>
              <w:bottom w:val="single" w:sz="8" w:color="E0E7ED"/>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18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b w:val="1"/>
                <w:bCs w:val="1"/>
                <w:color w:val="auto"/>
              </w:rPr>
              <w:t>Operating income</w:t>
            </w:r>
          </w:p>
        </w:tc>
        <w:tc>
          <w:tcPr>
            <w:tcW w:w="4400" w:type="dxa"/>
            <w:vAlign w:val="bottom"/>
            <w:shd w:val="clear" w:color="auto" w:fill="E0E7ED"/>
          </w:tcPr>
          <w:p>
            <w:pPr>
              <w:spacing w:after="0"/>
              <w:rPr>
                <w:sz w:val="22"/>
                <w:szCs w:val="22"/>
                <w:color w:val="auto"/>
              </w:rPr>
            </w:pPr>
          </w:p>
        </w:tc>
        <w:tc>
          <w:tcPr>
            <w:tcW w:w="500" w:type="dxa"/>
            <w:vAlign w:val="bottom"/>
            <w:shd w:val="clear" w:color="auto" w:fill="E0E7ED"/>
          </w:tcPr>
          <w:p>
            <w:pPr>
              <w:spacing w:after="0"/>
              <w:rPr>
                <w:sz w:val="22"/>
                <w:szCs w:val="22"/>
                <w:color w:val="auto"/>
              </w:rPr>
            </w:pPr>
          </w:p>
        </w:tc>
        <w:tc>
          <w:tcPr>
            <w:tcW w:w="9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480" w:type="dxa"/>
            <w:vAlign w:val="bottom"/>
            <w:shd w:val="clear" w:color="auto" w:fill="E0E7ED"/>
          </w:tcPr>
          <w:p>
            <w:pPr>
              <w:spacing w:after="0"/>
              <w:rPr>
                <w:sz w:val="22"/>
                <w:szCs w:val="22"/>
                <w:color w:val="auto"/>
              </w:rPr>
            </w:pPr>
          </w:p>
        </w:tc>
        <w:tc>
          <w:tcPr>
            <w:tcW w:w="11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740" w:type="dxa"/>
            <w:vAlign w:val="bottom"/>
            <w:gridSpan w:val="4"/>
          </w:tcPr>
          <w:p>
            <w:pPr>
              <w:ind w:left="180"/>
              <w:spacing w:after="0"/>
              <w:rPr>
                <w:sz w:val="20"/>
                <w:szCs w:val="20"/>
                <w:color w:val="auto"/>
              </w:rPr>
            </w:pPr>
            <w:r>
              <w:rPr>
                <w:rFonts w:ascii="Verdana" w:cs="Verdana" w:eastAsia="Verdana" w:hAnsi="Verdana"/>
                <w:sz w:val="18"/>
                <w:szCs w:val="18"/>
                <w:color w:val="auto"/>
              </w:rPr>
              <w:t>Dividends from subsidiaries:</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1840" w:type="dxa"/>
            <w:vAlign w:val="bottom"/>
            <w:gridSpan w:val="2"/>
            <w:shd w:val="clear" w:color="auto" w:fill="E0E7ED"/>
          </w:tcPr>
          <w:p>
            <w:pPr>
              <w:ind w:left="360"/>
              <w:spacing w:after="0"/>
              <w:rPr>
                <w:sz w:val="20"/>
                <w:szCs w:val="20"/>
                <w:color w:val="auto"/>
              </w:rPr>
            </w:pPr>
            <w:r>
              <w:rPr>
                <w:rFonts w:ascii="Verdana" w:cs="Verdana" w:eastAsia="Verdana" w:hAnsi="Verdana"/>
                <w:sz w:val="18"/>
                <w:szCs w:val="18"/>
                <w:color w:val="auto"/>
              </w:rPr>
              <w:t>Bank</w:t>
            </w:r>
          </w:p>
        </w:tc>
        <w:tc>
          <w:tcPr>
            <w:tcW w:w="49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1020" w:type="dxa"/>
            <w:vAlign w:val="bottom"/>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90,000</w:t>
            </w:r>
          </w:p>
        </w:tc>
        <w:tc>
          <w:tcPr>
            <w:tcW w:w="660" w:type="dxa"/>
            <w:vAlign w:val="bottom"/>
            <w:gridSpan w:val="3"/>
            <w:shd w:val="clear" w:color="auto" w:fill="E0E7ED"/>
          </w:tcPr>
          <w:p>
            <w:pPr>
              <w:jc w:val="right"/>
              <w:ind w:right="36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95,000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60,000</w:t>
            </w:r>
          </w:p>
        </w:tc>
      </w:tr>
      <w:tr>
        <w:trPr>
          <w:trHeight w:val="263"/>
        </w:trPr>
        <w:tc>
          <w:tcPr>
            <w:tcW w:w="1840" w:type="dxa"/>
            <w:vAlign w:val="bottom"/>
            <w:gridSpan w:val="2"/>
          </w:tcPr>
          <w:p>
            <w:pPr>
              <w:ind w:left="360"/>
              <w:spacing w:after="0"/>
              <w:rPr>
                <w:sz w:val="20"/>
                <w:szCs w:val="20"/>
                <w:color w:val="auto"/>
              </w:rPr>
            </w:pPr>
            <w:r>
              <w:rPr>
                <w:rFonts w:ascii="Verdana" w:cs="Verdana" w:eastAsia="Verdana" w:hAnsi="Verdana"/>
                <w:sz w:val="18"/>
                <w:szCs w:val="18"/>
                <w:color w:val="auto"/>
              </w:rPr>
              <w:t>Non-bank</w:t>
            </w:r>
          </w:p>
        </w:tc>
        <w:tc>
          <w:tcPr>
            <w:tcW w:w="4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Verdana" w:cs="Verdana" w:eastAsia="Verdana" w:hAnsi="Verdana"/>
                <w:sz w:val="18"/>
                <w:szCs w:val="18"/>
                <w:color w:val="auto"/>
              </w:rPr>
              <w:t>900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Verdana" w:cs="Verdana" w:eastAsia="Verdana" w:hAnsi="Verdana"/>
                <w:sz w:val="18"/>
                <w:szCs w:val="18"/>
                <w:color w:val="auto"/>
              </w:rPr>
              <w:t>1,630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1,745</w:t>
            </w:r>
          </w:p>
        </w:tc>
      </w:tr>
      <w:tr>
        <w:trPr>
          <w:trHeight w:val="277"/>
        </w:trPr>
        <w:tc>
          <w:tcPr>
            <w:tcW w:w="6740" w:type="dxa"/>
            <w:vAlign w:val="bottom"/>
            <w:gridSpan w:val="4"/>
            <w:shd w:val="clear" w:color="auto" w:fill="E0E7ED"/>
          </w:tcPr>
          <w:p>
            <w:pPr>
              <w:ind w:left="180"/>
              <w:spacing w:after="0"/>
              <w:rPr>
                <w:sz w:val="20"/>
                <w:szCs w:val="20"/>
                <w:color w:val="auto"/>
              </w:rPr>
            </w:pPr>
            <w:r>
              <w:rPr>
                <w:rFonts w:ascii="Verdana" w:cs="Verdana" w:eastAsia="Verdana" w:hAnsi="Verdana"/>
                <w:sz w:val="18"/>
                <w:szCs w:val="18"/>
                <w:color w:val="auto"/>
              </w:rPr>
              <w:t>Income from dissolution of non-bank subsidiary</w:t>
            </w:r>
          </w:p>
        </w:tc>
        <w:tc>
          <w:tcPr>
            <w:tcW w:w="1020" w:type="dxa"/>
            <w:vAlign w:val="bottom"/>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733</w:t>
            </w:r>
          </w:p>
        </w:tc>
        <w:tc>
          <w:tcPr>
            <w:tcW w:w="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80" w:type="dxa"/>
            <w:vAlign w:val="bottom"/>
            <w:shd w:val="clear" w:color="auto" w:fill="E0E7ED"/>
          </w:tcPr>
          <w:p>
            <w:pPr>
              <w:spacing w:after="0"/>
              <w:rPr>
                <w:sz w:val="24"/>
                <w:szCs w:val="24"/>
                <w:color w:val="auto"/>
              </w:rPr>
            </w:pPr>
          </w:p>
        </w:tc>
        <w:tc>
          <w:tcPr>
            <w:tcW w:w="122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63"/>
        </w:trPr>
        <w:tc>
          <w:tcPr>
            <w:tcW w:w="1840" w:type="dxa"/>
            <w:vAlign w:val="bottom"/>
            <w:gridSpan w:val="2"/>
          </w:tcPr>
          <w:p>
            <w:pPr>
              <w:ind w:left="180"/>
              <w:spacing w:after="0"/>
              <w:rPr>
                <w:sz w:val="20"/>
                <w:szCs w:val="20"/>
                <w:color w:val="auto"/>
              </w:rPr>
            </w:pPr>
            <w:r>
              <w:rPr>
                <w:rFonts w:ascii="Verdana" w:cs="Verdana" w:eastAsia="Verdana" w:hAnsi="Verdana"/>
                <w:sz w:val="18"/>
                <w:szCs w:val="18"/>
                <w:color w:val="auto"/>
              </w:rPr>
              <w:t>Interest income</w:t>
            </w:r>
          </w:p>
        </w:tc>
        <w:tc>
          <w:tcPr>
            <w:tcW w:w="4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Verdana" w:cs="Verdana" w:eastAsia="Verdana" w:hAnsi="Verdana"/>
                <w:sz w:val="18"/>
                <w:szCs w:val="18"/>
                <w:color w:val="auto"/>
              </w:rPr>
              <w:t>2,956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Verdana" w:cs="Verdana" w:eastAsia="Verdana" w:hAnsi="Verdana"/>
                <w:sz w:val="18"/>
                <w:szCs w:val="18"/>
                <w:color w:val="auto"/>
              </w:rPr>
              <w:t>1,094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79</w:t>
            </w:r>
          </w:p>
        </w:tc>
      </w:tr>
      <w:tr>
        <w:trPr>
          <w:trHeight w:val="277"/>
        </w:trPr>
        <w:tc>
          <w:tcPr>
            <w:tcW w:w="6740" w:type="dxa"/>
            <w:vAlign w:val="bottom"/>
            <w:gridSpan w:val="4"/>
            <w:shd w:val="clear" w:color="auto" w:fill="E0E7ED"/>
          </w:tcPr>
          <w:p>
            <w:pPr>
              <w:ind w:left="180"/>
              <w:spacing w:after="0"/>
              <w:rPr>
                <w:sz w:val="20"/>
                <w:szCs w:val="20"/>
                <w:color w:val="auto"/>
              </w:rPr>
            </w:pPr>
            <w:r>
              <w:rPr>
                <w:rFonts w:ascii="Verdana" w:cs="Verdana" w:eastAsia="Verdana" w:hAnsi="Verdana"/>
                <w:sz w:val="18"/>
                <w:szCs w:val="18"/>
                <w:color w:val="auto"/>
              </w:rPr>
              <w:t>Gains (losses) recognized on equity securities, net</w:t>
            </w:r>
          </w:p>
        </w:tc>
        <w:tc>
          <w:tcPr>
            <w:tcW w:w="110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(2,171)</w:t>
            </w:r>
          </w:p>
        </w:tc>
        <w:tc>
          <w:tcPr>
            <w:tcW w:w="100" w:type="dxa"/>
            <w:vAlign w:val="bottom"/>
            <w:shd w:val="clear" w:color="auto" w:fill="E0E7ED"/>
          </w:tcPr>
          <w:p>
            <w:pPr>
              <w:spacing w:after="0"/>
              <w:rPr>
                <w:sz w:val="24"/>
                <w:szCs w:val="24"/>
                <w:color w:val="auto"/>
              </w:rPr>
            </w:pPr>
          </w:p>
        </w:tc>
        <w:tc>
          <w:tcPr>
            <w:tcW w:w="48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(2,159)</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3,041</w:t>
            </w:r>
          </w:p>
        </w:tc>
      </w:tr>
      <w:tr>
        <w:trPr>
          <w:trHeight w:val="263"/>
        </w:trPr>
        <w:tc>
          <w:tcPr>
            <w:tcW w:w="1840" w:type="dxa"/>
            <w:vAlign w:val="bottom"/>
            <w:tcBorders>
              <w:bottom w:val="single" w:sz="8" w:color="E0E7ED"/>
            </w:tcBorders>
            <w:gridSpan w:val="2"/>
          </w:tcPr>
          <w:p>
            <w:pPr>
              <w:ind w:left="180"/>
              <w:spacing w:after="0"/>
              <w:rPr>
                <w:sz w:val="20"/>
                <w:szCs w:val="20"/>
                <w:color w:val="auto"/>
              </w:rPr>
            </w:pPr>
            <w:r>
              <w:rPr>
                <w:rFonts w:ascii="Verdana" w:cs="Verdana" w:eastAsia="Verdana" w:hAnsi="Verdana"/>
                <w:sz w:val="18"/>
                <w:szCs w:val="18"/>
                <w:color w:val="auto"/>
              </w:rPr>
              <w:t>Other income</w:t>
            </w:r>
          </w:p>
        </w:tc>
        <w:tc>
          <w:tcPr>
            <w:tcW w:w="4400" w:type="dxa"/>
            <w:vAlign w:val="bottom"/>
            <w:tcBorders>
              <w:bottom w:val="single" w:sz="8" w:color="E0E7ED"/>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Verdana" w:cs="Verdana" w:eastAsia="Verdana" w:hAnsi="Verdana"/>
                <w:sz w:val="18"/>
                <w:szCs w:val="18"/>
                <w:color w:val="auto"/>
              </w:rPr>
              <w:t>14,130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E0E7ED"/>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15,195</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12,109</w:t>
            </w:r>
          </w:p>
        </w:tc>
      </w:tr>
      <w:tr>
        <w:trPr>
          <w:trHeight w:val="263"/>
        </w:trPr>
        <w:tc>
          <w:tcPr>
            <w:tcW w:w="6740" w:type="dxa"/>
            <w:vAlign w:val="bottom"/>
            <w:gridSpan w:val="4"/>
            <w:shd w:val="clear" w:color="auto" w:fill="E0E7ED"/>
          </w:tcPr>
          <w:p>
            <w:pPr>
              <w:ind w:left="20"/>
              <w:spacing w:after="0"/>
              <w:rPr>
                <w:sz w:val="20"/>
                <w:szCs w:val="20"/>
                <w:color w:val="auto"/>
              </w:rPr>
            </w:pPr>
            <w:r>
              <w:rPr>
                <w:rFonts w:ascii="Verdana" w:cs="Verdana" w:eastAsia="Verdana" w:hAnsi="Verdana"/>
                <w:sz w:val="18"/>
                <w:szCs w:val="18"/>
                <w:color w:val="auto"/>
              </w:rPr>
              <w:t>Total operating income</w:t>
            </w:r>
          </w:p>
        </w:tc>
        <w:tc>
          <w:tcPr>
            <w:tcW w:w="1020" w:type="dxa"/>
            <w:vAlign w:val="bottom"/>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106,548</w:t>
            </w:r>
          </w:p>
        </w:tc>
        <w:tc>
          <w:tcPr>
            <w:tcW w:w="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480" w:type="dxa"/>
            <w:vAlign w:val="bottom"/>
            <w:shd w:val="clear" w:color="auto" w:fill="E0E7ED"/>
          </w:tcPr>
          <w:p>
            <w:pPr>
              <w:spacing w:after="0"/>
              <w:rPr>
                <w:sz w:val="22"/>
                <w:szCs w:val="22"/>
                <w:color w:val="auto"/>
              </w:rPr>
            </w:pPr>
          </w:p>
        </w:tc>
        <w:tc>
          <w:tcPr>
            <w:tcW w:w="11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110,760</w:t>
            </w: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76,974</w:t>
            </w:r>
          </w:p>
        </w:tc>
      </w:tr>
      <w:tr>
        <w:trPr>
          <w:trHeight w:val="257"/>
        </w:trPr>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70"/>
        </w:trPr>
        <w:tc>
          <w:tcPr>
            <w:tcW w:w="18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b w:val="1"/>
                <w:bCs w:val="1"/>
                <w:color w:val="auto"/>
              </w:rPr>
              <w:t>Expense</w:t>
            </w:r>
          </w:p>
        </w:tc>
        <w:tc>
          <w:tcPr>
            <w:tcW w:w="4400" w:type="dxa"/>
            <w:vAlign w:val="bottom"/>
            <w:shd w:val="clear" w:color="auto" w:fill="E0E7ED"/>
          </w:tcPr>
          <w:p>
            <w:pPr>
              <w:spacing w:after="0"/>
              <w:rPr>
                <w:sz w:val="23"/>
                <w:szCs w:val="23"/>
                <w:color w:val="auto"/>
              </w:rPr>
            </w:pPr>
          </w:p>
        </w:tc>
        <w:tc>
          <w:tcPr>
            <w:tcW w:w="50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8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r>
      <w:tr>
        <w:trPr>
          <w:trHeight w:val="263"/>
        </w:trPr>
        <w:tc>
          <w:tcPr>
            <w:tcW w:w="6740" w:type="dxa"/>
            <w:vAlign w:val="bottom"/>
            <w:gridSpan w:val="4"/>
          </w:tcPr>
          <w:p>
            <w:pPr>
              <w:ind w:left="180"/>
              <w:spacing w:after="0"/>
              <w:rPr>
                <w:sz w:val="20"/>
                <w:szCs w:val="20"/>
                <w:color w:val="auto"/>
              </w:rPr>
            </w:pPr>
            <w:r>
              <w:rPr>
                <w:rFonts w:ascii="Verdana" w:cs="Verdana" w:eastAsia="Verdana" w:hAnsi="Verdana"/>
                <w:sz w:val="18"/>
                <w:szCs w:val="18"/>
                <w:color w:val="auto"/>
              </w:rPr>
              <w:t>Salaries, wages, and employee benefits</w:t>
            </w:r>
          </w:p>
        </w:tc>
        <w:tc>
          <w:tcPr>
            <w:tcW w:w="1020" w:type="dxa"/>
            <w:vAlign w:val="bottom"/>
            <w:gridSpan w:val="2"/>
          </w:tcPr>
          <w:p>
            <w:pPr>
              <w:jc w:val="right"/>
              <w:ind w:right="20"/>
              <w:spacing w:after="0"/>
              <w:rPr>
                <w:sz w:val="20"/>
                <w:szCs w:val="20"/>
                <w:color w:val="auto"/>
              </w:rPr>
            </w:pPr>
            <w:r>
              <w:rPr>
                <w:rFonts w:ascii="Verdana" w:cs="Verdana" w:eastAsia="Verdana" w:hAnsi="Verdana"/>
                <w:sz w:val="18"/>
                <w:szCs w:val="18"/>
                <w:color w:val="auto"/>
              </w:rPr>
              <w:t>17,766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Verdana" w:cs="Verdana" w:eastAsia="Verdana" w:hAnsi="Verdana"/>
                <w:sz w:val="18"/>
                <w:szCs w:val="18"/>
                <w:color w:val="auto"/>
              </w:rPr>
              <w:t>20,964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17,914</w:t>
            </w:r>
          </w:p>
        </w:tc>
      </w:tr>
      <w:tr>
        <w:trPr>
          <w:trHeight w:val="277"/>
        </w:trPr>
        <w:tc>
          <w:tcPr>
            <w:tcW w:w="18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Interest expense</w:t>
            </w:r>
          </w:p>
        </w:tc>
        <w:tc>
          <w:tcPr>
            <w:tcW w:w="4400" w:type="dxa"/>
            <w:vAlign w:val="bottom"/>
            <w:shd w:val="clear" w:color="auto" w:fill="E0E7ED"/>
          </w:tcPr>
          <w:p>
            <w:pPr>
              <w:spacing w:after="0"/>
              <w:rPr>
                <w:sz w:val="24"/>
                <w:szCs w:val="24"/>
                <w:color w:val="auto"/>
              </w:rPr>
            </w:pPr>
          </w:p>
        </w:tc>
        <w:tc>
          <w:tcPr>
            <w:tcW w:w="500" w:type="dxa"/>
            <w:vAlign w:val="bottom"/>
            <w:shd w:val="clear" w:color="auto" w:fill="E0E7ED"/>
          </w:tcPr>
          <w:p>
            <w:pPr>
              <w:spacing w:after="0"/>
              <w:rPr>
                <w:sz w:val="24"/>
                <w:szCs w:val="24"/>
                <w:color w:val="auto"/>
              </w:rPr>
            </w:pPr>
          </w:p>
        </w:tc>
        <w:tc>
          <w:tcPr>
            <w:tcW w:w="1020" w:type="dxa"/>
            <w:vAlign w:val="bottom"/>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19,005</w:t>
            </w:r>
          </w:p>
        </w:tc>
        <w:tc>
          <w:tcPr>
            <w:tcW w:w="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480" w:type="dxa"/>
            <w:vAlign w:val="bottom"/>
            <w:shd w:val="clear" w:color="auto" w:fill="E0E7ED"/>
          </w:tcPr>
          <w:p>
            <w:pPr>
              <w:spacing w:after="0"/>
              <w:rPr>
                <w:sz w:val="24"/>
                <w:szCs w:val="24"/>
                <w:color w:val="auto"/>
              </w:rPr>
            </w:pPr>
          </w:p>
        </w:tc>
        <w:tc>
          <w:tcPr>
            <w:tcW w:w="11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17,854</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15,163</w:t>
            </w:r>
          </w:p>
        </w:tc>
      </w:tr>
      <w:tr>
        <w:trPr>
          <w:trHeight w:val="263"/>
        </w:trPr>
        <w:tc>
          <w:tcPr>
            <w:tcW w:w="6740" w:type="dxa"/>
            <w:vAlign w:val="bottom"/>
            <w:gridSpan w:val="4"/>
          </w:tcPr>
          <w:p>
            <w:pPr>
              <w:ind w:left="180"/>
              <w:spacing w:after="0"/>
              <w:rPr>
                <w:sz w:val="20"/>
                <w:szCs w:val="20"/>
                <w:color w:val="auto"/>
              </w:rPr>
            </w:pPr>
            <w:r>
              <w:rPr>
                <w:rFonts w:ascii="Verdana" w:cs="Verdana" w:eastAsia="Verdana" w:hAnsi="Verdana"/>
                <w:sz w:val="18"/>
                <w:szCs w:val="18"/>
                <w:color w:val="auto"/>
              </w:rPr>
              <w:t>Operating expense</w:t>
            </w:r>
          </w:p>
        </w:tc>
        <w:tc>
          <w:tcPr>
            <w:tcW w:w="1020" w:type="dxa"/>
            <w:vAlign w:val="bottom"/>
            <w:gridSpan w:val="2"/>
          </w:tcPr>
          <w:p>
            <w:pPr>
              <w:jc w:val="right"/>
              <w:ind w:right="20"/>
              <w:spacing w:after="0"/>
              <w:rPr>
                <w:sz w:val="20"/>
                <w:szCs w:val="20"/>
                <w:color w:val="auto"/>
              </w:rPr>
            </w:pPr>
            <w:r>
              <w:rPr>
                <w:rFonts w:ascii="Verdana" w:cs="Verdana" w:eastAsia="Verdana" w:hAnsi="Verdana"/>
                <w:sz w:val="18"/>
                <w:szCs w:val="18"/>
                <w:color w:val="auto"/>
              </w:rPr>
              <w:t>8,009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Verdana" w:cs="Verdana" w:eastAsia="Verdana" w:hAnsi="Verdana"/>
                <w:sz w:val="18"/>
                <w:szCs w:val="18"/>
                <w:color w:val="auto"/>
              </w:rPr>
              <w:t>7,294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7,429</w:t>
            </w:r>
          </w:p>
        </w:tc>
      </w:tr>
      <w:tr>
        <w:trPr>
          <w:trHeight w:val="264"/>
        </w:trPr>
        <w:tc>
          <w:tcPr>
            <w:tcW w:w="184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8"/>
                <w:szCs w:val="18"/>
                <w:color w:val="auto"/>
              </w:rPr>
              <w:t>Total expense</w:t>
            </w:r>
          </w:p>
        </w:tc>
        <w:tc>
          <w:tcPr>
            <w:tcW w:w="4400" w:type="dxa"/>
            <w:vAlign w:val="bottom"/>
            <w:tcBorders>
              <w:top w:val="single" w:sz="8" w:color="E0E7ED"/>
            </w:tcBorders>
            <w:shd w:val="clear" w:color="auto" w:fill="E0E7ED"/>
          </w:tcPr>
          <w:p>
            <w:pPr>
              <w:spacing w:after="0"/>
              <w:rPr>
                <w:sz w:val="22"/>
                <w:szCs w:val="22"/>
                <w:color w:val="auto"/>
              </w:rPr>
            </w:pPr>
          </w:p>
        </w:tc>
        <w:tc>
          <w:tcPr>
            <w:tcW w:w="500" w:type="dxa"/>
            <w:vAlign w:val="bottom"/>
            <w:tcBorders>
              <w:top w:val="single" w:sz="8" w:color="auto"/>
              <w:bottom w:val="single" w:sz="8" w:color="auto"/>
            </w:tcBorders>
            <w:shd w:val="clear" w:color="auto" w:fill="E0E7ED"/>
          </w:tcPr>
          <w:p>
            <w:pPr>
              <w:spacing w:after="0"/>
              <w:rPr>
                <w:sz w:val="22"/>
                <w:szCs w:val="22"/>
                <w:color w:val="auto"/>
              </w:rPr>
            </w:pPr>
          </w:p>
        </w:tc>
        <w:tc>
          <w:tcPr>
            <w:tcW w:w="1020" w:type="dxa"/>
            <w:vAlign w:val="bottom"/>
            <w:tcBorders>
              <w:top w:val="single" w:sz="8" w:color="auto"/>
              <w:bottom w:val="single" w:sz="8" w:color="auto"/>
            </w:tcBorders>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44,780</w:t>
            </w:r>
          </w:p>
        </w:tc>
        <w:tc>
          <w:tcPr>
            <w:tcW w:w="80" w:type="dxa"/>
            <w:vAlign w:val="bottom"/>
            <w:tcBorders>
              <w:top w:val="single" w:sz="8" w:color="auto"/>
              <w:bottom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480" w:type="dxa"/>
            <w:vAlign w:val="bottom"/>
            <w:tcBorders>
              <w:top w:val="single" w:sz="8" w:color="auto"/>
              <w:bottom w:val="single" w:sz="8" w:color="auto"/>
            </w:tcBorders>
            <w:shd w:val="clear" w:color="auto" w:fill="E0E7ED"/>
          </w:tcPr>
          <w:p>
            <w:pPr>
              <w:spacing w:after="0"/>
              <w:rPr>
                <w:sz w:val="22"/>
                <w:szCs w:val="22"/>
                <w:color w:val="auto"/>
              </w:rPr>
            </w:pPr>
          </w:p>
        </w:tc>
        <w:tc>
          <w:tcPr>
            <w:tcW w:w="1120" w:type="dxa"/>
            <w:vAlign w:val="bottom"/>
            <w:tcBorders>
              <w:top w:val="single" w:sz="8" w:color="auto"/>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46,112</w:t>
            </w: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bottom w:val="single" w:sz="8" w:color="auto"/>
            </w:tcBorders>
            <w:shd w:val="clear" w:color="auto" w:fill="E0E7ED"/>
          </w:tcPr>
          <w:p>
            <w:pPr>
              <w:spacing w:after="0"/>
              <w:rPr>
                <w:sz w:val="22"/>
                <w:szCs w:val="22"/>
                <w:color w:val="auto"/>
              </w:rPr>
            </w:pPr>
          </w:p>
        </w:tc>
        <w:tc>
          <w:tcPr>
            <w:tcW w:w="12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40,506</w:t>
            </w:r>
          </w:p>
        </w:tc>
      </w:tr>
      <w:tr>
        <w:trPr>
          <w:trHeight w:val="256"/>
        </w:trPr>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8"/>
        </w:trPr>
        <w:tc>
          <w:tcPr>
            <w:tcW w:w="6740" w:type="dxa"/>
            <w:vAlign w:val="bottom"/>
            <w:gridSpan w:val="4"/>
            <w:shd w:val="clear" w:color="auto" w:fill="E0E7ED"/>
          </w:tcPr>
          <w:p>
            <w:pPr>
              <w:ind w:left="20"/>
              <w:spacing w:after="0"/>
              <w:rPr>
                <w:sz w:val="20"/>
                <w:szCs w:val="20"/>
                <w:color w:val="auto"/>
              </w:rPr>
            </w:pPr>
            <w:r>
              <w:rPr>
                <w:rFonts w:ascii="Verdana" w:cs="Verdana" w:eastAsia="Verdana" w:hAnsi="Verdana"/>
                <w:sz w:val="18"/>
                <w:szCs w:val="18"/>
                <w:color w:val="auto"/>
              </w:rPr>
              <w:t>Income (loss) before income tax benefit and equity in undistributed</w:t>
            </w:r>
          </w:p>
        </w:tc>
        <w:tc>
          <w:tcPr>
            <w:tcW w:w="9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480" w:type="dxa"/>
            <w:vAlign w:val="bottom"/>
            <w:shd w:val="clear" w:color="auto" w:fill="E0E7ED"/>
          </w:tcPr>
          <w:p>
            <w:pPr>
              <w:spacing w:after="0"/>
              <w:rPr>
                <w:sz w:val="20"/>
                <w:szCs w:val="20"/>
                <w:color w:val="auto"/>
              </w:rPr>
            </w:pPr>
          </w:p>
        </w:tc>
        <w:tc>
          <w:tcPr>
            <w:tcW w:w="11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r>
      <w:tr>
        <w:trPr>
          <w:trHeight w:val="248"/>
        </w:trPr>
        <w:tc>
          <w:tcPr>
            <w:tcW w:w="6740" w:type="dxa"/>
            <w:vAlign w:val="bottom"/>
            <w:gridSpan w:val="4"/>
            <w:shd w:val="clear" w:color="auto" w:fill="E0E7ED"/>
          </w:tcPr>
          <w:p>
            <w:pPr>
              <w:ind w:left="20"/>
              <w:spacing w:after="0"/>
              <w:rPr>
                <w:sz w:val="20"/>
                <w:szCs w:val="20"/>
                <w:color w:val="auto"/>
              </w:rPr>
            </w:pPr>
            <w:r>
              <w:rPr>
                <w:rFonts w:ascii="Verdana" w:cs="Verdana" w:eastAsia="Verdana" w:hAnsi="Verdana"/>
                <w:sz w:val="18"/>
                <w:szCs w:val="18"/>
                <w:color w:val="auto"/>
              </w:rPr>
              <w:t>(in excess of) net income of subsidiaries</w:t>
            </w:r>
          </w:p>
        </w:tc>
        <w:tc>
          <w:tcPr>
            <w:tcW w:w="1020" w:type="dxa"/>
            <w:vAlign w:val="bottom"/>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61,768</w:t>
            </w:r>
          </w:p>
        </w:tc>
        <w:tc>
          <w:tcPr>
            <w:tcW w:w="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80" w:type="dxa"/>
            <w:vAlign w:val="bottom"/>
            <w:shd w:val="clear" w:color="auto" w:fill="E0E7ED"/>
          </w:tcPr>
          <w:p>
            <w:pPr>
              <w:spacing w:after="0"/>
              <w:rPr>
                <w:sz w:val="21"/>
                <w:szCs w:val="21"/>
                <w:color w:val="auto"/>
              </w:rPr>
            </w:pPr>
          </w:p>
        </w:tc>
        <w:tc>
          <w:tcPr>
            <w:tcW w:w="11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64,648</w:t>
            </w: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36,468</w:t>
            </w:r>
          </w:p>
        </w:tc>
      </w:tr>
      <w:tr>
        <w:trPr>
          <w:trHeight w:val="263"/>
        </w:trPr>
        <w:tc>
          <w:tcPr>
            <w:tcW w:w="1840" w:type="dxa"/>
            <w:vAlign w:val="bottom"/>
            <w:tcBorders>
              <w:bottom w:val="single" w:sz="8" w:color="E0E7ED"/>
            </w:tcBorders>
            <w:gridSpan w:val="2"/>
          </w:tcPr>
          <w:p>
            <w:pPr>
              <w:ind w:left="20"/>
              <w:spacing w:after="0"/>
              <w:rPr>
                <w:sz w:val="20"/>
                <w:szCs w:val="20"/>
                <w:color w:val="auto"/>
              </w:rPr>
            </w:pPr>
            <w:r>
              <w:rPr>
                <w:rFonts w:ascii="Verdana" w:cs="Verdana" w:eastAsia="Verdana" w:hAnsi="Verdana"/>
                <w:sz w:val="18"/>
                <w:szCs w:val="18"/>
                <w:color w:val="auto"/>
              </w:rPr>
              <w:t>Income tax benefit</w:t>
            </w:r>
          </w:p>
        </w:tc>
        <w:tc>
          <w:tcPr>
            <w:tcW w:w="4400" w:type="dxa"/>
            <w:vAlign w:val="bottom"/>
            <w:tcBorders>
              <w:bottom w:val="single" w:sz="8" w:color="E0E7ED"/>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Verdana" w:cs="Verdana" w:eastAsia="Verdana" w:hAnsi="Verdana"/>
                <w:sz w:val="18"/>
                <w:szCs w:val="18"/>
                <w:color w:val="auto"/>
              </w:rPr>
              <w:t>7,310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E0E7ED"/>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8,286</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8,974</w:t>
            </w:r>
          </w:p>
        </w:tc>
      </w:tr>
      <w:tr>
        <w:trPr>
          <w:trHeight w:val="224"/>
        </w:trPr>
        <w:tc>
          <w:tcPr>
            <w:tcW w:w="6740" w:type="dxa"/>
            <w:vAlign w:val="bottom"/>
            <w:gridSpan w:val="4"/>
            <w:shd w:val="clear" w:color="auto" w:fill="E0E7ED"/>
          </w:tcPr>
          <w:p>
            <w:pPr>
              <w:ind w:left="20"/>
              <w:spacing w:after="0"/>
              <w:rPr>
                <w:sz w:val="20"/>
                <w:szCs w:val="20"/>
                <w:color w:val="auto"/>
              </w:rPr>
            </w:pPr>
            <w:r>
              <w:rPr>
                <w:rFonts w:ascii="Verdana" w:cs="Verdana" w:eastAsia="Verdana" w:hAnsi="Verdana"/>
                <w:sz w:val="18"/>
                <w:szCs w:val="18"/>
                <w:color w:val="auto"/>
              </w:rPr>
              <w:t>Income (loss) before equity in undistributed (in excess of) net</w:t>
            </w:r>
          </w:p>
        </w:tc>
        <w:tc>
          <w:tcPr>
            <w:tcW w:w="9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480" w:type="dxa"/>
            <w:vAlign w:val="bottom"/>
            <w:shd w:val="clear" w:color="auto" w:fill="E0E7ED"/>
          </w:tcPr>
          <w:p>
            <w:pPr>
              <w:spacing w:after="0"/>
              <w:rPr>
                <w:sz w:val="19"/>
                <w:szCs w:val="19"/>
                <w:color w:val="auto"/>
              </w:rPr>
            </w:pPr>
          </w:p>
        </w:tc>
        <w:tc>
          <w:tcPr>
            <w:tcW w:w="11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8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r>
      <w:tr>
        <w:trPr>
          <w:trHeight w:val="248"/>
        </w:trPr>
        <w:tc>
          <w:tcPr>
            <w:tcW w:w="6740" w:type="dxa"/>
            <w:vAlign w:val="bottom"/>
            <w:gridSpan w:val="4"/>
            <w:shd w:val="clear" w:color="auto" w:fill="E0E7ED"/>
          </w:tcPr>
          <w:p>
            <w:pPr>
              <w:ind w:left="20"/>
              <w:spacing w:after="0"/>
              <w:rPr>
                <w:sz w:val="20"/>
                <w:szCs w:val="20"/>
                <w:color w:val="auto"/>
              </w:rPr>
            </w:pPr>
            <w:r>
              <w:rPr>
                <w:rFonts w:ascii="Verdana" w:cs="Verdana" w:eastAsia="Verdana" w:hAnsi="Verdana"/>
                <w:sz w:val="18"/>
                <w:szCs w:val="18"/>
                <w:color w:val="auto"/>
              </w:rPr>
              <w:t>income of subsidiaries</w:t>
            </w:r>
          </w:p>
        </w:tc>
        <w:tc>
          <w:tcPr>
            <w:tcW w:w="1020" w:type="dxa"/>
            <w:vAlign w:val="bottom"/>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69,078</w:t>
            </w:r>
          </w:p>
        </w:tc>
        <w:tc>
          <w:tcPr>
            <w:tcW w:w="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80" w:type="dxa"/>
            <w:vAlign w:val="bottom"/>
            <w:shd w:val="clear" w:color="auto" w:fill="E0E7ED"/>
          </w:tcPr>
          <w:p>
            <w:pPr>
              <w:spacing w:after="0"/>
              <w:rPr>
                <w:sz w:val="21"/>
                <w:szCs w:val="21"/>
                <w:color w:val="auto"/>
              </w:rPr>
            </w:pPr>
          </w:p>
        </w:tc>
        <w:tc>
          <w:tcPr>
            <w:tcW w:w="11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72,934</w:t>
            </w: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45,442</w:t>
            </w:r>
          </w:p>
        </w:tc>
      </w:tr>
      <w:tr>
        <w:trPr>
          <w:trHeight w:val="270"/>
        </w:trPr>
        <w:tc>
          <w:tcPr>
            <w:tcW w:w="6240" w:type="dxa"/>
            <w:vAlign w:val="bottom"/>
            <w:gridSpan w:val="3"/>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8"/>
        </w:trPr>
        <w:tc>
          <w:tcPr>
            <w:tcW w:w="6740" w:type="dxa"/>
            <w:vAlign w:val="bottom"/>
            <w:gridSpan w:val="4"/>
            <w:shd w:val="clear" w:color="auto" w:fill="E0E7ED"/>
          </w:tcPr>
          <w:p>
            <w:pPr>
              <w:ind w:left="20"/>
              <w:spacing w:after="0"/>
              <w:rPr>
                <w:sz w:val="20"/>
                <w:szCs w:val="20"/>
                <w:color w:val="auto"/>
              </w:rPr>
            </w:pPr>
            <w:r>
              <w:rPr>
                <w:rFonts w:ascii="Verdana" w:cs="Verdana" w:eastAsia="Verdana" w:hAnsi="Verdana"/>
                <w:sz w:val="18"/>
                <w:szCs w:val="18"/>
                <w:b w:val="1"/>
                <w:bCs w:val="1"/>
                <w:color w:val="auto"/>
              </w:rPr>
              <w:t>Equity in undistributed (in excess of) net income of</w:t>
            </w:r>
          </w:p>
        </w:tc>
        <w:tc>
          <w:tcPr>
            <w:tcW w:w="9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480" w:type="dxa"/>
            <w:vAlign w:val="bottom"/>
            <w:shd w:val="clear" w:color="auto" w:fill="E0E7ED"/>
          </w:tcPr>
          <w:p>
            <w:pPr>
              <w:spacing w:after="0"/>
              <w:rPr>
                <w:sz w:val="20"/>
                <w:szCs w:val="20"/>
                <w:color w:val="auto"/>
              </w:rPr>
            </w:pPr>
          </w:p>
        </w:tc>
        <w:tc>
          <w:tcPr>
            <w:tcW w:w="11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r>
      <w:tr>
        <w:trPr>
          <w:trHeight w:val="248"/>
        </w:trPr>
        <w:tc>
          <w:tcPr>
            <w:tcW w:w="18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b w:val="1"/>
                <w:bCs w:val="1"/>
                <w:color w:val="auto"/>
              </w:rPr>
              <w:t>subsidiaries</w:t>
            </w:r>
          </w:p>
        </w:tc>
        <w:tc>
          <w:tcPr>
            <w:tcW w:w="4400" w:type="dxa"/>
            <w:vAlign w:val="bottom"/>
            <w:shd w:val="clear" w:color="auto" w:fill="E0E7ED"/>
          </w:tcPr>
          <w:p>
            <w:pPr>
              <w:spacing w:after="0"/>
              <w:rPr>
                <w:sz w:val="21"/>
                <w:szCs w:val="21"/>
                <w:color w:val="auto"/>
              </w:rPr>
            </w:pPr>
          </w:p>
        </w:tc>
        <w:tc>
          <w:tcPr>
            <w:tcW w:w="50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8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r>
      <w:tr>
        <w:trPr>
          <w:trHeight w:val="263"/>
        </w:trPr>
        <w:tc>
          <w:tcPr>
            <w:tcW w:w="1840" w:type="dxa"/>
            <w:vAlign w:val="bottom"/>
            <w:gridSpan w:val="2"/>
          </w:tcPr>
          <w:p>
            <w:pPr>
              <w:ind w:left="180"/>
              <w:spacing w:after="0"/>
              <w:rPr>
                <w:sz w:val="20"/>
                <w:szCs w:val="20"/>
                <w:color w:val="auto"/>
              </w:rPr>
            </w:pPr>
            <w:r>
              <w:rPr>
                <w:rFonts w:ascii="Verdana" w:cs="Verdana" w:eastAsia="Verdana" w:hAnsi="Verdana"/>
                <w:sz w:val="18"/>
                <w:szCs w:val="18"/>
                <w:color w:val="auto"/>
              </w:rPr>
              <w:t>Bank</w:t>
            </w:r>
          </w:p>
        </w:tc>
        <w:tc>
          <w:tcPr>
            <w:tcW w:w="4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Verdana" w:cs="Verdana" w:eastAsia="Verdana" w:hAnsi="Verdana"/>
                <w:sz w:val="18"/>
                <w:szCs w:val="18"/>
                <w:color w:val="auto"/>
              </w:rPr>
              <w:t>53,487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Verdana" w:cs="Verdana" w:eastAsia="Verdana" w:hAnsi="Verdana"/>
                <w:sz w:val="18"/>
                <w:szCs w:val="18"/>
                <w:color w:val="auto"/>
              </w:rPr>
              <w:t>55,986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77,941</w:t>
            </w:r>
          </w:p>
        </w:tc>
      </w:tr>
      <w:tr>
        <w:trPr>
          <w:trHeight w:val="270"/>
        </w:trPr>
        <w:tc>
          <w:tcPr>
            <w:tcW w:w="18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Non-bank</w:t>
            </w:r>
          </w:p>
        </w:tc>
        <w:tc>
          <w:tcPr>
            <w:tcW w:w="4400" w:type="dxa"/>
            <w:vAlign w:val="bottom"/>
            <w:shd w:val="clear" w:color="auto" w:fill="E0E7ED"/>
          </w:tcPr>
          <w:p>
            <w:pPr>
              <w:spacing w:after="0"/>
              <w:rPr>
                <w:sz w:val="23"/>
                <w:szCs w:val="23"/>
                <w:color w:val="auto"/>
              </w:rPr>
            </w:pPr>
          </w:p>
        </w:tc>
        <w:tc>
          <w:tcPr>
            <w:tcW w:w="500" w:type="dxa"/>
            <w:vAlign w:val="bottom"/>
            <w:tcBorders>
              <w:bottom w:val="single" w:sz="8" w:color="auto"/>
            </w:tcBorders>
            <w:shd w:val="clear" w:color="auto" w:fill="E0E7ED"/>
          </w:tcPr>
          <w:p>
            <w:pPr>
              <w:spacing w:after="0"/>
              <w:rPr>
                <w:sz w:val="23"/>
                <w:szCs w:val="23"/>
                <w:color w:val="auto"/>
              </w:rPr>
            </w:pPr>
          </w:p>
        </w:tc>
        <w:tc>
          <w:tcPr>
            <w:tcW w:w="1020" w:type="dxa"/>
            <w:vAlign w:val="bottom"/>
            <w:tcBorders>
              <w:bottom w:val="single" w:sz="8" w:color="auto"/>
            </w:tcBorders>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auto"/>
            </w:tcBorders>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80" w:type="dxa"/>
            <w:vAlign w:val="bottom"/>
            <w:tcBorders>
              <w:bottom w:val="single" w:sz="8" w:color="auto"/>
            </w:tcBorders>
            <w:shd w:val="clear" w:color="auto" w:fill="E0E7ED"/>
          </w:tcPr>
          <w:p>
            <w:pPr>
              <w:spacing w:after="0"/>
              <w:rPr>
                <w:sz w:val="23"/>
                <w:szCs w:val="23"/>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(609)</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66</w:t>
            </w:r>
          </w:p>
        </w:tc>
      </w:tr>
      <w:tr>
        <w:trPr>
          <w:trHeight w:val="270"/>
        </w:trPr>
        <w:tc>
          <w:tcPr>
            <w:tcW w:w="1840" w:type="dxa"/>
            <w:vAlign w:val="bottom"/>
            <w:gridSpan w:val="2"/>
          </w:tcPr>
          <w:p>
            <w:pPr>
              <w:ind w:left="20"/>
              <w:spacing w:after="0"/>
              <w:rPr>
                <w:sz w:val="20"/>
                <w:szCs w:val="20"/>
                <w:color w:val="auto"/>
              </w:rPr>
            </w:pPr>
            <w:r>
              <w:rPr>
                <w:rFonts w:ascii="Verdana" w:cs="Verdana" w:eastAsia="Verdana" w:hAnsi="Verdana"/>
                <w:sz w:val="18"/>
                <w:szCs w:val="18"/>
                <w:b w:val="1"/>
                <w:bCs w:val="1"/>
                <w:color w:val="auto"/>
              </w:rPr>
              <w:t>Net income</w:t>
            </w:r>
          </w:p>
        </w:tc>
        <w:tc>
          <w:tcPr>
            <w:tcW w:w="490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1020" w:type="dxa"/>
            <w:vAlign w:val="bottom"/>
            <w:gridSpan w:val="2"/>
          </w:tcPr>
          <w:p>
            <w:pPr>
              <w:jc w:val="right"/>
              <w:ind w:right="20"/>
              <w:spacing w:after="0"/>
              <w:rPr>
                <w:sz w:val="20"/>
                <w:szCs w:val="20"/>
                <w:color w:val="auto"/>
              </w:rPr>
            </w:pPr>
            <w:r>
              <w:rPr>
                <w:rFonts w:ascii="Verdana" w:cs="Verdana" w:eastAsia="Verdana" w:hAnsi="Verdana"/>
                <w:sz w:val="18"/>
                <w:szCs w:val="18"/>
                <w:color w:val="auto"/>
              </w:rPr>
              <w:t>122,565</w:t>
            </w:r>
          </w:p>
        </w:tc>
        <w:tc>
          <w:tcPr>
            <w:tcW w:w="660" w:type="dxa"/>
            <w:vAlign w:val="bottom"/>
            <w:gridSpan w:val="3"/>
          </w:tcPr>
          <w:p>
            <w:pPr>
              <w:jc w:val="right"/>
              <w:ind w:right="360"/>
              <w:spacing w:after="0"/>
              <w:rPr>
                <w:sz w:val="20"/>
                <w:szCs w:val="20"/>
                <w:color w:val="auto"/>
              </w:rPr>
            </w:pPr>
            <w:r>
              <w:rPr>
                <w:rFonts w:ascii="Verdana" w:cs="Verdana" w:eastAsia="Verdana" w:hAnsi="Verdana"/>
                <w:sz w:val="18"/>
                <w:szCs w:val="18"/>
                <w:color w:val="auto"/>
              </w:rPr>
              <w:t>$</w:t>
            </w:r>
          </w:p>
        </w:tc>
        <w:tc>
          <w:tcPr>
            <w:tcW w:w="1120" w:type="dxa"/>
            <w:vAlign w:val="bottom"/>
          </w:tcPr>
          <w:p>
            <w:pPr>
              <w:jc w:val="right"/>
              <w:ind w:right="12"/>
              <w:spacing w:after="0"/>
              <w:rPr>
                <w:sz w:val="20"/>
                <w:szCs w:val="20"/>
                <w:color w:val="auto"/>
              </w:rPr>
            </w:pPr>
            <w:r>
              <w:rPr>
                <w:rFonts w:ascii="Verdana" w:cs="Verdana" w:eastAsia="Verdana" w:hAnsi="Verdana"/>
                <w:sz w:val="18"/>
                <w:szCs w:val="18"/>
                <w:color w:val="auto"/>
              </w:rPr>
              <w:t>128,311</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123,449</w:t>
            </w:r>
          </w:p>
        </w:tc>
      </w:tr>
      <w:tr>
        <w:trPr>
          <w:trHeight w:val="20"/>
        </w:trPr>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174" w:name="page175"/>
    <w:bookmarkEnd w:id="17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399"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CONDENSED STATEMENTS OF CASH FLOWS</w:t>
      </w: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jc w:val="right"/>
              <w:ind w:right="250"/>
              <w:spacing w:after="0"/>
              <w:rPr>
                <w:sz w:val="20"/>
                <w:szCs w:val="20"/>
                <w:color w:val="auto"/>
              </w:rPr>
            </w:pPr>
            <w:r>
              <w:rPr>
                <w:rFonts w:ascii="Verdana" w:cs="Verdana" w:eastAsia="Verdana" w:hAnsi="Verdana"/>
                <w:sz w:val="13"/>
                <w:szCs w:val="13"/>
                <w:b w:val="1"/>
                <w:bCs w:val="1"/>
                <w:color w:val="auto"/>
              </w:rPr>
              <w:t>Years Ended December 31,</w:t>
            </w:r>
          </w:p>
        </w:tc>
        <w:tc>
          <w:tcPr>
            <w:tcW w:w="1220" w:type="dxa"/>
            <w:vAlign w:val="bottom"/>
            <w:tcBorders>
              <w:bottom w:val="single" w:sz="8" w:color="auto"/>
            </w:tcBorders>
          </w:tcPr>
          <w:p>
            <w:pPr>
              <w:spacing w:after="0"/>
              <w:rPr>
                <w:sz w:val="15"/>
                <w:szCs w:val="15"/>
                <w:color w:val="auto"/>
              </w:rPr>
            </w:pPr>
          </w:p>
        </w:tc>
      </w:tr>
      <w:tr>
        <w:trPr>
          <w:trHeight w:val="170"/>
        </w:trPr>
        <w:tc>
          <w:tcPr>
            <w:tcW w:w="624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1"/>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1"/>
              <w:spacing w:after="0"/>
              <w:rPr>
                <w:sz w:val="20"/>
                <w:szCs w:val="20"/>
                <w:color w:val="auto"/>
              </w:rPr>
            </w:pPr>
            <w:r>
              <w:rPr>
                <w:rFonts w:ascii="Verdana" w:cs="Verdana" w:eastAsia="Verdana" w:hAnsi="Verdana"/>
                <w:sz w:val="13"/>
                <w:szCs w:val="13"/>
                <w:b w:val="1"/>
                <w:bCs w:val="1"/>
                <w:color w:val="auto"/>
              </w:rPr>
              <w:t>2021</w:t>
            </w:r>
          </w:p>
        </w:tc>
      </w:tr>
      <w:tr>
        <w:trPr>
          <w:trHeight w:val="255"/>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Cash flows provided by (used in) operating activities</w:t>
            </w:r>
          </w:p>
        </w:tc>
        <w:tc>
          <w:tcPr>
            <w:tcW w:w="3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Net income</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122,565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128,311</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123,449</w:t>
            </w:r>
          </w:p>
        </w:tc>
      </w:tr>
      <w:tr>
        <w:trPr>
          <w:trHeight w:val="244"/>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Adjustments to reconcile net income to net cash provided by</w:t>
            </w: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r>
      <w:tr>
        <w:trPr>
          <w:trHeight w:val="248"/>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(used in) operating activities:</w:t>
            </w: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r>
      <w:tr>
        <w:trPr>
          <w:trHeight w:val="263"/>
        </w:trPr>
        <w:tc>
          <w:tcPr>
            <w:tcW w:w="6240" w:type="dxa"/>
            <w:vAlign w:val="bottom"/>
          </w:tcPr>
          <w:p>
            <w:pPr>
              <w:ind w:left="360"/>
              <w:spacing w:after="0"/>
              <w:rPr>
                <w:sz w:val="20"/>
                <w:szCs w:val="20"/>
                <w:color w:val="auto"/>
              </w:rPr>
            </w:pPr>
            <w:r>
              <w:rPr>
                <w:rFonts w:ascii="Verdana" w:cs="Verdana" w:eastAsia="Verdana" w:hAnsi="Verdana"/>
                <w:sz w:val="18"/>
                <w:szCs w:val="18"/>
                <w:color w:val="auto"/>
              </w:rPr>
              <w:t>Depreciation and amortization</w:t>
            </w: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1,038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1,423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882</w:t>
            </w:r>
          </w:p>
        </w:tc>
      </w:tr>
      <w:tr>
        <w:trPr>
          <w:trHeight w:val="277"/>
        </w:trPr>
        <w:tc>
          <w:tcPr>
            <w:tcW w:w="62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Distributions more (less) than net income of subsidiaries</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(53,487)</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(55,377)</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(78,007)</w:t>
            </w:r>
          </w:p>
        </w:tc>
      </w:tr>
      <w:tr>
        <w:trPr>
          <w:trHeight w:val="263"/>
        </w:trPr>
        <w:tc>
          <w:tcPr>
            <w:tcW w:w="6240" w:type="dxa"/>
            <w:vAlign w:val="bottom"/>
          </w:tcPr>
          <w:p>
            <w:pPr>
              <w:ind w:left="360"/>
              <w:spacing w:after="0"/>
              <w:rPr>
                <w:sz w:val="20"/>
                <w:szCs w:val="20"/>
                <w:color w:val="auto"/>
              </w:rPr>
            </w:pPr>
            <w:r>
              <w:rPr>
                <w:rFonts w:ascii="Verdana" w:cs="Verdana" w:eastAsia="Verdana" w:hAnsi="Verdana"/>
                <w:sz w:val="18"/>
                <w:szCs w:val="18"/>
                <w:color w:val="auto"/>
              </w:rPr>
              <w:t>(Gains) losses recognized on equity securities, net</w:t>
            </w: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2,171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Verdana" w:cs="Verdana" w:eastAsia="Verdana" w:hAnsi="Verdana"/>
                <w:sz w:val="18"/>
                <w:szCs w:val="18"/>
                <w:color w:val="auto"/>
              </w:rPr>
              <w:t>2,159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(3,041)</w:t>
            </w:r>
          </w:p>
        </w:tc>
      </w:tr>
      <w:tr>
        <w:trPr>
          <w:trHeight w:val="277"/>
        </w:trPr>
        <w:tc>
          <w:tcPr>
            <w:tcW w:w="62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Stock-based compensation</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6,595</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8,968</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7,864</w:t>
            </w:r>
          </w:p>
        </w:tc>
      </w:tr>
      <w:tr>
        <w:trPr>
          <w:trHeight w:val="263"/>
        </w:trPr>
        <w:tc>
          <w:tcPr>
            <w:tcW w:w="6240" w:type="dxa"/>
            <w:vAlign w:val="bottom"/>
          </w:tcPr>
          <w:p>
            <w:pPr>
              <w:ind w:left="360"/>
              <w:spacing w:after="0"/>
              <w:rPr>
                <w:sz w:val="20"/>
                <w:szCs w:val="20"/>
                <w:color w:val="auto"/>
              </w:rPr>
            </w:pPr>
            <w:r>
              <w:rPr>
                <w:rFonts w:ascii="Verdana" w:cs="Verdana" w:eastAsia="Verdana" w:hAnsi="Verdana"/>
                <w:sz w:val="18"/>
                <w:szCs w:val="18"/>
                <w:color w:val="auto"/>
              </w:rPr>
              <w:t>(Increase) decrease in other assets</w:t>
            </w: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6,253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(17,754)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(1,186)</w:t>
            </w:r>
          </w:p>
        </w:tc>
      </w:tr>
      <w:tr>
        <w:trPr>
          <w:trHeight w:val="270"/>
        </w:trPr>
        <w:tc>
          <w:tcPr>
            <w:tcW w:w="62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Increase (decrease) in other liabilities</w:t>
            </w: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(7,687)</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21,233</w:t>
            </w:r>
          </w:p>
        </w:tc>
        <w:tc>
          <w:tcPr>
            <w:tcW w:w="100" w:type="dxa"/>
            <w:vAlign w:val="bottom"/>
            <w:shd w:val="clear" w:color="auto" w:fill="E0E7ED"/>
          </w:tcPr>
          <w:p>
            <w:pPr>
              <w:spacing w:after="0"/>
              <w:rPr>
                <w:sz w:val="23"/>
                <w:szCs w:val="23"/>
                <w:color w:val="auto"/>
              </w:rPr>
            </w:pPr>
          </w:p>
        </w:tc>
        <w:tc>
          <w:tcPr>
            <w:tcW w:w="38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(3,302)</w:t>
            </w:r>
          </w:p>
        </w:tc>
      </w:tr>
      <w:tr>
        <w:trPr>
          <w:trHeight w:val="264"/>
        </w:trPr>
        <w:tc>
          <w:tcPr>
            <w:tcW w:w="624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Net cash provided by (used in) operating activities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77,448</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88,963</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46,659</w:t>
            </w:r>
          </w:p>
        </w:tc>
      </w:tr>
      <w:tr>
        <w:trPr>
          <w:trHeight w:val="256"/>
        </w:trPr>
        <w:tc>
          <w:tcPr>
            <w:tcW w:w="624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63"/>
        </w:trPr>
        <w:tc>
          <w:tcPr>
            <w:tcW w:w="6240" w:type="dxa"/>
            <w:vAlign w:val="bottom"/>
          </w:tcPr>
          <w:p>
            <w:pPr>
              <w:ind w:left="20"/>
              <w:spacing w:after="0"/>
              <w:rPr>
                <w:sz w:val="20"/>
                <w:szCs w:val="20"/>
                <w:color w:val="auto"/>
              </w:rPr>
            </w:pPr>
            <w:r>
              <w:rPr>
                <w:rFonts w:ascii="Verdana" w:cs="Verdana" w:eastAsia="Verdana" w:hAnsi="Verdana"/>
                <w:sz w:val="18"/>
                <w:szCs w:val="18"/>
                <w:b w:val="1"/>
                <w:bCs w:val="1"/>
                <w:color w:val="auto"/>
              </w:rPr>
              <w:t>Cash flows provided by (used in) investing activities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Sales (purchases) of equity securities, net</w:t>
            </w:r>
          </w:p>
        </w:tc>
        <w:tc>
          <w:tcPr>
            <w:tcW w:w="360" w:type="dxa"/>
            <w:vAlign w:val="bottom"/>
            <w:shd w:val="clear" w:color="auto" w:fill="E0E7ED"/>
          </w:tcPr>
          <w:p>
            <w:pPr>
              <w:spacing w:after="0"/>
              <w:rPr>
                <w:sz w:val="24"/>
                <w:szCs w:val="24"/>
                <w:color w:val="auto"/>
              </w:rPr>
            </w:pPr>
          </w:p>
        </w:tc>
        <w:tc>
          <w:tcPr>
            <w:tcW w:w="13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598</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(5,000)</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Net cash paid for acquisitions</w:t>
            </w:r>
          </w:p>
        </w:tc>
        <w:tc>
          <w:tcPr>
            <w:tcW w:w="36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(61,656)</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Purchases of premises and equipment</w:t>
            </w:r>
          </w:p>
        </w:tc>
        <w:tc>
          <w:tcPr>
            <w:tcW w:w="360" w:type="dxa"/>
            <w:vAlign w:val="bottom"/>
            <w:shd w:val="clear" w:color="auto" w:fill="E0E7ED"/>
          </w:tcPr>
          <w:p>
            <w:pPr>
              <w:spacing w:after="0"/>
              <w:rPr>
                <w:sz w:val="24"/>
                <w:szCs w:val="24"/>
                <w:color w:val="auto"/>
              </w:rPr>
            </w:pPr>
          </w:p>
        </w:tc>
        <w:tc>
          <w:tcPr>
            <w:tcW w:w="13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Repayments of investments in subsidiaries</w:t>
            </w: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1,480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63"/>
        </w:trPr>
        <w:tc>
          <w:tcPr>
            <w:tcW w:w="62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cash provided by (used in) investing activities</w:t>
            </w:r>
          </w:p>
        </w:tc>
        <w:tc>
          <w:tcPr>
            <w:tcW w:w="360" w:type="dxa"/>
            <w:vAlign w:val="bottom"/>
            <w:tcBorders>
              <w:top w:val="single" w:sz="8" w:color="auto"/>
              <w:bottom w:val="single" w:sz="8" w:color="auto"/>
            </w:tcBorders>
            <w:shd w:val="clear" w:color="auto" w:fill="E0E7ED"/>
          </w:tcPr>
          <w:p>
            <w:pPr>
              <w:spacing w:after="0"/>
              <w:rPr>
                <w:sz w:val="22"/>
                <w:szCs w:val="22"/>
                <w:color w:val="auto"/>
              </w:rPr>
            </w:pPr>
          </w:p>
        </w:tc>
        <w:tc>
          <w:tcPr>
            <w:tcW w:w="1240" w:type="dxa"/>
            <w:vAlign w:val="bottom"/>
            <w:tcBorders>
              <w:top w:val="single" w:sz="8" w:color="auto"/>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1,480</w:t>
            </w: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bottom w:val="single" w:sz="8" w:color="auto"/>
            </w:tcBorders>
            <w:shd w:val="clear" w:color="auto" w:fill="E0E7ED"/>
          </w:tcPr>
          <w:p>
            <w:pPr>
              <w:spacing w:after="0"/>
              <w:rPr>
                <w:sz w:val="22"/>
                <w:szCs w:val="22"/>
                <w:color w:val="auto"/>
              </w:rPr>
            </w:pPr>
          </w:p>
        </w:tc>
        <w:tc>
          <w:tcPr>
            <w:tcW w:w="12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589</w:t>
            </w: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bottom w:val="single" w:sz="8" w:color="auto"/>
            </w:tcBorders>
            <w:shd w:val="clear" w:color="auto" w:fill="E0E7ED"/>
          </w:tcPr>
          <w:p>
            <w:pPr>
              <w:spacing w:after="0"/>
              <w:rPr>
                <w:sz w:val="22"/>
                <w:szCs w:val="22"/>
                <w:color w:val="auto"/>
              </w:rPr>
            </w:pPr>
          </w:p>
        </w:tc>
        <w:tc>
          <w:tcPr>
            <w:tcW w:w="12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(66,671)</w:t>
            </w:r>
          </w:p>
        </w:tc>
      </w:tr>
      <w:tr>
        <w:trPr>
          <w:trHeight w:val="257"/>
        </w:trPr>
        <w:tc>
          <w:tcPr>
            <w:tcW w:w="6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Cash flows provided by (used in) financing activities</w:t>
            </w: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Cash paid for withholding taxes on stock-based payments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(1,276)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(997)</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Cash dividends paid</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(53,076)</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(50,863)</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(50,764)</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Repayments of borrowings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(12,000)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(112,000)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(18,500)</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Proceeds from issuance of debt</w:t>
            </w:r>
          </w:p>
        </w:tc>
        <w:tc>
          <w:tcPr>
            <w:tcW w:w="360" w:type="dxa"/>
            <w:vAlign w:val="bottom"/>
            <w:shd w:val="clear" w:color="auto" w:fill="E0E7ED"/>
          </w:tcPr>
          <w:p>
            <w:pPr>
              <w:spacing w:after="0"/>
              <w:rPr>
                <w:sz w:val="24"/>
                <w:szCs w:val="24"/>
                <w:color w:val="auto"/>
              </w:rPr>
            </w:pPr>
          </w:p>
        </w:tc>
        <w:tc>
          <w:tcPr>
            <w:tcW w:w="134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98,094</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72,500</w:t>
            </w:r>
          </w:p>
        </w:tc>
      </w:tr>
      <w:tr>
        <w:trPr>
          <w:trHeight w:val="263"/>
        </w:trPr>
        <w:tc>
          <w:tcPr>
            <w:tcW w:w="6240" w:type="dxa"/>
            <w:vAlign w:val="bottom"/>
          </w:tcPr>
          <w:p>
            <w:pPr>
              <w:ind w:left="180"/>
              <w:spacing w:after="0"/>
              <w:rPr>
                <w:sz w:val="20"/>
                <w:szCs w:val="20"/>
                <w:color w:val="auto"/>
              </w:rPr>
            </w:pPr>
            <w:r>
              <w:rPr>
                <w:rFonts w:ascii="Verdana" w:cs="Verdana" w:eastAsia="Verdana" w:hAnsi="Verdana"/>
                <w:sz w:val="18"/>
                <w:szCs w:val="18"/>
                <w:color w:val="auto"/>
              </w:rPr>
              <w:t>Proceeds from the exercise of stock options and warrants</w:t>
            </w: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Verdana" w:cs="Verdana" w:eastAsia="Verdana" w:hAnsi="Verdana"/>
                <w:sz w:val="18"/>
                <w:szCs w:val="18"/>
                <w:color w:val="auto"/>
              </w:rPr>
              <w:t>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77"/>
        </w:trPr>
        <w:tc>
          <w:tcPr>
            <w:tcW w:w="62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Purchase of treasury stock</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(4,482)</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(9,912)</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(33,043)</w:t>
            </w:r>
          </w:p>
        </w:tc>
      </w:tr>
      <w:tr>
        <w:trPr>
          <w:trHeight w:val="264"/>
        </w:trPr>
        <w:tc>
          <w:tcPr>
            <w:tcW w:w="6240" w:type="dxa"/>
            <w:vAlign w:val="bottom"/>
          </w:tcPr>
          <w:p>
            <w:pPr>
              <w:ind w:left="180"/>
              <w:spacing w:after="0"/>
              <w:rPr>
                <w:sz w:val="20"/>
                <w:szCs w:val="20"/>
                <w:color w:val="auto"/>
              </w:rPr>
            </w:pPr>
            <w:r>
              <w:rPr>
                <w:rFonts w:ascii="Verdana" w:cs="Verdana" w:eastAsia="Verdana" w:hAnsi="Verdana"/>
                <w:sz w:val="18"/>
                <w:szCs w:val="18"/>
                <w:color w:val="auto"/>
              </w:rPr>
              <w:t>Common stock issuance costs</w:t>
            </w:r>
          </w:p>
        </w:tc>
        <w:tc>
          <w:tcPr>
            <w:tcW w:w="36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(150)</w:t>
            </w:r>
          </w:p>
        </w:tc>
      </w:tr>
      <w:tr>
        <w:trPr>
          <w:trHeight w:val="263"/>
        </w:trPr>
        <w:tc>
          <w:tcPr>
            <w:tcW w:w="62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cash provided (used in) by financing activities</w:t>
            </w:r>
          </w:p>
        </w:tc>
        <w:tc>
          <w:tcPr>
            <w:tcW w:w="360" w:type="dxa"/>
            <w:vAlign w:val="bottom"/>
            <w:tcBorders>
              <w:top w:val="single" w:sz="8" w:color="auto"/>
              <w:bottom w:val="single" w:sz="8" w:color="auto"/>
            </w:tcBorders>
            <w:shd w:val="clear" w:color="auto" w:fill="E0E7ED"/>
          </w:tcPr>
          <w:p>
            <w:pPr>
              <w:spacing w:after="0"/>
              <w:rPr>
                <w:sz w:val="22"/>
                <w:szCs w:val="22"/>
                <w:color w:val="auto"/>
              </w:rPr>
            </w:pPr>
          </w:p>
        </w:tc>
        <w:tc>
          <w:tcPr>
            <w:tcW w:w="12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(70,642)</w:t>
            </w: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bottom w:val="single" w:sz="8" w:color="auto"/>
            </w:tcBorders>
            <w:shd w:val="clear" w:color="auto" w:fill="E0E7ED"/>
          </w:tcPr>
          <w:p>
            <w:pPr>
              <w:spacing w:after="0"/>
              <w:rPr>
                <w:sz w:val="22"/>
                <w:szCs w:val="22"/>
                <w:color w:val="auto"/>
              </w:rPr>
            </w:pPr>
          </w:p>
        </w:tc>
        <w:tc>
          <w:tcPr>
            <w:tcW w:w="12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(75,957)</w:t>
            </w:r>
          </w:p>
        </w:tc>
        <w:tc>
          <w:tcPr>
            <w:tcW w:w="100" w:type="dxa"/>
            <w:vAlign w:val="bottom"/>
            <w:tcBorders>
              <w:top w:val="single" w:sz="8" w:color="E0E7ED"/>
            </w:tcBorders>
            <w:shd w:val="clear" w:color="auto" w:fill="E0E7ED"/>
          </w:tcPr>
          <w:p>
            <w:pPr>
              <w:spacing w:after="0"/>
              <w:rPr>
                <w:sz w:val="22"/>
                <w:szCs w:val="22"/>
                <w:color w:val="auto"/>
              </w:rPr>
            </w:pPr>
          </w:p>
        </w:tc>
        <w:tc>
          <w:tcPr>
            <w:tcW w:w="380" w:type="dxa"/>
            <w:vAlign w:val="bottom"/>
            <w:tcBorders>
              <w:top w:val="single" w:sz="8" w:color="auto"/>
              <w:bottom w:val="single" w:sz="8" w:color="auto"/>
            </w:tcBorders>
            <w:shd w:val="clear" w:color="auto" w:fill="E0E7ED"/>
          </w:tcPr>
          <w:p>
            <w:pPr>
              <w:spacing w:after="0"/>
              <w:rPr>
                <w:sz w:val="22"/>
                <w:szCs w:val="22"/>
                <w:color w:val="auto"/>
              </w:rPr>
            </w:pPr>
          </w:p>
        </w:tc>
        <w:tc>
          <w:tcPr>
            <w:tcW w:w="12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(30,954)</w:t>
            </w:r>
          </w:p>
        </w:tc>
      </w:tr>
      <w:tr>
        <w:trPr>
          <w:trHeight w:val="257"/>
        </w:trPr>
        <w:tc>
          <w:tcPr>
            <w:tcW w:w="6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6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increase (decrease) in cash and cash equivalents</w:t>
            </w: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8,286</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13,595</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(50,966)</w:t>
            </w:r>
          </w:p>
        </w:tc>
      </w:tr>
      <w:tr>
        <w:trPr>
          <w:trHeight w:val="263"/>
        </w:trPr>
        <w:tc>
          <w:tcPr>
            <w:tcW w:w="624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b w:val="1"/>
                <w:bCs w:val="1"/>
                <w:color w:val="auto"/>
              </w:rPr>
              <w:t>Cash and cash equivalents, beginning of period</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91,812</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78,217</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129,183</w:t>
            </w:r>
          </w:p>
        </w:tc>
      </w:tr>
      <w:tr>
        <w:trPr>
          <w:trHeight w:val="257"/>
        </w:trPr>
        <w:tc>
          <w:tcPr>
            <w:tcW w:w="624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r>
      <w:tr>
        <w:trPr>
          <w:trHeight w:val="270"/>
        </w:trPr>
        <w:tc>
          <w:tcPr>
            <w:tcW w:w="6240" w:type="dxa"/>
            <w:vAlign w:val="bottom"/>
          </w:tcPr>
          <w:p>
            <w:pPr>
              <w:ind w:left="20"/>
              <w:spacing w:after="0"/>
              <w:rPr>
                <w:sz w:val="20"/>
                <w:szCs w:val="20"/>
                <w:color w:val="auto"/>
              </w:rPr>
            </w:pPr>
            <w:r>
              <w:rPr>
                <w:rFonts w:ascii="Verdana" w:cs="Verdana" w:eastAsia="Verdana" w:hAnsi="Verdana"/>
                <w:sz w:val="18"/>
                <w:szCs w:val="18"/>
                <w:b w:val="1"/>
                <w:bCs w:val="1"/>
                <w:color w:val="auto"/>
              </w:rPr>
              <w:t>Cash and cash equivalents, ending of period</w:t>
            </w:r>
          </w:p>
        </w:tc>
        <w:tc>
          <w:tcPr>
            <w:tcW w:w="36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100,098</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91,812</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78,217</w:t>
            </w:r>
          </w:p>
        </w:tc>
      </w:tr>
      <w:tr>
        <w:trPr>
          <w:trHeight w:val="21"/>
        </w:trPr>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47"/>
        </w:trPr>
        <w:tc>
          <w:tcPr>
            <w:tcW w:w="6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40" w:type="dxa"/>
            <w:vAlign w:val="bottom"/>
            <w:gridSpan w:val="7"/>
          </w:tcPr>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175</w:t>
            </w:r>
          </w:p>
        </w:tc>
      </w:tr>
      <w:tr>
        <w:trPr>
          <w:trHeight w:val="641"/>
        </w:trPr>
        <w:tc>
          <w:tcPr>
            <w:tcW w:w="6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5" w:name="page176"/>
    <w:bookmarkEnd w:id="17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8. Financial Statements &amp; Supplementary Data</w:t>
      </w:r>
    </w:p>
    <w:p>
      <w:pPr>
        <w:spacing w:after="0" w:line="23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23. ACQUISITIONS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Merchants and Manufacturers Bank Corporation</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On November 27, 2023, First Busey Corporation announced the signing of a definitive agreement with M&amp;M, pursuant to which Busey will acquire M&amp;M and its wholly-owned subsidiary, M&amp;M Bank, through a merger transaction. This partnership will add M&amp;M’s Life Equity Loan</w:t>
      </w:r>
      <w:r>
        <w:rPr>
          <w:rFonts w:ascii="Verdana" w:cs="Verdana" w:eastAsia="Verdana" w:hAnsi="Verdana"/>
          <w:sz w:val="11"/>
          <w:szCs w:val="11"/>
          <w:color w:val="auto"/>
        </w:rPr>
        <w:t>®</w:t>
      </w:r>
      <w:r>
        <w:rPr>
          <w:rFonts w:ascii="Verdana" w:cs="Verdana" w:eastAsia="Verdana" w:hAnsi="Verdana"/>
          <w:sz w:val="18"/>
          <w:szCs w:val="18"/>
          <w:color w:val="auto"/>
        </w:rPr>
        <w:t xml:space="preserve"> products to Busey’s existing suite of services, and expand Busey’s presence in the Chicago Metropolitan Statistical Area.</w:t>
      </w:r>
    </w:p>
    <w:p>
      <w:pPr>
        <w:spacing w:after="0" w:line="17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Under the terms of the merger agreement, M&amp;M’s stockholders will have the right to receive for each share of M&amp;M common stock, at the election of each stockholder and subject to proration and adjustment, either (1) $117.74 in cash,</w:t>
      </w:r>
    </w:p>
    <w:p>
      <w:pPr>
        <w:spacing w:after="0" w:line="2" w:lineRule="exact"/>
        <w:rPr>
          <w:sz w:val="20"/>
          <w:szCs w:val="20"/>
          <w:color w:val="auto"/>
        </w:rPr>
      </w:pPr>
    </w:p>
    <w:p>
      <w:pPr>
        <w:jc w:val="both"/>
        <w:ind w:firstLine="8"/>
        <w:spacing w:after="0" w:line="221" w:lineRule="exact"/>
        <w:tabs>
          <w:tab w:leader="none" w:pos="373" w:val="left"/>
        </w:tabs>
        <w:numPr>
          <w:ilvl w:val="0"/>
          <w:numId w:val="65"/>
        </w:numPr>
        <w:rPr>
          <w:rFonts w:ascii="Verdana" w:cs="Verdana" w:eastAsia="Verdana" w:hAnsi="Verdana"/>
          <w:sz w:val="18"/>
          <w:szCs w:val="18"/>
          <w:color w:val="auto"/>
        </w:rPr>
      </w:pPr>
      <w:r>
        <w:rPr>
          <w:rFonts w:ascii="Verdana" w:cs="Verdana" w:eastAsia="Verdana" w:hAnsi="Verdana"/>
          <w:sz w:val="18"/>
          <w:szCs w:val="18"/>
          <w:color w:val="auto"/>
        </w:rPr>
        <w:t>5.7294 shares of Busey common stock, or (3) mixed consideration of $34.55 in cash and 4.0481 shares of Busey common stock, with total consideration to consist of approximately 71% stock and 29% cash. Based upon Busey’s 20</w:t>
      </w:r>
      <w:r>
        <w:rPr>
          <w:rFonts w:ascii="MS PGothic" w:cs="MS PGothic" w:eastAsia="MS PGothic" w:hAnsi="MS PGothic"/>
          <w:sz w:val="18"/>
          <w:szCs w:val="18"/>
          <w:color w:val="auto"/>
        </w:rPr>
        <w:t>‑</w:t>
      </w:r>
      <w:r>
        <w:rPr>
          <w:rFonts w:ascii="Verdana" w:cs="Verdana" w:eastAsia="Verdana" w:hAnsi="Verdana"/>
          <w:sz w:val="18"/>
          <w:szCs w:val="18"/>
          <w:color w:val="auto"/>
        </w:rPr>
        <w:t>day volume-weighted average closing price as of November 24, 2023, the aggregate implied transaction value is approximately $41.6 million.</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merger is expected to be finalized in the second quarter of 2024, subject to customary closing conditions and required approvals, including regulatory approvals and the approval of M&amp;M’s stockholders. It is anticipated that M&amp;M Bank will be merged with and into Busey Bank at a date following the completion of the merger. At the time of the bank merger, M&amp;M Bank’s banking centers will become banking centers of Busey Bank, except for M&amp;M’s banking center located at 990 Essington Rd., Joliet, Illinois, which is expected to be closed in connection with the bank merger.</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This transaction will be accounted for using the acquisition method of accounting and, accordingly, assets acquired, liabilities assumed, and consideration exchanged will be recorded at estimated fair values on the date of acquisition. Fair values will be subject to refinement for up to one year after the closing date as additional information regarding the closing date fair values becomes available. During 2023, Busey incurred $0.3 million in pre-tax acquisition expenses, comprised primarily of legal expenses, related to the planned acquisition of M&amp;M.</w:t>
      </w:r>
    </w:p>
    <w:p>
      <w:pPr>
        <w:spacing w:after="0" w:line="225" w:lineRule="exact"/>
        <w:rPr>
          <w:sz w:val="20"/>
          <w:szCs w:val="20"/>
          <w:color w:val="auto"/>
        </w:rPr>
      </w:pPr>
    </w:p>
    <w:p>
      <w:pPr>
        <w:ind w:left="7760"/>
        <w:spacing w:after="0"/>
        <w:rPr>
          <w:sz w:val="20"/>
          <w:szCs w:val="20"/>
          <w:color w:val="auto"/>
        </w:rPr>
      </w:pPr>
      <w:r>
        <w:rPr>
          <w:rFonts w:ascii="Verdana" w:cs="Verdana" w:eastAsia="Verdana" w:hAnsi="Verdana"/>
          <w:sz w:val="17"/>
          <w:szCs w:val="17"/>
          <w:color w:val="808285"/>
        </w:rPr>
        <w:t xml:space="preserve">First Busey Corporation | 2023 </w:t>
      </w:r>
      <w:r>
        <w:rPr>
          <w:rFonts w:ascii="Verdana" w:cs="Verdana" w:eastAsia="Verdana" w:hAnsi="Verdana"/>
          <w:sz w:val="17"/>
          <w:szCs w:val="17"/>
          <w:b w:val="1"/>
          <w:bCs w:val="1"/>
          <w:color w:val="376484"/>
        </w:rPr>
        <w:t>— 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6" w:name="page177"/>
    <w:bookmarkEnd w:id="17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340" w:right="540"/>
        <w:spacing w:after="0" w:line="254" w:lineRule="auto"/>
        <w:rPr>
          <w:sz w:val="20"/>
          <w:szCs w:val="20"/>
          <w:color w:val="auto"/>
        </w:rPr>
      </w:pPr>
      <w:r>
        <w:rPr>
          <w:rFonts w:ascii="Verdana" w:cs="Verdana" w:eastAsia="Verdana" w:hAnsi="Verdana"/>
          <w:sz w:val="18"/>
          <w:szCs w:val="18"/>
          <w:b w:val="1"/>
          <w:bCs w:val="1"/>
          <w:color w:val="auto"/>
        </w:rPr>
        <w:t>ITEM 9. CHANGES IN AND DISAGREEMENTS WITH ACCOUNTANTS ON ACCOUNTING AND FINANCIAL DISCLOSURE</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color w:val="auto"/>
        </w:rPr>
        <w:t>None.</w:t>
      </w:r>
    </w:p>
    <w:p>
      <w:pPr>
        <w:spacing w:after="0" w:line="173" w:lineRule="exact"/>
        <w:rPr>
          <w:sz w:val="20"/>
          <w:szCs w:val="20"/>
          <w:color w:val="auto"/>
        </w:rPr>
      </w:pPr>
    </w:p>
    <w:p>
      <w:pPr>
        <w:ind w:right="3620" w:firstLine="3619"/>
        <w:spacing w:after="0" w:line="436" w:lineRule="auto"/>
        <w:rPr>
          <w:sz w:val="20"/>
          <w:szCs w:val="20"/>
          <w:color w:val="auto"/>
        </w:rPr>
      </w:pPr>
      <w:r>
        <w:rPr>
          <w:rFonts w:ascii="Verdana" w:cs="Verdana" w:eastAsia="Verdana" w:hAnsi="Verdana"/>
          <w:sz w:val="18"/>
          <w:szCs w:val="18"/>
          <w:b w:val="1"/>
          <w:bCs w:val="1"/>
          <w:color w:val="auto"/>
        </w:rPr>
        <w:t>ITEM 9A. CONTROLS AND PROCEDURES EVALUATION OF DISCLOSURE CONTROLS AND PROCEDURES</w:t>
      </w:r>
    </w:p>
    <w:p>
      <w:pPr>
        <w:spacing w:after="0" w:line="2"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An evaluation of our disclosure controls and procedures, as defined in Rule 13a-15(e) under the Exchange Act, was carried out as of December 31, 2023, under the supervision and with the participation of our Chief Executive Officer, Chief Financial Officer, and several other members of our senior management. Based on this evaluation, our Chief Executive Officer and Chief Financial Officer concluded that, as of December 31, 2023, our disclosure controls and procedures were effective in ensuring that the information we are required to disclose in the reports we file or submit under the Exchange Act was (1) accumulated and communicated to our management (including the Chief Executive Officer and Chief Financial Officer) to allow timely decisions regarding required disclosure, and (2) recorded, processed, summarized, and reported within the time periods specified in the SEC’s rules and forms.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CHANGES IN INTERNAL CONTROL OVER FINANCIAL REPORTING</w:t>
      </w:r>
    </w:p>
    <w:p>
      <w:pPr>
        <w:spacing w:after="0" w:line="186"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During the three months ended December 31, 2023, no change occurred in our internal control over financial reporting that has materially affected, or is reasonably likely to materially affect, our internal control over financial reporting.</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MANAGEMENT’S REPORT ON INTERNAL CONTROL OVER FINANCIAL REPORTING</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Busey’s management is responsible for establishing and maintaining adequate internal control over financial reporting. Busey’s internal control over financial reporting is a process designed under the supervision of Busey’s Chief Executive Officer and Chief Financial Officer to provide reasonable assurance regarding the reliability of financial reporting and the preparation of Busey’s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xml:space="preserve"> for external reporting purposes in accordance with U.S. generally accepted accounting principles.</w:t>
      </w:r>
    </w:p>
    <w:p>
      <w:pPr>
        <w:spacing w:after="0" w:line="17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As of December 31, 2023, management assessed the effectiveness of Busey’s internal control over financial reporting based on the criteria for effective internal control over financial reporting established in “Internal Control—Integrated Framework,” issued by the COSO in 2013. Based on this assessment, management determined that Busey maintained effective internal control over financial reporting as of December 31, 2023, based on the COSO criteria.</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RSM US LLP, an independent registered public accounting firm that audited Busey’s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xml:space="preserve"> included in this Annual Report, has issued an audit opinion on the effectiveness of Busey’s internal control over financial reporting as of December 31, 2023. The report, which expresses an unqualified opinion on the effectiveness of Busey’s internal control over financial reporting as of December 31, 2023, is included in this Item under the heading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Report of</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Independent Registered Public Accounting Firm on Internal Control Over Financial Reporting</w:t>
      </w:r>
      <w:r>
        <w:rPr>
          <w:rFonts w:ascii="Verdana" w:cs="Verdana" w:eastAsia="Verdana" w:hAnsi="Verdana"/>
          <w:sz w:val="18"/>
          <w:szCs w:val="18"/>
          <w:i w:val="1"/>
          <w:iCs w:val="1"/>
          <w:color w:val="000000"/>
        </w:rPr>
        <w:t>.”</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7" w:name="page178"/>
    <w:bookmarkEnd w:id="17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First Busey Corporation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audited First Busey Corporation and Subsidiaries' (the Company)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2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balance sheets of the Company as of December 31, 2023 and 2022, the related consolidated statements of income, comprehensive income (loss), stockholders' equity and cash flows for each of the three years in the period ended December 31, 2023, and the related notes to the consolidated financial statements and our report dated February 22, 2024 expressed an unqualified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w:t>
      </w:r>
    </w:p>
    <w:p>
      <w:pPr>
        <w:spacing w:after="0" w:line="3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8" w:name="page179"/>
    <w:bookmarkEnd w:id="17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5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9" w:name="page180"/>
    <w:bookmarkEnd w:id="17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9B. OTHER INFORMATION</w:t>
      </w:r>
    </w:p>
    <w:p>
      <w:pPr>
        <w:spacing w:after="0" w:line="173" w:lineRule="exact"/>
        <w:rPr>
          <w:sz w:val="20"/>
          <w:szCs w:val="20"/>
          <w:color w:val="auto"/>
        </w:rPr>
      </w:pPr>
    </w:p>
    <w:p>
      <w:pPr>
        <w:jc w:val="both"/>
        <w:spacing w:after="0" w:line="232" w:lineRule="exact"/>
        <w:rPr>
          <w:sz w:val="20"/>
          <w:szCs w:val="20"/>
          <w:color w:val="auto"/>
        </w:rPr>
      </w:pPr>
      <w:r>
        <w:rPr>
          <w:rFonts w:ascii="Verdana" w:cs="Verdana" w:eastAsia="Verdana" w:hAnsi="Verdana"/>
          <w:sz w:val="18"/>
          <w:szCs w:val="18"/>
          <w:color w:val="auto"/>
        </w:rPr>
        <w:t>During the fiscal quarter ended December 31, 2023, none of Busey’s directors or executive officers adopted or terminated any contract, instruction, or written plan for the purchase or sale of Busey securities that was intended to satisfy the affirmative defense conditions of Rule 10b5</w:t>
      </w:r>
      <w:r>
        <w:rPr>
          <w:rFonts w:ascii="MS PGothic" w:cs="MS PGothic" w:eastAsia="MS PGothic" w:hAnsi="MS PGothic"/>
          <w:sz w:val="18"/>
          <w:szCs w:val="18"/>
          <w:color w:val="auto"/>
        </w:rPr>
        <w:t>‑</w:t>
      </w:r>
      <w:r>
        <w:rPr>
          <w:rFonts w:ascii="Verdana" w:cs="Verdana" w:eastAsia="Verdana" w:hAnsi="Verdana"/>
          <w:sz w:val="18"/>
          <w:szCs w:val="18"/>
          <w:color w:val="auto"/>
        </w:rPr>
        <w:t>1(c) or any non-Rule 10b5</w:t>
      </w:r>
      <w:r>
        <w:rPr>
          <w:rFonts w:ascii="MS PGothic" w:cs="MS PGothic" w:eastAsia="MS PGothic" w:hAnsi="MS PGothic"/>
          <w:sz w:val="18"/>
          <w:szCs w:val="18"/>
          <w:color w:val="auto"/>
        </w:rPr>
        <w:t>‑</w:t>
      </w:r>
      <w:r>
        <w:rPr>
          <w:rFonts w:ascii="Verdana" w:cs="Verdana" w:eastAsia="Verdana" w:hAnsi="Verdana"/>
          <w:sz w:val="18"/>
          <w:szCs w:val="18"/>
          <w:color w:val="auto"/>
        </w:rPr>
        <w:t>1 trading arrangement.</w:t>
      </w:r>
    </w:p>
    <w:p>
      <w:pPr>
        <w:spacing w:after="0" w:line="129" w:lineRule="exact"/>
        <w:rPr>
          <w:sz w:val="20"/>
          <w:szCs w:val="20"/>
          <w:color w:val="auto"/>
        </w:rPr>
      </w:pPr>
    </w:p>
    <w:p>
      <w:pPr>
        <w:ind w:right="940" w:firstLine="949"/>
        <w:spacing w:after="0" w:line="436" w:lineRule="auto"/>
        <w:rPr>
          <w:sz w:val="20"/>
          <w:szCs w:val="20"/>
          <w:color w:val="auto"/>
        </w:rPr>
      </w:pPr>
      <w:r>
        <w:rPr>
          <w:rFonts w:ascii="Verdana" w:cs="Verdana" w:eastAsia="Verdana" w:hAnsi="Verdana"/>
          <w:sz w:val="18"/>
          <w:szCs w:val="18"/>
          <w:b w:val="1"/>
          <w:bCs w:val="1"/>
          <w:color w:val="auto"/>
        </w:rPr>
        <w:t xml:space="preserve">ITEM 9C. DISCLOSURE REGARDING FOREIGN JURISDICTIONS THAT PREVENT INSPECTIONS </w:t>
      </w:r>
      <w:r>
        <w:rPr>
          <w:rFonts w:ascii="Verdana" w:cs="Verdana" w:eastAsia="Verdana" w:hAnsi="Verdana"/>
          <w:sz w:val="18"/>
          <w:szCs w:val="18"/>
          <w:color w:val="auto"/>
        </w:rPr>
        <w:t>Not applicable.</w:t>
      </w:r>
    </w:p>
    <w:p>
      <w:pPr>
        <w:spacing w:after="0" w:line="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PART III</w:t>
      </w:r>
    </w:p>
    <w:p>
      <w:pPr>
        <w:spacing w:after="0" w:line="173" w:lineRule="exact"/>
        <w:rPr>
          <w:sz w:val="20"/>
          <w:szCs w:val="20"/>
          <w:color w:val="auto"/>
        </w:rPr>
      </w:pPr>
    </w:p>
    <w:p>
      <w:pPr>
        <w:ind w:right="1720" w:firstLine="1715"/>
        <w:spacing w:after="0" w:line="436" w:lineRule="auto"/>
        <w:rPr>
          <w:sz w:val="20"/>
          <w:szCs w:val="20"/>
          <w:color w:val="auto"/>
        </w:rPr>
      </w:pPr>
      <w:r>
        <w:rPr>
          <w:rFonts w:ascii="Verdana" w:cs="Verdana" w:eastAsia="Verdana" w:hAnsi="Verdana"/>
          <w:sz w:val="18"/>
          <w:szCs w:val="18"/>
          <w:b w:val="1"/>
          <w:bCs w:val="1"/>
          <w:color w:val="auto"/>
        </w:rPr>
        <w:t>ITEM 10. DIRECTORS, EXECUTIVE OFFICERS, AND CORPORATE GOVERNANCE EXECUTIVE OFFICERS</w:t>
      </w:r>
    </w:p>
    <w:p>
      <w:pPr>
        <w:spacing w:after="0" w:line="2" w:lineRule="exact"/>
        <w:rPr>
          <w:sz w:val="20"/>
          <w:szCs w:val="20"/>
          <w:color w:val="auto"/>
        </w:rPr>
      </w:pPr>
    </w:p>
    <w:p>
      <w:pPr>
        <w:spacing w:after="0"/>
        <w:rPr>
          <w:sz w:val="20"/>
          <w:szCs w:val="20"/>
          <w:color w:val="auto"/>
        </w:rPr>
      </w:pPr>
      <w:r>
        <w:rPr>
          <w:rFonts w:ascii="Verdana" w:cs="Verdana" w:eastAsia="Verdana" w:hAnsi="Verdana"/>
          <w:sz w:val="18"/>
          <w:szCs w:val="18"/>
          <w:color w:val="auto"/>
        </w:rPr>
        <w:t>The business experience of each of our executive officers for at least the past five years is set forth below.</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b w:val="1"/>
          <w:bCs w:val="1"/>
          <w:i w:val="1"/>
          <w:iCs w:val="1"/>
          <w:color w:val="auto"/>
        </w:rPr>
        <w:t xml:space="preserve">Van A. Dukeman. </w:t>
      </w:r>
      <w:r>
        <w:rPr>
          <w:rFonts w:ascii="Verdana" w:cs="Verdana" w:eastAsia="Verdana" w:hAnsi="Verdana"/>
          <w:sz w:val="18"/>
          <w:szCs w:val="18"/>
          <w:color w:val="auto"/>
        </w:rPr>
        <w:t>Mr. Dukeman, age 65, has been serving as a Director, Chief Executive Officer, and President of First</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Busey Corporation since August 2007, as Chairman the Board of Directors of First Busey Corporation since July 2020, and as President and Chief Executive Officer of Busey Bank since October 2023. Prior to August 2007, Mr. Dukeman served as a Director, Chief Executive Officer, and President of Main Street Trust, Inc. from May 1998 until its merger with Busey.</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b w:val="1"/>
          <w:bCs w:val="1"/>
          <w:i w:val="1"/>
          <w:iCs w:val="1"/>
          <w:color w:val="auto"/>
        </w:rPr>
        <w:t xml:space="preserve">Jeffrey D. Jones. </w:t>
      </w:r>
      <w:r>
        <w:rPr>
          <w:rFonts w:ascii="Verdana" w:cs="Verdana" w:eastAsia="Verdana" w:hAnsi="Verdana"/>
          <w:sz w:val="18"/>
          <w:szCs w:val="18"/>
          <w:color w:val="auto"/>
        </w:rPr>
        <w:t>Mr. Jones, age 50, has been serving as Chief Financial Officer of First Busey Corporation since July</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2019. Prior to that, he was Co-Head of the US Depository Group and Head of Depository Investment Banking with Stephens, Inc., since 2015.</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b w:val="1"/>
          <w:bCs w:val="1"/>
          <w:i w:val="1"/>
          <w:iCs w:val="1"/>
          <w:color w:val="auto"/>
        </w:rPr>
        <w:t xml:space="preserve">Monica L. Bowe. </w:t>
      </w:r>
      <w:r>
        <w:rPr>
          <w:rFonts w:ascii="Verdana" w:cs="Verdana" w:eastAsia="Verdana" w:hAnsi="Verdana"/>
          <w:sz w:val="18"/>
          <w:szCs w:val="18"/>
          <w:color w:val="auto"/>
        </w:rPr>
        <w:t>Ms. Bowe, age 50, has been serving as Chief Risk Officer of First Busey Corporation since January 2020.</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Prior to that, she served as Senior Director of Operational Risk Program Management at KeyBank, a subsidiary of KeyCorp headquartered in Cleveland, Ohio, since 2015.</w:t>
      </w:r>
    </w:p>
    <w:p>
      <w:pPr>
        <w:spacing w:after="0" w:line="15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 xml:space="preserve">John J. Powers. </w:t>
      </w:r>
      <w:r>
        <w:rPr>
          <w:rFonts w:ascii="Verdana" w:cs="Verdana" w:eastAsia="Verdana" w:hAnsi="Verdana"/>
          <w:sz w:val="18"/>
          <w:szCs w:val="18"/>
          <w:color w:val="auto"/>
        </w:rPr>
        <w:t>Mr. Powers, age 68, has been serving as General Counsel of First Busey Corporation since December</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2011. Prior to that, he was a stockholder of Meyer Capel, P.C., a law firm based in Champaign, Illinois, since 1998.</w:t>
      </w:r>
    </w:p>
    <w:p>
      <w:pPr>
        <w:spacing w:after="0" w:line="158"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b w:val="1"/>
          <w:bCs w:val="1"/>
          <w:i w:val="1"/>
          <w:iCs w:val="1"/>
          <w:color w:val="auto"/>
        </w:rPr>
        <w:t xml:space="preserve">Amy L. Randolph. </w:t>
      </w:r>
      <w:r>
        <w:rPr>
          <w:rFonts w:ascii="Verdana" w:cs="Verdana" w:eastAsia="Verdana" w:hAnsi="Verdana"/>
          <w:sz w:val="18"/>
          <w:szCs w:val="18"/>
          <w:color w:val="auto"/>
        </w:rPr>
        <w:t>Mrs. Randolph, age 49, was appointed Chief Operating Officer of First Busey Corporation in October</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2023. Prior to that appointment, she served as Chief of Staff from April 2017 to October 2023, Executive Vice President and Chief Brand Officer from March 2014 to April 2017, and Senior Vice President of Growth Strategies from 2008 to March 2014.</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DIRECTORS OF THE REGISTRANT AND CORPORATE GOVERNANCE</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Information required by this Item is incorporated herein by reference to Busey’s Proxy Statement for its 2024 Annual Meeting of Stockholders to be filed with the SEC within 120 days of Busey’s fiscal year end under the captions </w:t>
      </w:r>
      <w:r>
        <w:rPr>
          <w:rFonts w:ascii="Verdana" w:cs="Verdana" w:eastAsia="Verdana" w:hAnsi="Verdana"/>
          <w:sz w:val="18"/>
          <w:szCs w:val="18"/>
          <w:i w:val="1"/>
          <w:iCs w:val="1"/>
          <w:color w:val="auto"/>
        </w:rPr>
        <w:t>“Proposal 1:</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Election of Directors,” “Corporate Governance and Board of Directors Matters,” </w:t>
      </w:r>
      <w:r>
        <w:rPr>
          <w:rFonts w:ascii="Verdana" w:cs="Verdana" w:eastAsia="Verdana" w:hAnsi="Verdana"/>
          <w:sz w:val="18"/>
          <w:szCs w:val="18"/>
          <w:color w:val="auto"/>
        </w:rPr>
        <w:t>and</w:t>
      </w:r>
      <w:r>
        <w:rPr>
          <w:rFonts w:ascii="Verdana" w:cs="Verdana" w:eastAsia="Verdana" w:hAnsi="Verdana"/>
          <w:sz w:val="18"/>
          <w:szCs w:val="18"/>
          <w:i w:val="1"/>
          <w:iCs w:val="1"/>
          <w:color w:val="auto"/>
        </w:rPr>
        <w:t xml:space="preserve"> “Delinquent Section 16(a) Reports.”</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11. EXECUTIVE COMPENSATION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The information required by this Item is incorporated herein by reference to Busey’s Proxy Statement for its 2024 Annual Meeting of Stockholders to be filed with the SEC within 120 days of Busey’s fiscal year-end under the captions “</w:t>
      </w:r>
      <w:r>
        <w:rPr>
          <w:rFonts w:ascii="Verdana" w:cs="Verdana" w:eastAsia="Verdana" w:hAnsi="Verdana"/>
          <w:sz w:val="18"/>
          <w:szCs w:val="18"/>
          <w:i w:val="1"/>
          <w:iCs w:val="1"/>
          <w:color w:val="auto"/>
        </w:rPr>
        <w:t>Director</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Compensation</w:t>
      </w:r>
      <w:r>
        <w:rPr>
          <w:rFonts w:ascii="Verdana" w:cs="Verdana" w:eastAsia="Verdana" w:hAnsi="Verdana"/>
          <w:sz w:val="18"/>
          <w:szCs w:val="18"/>
          <w:color w:val="auto"/>
        </w:rPr>
        <w:t>,” “</w:t>
      </w:r>
      <w:r>
        <w:rPr>
          <w:rFonts w:ascii="Verdana" w:cs="Verdana" w:eastAsia="Verdana" w:hAnsi="Verdana"/>
          <w:sz w:val="18"/>
          <w:szCs w:val="18"/>
          <w:i w:val="1"/>
          <w:iCs w:val="1"/>
          <w:color w:val="auto"/>
        </w:rPr>
        <w:t>Compensation Discussion and Analysis</w:t>
      </w:r>
      <w:r>
        <w:rPr>
          <w:rFonts w:ascii="Verdana" w:cs="Verdana" w:eastAsia="Verdana" w:hAnsi="Verdana"/>
          <w:sz w:val="18"/>
          <w:szCs w:val="18"/>
          <w:color w:val="auto"/>
        </w:rPr>
        <w:t>,” “</w:t>
      </w:r>
      <w:r>
        <w:rPr>
          <w:rFonts w:ascii="Verdana" w:cs="Verdana" w:eastAsia="Verdana" w:hAnsi="Verdana"/>
          <w:sz w:val="18"/>
          <w:szCs w:val="18"/>
          <w:i w:val="1"/>
          <w:iCs w:val="1"/>
          <w:color w:val="auto"/>
        </w:rPr>
        <w:t>Executive Management Compensation and Succession Committee Report</w:t>
      </w:r>
      <w:r>
        <w:rPr>
          <w:rFonts w:ascii="Verdana" w:cs="Verdana" w:eastAsia="Verdana" w:hAnsi="Verdana"/>
          <w:sz w:val="18"/>
          <w:szCs w:val="18"/>
          <w:color w:val="auto"/>
        </w:rPr>
        <w:t>,” “</w:t>
      </w:r>
      <w:r>
        <w:rPr>
          <w:rFonts w:ascii="Verdana" w:cs="Verdana" w:eastAsia="Verdana" w:hAnsi="Verdana"/>
          <w:sz w:val="18"/>
          <w:szCs w:val="18"/>
          <w:i w:val="1"/>
          <w:iCs w:val="1"/>
          <w:color w:val="auto"/>
        </w:rPr>
        <w:t>Compensation of Named Executive Officers</w:t>
      </w:r>
      <w:r>
        <w:rPr>
          <w:rFonts w:ascii="Verdana" w:cs="Verdana" w:eastAsia="Verdana" w:hAnsi="Verdana"/>
          <w:sz w:val="18"/>
          <w:szCs w:val="18"/>
          <w:color w:val="auto"/>
        </w:rPr>
        <w:t>,” “</w:t>
      </w:r>
      <w:r>
        <w:rPr>
          <w:rFonts w:ascii="Verdana" w:cs="Verdana" w:eastAsia="Verdana" w:hAnsi="Verdana"/>
          <w:sz w:val="18"/>
          <w:szCs w:val="18"/>
          <w:i w:val="1"/>
          <w:iCs w:val="1"/>
          <w:color w:val="auto"/>
        </w:rPr>
        <w:t>CEO Pay Ratio</w:t>
      </w:r>
      <w:r>
        <w:rPr>
          <w:rFonts w:ascii="Verdana" w:cs="Verdana" w:eastAsia="Verdana" w:hAnsi="Verdana"/>
          <w:sz w:val="18"/>
          <w:szCs w:val="18"/>
          <w:color w:val="auto"/>
        </w:rPr>
        <w:t>,” and “</w:t>
      </w:r>
      <w:r>
        <w:rPr>
          <w:rFonts w:ascii="Verdana" w:cs="Verdana" w:eastAsia="Verdana" w:hAnsi="Verdana"/>
          <w:sz w:val="18"/>
          <w:szCs w:val="18"/>
          <w:i w:val="1"/>
          <w:iCs w:val="1"/>
          <w:color w:val="auto"/>
        </w:rPr>
        <w:t>Executive Management Compensation and Succession Committee Interlocks and Insider Participation</w:t>
      </w:r>
      <w:r>
        <w:rPr>
          <w:rFonts w:ascii="Verdana" w:cs="Verdana" w:eastAsia="Verdana" w:hAnsi="Verdana"/>
          <w:sz w:val="18"/>
          <w:szCs w:val="18"/>
          <w:color w:val="auto"/>
        </w:rPr>
        <w:t>.”</w:t>
      </w:r>
    </w:p>
    <w:p>
      <w:pPr>
        <w:spacing w:after="0" w:line="21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0" w:name="page181"/>
    <w:bookmarkEnd w:id="18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line="254" w:lineRule="auto"/>
        <w:rPr>
          <w:sz w:val="20"/>
          <w:szCs w:val="20"/>
          <w:color w:val="auto"/>
        </w:rPr>
      </w:pPr>
      <w:r>
        <w:rPr>
          <w:rFonts w:ascii="Verdana" w:cs="Verdana" w:eastAsia="Verdana" w:hAnsi="Verdana"/>
          <w:sz w:val="18"/>
          <w:szCs w:val="18"/>
          <w:b w:val="1"/>
          <w:bCs w:val="1"/>
          <w:color w:val="auto"/>
        </w:rPr>
        <w:t>ITEM 12. SECURITY OWNERSHIP OF CERTAIN BENEFICIAL OWNERS AND MANAGEMENT AND RELATED STOCKHOLDER MATTERS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STOCK INCENTIVE PLANS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The following table discloses the number of outstanding options, warrants, and rights granted by Busey to participants in equity compensation plans, as well as the number of securities remaining available for future issuance under these plans, as of December 31, 2023. The table provides this information separately for equity compensation plans that have and have not been approved by security holders. Additional information regarding stock incentive plans is presented in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14.</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Stock-based Compensation</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in the Notes to the Consolidated Financial Statements included pursuant to Item 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Verdana" w:cs="Verdana" w:eastAsia="Verdana" w:hAnsi="Verdana"/>
                <w:sz w:val="13"/>
                <w:szCs w:val="13"/>
                <w:b w:val="1"/>
                <w:bCs w:val="1"/>
                <w:color w:val="auto"/>
                <w:w w:val="91"/>
              </w:rPr>
              <w:t>(c)</w:t>
            </w:r>
          </w:p>
        </w:tc>
        <w:tc>
          <w:tcPr>
            <w:tcW w:w="0" w:type="dxa"/>
            <w:vAlign w:val="bottom"/>
          </w:tcPr>
          <w:p>
            <w:pPr>
              <w:spacing w:after="0"/>
              <w:rPr>
                <w:sz w:val="1"/>
                <w:szCs w:val="1"/>
                <w:color w:val="auto"/>
              </w:rPr>
            </w:pPr>
          </w:p>
        </w:tc>
      </w:tr>
      <w:tr>
        <w:trPr>
          <w:trHeight w:val="122"/>
        </w:trPr>
        <w:tc>
          <w:tcPr>
            <w:tcW w:w="6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5"/>
              </w:rPr>
              <w:t>Number of</w:t>
            </w:r>
          </w:p>
        </w:tc>
        <w:tc>
          <w:tcPr>
            <w:tcW w:w="0" w:type="dxa"/>
            <w:vAlign w:val="bottom"/>
          </w:tcPr>
          <w:p>
            <w:pPr>
              <w:spacing w:after="0"/>
              <w:rPr>
                <w:sz w:val="1"/>
                <w:szCs w:val="1"/>
                <w:color w:val="auto"/>
              </w:rPr>
            </w:pPr>
          </w:p>
        </w:tc>
      </w:tr>
      <w:tr>
        <w:trPr>
          <w:trHeight w:val="108"/>
        </w:trPr>
        <w:tc>
          <w:tcPr>
            <w:tcW w:w="6260" w:type="dxa"/>
            <w:vAlign w:val="bottom"/>
          </w:tcPr>
          <w:p>
            <w:pPr>
              <w:spacing w:after="0"/>
              <w:rPr>
                <w:sz w:val="9"/>
                <w:szCs w:val="9"/>
                <w:color w:val="auto"/>
              </w:rPr>
            </w:pPr>
          </w:p>
        </w:tc>
        <w:tc>
          <w:tcPr>
            <w:tcW w:w="1680" w:type="dxa"/>
            <w:vAlign w:val="bottom"/>
            <w:gridSpan w:val="2"/>
            <w:vMerge w:val="restart"/>
          </w:tcPr>
          <w:p>
            <w:pPr>
              <w:jc w:val="center"/>
              <w:ind w:right="100"/>
              <w:spacing w:after="0"/>
              <w:rPr>
                <w:sz w:val="20"/>
                <w:szCs w:val="20"/>
                <w:color w:val="auto"/>
              </w:rPr>
            </w:pPr>
            <w:r>
              <w:rPr>
                <w:rFonts w:ascii="Verdana" w:cs="Verdana" w:eastAsia="Verdana" w:hAnsi="Verdana"/>
                <w:sz w:val="13"/>
                <w:szCs w:val="13"/>
                <w:b w:val="1"/>
                <w:bCs w:val="1"/>
                <w:color w:val="auto"/>
                <w:w w:val="96"/>
              </w:rPr>
              <w:t>(a)</w:t>
            </w:r>
          </w:p>
        </w:tc>
        <w:tc>
          <w:tcPr>
            <w:tcW w:w="180" w:type="dxa"/>
            <w:vAlign w:val="bottom"/>
          </w:tcPr>
          <w:p>
            <w:pPr>
              <w:spacing w:after="0"/>
              <w:rPr>
                <w:sz w:val="9"/>
                <w:szCs w:val="9"/>
                <w:color w:val="auto"/>
              </w:rPr>
            </w:pPr>
          </w:p>
        </w:tc>
        <w:tc>
          <w:tcPr>
            <w:tcW w:w="1520" w:type="dxa"/>
            <w:vAlign w:val="bottom"/>
            <w:gridSpan w:val="2"/>
            <w:vMerge w:val="restart"/>
          </w:tcPr>
          <w:p>
            <w:pPr>
              <w:jc w:val="center"/>
              <w:ind w:right="260"/>
              <w:spacing w:after="0"/>
              <w:rPr>
                <w:sz w:val="20"/>
                <w:szCs w:val="20"/>
                <w:color w:val="auto"/>
              </w:rPr>
            </w:pPr>
            <w:r>
              <w:rPr>
                <w:rFonts w:ascii="Verdana" w:cs="Verdana" w:eastAsia="Verdana" w:hAnsi="Verdana"/>
                <w:sz w:val="13"/>
                <w:szCs w:val="13"/>
                <w:b w:val="1"/>
                <w:bCs w:val="1"/>
                <w:color w:val="auto"/>
                <w:w w:val="94"/>
              </w:rPr>
              <w:t>(b)</w:t>
            </w:r>
          </w:p>
        </w:tc>
        <w:tc>
          <w:tcPr>
            <w:tcW w:w="1600" w:type="dxa"/>
            <w:vAlign w:val="bottom"/>
          </w:tcPr>
          <w:p>
            <w:pPr>
              <w:jc w:val="center"/>
              <w:spacing w:after="0" w:line="108" w:lineRule="exact"/>
              <w:rPr>
                <w:sz w:val="20"/>
                <w:szCs w:val="20"/>
                <w:color w:val="auto"/>
              </w:rPr>
            </w:pPr>
            <w:r>
              <w:rPr>
                <w:rFonts w:ascii="Verdana" w:cs="Verdana" w:eastAsia="Verdana" w:hAnsi="Verdana"/>
                <w:sz w:val="10"/>
                <w:szCs w:val="10"/>
                <w:b w:val="1"/>
                <w:bCs w:val="1"/>
                <w:color w:val="auto"/>
              </w:rPr>
              <w:t>securities</w:t>
            </w:r>
          </w:p>
        </w:tc>
        <w:tc>
          <w:tcPr>
            <w:tcW w:w="0" w:type="dxa"/>
            <w:vAlign w:val="bottom"/>
          </w:tcPr>
          <w:p>
            <w:pPr>
              <w:spacing w:after="0"/>
              <w:rPr>
                <w:sz w:val="1"/>
                <w:szCs w:val="1"/>
                <w:color w:val="auto"/>
              </w:rPr>
            </w:pPr>
          </w:p>
        </w:tc>
      </w:tr>
      <w:tr>
        <w:trPr>
          <w:trHeight w:val="122"/>
        </w:trPr>
        <w:tc>
          <w:tcPr>
            <w:tcW w:w="62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60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6"/>
              </w:rPr>
              <w:t>remaining for</w:t>
            </w:r>
          </w:p>
        </w:tc>
        <w:tc>
          <w:tcPr>
            <w:tcW w:w="0" w:type="dxa"/>
            <w:vAlign w:val="bottom"/>
          </w:tcPr>
          <w:p>
            <w:pPr>
              <w:spacing w:after="0"/>
              <w:rPr>
                <w:sz w:val="1"/>
                <w:szCs w:val="1"/>
                <w:color w:val="auto"/>
              </w:rPr>
            </w:pPr>
          </w:p>
        </w:tc>
      </w:tr>
      <w:tr>
        <w:trPr>
          <w:trHeight w:val="122"/>
        </w:trPr>
        <w:tc>
          <w:tcPr>
            <w:tcW w:w="6260" w:type="dxa"/>
            <w:vAlign w:val="bottom"/>
          </w:tcPr>
          <w:p>
            <w:pPr>
              <w:spacing w:after="0"/>
              <w:rPr>
                <w:sz w:val="10"/>
                <w:szCs w:val="10"/>
                <w:color w:val="auto"/>
              </w:rPr>
            </w:pPr>
          </w:p>
        </w:tc>
        <w:tc>
          <w:tcPr>
            <w:tcW w:w="168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5"/>
              </w:rPr>
              <w:t>Number of</w:t>
            </w:r>
          </w:p>
        </w:tc>
        <w:tc>
          <w:tcPr>
            <w:tcW w:w="180" w:type="dxa"/>
            <w:vAlign w:val="bottom"/>
          </w:tcPr>
          <w:p>
            <w:pPr>
              <w:spacing w:after="0"/>
              <w:rPr>
                <w:sz w:val="10"/>
                <w:szCs w:val="10"/>
                <w:color w:val="auto"/>
              </w:rPr>
            </w:pPr>
          </w:p>
        </w:tc>
        <w:tc>
          <w:tcPr>
            <w:tcW w:w="152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7"/>
              </w:rPr>
              <w:t>Weighted-</w:t>
            </w:r>
          </w:p>
        </w:tc>
        <w:tc>
          <w:tcPr>
            <w:tcW w:w="160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7"/>
              </w:rPr>
              <w:t>future issuance</w:t>
            </w:r>
          </w:p>
        </w:tc>
        <w:tc>
          <w:tcPr>
            <w:tcW w:w="0" w:type="dxa"/>
            <w:vAlign w:val="bottom"/>
          </w:tcPr>
          <w:p>
            <w:pPr>
              <w:spacing w:after="0"/>
              <w:rPr>
                <w:sz w:val="1"/>
                <w:szCs w:val="1"/>
                <w:color w:val="auto"/>
              </w:rPr>
            </w:pPr>
          </w:p>
        </w:tc>
      </w:tr>
      <w:tr>
        <w:trPr>
          <w:trHeight w:val="122"/>
        </w:trPr>
        <w:tc>
          <w:tcPr>
            <w:tcW w:w="6260" w:type="dxa"/>
            <w:vAlign w:val="bottom"/>
          </w:tcPr>
          <w:p>
            <w:pPr>
              <w:spacing w:after="0"/>
              <w:rPr>
                <w:sz w:val="10"/>
                <w:szCs w:val="10"/>
                <w:color w:val="auto"/>
              </w:rPr>
            </w:pPr>
          </w:p>
        </w:tc>
        <w:tc>
          <w:tcPr>
            <w:tcW w:w="168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securities to be</w:t>
            </w:r>
          </w:p>
        </w:tc>
        <w:tc>
          <w:tcPr>
            <w:tcW w:w="180" w:type="dxa"/>
            <w:vAlign w:val="bottom"/>
          </w:tcPr>
          <w:p>
            <w:pPr>
              <w:spacing w:after="0"/>
              <w:rPr>
                <w:sz w:val="10"/>
                <w:szCs w:val="10"/>
                <w:color w:val="auto"/>
              </w:rPr>
            </w:pPr>
          </w:p>
        </w:tc>
        <w:tc>
          <w:tcPr>
            <w:tcW w:w="152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8"/>
              </w:rPr>
              <w:t>average</w:t>
            </w:r>
          </w:p>
        </w:tc>
        <w:tc>
          <w:tcPr>
            <w:tcW w:w="160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6"/>
              </w:rPr>
              <w:t>under equity</w:t>
            </w:r>
          </w:p>
        </w:tc>
        <w:tc>
          <w:tcPr>
            <w:tcW w:w="0" w:type="dxa"/>
            <w:vAlign w:val="bottom"/>
          </w:tcPr>
          <w:p>
            <w:pPr>
              <w:spacing w:after="0"/>
              <w:rPr>
                <w:sz w:val="1"/>
                <w:szCs w:val="1"/>
                <w:color w:val="auto"/>
              </w:rPr>
            </w:pPr>
          </w:p>
        </w:tc>
      </w:tr>
      <w:tr>
        <w:trPr>
          <w:trHeight w:val="121"/>
        </w:trPr>
        <w:tc>
          <w:tcPr>
            <w:tcW w:w="6260" w:type="dxa"/>
            <w:vAlign w:val="bottom"/>
          </w:tcPr>
          <w:p>
            <w:pPr>
              <w:spacing w:after="0"/>
              <w:rPr>
                <w:sz w:val="10"/>
                <w:szCs w:val="10"/>
                <w:color w:val="auto"/>
              </w:rPr>
            </w:pPr>
          </w:p>
        </w:tc>
        <w:tc>
          <w:tcPr>
            <w:tcW w:w="168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issued upon</w:t>
            </w:r>
          </w:p>
        </w:tc>
        <w:tc>
          <w:tcPr>
            <w:tcW w:w="180" w:type="dxa"/>
            <w:vAlign w:val="bottom"/>
          </w:tcPr>
          <w:p>
            <w:pPr>
              <w:spacing w:after="0"/>
              <w:rPr>
                <w:sz w:val="10"/>
                <w:szCs w:val="10"/>
                <w:color w:val="auto"/>
              </w:rPr>
            </w:pPr>
          </w:p>
        </w:tc>
        <w:tc>
          <w:tcPr>
            <w:tcW w:w="152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7"/>
              </w:rPr>
              <w:t>exercise price of</w:t>
            </w:r>
          </w:p>
        </w:tc>
        <w:tc>
          <w:tcPr>
            <w:tcW w:w="160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7"/>
              </w:rPr>
              <w:t>compensation</w:t>
            </w:r>
          </w:p>
        </w:tc>
        <w:tc>
          <w:tcPr>
            <w:tcW w:w="0" w:type="dxa"/>
            <w:vAlign w:val="bottom"/>
          </w:tcPr>
          <w:p>
            <w:pPr>
              <w:spacing w:after="0"/>
              <w:rPr>
                <w:sz w:val="1"/>
                <w:szCs w:val="1"/>
                <w:color w:val="auto"/>
              </w:rPr>
            </w:pPr>
          </w:p>
        </w:tc>
      </w:tr>
      <w:tr>
        <w:trPr>
          <w:trHeight w:val="122"/>
        </w:trPr>
        <w:tc>
          <w:tcPr>
            <w:tcW w:w="6260" w:type="dxa"/>
            <w:vAlign w:val="bottom"/>
          </w:tcPr>
          <w:p>
            <w:pPr>
              <w:spacing w:after="0"/>
              <w:rPr>
                <w:sz w:val="10"/>
                <w:szCs w:val="10"/>
                <w:color w:val="auto"/>
              </w:rPr>
            </w:pPr>
          </w:p>
        </w:tc>
        <w:tc>
          <w:tcPr>
            <w:tcW w:w="168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exercise of</w:t>
            </w:r>
          </w:p>
        </w:tc>
        <w:tc>
          <w:tcPr>
            <w:tcW w:w="180" w:type="dxa"/>
            <w:vAlign w:val="bottom"/>
          </w:tcPr>
          <w:p>
            <w:pPr>
              <w:spacing w:after="0"/>
              <w:rPr>
                <w:sz w:val="10"/>
                <w:szCs w:val="10"/>
                <w:color w:val="auto"/>
              </w:rPr>
            </w:pPr>
          </w:p>
        </w:tc>
        <w:tc>
          <w:tcPr>
            <w:tcW w:w="152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8"/>
              </w:rPr>
              <w:t>outstanding</w:t>
            </w:r>
          </w:p>
        </w:tc>
        <w:tc>
          <w:tcPr>
            <w:tcW w:w="160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7"/>
              </w:rPr>
              <w:t>plans (excluding</w:t>
            </w:r>
          </w:p>
        </w:tc>
        <w:tc>
          <w:tcPr>
            <w:tcW w:w="0" w:type="dxa"/>
            <w:vAlign w:val="bottom"/>
          </w:tcPr>
          <w:p>
            <w:pPr>
              <w:spacing w:after="0"/>
              <w:rPr>
                <w:sz w:val="1"/>
                <w:szCs w:val="1"/>
                <w:color w:val="auto"/>
              </w:rPr>
            </w:pPr>
          </w:p>
        </w:tc>
      </w:tr>
      <w:tr>
        <w:trPr>
          <w:trHeight w:val="122"/>
        </w:trPr>
        <w:tc>
          <w:tcPr>
            <w:tcW w:w="6260" w:type="dxa"/>
            <w:vAlign w:val="bottom"/>
          </w:tcPr>
          <w:p>
            <w:pPr>
              <w:spacing w:after="0"/>
              <w:rPr>
                <w:sz w:val="10"/>
                <w:szCs w:val="10"/>
                <w:color w:val="auto"/>
              </w:rPr>
            </w:pPr>
          </w:p>
        </w:tc>
        <w:tc>
          <w:tcPr>
            <w:tcW w:w="168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5"/>
              </w:rPr>
              <w:t>outstanding</w:t>
            </w:r>
          </w:p>
        </w:tc>
        <w:tc>
          <w:tcPr>
            <w:tcW w:w="180" w:type="dxa"/>
            <w:vAlign w:val="bottom"/>
          </w:tcPr>
          <w:p>
            <w:pPr>
              <w:spacing w:after="0"/>
              <w:rPr>
                <w:sz w:val="10"/>
                <w:szCs w:val="10"/>
                <w:color w:val="auto"/>
              </w:rPr>
            </w:pPr>
          </w:p>
        </w:tc>
        <w:tc>
          <w:tcPr>
            <w:tcW w:w="152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8"/>
              </w:rPr>
              <w:t>options,</w:t>
            </w:r>
          </w:p>
        </w:tc>
        <w:tc>
          <w:tcPr>
            <w:tcW w:w="160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5"/>
              </w:rPr>
              <w:t>securities</w:t>
            </w:r>
          </w:p>
        </w:tc>
        <w:tc>
          <w:tcPr>
            <w:tcW w:w="0" w:type="dxa"/>
            <w:vAlign w:val="bottom"/>
          </w:tcPr>
          <w:p>
            <w:pPr>
              <w:spacing w:after="0"/>
              <w:rPr>
                <w:sz w:val="1"/>
                <w:szCs w:val="1"/>
                <w:color w:val="auto"/>
              </w:rPr>
            </w:pPr>
          </w:p>
        </w:tc>
      </w:tr>
      <w:tr>
        <w:trPr>
          <w:trHeight w:val="108"/>
        </w:trPr>
        <w:tc>
          <w:tcPr>
            <w:tcW w:w="6260" w:type="dxa"/>
            <w:vAlign w:val="bottom"/>
          </w:tcPr>
          <w:p>
            <w:pPr>
              <w:spacing w:after="0"/>
              <w:rPr>
                <w:sz w:val="9"/>
                <w:szCs w:val="9"/>
                <w:color w:val="auto"/>
              </w:rPr>
            </w:pPr>
          </w:p>
        </w:tc>
        <w:tc>
          <w:tcPr>
            <w:tcW w:w="1680" w:type="dxa"/>
            <w:vAlign w:val="bottom"/>
            <w:gridSpan w:val="2"/>
          </w:tcPr>
          <w:p>
            <w:pPr>
              <w:jc w:val="center"/>
              <w:ind w:right="100"/>
              <w:spacing w:after="0" w:line="108" w:lineRule="exact"/>
              <w:rPr>
                <w:sz w:val="20"/>
                <w:szCs w:val="20"/>
                <w:color w:val="auto"/>
              </w:rPr>
            </w:pPr>
            <w:r>
              <w:rPr>
                <w:rFonts w:ascii="Verdana" w:cs="Verdana" w:eastAsia="Verdana" w:hAnsi="Verdana"/>
                <w:sz w:val="10"/>
                <w:szCs w:val="10"/>
                <w:b w:val="1"/>
                <w:bCs w:val="1"/>
                <w:color w:val="auto"/>
              </w:rPr>
              <w:t>options, warrants</w:t>
            </w:r>
          </w:p>
        </w:tc>
        <w:tc>
          <w:tcPr>
            <w:tcW w:w="180" w:type="dxa"/>
            <w:vAlign w:val="bottom"/>
          </w:tcPr>
          <w:p>
            <w:pPr>
              <w:spacing w:after="0"/>
              <w:rPr>
                <w:sz w:val="9"/>
                <w:szCs w:val="9"/>
                <w:color w:val="auto"/>
              </w:rPr>
            </w:pPr>
          </w:p>
        </w:tc>
        <w:tc>
          <w:tcPr>
            <w:tcW w:w="1520" w:type="dxa"/>
            <w:vAlign w:val="bottom"/>
            <w:gridSpan w:val="2"/>
          </w:tcPr>
          <w:p>
            <w:pPr>
              <w:jc w:val="center"/>
              <w:ind w:right="260"/>
              <w:spacing w:after="0" w:line="108" w:lineRule="exact"/>
              <w:rPr>
                <w:sz w:val="20"/>
                <w:szCs w:val="20"/>
                <w:color w:val="auto"/>
              </w:rPr>
            </w:pPr>
            <w:r>
              <w:rPr>
                <w:rFonts w:ascii="Verdana" w:cs="Verdana" w:eastAsia="Verdana" w:hAnsi="Verdana"/>
                <w:sz w:val="10"/>
                <w:szCs w:val="10"/>
                <w:b w:val="1"/>
                <w:bCs w:val="1"/>
                <w:color w:val="auto"/>
              </w:rPr>
              <w:t>warrants and</w:t>
            </w:r>
          </w:p>
        </w:tc>
        <w:tc>
          <w:tcPr>
            <w:tcW w:w="1600" w:type="dxa"/>
            <w:vAlign w:val="bottom"/>
          </w:tcPr>
          <w:p>
            <w:pPr>
              <w:jc w:val="center"/>
              <w:spacing w:after="0" w:line="108" w:lineRule="exact"/>
              <w:rPr>
                <w:sz w:val="20"/>
                <w:szCs w:val="20"/>
                <w:color w:val="auto"/>
              </w:rPr>
            </w:pPr>
            <w:r>
              <w:rPr>
                <w:rFonts w:ascii="Verdana" w:cs="Verdana" w:eastAsia="Verdana" w:hAnsi="Verdana"/>
                <w:sz w:val="10"/>
                <w:szCs w:val="10"/>
                <w:b w:val="1"/>
                <w:bCs w:val="1"/>
                <w:color w:val="auto"/>
              </w:rPr>
              <w:t>reflected in</w:t>
            </w:r>
          </w:p>
        </w:tc>
        <w:tc>
          <w:tcPr>
            <w:tcW w:w="0" w:type="dxa"/>
            <w:vAlign w:val="bottom"/>
          </w:tcPr>
          <w:p>
            <w:pPr>
              <w:spacing w:after="0"/>
              <w:rPr>
                <w:sz w:val="1"/>
                <w:szCs w:val="1"/>
                <w:color w:val="auto"/>
              </w:rPr>
            </w:pPr>
          </w:p>
        </w:tc>
      </w:tr>
      <w:tr>
        <w:trPr>
          <w:trHeight w:val="176"/>
        </w:trPr>
        <w:tc>
          <w:tcPr>
            <w:tcW w:w="6260" w:type="dxa"/>
            <w:vAlign w:val="bottom"/>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Verdana" w:cs="Verdana" w:eastAsia="Verdana" w:hAnsi="Verdana"/>
                <w:sz w:val="13"/>
                <w:szCs w:val="13"/>
                <w:b w:val="1"/>
                <w:bCs w:val="1"/>
                <w:color w:val="auto"/>
                <w:w w:val="95"/>
              </w:rPr>
              <w:t>and rights</w:t>
            </w:r>
            <w:r>
              <w:rPr>
                <w:rFonts w:ascii="Verdana" w:cs="Verdana" w:eastAsia="Verdana" w:hAnsi="Verdana"/>
                <w:sz w:val="16"/>
                <w:szCs w:val="16"/>
                <w:b w:val="1"/>
                <w:bCs w:val="1"/>
                <w:color w:val="auto"/>
                <w:w w:val="95"/>
                <w:vertAlign w:val="superscript"/>
              </w:rPr>
              <w:t>1</w:t>
            </w:r>
          </w:p>
        </w:tc>
        <w:tc>
          <w:tcPr>
            <w:tcW w:w="18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Verdana" w:cs="Verdana" w:eastAsia="Verdana" w:hAnsi="Verdana"/>
                <w:sz w:val="13"/>
                <w:szCs w:val="13"/>
                <w:b w:val="1"/>
                <w:bCs w:val="1"/>
                <w:color w:val="auto"/>
                <w:w w:val="90"/>
              </w:rPr>
              <w:t>rights</w:t>
            </w:r>
            <w:r>
              <w:rPr>
                <w:rFonts w:ascii="Verdana" w:cs="Verdana" w:eastAsia="Verdana" w:hAnsi="Verdana"/>
                <w:sz w:val="16"/>
                <w:szCs w:val="16"/>
                <w:b w:val="1"/>
                <w:bCs w:val="1"/>
                <w:color w:val="auto"/>
                <w:w w:val="90"/>
                <w:vertAlign w:val="superscript"/>
              </w:rPr>
              <w:t>2</w:t>
            </w:r>
          </w:p>
        </w:tc>
        <w:tc>
          <w:tcPr>
            <w:tcW w:w="1600" w:type="dxa"/>
            <w:vAlign w:val="bottom"/>
          </w:tcPr>
          <w:p>
            <w:pPr>
              <w:jc w:val="center"/>
              <w:spacing w:after="0" w:line="176" w:lineRule="exact"/>
              <w:rPr>
                <w:sz w:val="20"/>
                <w:szCs w:val="20"/>
                <w:color w:val="auto"/>
              </w:rPr>
            </w:pPr>
            <w:r>
              <w:rPr>
                <w:rFonts w:ascii="Verdana" w:cs="Verdana" w:eastAsia="Verdana" w:hAnsi="Verdana"/>
                <w:sz w:val="13"/>
                <w:szCs w:val="13"/>
                <w:b w:val="1"/>
                <w:bCs w:val="1"/>
                <w:color w:val="auto"/>
                <w:w w:val="94"/>
              </w:rPr>
              <w:t>column (a))</w:t>
            </w:r>
            <w:r>
              <w:rPr>
                <w:rFonts w:ascii="Verdana" w:cs="Verdana" w:eastAsia="Verdana" w:hAnsi="Verdana"/>
                <w:sz w:val="16"/>
                <w:szCs w:val="16"/>
                <w:b w:val="1"/>
                <w:bCs w:val="1"/>
                <w:color w:val="auto"/>
                <w:w w:val="94"/>
                <w:vertAlign w:val="superscript"/>
              </w:rPr>
              <w:t>3</w:t>
            </w:r>
          </w:p>
        </w:tc>
        <w:tc>
          <w:tcPr>
            <w:tcW w:w="0" w:type="dxa"/>
            <w:vAlign w:val="bottom"/>
          </w:tcPr>
          <w:p>
            <w:pPr>
              <w:spacing w:after="0"/>
              <w:rPr>
                <w:sz w:val="1"/>
                <w:szCs w:val="1"/>
                <w:color w:val="auto"/>
              </w:rPr>
            </w:pPr>
          </w:p>
        </w:tc>
      </w:tr>
      <w:tr>
        <w:trPr>
          <w:trHeight w:val="250"/>
        </w:trPr>
        <w:tc>
          <w:tcPr>
            <w:tcW w:w="6260" w:type="dxa"/>
            <w:vAlign w:val="bottom"/>
            <w:tcBorders>
              <w:top w:val="single" w:sz="8" w:color="CCEEFF"/>
            </w:tcBorders>
            <w:shd w:val="clear" w:color="auto" w:fill="CCEEFF"/>
          </w:tcPr>
          <w:p>
            <w:pPr>
              <w:ind w:left="20"/>
              <w:spacing w:after="0"/>
              <w:rPr>
                <w:sz w:val="20"/>
                <w:szCs w:val="20"/>
                <w:color w:val="auto"/>
              </w:rPr>
            </w:pPr>
            <w:r>
              <w:rPr>
                <w:rFonts w:ascii="Verdana" w:cs="Verdana" w:eastAsia="Verdana" w:hAnsi="Verdana"/>
                <w:sz w:val="18"/>
                <w:szCs w:val="18"/>
                <w:b w:val="1"/>
                <w:bCs w:val="1"/>
                <w:color w:val="auto"/>
              </w:rPr>
              <w:t>Equity compensation plans</w:t>
            </w:r>
          </w:p>
        </w:tc>
        <w:tc>
          <w:tcPr>
            <w:tcW w:w="16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80"/>
              <w:spacing w:after="0" w:line="270" w:lineRule="exact"/>
              <w:rPr>
                <w:sz w:val="20"/>
                <w:szCs w:val="20"/>
                <w:color w:val="auto"/>
              </w:rPr>
            </w:pPr>
            <w:r>
              <w:rPr>
                <w:rFonts w:ascii="Verdana" w:cs="Verdana" w:eastAsia="Verdana" w:hAnsi="Verdana"/>
                <w:sz w:val="18"/>
                <w:szCs w:val="18"/>
                <w:color w:val="auto"/>
              </w:rPr>
              <w:t>Approved by stockholders</w:t>
            </w:r>
            <w:r>
              <w:rPr>
                <w:rFonts w:ascii="Verdana" w:cs="Verdana" w:eastAsia="Verdana" w:hAnsi="Verdana"/>
                <w:sz w:val="23"/>
                <w:szCs w:val="23"/>
                <w:color w:val="auto"/>
                <w:vertAlign w:val="superscript"/>
              </w:rPr>
              <w:t>4</w:t>
            </w:r>
          </w:p>
        </w:tc>
        <w:tc>
          <w:tcPr>
            <w:tcW w:w="1600" w:type="dxa"/>
            <w:vAlign w:val="bottom"/>
          </w:tcPr>
          <w:p>
            <w:pPr>
              <w:jc w:val="right"/>
              <w:spacing w:after="0"/>
              <w:rPr>
                <w:sz w:val="20"/>
                <w:szCs w:val="20"/>
                <w:color w:val="auto"/>
              </w:rPr>
            </w:pPr>
            <w:r>
              <w:rPr>
                <w:rFonts w:ascii="Verdana" w:cs="Verdana" w:eastAsia="Verdana" w:hAnsi="Verdana"/>
                <w:sz w:val="18"/>
                <w:szCs w:val="18"/>
                <w:color w:val="auto"/>
              </w:rPr>
              <w:t>1,657,569</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31"/>
              <w:spacing w:after="0"/>
              <w:rPr>
                <w:sz w:val="20"/>
                <w:szCs w:val="20"/>
                <w:color w:val="auto"/>
              </w:rPr>
            </w:pPr>
            <w:r>
              <w:rPr>
                <w:rFonts w:ascii="Verdana" w:cs="Verdana" w:eastAsia="Verdana" w:hAnsi="Verdana"/>
                <w:sz w:val="18"/>
                <w:szCs w:val="18"/>
                <w:color w:val="auto"/>
              </w:rPr>
              <w:t>23.53</w:t>
            </w:r>
          </w:p>
        </w:tc>
        <w:tc>
          <w:tcPr>
            <w:tcW w:w="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Verdana" w:cs="Verdana" w:eastAsia="Verdana" w:hAnsi="Verdana"/>
                <w:sz w:val="18"/>
                <w:szCs w:val="18"/>
                <w:color w:val="auto"/>
              </w:rPr>
              <w:t>2,175,722</w:t>
            </w:r>
          </w:p>
        </w:tc>
        <w:tc>
          <w:tcPr>
            <w:tcW w:w="0" w:type="dxa"/>
            <w:vAlign w:val="bottom"/>
          </w:tcPr>
          <w:p>
            <w:pPr>
              <w:spacing w:after="0"/>
              <w:rPr>
                <w:sz w:val="1"/>
                <w:szCs w:val="1"/>
                <w:color w:val="auto"/>
              </w:rPr>
            </w:pPr>
          </w:p>
        </w:tc>
      </w:tr>
      <w:tr>
        <w:trPr>
          <w:trHeight w:val="263"/>
        </w:trPr>
        <w:tc>
          <w:tcPr>
            <w:tcW w:w="6260" w:type="dxa"/>
            <w:vAlign w:val="bottom"/>
            <w:shd w:val="clear" w:color="auto" w:fill="CCEEFF"/>
          </w:tcPr>
          <w:p>
            <w:pPr>
              <w:ind w:left="180"/>
              <w:spacing w:after="0"/>
              <w:rPr>
                <w:sz w:val="20"/>
                <w:szCs w:val="20"/>
                <w:color w:val="auto"/>
              </w:rPr>
            </w:pPr>
            <w:r>
              <w:rPr>
                <w:rFonts w:ascii="Verdana" w:cs="Verdana" w:eastAsia="Verdana" w:hAnsi="Verdana"/>
                <w:sz w:val="18"/>
                <w:szCs w:val="18"/>
                <w:color w:val="auto"/>
              </w:rPr>
              <w:t>Not approved by stockholders</w:t>
            </w:r>
          </w:p>
        </w:tc>
        <w:tc>
          <w:tcPr>
            <w:tcW w:w="1680" w:type="dxa"/>
            <w:vAlign w:val="bottom"/>
            <w:gridSpan w:val="2"/>
            <w:shd w:val="clear" w:color="auto" w:fill="CCEEFF"/>
          </w:tcPr>
          <w:p>
            <w:pPr>
              <w:jc w:val="right"/>
              <w:ind w:right="100"/>
              <w:spacing w:after="0"/>
              <w:rPr>
                <w:sz w:val="20"/>
                <w:szCs w:val="20"/>
                <w:color w:val="auto"/>
              </w:rPr>
            </w:pPr>
            <w:r>
              <w:rPr>
                <w:rFonts w:ascii="Verdana" w:cs="Verdana" w:eastAsia="Verdana" w:hAnsi="Verdana"/>
                <w:sz w:val="18"/>
                <w:szCs w:val="18"/>
                <w:color w:val="auto"/>
              </w:rPr>
              <w:t>—</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Verdana" w:cs="Verdana" w:eastAsia="Verdana" w:hAnsi="Verdana"/>
                <w:sz w:val="18"/>
                <w:szCs w:val="18"/>
                <w:color w:val="auto"/>
              </w:rPr>
              <w:t>—</w:t>
            </w:r>
          </w:p>
        </w:tc>
        <w:tc>
          <w:tcPr>
            <w:tcW w:w="1600" w:type="dxa"/>
            <w:vAlign w:val="bottom"/>
            <w:shd w:val="clear" w:color="auto" w:fill="CCEEFF"/>
          </w:tcPr>
          <w:p>
            <w:pPr>
              <w:jc w:val="right"/>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20"/>
              <w:spacing w:after="0"/>
              <w:rPr>
                <w:sz w:val="20"/>
                <w:szCs w:val="20"/>
                <w:color w:val="auto"/>
              </w:rPr>
            </w:pPr>
            <w:r>
              <w:rPr>
                <w:rFonts w:ascii="Verdana" w:cs="Verdana" w:eastAsia="Verdana" w:hAnsi="Verdana"/>
                <w:sz w:val="18"/>
                <w:szCs w:val="18"/>
                <w:color w:val="auto"/>
              </w:rPr>
              <w:t>Total as of December 31, 2023</w:t>
            </w:r>
          </w:p>
        </w:tc>
        <w:tc>
          <w:tcPr>
            <w:tcW w:w="16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1,657,569</w:t>
            </w:r>
          </w:p>
        </w:tc>
        <w:tc>
          <w:tcPr>
            <w:tcW w:w="8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Verdana" w:cs="Verdana" w:eastAsia="Verdana" w:hAnsi="Verdana"/>
                <w:sz w:val="18"/>
                <w:szCs w:val="18"/>
                <w:color w:val="auto"/>
              </w:rPr>
              <w:t>23.53</w:t>
            </w:r>
          </w:p>
        </w:tc>
        <w:tc>
          <w:tcPr>
            <w:tcW w:w="80" w:type="dxa"/>
            <w:vAlign w:val="bottom"/>
          </w:tcPr>
          <w:p>
            <w:pPr>
              <w:spacing w:after="0"/>
              <w:rPr>
                <w:sz w:val="23"/>
                <w:szCs w:val="23"/>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2,175,722</w:t>
            </w:r>
          </w:p>
        </w:tc>
        <w:tc>
          <w:tcPr>
            <w:tcW w:w="0" w:type="dxa"/>
            <w:vAlign w:val="bottom"/>
          </w:tcPr>
          <w:p>
            <w:pPr>
              <w:spacing w:after="0"/>
              <w:rPr>
                <w:sz w:val="1"/>
                <w:szCs w:val="1"/>
                <w:color w:val="auto"/>
              </w:rPr>
            </w:pPr>
          </w:p>
        </w:tc>
      </w:tr>
      <w:tr>
        <w:trPr>
          <w:trHeight w:val="21"/>
        </w:trPr>
        <w:tc>
          <w:tcPr>
            <w:tcW w:w="6260" w:type="dxa"/>
            <w:vAlign w:val="bottom"/>
            <w:vMerge w:val="restart"/>
          </w:tcPr>
          <w:p>
            <w:pPr>
              <w:spacing w:after="0"/>
              <w:rPr>
                <w:sz w:val="20"/>
                <w:szCs w:val="20"/>
                <w:color w:val="auto"/>
              </w:rPr>
            </w:pPr>
            <w:r>
              <w:rPr>
                <w:rFonts w:ascii="Verdana" w:cs="Verdana" w:eastAsia="Verdana" w:hAnsi="Verdana"/>
                <w:sz w:val="13"/>
                <w:szCs w:val="13"/>
                <w:color w:val="auto"/>
              </w:rPr>
              <w:t>___________________________________________</w:t>
            </w: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26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80" w:hanging="310"/>
        <w:spacing w:after="0"/>
        <w:tabs>
          <w:tab w:leader="none" w:pos="480" w:val="left"/>
        </w:tabs>
        <w:numPr>
          <w:ilvl w:val="0"/>
          <w:numId w:val="66"/>
        </w:numPr>
        <w:rPr>
          <w:rFonts w:ascii="Verdana" w:cs="Verdana" w:eastAsia="Verdana" w:hAnsi="Verdana"/>
          <w:sz w:val="13"/>
          <w:szCs w:val="13"/>
          <w:color w:val="auto"/>
        </w:rPr>
      </w:pPr>
      <w:r>
        <w:rPr>
          <w:rFonts w:ascii="Verdana" w:cs="Verdana" w:eastAsia="Verdana" w:hAnsi="Verdana"/>
          <w:sz w:val="13"/>
          <w:szCs w:val="13"/>
          <w:color w:val="auto"/>
        </w:rPr>
        <w:t>Balance includes stock options assumed in connection with the acquisition of First Community.</w:t>
      </w:r>
    </w:p>
    <w:p>
      <w:pPr>
        <w:spacing w:after="0" w:line="4" w:lineRule="exact"/>
        <w:rPr>
          <w:rFonts w:ascii="Verdana" w:cs="Verdana" w:eastAsia="Verdana" w:hAnsi="Verdana"/>
          <w:sz w:val="13"/>
          <w:szCs w:val="13"/>
          <w:color w:val="auto"/>
        </w:rPr>
      </w:pPr>
    </w:p>
    <w:p>
      <w:pPr>
        <w:ind w:left="480" w:hanging="310"/>
        <w:spacing w:after="0" w:line="225" w:lineRule="auto"/>
        <w:tabs>
          <w:tab w:leader="none" w:pos="480" w:val="left"/>
        </w:tabs>
        <w:numPr>
          <w:ilvl w:val="0"/>
          <w:numId w:val="66"/>
        </w:numPr>
        <w:rPr>
          <w:rFonts w:ascii="Verdana" w:cs="Verdana" w:eastAsia="Verdana" w:hAnsi="Verdana"/>
          <w:sz w:val="13"/>
          <w:szCs w:val="13"/>
          <w:color w:val="auto"/>
        </w:rPr>
      </w:pPr>
      <w:r>
        <w:rPr>
          <w:rFonts w:ascii="Verdana" w:cs="Verdana" w:eastAsia="Verdana" w:hAnsi="Verdana"/>
          <w:sz w:val="13"/>
          <w:szCs w:val="13"/>
          <w:color w:val="auto"/>
        </w:rPr>
        <w:t>The weighted average exercise price only relates to 21,266 stock options.</w:t>
      </w:r>
    </w:p>
    <w:p>
      <w:pPr>
        <w:ind w:left="480" w:hanging="310"/>
        <w:spacing w:after="0" w:line="225" w:lineRule="auto"/>
        <w:tabs>
          <w:tab w:leader="none" w:pos="480" w:val="left"/>
        </w:tabs>
        <w:numPr>
          <w:ilvl w:val="0"/>
          <w:numId w:val="66"/>
        </w:numPr>
        <w:rPr>
          <w:rFonts w:ascii="Verdana" w:cs="Verdana" w:eastAsia="Verdana" w:hAnsi="Verdana"/>
          <w:sz w:val="13"/>
          <w:szCs w:val="13"/>
          <w:color w:val="auto"/>
        </w:rPr>
      </w:pPr>
      <w:r>
        <w:rPr>
          <w:rFonts w:ascii="Verdana" w:cs="Verdana" w:eastAsia="Verdana" w:hAnsi="Verdana"/>
          <w:sz w:val="13"/>
          <w:szCs w:val="13"/>
          <w:color w:val="auto"/>
        </w:rPr>
        <w:t>Shares were reserved under the 2020 Equity Plan and 2021 ESPP in the amounts of 1,723,343 and 452,379, respectively.</w:t>
      </w:r>
    </w:p>
    <w:p>
      <w:pPr>
        <w:ind w:left="500" w:hanging="330"/>
        <w:spacing w:after="0" w:line="237" w:lineRule="auto"/>
        <w:tabs>
          <w:tab w:leader="none" w:pos="491" w:val="left"/>
        </w:tabs>
        <w:numPr>
          <w:ilvl w:val="0"/>
          <w:numId w:val="66"/>
        </w:numPr>
        <w:rPr>
          <w:rFonts w:ascii="Verdana" w:cs="Verdana" w:eastAsia="Verdana" w:hAnsi="Verdana"/>
          <w:sz w:val="13"/>
          <w:szCs w:val="13"/>
          <w:color w:val="auto"/>
        </w:rPr>
      </w:pPr>
      <w:r>
        <w:rPr>
          <w:rFonts w:ascii="Verdana" w:cs="Verdana" w:eastAsia="Verdana" w:hAnsi="Verdana"/>
          <w:sz w:val="13"/>
          <w:szCs w:val="13"/>
          <w:color w:val="auto"/>
        </w:rPr>
        <w:t>Includes outstanding awards under the 2020 Equity Plan, the First Busey Corporation 2010 Equity Incentive Plan, as amended, and the First Community 2016 Equity Incentive Plan.</w:t>
      </w:r>
    </w:p>
    <w:p>
      <w:pPr>
        <w:spacing w:after="0" w:line="17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Other information required by Item 12 is incorporated herein by reference to Busey’s Proxy Statement for its 2024 Annual Meeting of Stockholders to be filed with the SEC within 120 days of Busey’s fiscal year-end under the caption “</w:t>
      </w:r>
      <w:r>
        <w:rPr>
          <w:rFonts w:ascii="Verdana" w:cs="Verdana" w:eastAsia="Verdana" w:hAnsi="Verdana"/>
          <w:sz w:val="18"/>
          <w:szCs w:val="18"/>
          <w:i w:val="1"/>
          <w:iCs w:val="1"/>
          <w:color w:val="auto"/>
        </w:rPr>
        <w:t>Stock</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Ownership of Certain Beneficial Owners and Management</w:t>
      </w:r>
      <w:r>
        <w:rPr>
          <w:rFonts w:ascii="Verdana" w:cs="Verdana" w:eastAsia="Verdana" w:hAnsi="Verdana"/>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13. CERTAIN RELATIONSHIPS AND RELATED TRANSACTIONS, AND DIRECTOR INDEPENDENCE</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The information required by this Item is incorporated herein by reference to Busey’s Proxy Statement for its 2024 Annual Meeting of Stockholders to be filed with the SEC within 120 days of Busey’s fiscal year-end under the captions </w:t>
      </w:r>
      <w:r>
        <w:rPr>
          <w:rFonts w:ascii="Verdana" w:cs="Verdana" w:eastAsia="Verdana" w:hAnsi="Verdana"/>
          <w:sz w:val="18"/>
          <w:szCs w:val="18"/>
          <w:i w:val="1"/>
          <w:iCs w:val="1"/>
          <w:color w:val="auto"/>
        </w:rPr>
        <w:t>“Corporate</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Governance and Board of Directors Matters” </w:t>
      </w:r>
      <w:r>
        <w:rPr>
          <w:rFonts w:ascii="Verdana" w:cs="Verdana" w:eastAsia="Verdana" w:hAnsi="Verdana"/>
          <w:sz w:val="18"/>
          <w:szCs w:val="18"/>
          <w:color w:val="auto"/>
        </w:rPr>
        <w:t>and</w:t>
      </w:r>
      <w:r>
        <w:rPr>
          <w:rFonts w:ascii="Verdana" w:cs="Verdana" w:eastAsia="Verdana" w:hAnsi="Verdana"/>
          <w:sz w:val="18"/>
          <w:szCs w:val="18"/>
          <w:i w:val="1"/>
          <w:iCs w:val="1"/>
          <w:color w:val="auto"/>
        </w:rPr>
        <w:t xml:space="preserve"> “Certain Relationships and Related-Person Transactions.”</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14. PRINCIPAL ACCOUNTANT FEES AND SERVICES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The information required by this Item is incorporated herein by reference to Busey’s Proxy Statement for its 2024 Annual Meeting of Stockholders to be filed with the SEC within 120 days of Busey’s fiscal year-end under the caption </w:t>
      </w:r>
      <w:r>
        <w:rPr>
          <w:rFonts w:ascii="Verdana" w:cs="Verdana" w:eastAsia="Verdana" w:hAnsi="Verdana"/>
          <w:sz w:val="18"/>
          <w:szCs w:val="18"/>
          <w:i w:val="1"/>
          <w:iCs w:val="1"/>
          <w:color w:val="auto"/>
        </w:rPr>
        <w:t>“Audit and</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Related Fees.”</w:t>
      </w:r>
    </w:p>
    <w:p>
      <w:pPr>
        <w:spacing w:after="0" w:line="2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1" w:name="page182"/>
    <w:bookmarkEnd w:id="18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PART IV</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15. EXHIBIT AND FINANCIAL STATEMENT SCHEDULES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EXHIBITS</w:t>
      </w:r>
    </w:p>
    <w:p>
      <w:pPr>
        <w:spacing w:after="0" w:line="186"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A list of exhibits to this Annual Report is set forth on the </w:t>
      </w:r>
      <w:r>
        <w:rPr>
          <w:rFonts w:ascii="Verdana" w:cs="Verdana" w:eastAsia="Verdana" w:hAnsi="Verdana"/>
          <w:sz w:val="18"/>
          <w:szCs w:val="18"/>
          <w:u w:val="single" w:color="auto"/>
          <w:color w:val="0000FF"/>
        </w:rPr>
        <w:t>Exhibit Index</w:t>
      </w:r>
      <w:r>
        <w:rPr>
          <w:rFonts w:ascii="Verdana" w:cs="Verdana" w:eastAsia="Verdana" w:hAnsi="Verdana"/>
          <w:sz w:val="18"/>
          <w:szCs w:val="18"/>
          <w:color w:val="auto"/>
        </w:rPr>
        <w:t xml:space="preserve"> beginning on page </w:t>
      </w:r>
      <w:r>
        <w:rPr>
          <w:rFonts w:ascii="Verdana" w:cs="Verdana" w:eastAsia="Verdana" w:hAnsi="Verdana"/>
          <w:sz w:val="18"/>
          <w:szCs w:val="18"/>
          <w:u w:val="single" w:color="auto"/>
          <w:color w:val="0000FF"/>
        </w:rPr>
        <w:t>183</w:t>
      </w:r>
      <w:r>
        <w:rPr>
          <w:rFonts w:ascii="Verdana" w:cs="Verdana" w:eastAsia="Verdana" w:hAnsi="Verdana"/>
          <w:sz w:val="18"/>
          <w:szCs w:val="18"/>
          <w:color w:val="auto"/>
        </w:rPr>
        <w:t>, and is incorporated into this Annual Report by reference.</w:t>
      </w:r>
    </w:p>
    <w:p>
      <w:pPr>
        <w:spacing w:after="0" w:line="144" w:lineRule="exact"/>
        <w:rPr>
          <w:sz w:val="20"/>
          <w:szCs w:val="20"/>
          <w:color w:val="auto"/>
        </w:rPr>
      </w:pPr>
    </w:p>
    <w:p>
      <w:pPr>
        <w:spacing w:after="0"/>
        <w:rPr>
          <w:sz w:val="20"/>
          <w:szCs w:val="20"/>
          <w:color w:val="auto"/>
        </w:rPr>
      </w:pPr>
      <w:r>
        <w:rPr>
          <w:rFonts w:ascii="Verdana" w:cs="Verdana" w:eastAsia="Verdana" w:hAnsi="Verdana"/>
          <w:sz w:val="17"/>
          <w:szCs w:val="17"/>
          <w:color w:val="auto"/>
        </w:rPr>
        <w:t>Stockholders may obtain a copy of any of the exhibits by writing to First Busey Corporation, Corporate Secretary, at 100 W.</w:t>
      </w:r>
    </w:p>
    <w:p>
      <w:pPr>
        <w:spacing w:after="0" w:line="9" w:lineRule="exact"/>
        <w:rPr>
          <w:sz w:val="20"/>
          <w:szCs w:val="20"/>
          <w:color w:val="auto"/>
        </w:rPr>
      </w:pPr>
    </w:p>
    <w:p>
      <w:pPr>
        <w:spacing w:after="0"/>
        <w:rPr>
          <w:sz w:val="20"/>
          <w:szCs w:val="20"/>
          <w:color w:val="auto"/>
        </w:rPr>
      </w:pPr>
      <w:r>
        <w:rPr>
          <w:rFonts w:ascii="Verdana" w:cs="Verdana" w:eastAsia="Verdana" w:hAnsi="Verdana"/>
          <w:sz w:val="17"/>
          <w:szCs w:val="17"/>
          <w:color w:val="auto"/>
        </w:rPr>
        <w:t xml:space="preserve">University, Champaign, IL 61820, or by visiting the SEC’s EDGAR database at </w:t>
      </w:r>
      <w:r>
        <w:rPr>
          <w:rFonts w:ascii="Verdana" w:cs="Verdana" w:eastAsia="Verdana" w:hAnsi="Verdana"/>
          <w:sz w:val="17"/>
          <w:szCs w:val="17"/>
          <w:i w:val="1"/>
          <w:iCs w:val="1"/>
          <w:color w:val="auto"/>
        </w:rPr>
        <w:t>sec.gov</w:t>
      </w:r>
      <w:r>
        <w:rPr>
          <w:rFonts w:ascii="Verdana" w:cs="Verdana" w:eastAsia="Verdana" w:hAnsi="Verdana"/>
          <w:sz w:val="17"/>
          <w:szCs w:val="17"/>
          <w:color w:val="auto"/>
        </w:rPr>
        <w:t>. Busey’s SEC file number is 0-15950.</w:t>
      </w:r>
    </w:p>
    <w:p>
      <w:pPr>
        <w:spacing w:after="0" w:line="18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FINANCIAL STATEMENT SCHEDULES</w:t>
      </w:r>
    </w:p>
    <w:p>
      <w:pPr>
        <w:spacing w:after="0" w:line="186" w:lineRule="exact"/>
        <w:rPr>
          <w:sz w:val="20"/>
          <w:szCs w:val="20"/>
          <w:color w:val="auto"/>
        </w:rPr>
      </w:pPr>
    </w:p>
    <w:p>
      <w:pPr>
        <w:ind w:right="20"/>
        <w:spacing w:after="0" w:line="254" w:lineRule="auto"/>
        <w:rPr>
          <w:sz w:val="20"/>
          <w:szCs w:val="20"/>
          <w:color w:val="auto"/>
        </w:rPr>
      </w:pPr>
      <w:r>
        <w:rPr>
          <w:rFonts w:ascii="Verdana" w:cs="Verdana" w:eastAsia="Verdana" w:hAnsi="Verdana"/>
          <w:sz w:val="18"/>
          <w:szCs w:val="18"/>
          <w:color w:val="auto"/>
        </w:rPr>
        <w:t xml:space="preserve">Busey’s </w:t>
      </w:r>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auto"/>
        </w:rPr>
        <w:t xml:space="preserve"> are included as part of this Annual Report in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Part II, Item 8. Financial</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Statements and Supplementary Data</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as follows: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740" w:type="dxa"/>
            <w:vAlign w:val="bottom"/>
          </w:tcPr>
          <w:p>
            <w:pPr>
              <w:spacing w:after="0"/>
              <w:rPr>
                <w:sz w:val="20"/>
                <w:szCs w:val="20"/>
                <w:color w:val="auto"/>
              </w:rPr>
            </w:pPr>
            <w:r>
              <w:rPr>
                <w:rFonts w:ascii="Verdana" w:cs="Verdana" w:eastAsia="Verdana" w:hAnsi="Verdana"/>
                <w:sz w:val="18"/>
                <w:szCs w:val="18"/>
                <w:color w:val="auto"/>
              </w:rPr>
              <w:t>Report of Independent Registered Public Accounting Firm (PCAOB ID 49)</w:t>
            </w:r>
          </w:p>
        </w:tc>
        <w:tc>
          <w:tcPr>
            <w:tcW w:w="2460" w:type="dxa"/>
            <w:vAlign w:val="bottom"/>
          </w:tcPr>
          <w:p>
            <w:pPr>
              <w:jc w:val="right"/>
              <w:spacing w:after="0"/>
              <w:rPr>
                <w:sz w:val="20"/>
                <w:szCs w:val="20"/>
                <w:color w:val="auto"/>
              </w:rPr>
            </w:pPr>
            <w:r>
              <w:rPr>
                <w:rFonts w:ascii="Verdana" w:cs="Verdana" w:eastAsia="Verdana" w:hAnsi="Verdana"/>
                <w:sz w:val="18"/>
                <w:szCs w:val="18"/>
                <w:color w:val="auto"/>
              </w:rPr>
              <w:t>92</w:t>
            </w:r>
          </w:p>
        </w:tc>
      </w:tr>
      <w:tr>
        <w:trPr>
          <w:trHeight w:val="270"/>
        </w:trPr>
        <w:tc>
          <w:tcPr>
            <w:tcW w:w="8740" w:type="dxa"/>
            <w:vAlign w:val="bottom"/>
          </w:tcPr>
          <w:p>
            <w:pPr>
              <w:spacing w:after="0"/>
              <w:rPr>
                <w:sz w:val="20"/>
                <w:szCs w:val="20"/>
                <w:color w:val="auto"/>
              </w:rPr>
            </w:pPr>
            <w:r>
              <w:rPr>
                <w:rFonts w:ascii="Verdana" w:cs="Verdana" w:eastAsia="Verdana" w:hAnsi="Verdana"/>
                <w:sz w:val="18"/>
                <w:szCs w:val="18"/>
                <w:color w:val="auto"/>
              </w:rPr>
              <w:t>Consolidated Balance Sheets</w:t>
            </w:r>
          </w:p>
        </w:tc>
        <w:tc>
          <w:tcPr>
            <w:tcW w:w="246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270"/>
        </w:trPr>
        <w:tc>
          <w:tcPr>
            <w:tcW w:w="8740" w:type="dxa"/>
            <w:vAlign w:val="bottom"/>
          </w:tcPr>
          <w:p>
            <w:pPr>
              <w:spacing w:after="0"/>
              <w:rPr>
                <w:sz w:val="20"/>
                <w:szCs w:val="20"/>
                <w:color w:val="auto"/>
              </w:rPr>
            </w:pPr>
            <w:r>
              <w:rPr>
                <w:rFonts w:ascii="Verdana" w:cs="Verdana" w:eastAsia="Verdana" w:hAnsi="Verdana"/>
                <w:sz w:val="18"/>
                <w:szCs w:val="18"/>
                <w:color w:val="auto"/>
              </w:rPr>
              <w:t>Consolidated Statements of Income</w:t>
            </w:r>
          </w:p>
        </w:tc>
        <w:tc>
          <w:tcPr>
            <w:tcW w:w="2460" w:type="dxa"/>
            <w:vAlign w:val="bottom"/>
          </w:tcPr>
          <w:p>
            <w:pPr>
              <w:jc w:val="right"/>
              <w:spacing w:after="0"/>
              <w:rPr>
                <w:sz w:val="20"/>
                <w:szCs w:val="20"/>
                <w:color w:val="auto"/>
              </w:rPr>
            </w:pPr>
            <w:r>
              <w:rPr>
                <w:rFonts w:ascii="Verdana" w:cs="Verdana" w:eastAsia="Verdana" w:hAnsi="Verdana"/>
                <w:sz w:val="18"/>
                <w:szCs w:val="18"/>
                <w:color w:val="auto"/>
              </w:rPr>
              <w:t>95</w:t>
            </w:r>
          </w:p>
        </w:tc>
      </w:tr>
      <w:tr>
        <w:trPr>
          <w:trHeight w:val="270"/>
        </w:trPr>
        <w:tc>
          <w:tcPr>
            <w:tcW w:w="8740" w:type="dxa"/>
            <w:vAlign w:val="bottom"/>
          </w:tcPr>
          <w:p>
            <w:pPr>
              <w:spacing w:after="0"/>
              <w:rPr>
                <w:sz w:val="20"/>
                <w:szCs w:val="20"/>
                <w:color w:val="auto"/>
              </w:rPr>
            </w:pPr>
            <w:r>
              <w:rPr>
                <w:rFonts w:ascii="Verdana" w:cs="Verdana" w:eastAsia="Verdana" w:hAnsi="Verdana"/>
                <w:sz w:val="18"/>
                <w:szCs w:val="18"/>
                <w:color w:val="auto"/>
              </w:rPr>
              <w:t>Consolidated Statements of Comprehensive Income (Loss)</w:t>
            </w:r>
          </w:p>
        </w:tc>
        <w:tc>
          <w:tcPr>
            <w:tcW w:w="2460" w:type="dxa"/>
            <w:vAlign w:val="bottom"/>
          </w:tcPr>
          <w:p>
            <w:pPr>
              <w:jc w:val="right"/>
              <w:spacing w:after="0"/>
              <w:rPr>
                <w:sz w:val="20"/>
                <w:szCs w:val="20"/>
                <w:color w:val="auto"/>
              </w:rPr>
            </w:pPr>
            <w:r>
              <w:rPr>
                <w:rFonts w:ascii="Verdana" w:cs="Verdana" w:eastAsia="Verdana" w:hAnsi="Verdana"/>
                <w:sz w:val="18"/>
                <w:szCs w:val="18"/>
                <w:color w:val="auto"/>
              </w:rPr>
              <w:t>96</w:t>
            </w:r>
          </w:p>
        </w:tc>
      </w:tr>
      <w:tr>
        <w:trPr>
          <w:trHeight w:val="270"/>
        </w:trPr>
        <w:tc>
          <w:tcPr>
            <w:tcW w:w="8740" w:type="dxa"/>
            <w:vAlign w:val="bottom"/>
          </w:tcPr>
          <w:p>
            <w:pPr>
              <w:spacing w:after="0"/>
              <w:rPr>
                <w:sz w:val="20"/>
                <w:szCs w:val="20"/>
                <w:color w:val="auto"/>
              </w:rPr>
            </w:pPr>
            <w:r>
              <w:rPr>
                <w:rFonts w:ascii="Verdana" w:cs="Verdana" w:eastAsia="Verdana" w:hAnsi="Verdana"/>
                <w:sz w:val="18"/>
                <w:szCs w:val="18"/>
                <w:color w:val="auto"/>
              </w:rPr>
              <w:t>Consolidated Statements of Stockholders’ Equity</w:t>
            </w:r>
          </w:p>
        </w:tc>
        <w:tc>
          <w:tcPr>
            <w:tcW w:w="2460" w:type="dxa"/>
            <w:vAlign w:val="bottom"/>
          </w:tcPr>
          <w:p>
            <w:pPr>
              <w:jc w:val="right"/>
              <w:spacing w:after="0"/>
              <w:rPr>
                <w:sz w:val="20"/>
                <w:szCs w:val="20"/>
                <w:color w:val="auto"/>
              </w:rPr>
            </w:pPr>
            <w:r>
              <w:rPr>
                <w:rFonts w:ascii="Verdana" w:cs="Verdana" w:eastAsia="Verdana" w:hAnsi="Verdana"/>
                <w:sz w:val="18"/>
                <w:szCs w:val="18"/>
                <w:color w:val="auto"/>
              </w:rPr>
              <w:t>97</w:t>
            </w:r>
          </w:p>
        </w:tc>
      </w:tr>
      <w:tr>
        <w:trPr>
          <w:trHeight w:val="270"/>
        </w:trPr>
        <w:tc>
          <w:tcPr>
            <w:tcW w:w="8740" w:type="dxa"/>
            <w:vAlign w:val="bottom"/>
          </w:tcPr>
          <w:p>
            <w:pPr>
              <w:spacing w:after="0"/>
              <w:rPr>
                <w:sz w:val="20"/>
                <w:szCs w:val="20"/>
                <w:color w:val="auto"/>
              </w:rPr>
            </w:pPr>
            <w:r>
              <w:rPr>
                <w:rFonts w:ascii="Verdana" w:cs="Verdana" w:eastAsia="Verdana" w:hAnsi="Verdana"/>
                <w:sz w:val="18"/>
                <w:szCs w:val="18"/>
                <w:color w:val="auto"/>
              </w:rPr>
              <w:t>Consolidated Statements of Cash Flows</w:t>
            </w:r>
          </w:p>
        </w:tc>
        <w:tc>
          <w:tcPr>
            <w:tcW w:w="2460" w:type="dxa"/>
            <w:vAlign w:val="bottom"/>
          </w:tcPr>
          <w:p>
            <w:pPr>
              <w:jc w:val="right"/>
              <w:spacing w:after="0"/>
              <w:rPr>
                <w:sz w:val="20"/>
                <w:szCs w:val="20"/>
                <w:color w:val="auto"/>
              </w:rPr>
            </w:pPr>
            <w:r>
              <w:rPr>
                <w:rFonts w:ascii="Verdana" w:cs="Verdana" w:eastAsia="Verdana" w:hAnsi="Verdana"/>
                <w:sz w:val="18"/>
                <w:szCs w:val="18"/>
                <w:color w:val="auto"/>
              </w:rPr>
              <w:t>98</w:t>
            </w:r>
          </w:p>
        </w:tc>
      </w:tr>
      <w:tr>
        <w:trPr>
          <w:trHeight w:val="270"/>
        </w:trPr>
        <w:tc>
          <w:tcPr>
            <w:tcW w:w="8740" w:type="dxa"/>
            <w:vAlign w:val="bottom"/>
          </w:tcPr>
          <w:p>
            <w:pPr>
              <w:spacing w:after="0"/>
              <w:rPr>
                <w:sz w:val="20"/>
                <w:szCs w:val="20"/>
                <w:color w:val="auto"/>
              </w:rPr>
            </w:pPr>
            <w:r>
              <w:rPr>
                <w:rFonts w:ascii="Verdana" w:cs="Verdana" w:eastAsia="Verdana" w:hAnsi="Verdana"/>
                <w:sz w:val="18"/>
                <w:szCs w:val="18"/>
                <w:color w:val="auto"/>
              </w:rPr>
              <w:t>Notes to Consolidated Financial Statements</w:t>
            </w:r>
          </w:p>
        </w:tc>
        <w:tc>
          <w:tcPr>
            <w:tcW w:w="2460" w:type="dxa"/>
            <w:vAlign w:val="bottom"/>
          </w:tcPr>
          <w:p>
            <w:pPr>
              <w:jc w:val="right"/>
              <w:spacing w:after="0"/>
              <w:rPr>
                <w:sz w:val="20"/>
                <w:szCs w:val="20"/>
                <w:color w:val="auto"/>
              </w:rPr>
            </w:pPr>
            <w:r>
              <w:rPr>
                <w:rFonts w:ascii="Verdana" w:cs="Verdana" w:eastAsia="Verdana" w:hAnsi="Verdana"/>
                <w:sz w:val="18"/>
                <w:szCs w:val="18"/>
                <w:color w:val="auto"/>
              </w:rPr>
              <w:t>100</w:t>
            </w:r>
          </w:p>
        </w:tc>
      </w:tr>
    </w:tbl>
    <w:p>
      <w:pPr>
        <w:spacing w:after="0" w:line="275"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Reports on Internal Control Over Financial Reporting are included as part of this Annual Report in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Part II, Item 9A.</w:t>
      </w:r>
    </w:p>
    <w:p>
      <w:pPr>
        <w:spacing w:after="0"/>
        <w:rPr>
          <w:sz w:val="20"/>
          <w:szCs w:val="20"/>
          <w:color w:val="auto"/>
        </w:rPr>
      </w:pPr>
      <w:r>
        <w:rPr>
          <w:rFonts w:ascii="Verdana" w:cs="Verdana" w:eastAsia="Verdana" w:hAnsi="Verdana"/>
          <w:sz w:val="18"/>
          <w:szCs w:val="18"/>
          <w:i w:val="1"/>
          <w:iCs w:val="1"/>
          <w:u w:val="single" w:color="auto"/>
          <w:color w:val="0000FF"/>
        </w:rPr>
        <w:t>Controls and Procedures</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as follows: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740" w:type="dxa"/>
            <w:vAlign w:val="bottom"/>
          </w:tcPr>
          <w:p>
            <w:pPr>
              <w:spacing w:after="0"/>
              <w:rPr>
                <w:sz w:val="20"/>
                <w:szCs w:val="20"/>
                <w:color w:val="auto"/>
              </w:rPr>
            </w:pPr>
            <w:r>
              <w:rPr>
                <w:rFonts w:ascii="Verdana" w:cs="Verdana" w:eastAsia="Verdana" w:hAnsi="Verdana"/>
                <w:sz w:val="18"/>
                <w:szCs w:val="18"/>
                <w:color w:val="auto"/>
              </w:rPr>
              <w:t>Management’s Report on Internal Control Over Financial Reporting</w:t>
            </w:r>
          </w:p>
        </w:tc>
        <w:tc>
          <w:tcPr>
            <w:tcW w:w="2460" w:type="dxa"/>
            <w:vAlign w:val="bottom"/>
          </w:tcPr>
          <w:p>
            <w:pPr>
              <w:jc w:val="right"/>
              <w:spacing w:after="0"/>
              <w:rPr>
                <w:sz w:val="20"/>
                <w:szCs w:val="20"/>
                <w:color w:val="auto"/>
              </w:rPr>
            </w:pPr>
            <w:r>
              <w:rPr>
                <w:rFonts w:ascii="Verdana" w:cs="Verdana" w:eastAsia="Verdana" w:hAnsi="Verdana"/>
                <w:sz w:val="18"/>
                <w:szCs w:val="18"/>
                <w:color w:val="auto"/>
              </w:rPr>
              <w:t>177</w:t>
            </w:r>
          </w:p>
        </w:tc>
      </w:tr>
      <w:tr>
        <w:trPr>
          <w:trHeight w:val="270"/>
        </w:trPr>
        <w:tc>
          <w:tcPr>
            <w:tcW w:w="8740" w:type="dxa"/>
            <w:vAlign w:val="bottom"/>
          </w:tcPr>
          <w:p>
            <w:pPr>
              <w:spacing w:after="0"/>
              <w:rPr>
                <w:sz w:val="20"/>
                <w:szCs w:val="20"/>
                <w:color w:val="auto"/>
              </w:rPr>
            </w:pPr>
            <w:r>
              <w:rPr>
                <w:rFonts w:ascii="Verdana" w:cs="Verdana" w:eastAsia="Verdana" w:hAnsi="Verdana"/>
                <w:sz w:val="18"/>
                <w:szCs w:val="18"/>
                <w:color w:val="auto"/>
              </w:rPr>
              <w:t>Report of Independent Registered Public Accounting Firm (PCAOB ID 49)</w:t>
            </w:r>
          </w:p>
        </w:tc>
        <w:tc>
          <w:tcPr>
            <w:tcW w:w="2460" w:type="dxa"/>
            <w:vAlign w:val="bottom"/>
          </w:tcPr>
          <w:p>
            <w:pPr>
              <w:jc w:val="right"/>
              <w:spacing w:after="0"/>
              <w:rPr>
                <w:sz w:val="20"/>
                <w:szCs w:val="20"/>
                <w:color w:val="auto"/>
              </w:rPr>
            </w:pPr>
            <w:r>
              <w:rPr>
                <w:rFonts w:ascii="Verdana" w:cs="Verdana" w:eastAsia="Verdana" w:hAnsi="Verdana"/>
                <w:sz w:val="18"/>
                <w:szCs w:val="18"/>
                <w:color w:val="auto"/>
              </w:rPr>
              <w:t>178</w:t>
            </w:r>
          </w:p>
        </w:tc>
      </w:tr>
    </w:tbl>
    <w:p>
      <w:pPr>
        <w:spacing w:after="0" w:line="27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16. FORM 10-K SUMMARY</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color w:val="auto"/>
        </w:rPr>
        <w:t>None.</w:t>
      </w:r>
    </w:p>
    <w:p>
      <w:pPr>
        <w:spacing w:after="0" w:line="22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2" w:name="page183"/>
    <w:bookmarkEnd w:id="18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EXHIBIT INDEX</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ind w:left="40"/>
              <w:spacing w:after="0"/>
              <w:rPr>
                <w:sz w:val="20"/>
                <w:szCs w:val="20"/>
                <w:color w:val="auto"/>
              </w:rPr>
            </w:pPr>
            <w:r>
              <w:rPr>
                <w:rFonts w:ascii="Verdana" w:cs="Verdana" w:eastAsia="Verdana" w:hAnsi="Verdana"/>
                <w:sz w:val="13"/>
                <w:szCs w:val="13"/>
                <w:b w:val="1"/>
                <w:bCs w:val="1"/>
                <w:color w:val="auto"/>
              </w:rPr>
              <w:t>Incorporated herein by reference</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8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8"/>
              </w:rPr>
              <w:t>Exhibit</w:t>
            </w:r>
          </w:p>
        </w:tc>
        <w:tc>
          <w:tcPr>
            <w:tcW w:w="20" w:type="dxa"/>
            <w:vAlign w:val="bottom"/>
          </w:tcPr>
          <w:p>
            <w:pPr>
              <w:spacing w:after="0"/>
              <w:rPr>
                <w:sz w:val="10"/>
                <w:szCs w:val="10"/>
                <w:color w:val="auto"/>
              </w:rPr>
            </w:pPr>
          </w:p>
        </w:tc>
        <w:tc>
          <w:tcPr>
            <w:tcW w:w="4480" w:type="dxa"/>
            <w:vAlign w:val="bottom"/>
            <w:gridSpan w:val="2"/>
            <w:vMerge w:val="restart"/>
          </w:tcPr>
          <w:p>
            <w:pPr>
              <w:jc w:val="center"/>
              <w:spacing w:after="0"/>
              <w:rPr>
                <w:sz w:val="20"/>
                <w:szCs w:val="20"/>
                <w:color w:val="auto"/>
              </w:rPr>
            </w:pPr>
            <w:r>
              <w:rPr>
                <w:rFonts w:ascii="Verdana" w:cs="Verdana" w:eastAsia="Verdana" w:hAnsi="Verdana"/>
                <w:sz w:val="13"/>
                <w:szCs w:val="13"/>
                <w:b w:val="1"/>
                <w:bCs w:val="1"/>
                <w:color w:val="auto"/>
                <w:w w:val="96"/>
              </w:rPr>
              <w:t>Description of Exhibit</w:t>
            </w:r>
          </w:p>
        </w:tc>
        <w:tc>
          <w:tcPr>
            <w:tcW w:w="80" w:type="dxa"/>
            <w:vAlign w:val="bottom"/>
            <w:vMerge w:val="restart"/>
          </w:tcPr>
          <w:p>
            <w:pPr>
              <w:spacing w:after="0"/>
              <w:rPr>
                <w:sz w:val="10"/>
                <w:szCs w:val="10"/>
                <w:color w:val="auto"/>
              </w:rPr>
            </w:pPr>
          </w:p>
        </w:tc>
        <w:tc>
          <w:tcPr>
            <w:tcW w:w="1200" w:type="dxa"/>
            <w:vAlign w:val="bottom"/>
          </w:tcPr>
          <w:p>
            <w:pPr>
              <w:jc w:val="center"/>
              <w:ind w:left="66"/>
              <w:spacing w:after="0" w:line="122" w:lineRule="exact"/>
              <w:rPr>
                <w:sz w:val="20"/>
                <w:szCs w:val="20"/>
                <w:color w:val="auto"/>
              </w:rPr>
            </w:pPr>
            <w:r>
              <w:rPr>
                <w:rFonts w:ascii="Verdana" w:cs="Verdana" w:eastAsia="Verdana" w:hAnsi="Verdana"/>
                <w:sz w:val="10"/>
                <w:szCs w:val="10"/>
                <w:b w:val="1"/>
                <w:bCs w:val="1"/>
                <w:color w:val="auto"/>
              </w:rPr>
              <w:t>Filing Entity</w:t>
            </w:r>
            <w:r>
              <w:rPr>
                <w:rFonts w:ascii="Verdana" w:cs="Verdana" w:eastAsia="Verdana" w:hAnsi="Verdana"/>
                <w:sz w:val="13"/>
                <w:szCs w:val="13"/>
                <w:b w:val="1"/>
                <w:bCs w:val="1"/>
                <w:color w:val="auto"/>
                <w:vertAlign w:val="superscript"/>
              </w:rPr>
              <w:t>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Verdana" w:cs="Verdana" w:eastAsia="Verdana" w:hAnsi="Verdana"/>
                <w:sz w:val="13"/>
                <w:szCs w:val="13"/>
                <w:b w:val="1"/>
                <w:bCs w:val="1"/>
                <w:color w:val="auto"/>
                <w:w w:val="95"/>
              </w:rPr>
              <w:t>Form</w:t>
            </w:r>
          </w:p>
        </w:tc>
        <w:tc>
          <w:tcPr>
            <w:tcW w:w="80" w:type="dxa"/>
            <w:vAlign w:val="bottom"/>
            <w:vMerge w:val="restart"/>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Verdana" w:cs="Verdana" w:eastAsia="Verdana" w:hAnsi="Verdana"/>
                <w:sz w:val="13"/>
                <w:szCs w:val="13"/>
                <w:b w:val="1"/>
                <w:bCs w:val="1"/>
                <w:color w:val="auto"/>
                <w:w w:val="94"/>
              </w:rPr>
              <w:t>Exhibit</w:t>
            </w:r>
          </w:p>
        </w:tc>
        <w:tc>
          <w:tcPr>
            <w:tcW w:w="80" w:type="dxa"/>
            <w:vAlign w:val="bottom"/>
            <w:vMerge w:val="restart"/>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ind w:left="220"/>
              <w:spacing w:after="0" w:line="122" w:lineRule="exact"/>
              <w:rPr>
                <w:sz w:val="20"/>
                <w:szCs w:val="20"/>
                <w:color w:val="auto"/>
              </w:rPr>
            </w:pPr>
            <w:r>
              <w:rPr>
                <w:rFonts w:ascii="Verdana" w:cs="Verdana" w:eastAsia="Verdana" w:hAnsi="Verdana"/>
                <w:sz w:val="13"/>
                <w:szCs w:val="13"/>
                <w:b w:val="1"/>
                <w:bCs w:val="1"/>
                <w:color w:val="auto"/>
              </w:rPr>
              <w:t>Filed</w:t>
            </w:r>
          </w:p>
        </w:tc>
        <w:tc>
          <w:tcPr>
            <w:tcW w:w="0" w:type="dxa"/>
            <w:vAlign w:val="bottom"/>
          </w:tcPr>
          <w:p>
            <w:pPr>
              <w:spacing w:after="0"/>
              <w:rPr>
                <w:sz w:val="1"/>
                <w:szCs w:val="1"/>
                <w:color w:val="auto"/>
              </w:rPr>
            </w:pPr>
          </w:p>
        </w:tc>
      </w:tr>
      <w:tr>
        <w:trPr>
          <w:trHeight w:val="170"/>
        </w:trPr>
        <w:tc>
          <w:tcPr>
            <w:tcW w:w="900" w:type="dxa"/>
            <w:vAlign w:val="bottom"/>
          </w:tcPr>
          <w:p>
            <w:pPr>
              <w:jc w:val="center"/>
              <w:spacing w:after="0"/>
              <w:rPr>
                <w:sz w:val="20"/>
                <w:szCs w:val="20"/>
                <w:color w:val="auto"/>
              </w:rPr>
            </w:pPr>
            <w:r>
              <w:rPr>
                <w:rFonts w:ascii="Verdana" w:cs="Verdana" w:eastAsia="Verdana" w:hAnsi="Verdana"/>
                <w:sz w:val="13"/>
                <w:szCs w:val="13"/>
                <w:b w:val="1"/>
                <w:bCs w:val="1"/>
                <w:color w:val="auto"/>
                <w:w w:val="96"/>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0" w:type="dxa"/>
            <w:vAlign w:val="bottom"/>
          </w:tcPr>
          <w:p>
            <w:pPr>
              <w:jc w:val="center"/>
              <w:ind w:left="66"/>
              <w:spacing w:after="0"/>
              <w:rPr>
                <w:sz w:val="20"/>
                <w:szCs w:val="20"/>
                <w:color w:val="auto"/>
              </w:rPr>
            </w:pPr>
            <w:r>
              <w:rPr>
                <w:rFonts w:ascii="Verdana" w:cs="Verdana" w:eastAsia="Verdana" w:hAnsi="Verdana"/>
                <w:sz w:val="13"/>
                <w:szCs w:val="13"/>
                <w:b w:val="1"/>
                <w:bCs w:val="1"/>
                <w:color w:val="auto"/>
                <w:w w:val="95"/>
              </w:rPr>
              <w:t>(File No.)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960" w:type="dxa"/>
            <w:vAlign w:val="bottom"/>
            <w:gridSpan w:val="3"/>
          </w:tcPr>
          <w:p>
            <w:pPr>
              <w:ind w:left="180"/>
              <w:spacing w:after="0"/>
              <w:rPr>
                <w:sz w:val="20"/>
                <w:szCs w:val="20"/>
                <w:color w:val="auto"/>
              </w:rPr>
            </w:pPr>
            <w:r>
              <w:rPr>
                <w:rFonts w:ascii="Verdana" w:cs="Verdana" w:eastAsia="Verdana" w:hAnsi="Verdana"/>
                <w:sz w:val="13"/>
                <w:szCs w:val="13"/>
                <w:b w:val="1"/>
                <w:bCs w:val="1"/>
                <w:color w:val="auto"/>
                <w:w w:val="95"/>
              </w:rPr>
              <w:t>Filing DateHerewith</w:t>
            </w:r>
          </w:p>
        </w:tc>
        <w:tc>
          <w:tcPr>
            <w:tcW w:w="0" w:type="dxa"/>
            <w:vAlign w:val="bottom"/>
          </w:tcPr>
          <w:p>
            <w:pPr>
              <w:spacing w:after="0"/>
              <w:rPr>
                <w:sz w:val="1"/>
                <w:szCs w:val="1"/>
                <w:color w:val="auto"/>
              </w:rPr>
            </w:pPr>
          </w:p>
        </w:tc>
      </w:tr>
      <w:tr>
        <w:trPr>
          <w:trHeight w:val="215"/>
        </w:trPr>
        <w:tc>
          <w:tcPr>
            <w:tcW w:w="900" w:type="dxa"/>
            <w:vAlign w:val="bottom"/>
            <w:tcBorders>
              <w:top w:val="single" w:sz="8" w:color="auto"/>
            </w:tcBorders>
          </w:tcPr>
          <w:p>
            <w:pPr>
              <w:jc w:val="right"/>
              <w:ind w:right="508"/>
              <w:spacing w:after="0" w:line="215" w:lineRule="exact"/>
              <w:rPr>
                <w:sz w:val="20"/>
                <w:szCs w:val="20"/>
                <w:color w:val="auto"/>
              </w:rPr>
            </w:pPr>
            <w:r>
              <w:rPr>
                <w:rFonts w:ascii="Verdana" w:cs="Verdana" w:eastAsia="Verdana" w:hAnsi="Verdana"/>
                <w:sz w:val="18"/>
                <w:szCs w:val="18"/>
                <w:color w:val="auto"/>
              </w:rPr>
              <w:t>3.1</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80" w:type="dxa"/>
            <w:vAlign w:val="bottom"/>
            <w:tcBorders>
              <w:top w:val="single" w:sz="8" w:color="auto"/>
            </w:tcBorders>
            <w:gridSpan w:val="2"/>
          </w:tcPr>
          <w:p>
            <w:pPr>
              <w:jc w:val="center"/>
              <w:ind w:right="20"/>
              <w:spacing w:after="0" w:line="215" w:lineRule="exact"/>
              <w:rPr>
                <w:rFonts w:ascii="Verdana" w:cs="Verdana" w:eastAsia="Verdana" w:hAnsi="Verdana"/>
                <w:sz w:val="18"/>
                <w:szCs w:val="18"/>
                <w:color w:val="0000FF"/>
              </w:rPr>
            </w:pPr>
            <w:hyperlink r:id="rId243">
              <w:r>
                <w:rPr>
                  <w:rFonts w:ascii="Verdana" w:cs="Verdana" w:eastAsia="Verdana" w:hAnsi="Verdana"/>
                  <w:sz w:val="18"/>
                  <w:szCs w:val="18"/>
                  <w:color w:val="0000FF"/>
                </w:rPr>
                <w:t>Amended and Restated Articles of Incorporation</w:t>
              </w:r>
            </w:hyperlink>
          </w:p>
        </w:tc>
        <w:tc>
          <w:tcPr>
            <w:tcW w:w="80" w:type="dxa"/>
            <w:vAlign w:val="bottom"/>
          </w:tcPr>
          <w:p>
            <w:pPr>
              <w:spacing w:after="0"/>
              <w:rPr>
                <w:sz w:val="18"/>
                <w:szCs w:val="18"/>
                <w:color w:val="auto"/>
              </w:rPr>
            </w:pPr>
          </w:p>
        </w:tc>
        <w:tc>
          <w:tcPr>
            <w:tcW w:w="1200" w:type="dxa"/>
            <w:vAlign w:val="bottom"/>
            <w:tcBorders>
              <w:top w:val="single" w:sz="8" w:color="auto"/>
            </w:tcBorders>
          </w:tcPr>
          <w:p>
            <w:pPr>
              <w:jc w:val="center"/>
              <w:ind w:left="66"/>
              <w:spacing w:after="0" w:line="215" w:lineRule="exact"/>
              <w:rPr>
                <w:sz w:val="20"/>
                <w:szCs w:val="20"/>
                <w:color w:val="auto"/>
              </w:rPr>
            </w:pPr>
            <w:r>
              <w:rPr>
                <w:rFonts w:ascii="Verdana" w:cs="Verdana" w:eastAsia="Verdana" w:hAnsi="Verdana"/>
                <w:sz w:val="18"/>
                <w:szCs w:val="18"/>
                <w:color w:val="auto"/>
              </w:rPr>
              <w:t>BUSE</w:t>
            </w: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tcPr>
          <w:p>
            <w:pPr>
              <w:jc w:val="center"/>
              <w:spacing w:after="0" w:line="215" w:lineRule="exact"/>
              <w:rPr>
                <w:sz w:val="20"/>
                <w:szCs w:val="20"/>
                <w:color w:val="auto"/>
              </w:rPr>
            </w:pPr>
            <w:r>
              <w:rPr>
                <w:rFonts w:ascii="Verdana" w:cs="Verdana" w:eastAsia="Verdana" w:hAnsi="Verdana"/>
                <w:sz w:val="18"/>
                <w:szCs w:val="18"/>
                <w:color w:val="auto"/>
              </w:rPr>
              <w:t>10-Q</w:t>
            </w:r>
          </w:p>
        </w:tc>
        <w:tc>
          <w:tcPr>
            <w:tcW w:w="80" w:type="dxa"/>
            <w:vAlign w:val="bottom"/>
          </w:tcPr>
          <w:p>
            <w:pPr>
              <w:spacing w:after="0"/>
              <w:rPr>
                <w:sz w:val="18"/>
                <w:szCs w:val="18"/>
                <w:color w:val="auto"/>
              </w:rPr>
            </w:pPr>
          </w:p>
        </w:tc>
        <w:tc>
          <w:tcPr>
            <w:tcW w:w="1080" w:type="dxa"/>
            <w:vAlign w:val="bottom"/>
            <w:tcBorders>
              <w:top w:val="single" w:sz="8" w:color="auto"/>
            </w:tcBorders>
          </w:tcPr>
          <w:p>
            <w:pPr>
              <w:jc w:val="right"/>
              <w:ind w:right="324"/>
              <w:spacing w:after="0" w:line="215" w:lineRule="exact"/>
              <w:rPr>
                <w:sz w:val="20"/>
                <w:szCs w:val="20"/>
                <w:color w:val="auto"/>
              </w:rPr>
            </w:pPr>
            <w:r>
              <w:rPr>
                <w:rFonts w:ascii="Verdana" w:cs="Verdana" w:eastAsia="Verdana" w:hAnsi="Verdana"/>
                <w:sz w:val="18"/>
                <w:szCs w:val="18"/>
                <w:color w:val="auto"/>
              </w:rPr>
              <w:t>3.1</w:t>
            </w: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spacing w:after="0" w:line="215" w:lineRule="exact"/>
              <w:rPr>
                <w:sz w:val="20"/>
                <w:szCs w:val="20"/>
                <w:color w:val="auto"/>
              </w:rPr>
            </w:pPr>
            <w:r>
              <w:rPr>
                <w:rFonts w:ascii="Verdana" w:cs="Verdana" w:eastAsia="Verdana" w:hAnsi="Verdana"/>
                <w:sz w:val="18"/>
                <w:szCs w:val="18"/>
                <w:color w:val="auto"/>
                <w:w w:val="99"/>
              </w:rPr>
              <w:t>11/06/2015</w:t>
            </w:r>
          </w:p>
        </w:tc>
        <w:tc>
          <w:tcPr>
            <w:tcW w:w="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3"/>
          </w:tcPr>
          <w:p>
            <w:pPr>
              <w:jc w:val="center"/>
              <w:ind w:right="100"/>
              <w:spacing w:after="0" w:line="196" w:lineRule="exact"/>
              <w:rPr>
                <w:rFonts w:ascii="Verdana" w:cs="Verdana" w:eastAsia="Verdana" w:hAnsi="Verdana"/>
                <w:sz w:val="18"/>
                <w:szCs w:val="18"/>
                <w:color w:val="0000FF"/>
              </w:rPr>
            </w:pPr>
            <w:hyperlink r:id="rId243">
              <w:r>
                <w:rPr>
                  <w:rFonts w:ascii="Verdana" w:cs="Verdana" w:eastAsia="Verdana" w:hAnsi="Verdana"/>
                  <w:sz w:val="18"/>
                  <w:szCs w:val="18"/>
                  <w:color w:val="0000FF"/>
                </w:rPr>
                <w:t>of  First  Busey  Corporation,  together  with:</w:t>
              </w:r>
            </w:hyperlink>
          </w:p>
        </w:tc>
        <w:tc>
          <w:tcPr>
            <w:tcW w:w="1200" w:type="dxa"/>
            <w:vAlign w:val="bottom"/>
          </w:tcPr>
          <w:p>
            <w:pPr>
              <w:jc w:val="center"/>
              <w:ind w:left="66"/>
              <w:spacing w:after="0" w:line="196" w:lineRule="exact"/>
              <w:rPr>
                <w:sz w:val="20"/>
                <w:szCs w:val="20"/>
                <w:color w:val="auto"/>
              </w:rPr>
            </w:pPr>
            <w:r>
              <w:rPr>
                <w:rFonts w:ascii="Verdana" w:cs="Verdana" w:eastAsia="Verdana" w:hAnsi="Verdana"/>
                <w:sz w:val="18"/>
                <w:szCs w:val="18"/>
                <w:color w:val="auto"/>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ind w:left="1000" w:right="5760" w:hanging="2"/>
        <w:spacing w:after="0" w:line="239" w:lineRule="auto"/>
        <w:tabs>
          <w:tab w:leader="none" w:pos="1376" w:val="left"/>
        </w:tabs>
        <w:numPr>
          <w:ilvl w:val="0"/>
          <w:numId w:val="67"/>
        </w:numPr>
        <w:rPr>
          <w:rFonts w:ascii="Verdana" w:cs="Verdana" w:eastAsia="Verdana" w:hAnsi="Verdana"/>
          <w:sz w:val="18"/>
          <w:szCs w:val="18"/>
          <w:u w:val="single" w:color="auto"/>
          <w:color w:val="0000FF"/>
        </w:rPr>
      </w:pPr>
      <w:hyperlink r:id="rId243">
        <w:r>
          <w:rPr>
            <w:rFonts w:ascii="Verdana" w:cs="Verdana" w:eastAsia="Verdana" w:hAnsi="Verdana"/>
            <w:sz w:val="18"/>
            <w:szCs w:val="18"/>
            <w:u w:val="single" w:color="auto"/>
            <w:color w:val="0000FF"/>
          </w:rPr>
          <w:t>the Certificate of Amendment to Articles of</w:t>
        </w:r>
      </w:hyperlink>
      <w:r>
        <w:rPr>
          <w:rFonts w:ascii="Verdana" w:cs="Verdana" w:eastAsia="Verdana" w:hAnsi="Verdana"/>
          <w:sz w:val="18"/>
          <w:szCs w:val="18"/>
          <w:u w:val="single" w:color="auto"/>
          <w:color w:val="0000FF"/>
        </w:rPr>
        <w:t xml:space="preserve"> </w:t>
      </w:r>
      <w:hyperlink r:id="rId243">
        <w:r>
          <w:rPr>
            <w:rFonts w:ascii="Verdana" w:cs="Verdana" w:eastAsia="Verdana" w:hAnsi="Verdana"/>
            <w:sz w:val="18"/>
            <w:szCs w:val="18"/>
            <w:u w:val="single" w:color="auto"/>
            <w:color w:val="0000FF"/>
          </w:rPr>
          <w:t>Incorporation, dated July 31, 2007; (2) the</w:t>
        </w:r>
      </w:hyperlink>
      <w:r>
        <w:rPr>
          <w:rFonts w:ascii="Verdana" w:cs="Verdana" w:eastAsia="Verdana" w:hAnsi="Verdana"/>
          <w:sz w:val="18"/>
          <w:szCs w:val="18"/>
          <w:u w:val="single" w:color="auto"/>
          <w:color w:val="0000FF"/>
        </w:rPr>
        <w:t xml:space="preserve"> </w:t>
      </w:r>
      <w:hyperlink r:id="rId243">
        <w:r>
          <w:rPr>
            <w:rFonts w:ascii="Verdana" w:cs="Verdana" w:eastAsia="Verdana" w:hAnsi="Verdana"/>
            <w:sz w:val="18"/>
            <w:szCs w:val="18"/>
            <w:u w:val="single" w:color="auto"/>
            <w:color w:val="0000FF"/>
          </w:rPr>
          <w:t>Certificate of Amendment to Articles of</w:t>
        </w:r>
      </w:hyperlink>
      <w:r>
        <w:rPr>
          <w:rFonts w:ascii="Verdana" w:cs="Verdana" w:eastAsia="Verdana" w:hAnsi="Verdana"/>
          <w:sz w:val="18"/>
          <w:szCs w:val="18"/>
          <w:u w:val="single" w:color="auto"/>
          <w:color w:val="0000FF"/>
        </w:rPr>
        <w:t xml:space="preserve"> </w:t>
      </w:r>
      <w:hyperlink r:id="rId243">
        <w:r>
          <w:rPr>
            <w:rFonts w:ascii="Verdana" w:cs="Verdana" w:eastAsia="Verdana" w:hAnsi="Verdana"/>
            <w:sz w:val="18"/>
            <w:szCs w:val="18"/>
            <w:u w:val="single" w:color="auto"/>
            <w:color w:val="0000FF"/>
          </w:rPr>
          <w:t>Incorporation, dated December 3, 2009; (3) the</w:t>
        </w:r>
      </w:hyperlink>
      <w:r>
        <w:rPr>
          <w:rFonts w:ascii="Verdana" w:cs="Verdana" w:eastAsia="Verdana" w:hAnsi="Verdana"/>
          <w:sz w:val="18"/>
          <w:szCs w:val="18"/>
          <w:u w:val="single" w:color="auto"/>
          <w:color w:val="0000FF"/>
        </w:rPr>
        <w:t xml:space="preserve"> </w:t>
      </w:r>
      <w:hyperlink r:id="rId243">
        <w:r>
          <w:rPr>
            <w:rFonts w:ascii="Verdana" w:cs="Verdana" w:eastAsia="Verdana" w:hAnsi="Verdana"/>
            <w:sz w:val="18"/>
            <w:szCs w:val="18"/>
            <w:u w:val="single" w:color="auto"/>
            <w:color w:val="0000FF"/>
          </w:rPr>
          <w:t>Certificate of Amendment to Articles of</w:t>
        </w:r>
      </w:hyperlink>
      <w:r>
        <w:rPr>
          <w:rFonts w:ascii="Verdana" w:cs="Verdana" w:eastAsia="Verdana" w:hAnsi="Verdana"/>
          <w:sz w:val="18"/>
          <w:szCs w:val="18"/>
          <w:u w:val="single" w:color="auto"/>
          <w:color w:val="0000FF"/>
        </w:rPr>
        <w:t xml:space="preserve"> </w:t>
      </w:r>
      <w:hyperlink r:id="rId243">
        <w:r>
          <w:rPr>
            <w:rFonts w:ascii="Verdana" w:cs="Verdana" w:eastAsia="Verdana" w:hAnsi="Verdana"/>
            <w:sz w:val="18"/>
            <w:szCs w:val="18"/>
            <w:u w:val="single" w:color="auto"/>
            <w:color w:val="0000FF"/>
          </w:rPr>
          <w:t>Incorporation, dated May 21, 2010; and (4) the</w:t>
        </w:r>
      </w:hyperlink>
      <w:r>
        <w:rPr>
          <w:rFonts w:ascii="Verdana" w:cs="Verdana" w:eastAsia="Verdana" w:hAnsi="Verdana"/>
          <w:sz w:val="18"/>
          <w:szCs w:val="18"/>
          <w:u w:val="single" w:color="auto"/>
          <w:color w:val="0000FF"/>
        </w:rPr>
        <w:t xml:space="preserve"> </w:t>
      </w:r>
      <w:hyperlink r:id="rId243">
        <w:r>
          <w:rPr>
            <w:rFonts w:ascii="Verdana" w:cs="Verdana" w:eastAsia="Verdana" w:hAnsi="Verdana"/>
            <w:sz w:val="18"/>
            <w:szCs w:val="18"/>
            <w:u w:val="single" w:color="auto"/>
            <w:color w:val="0000FF"/>
          </w:rPr>
          <w:t>Certificate of Change Pursuant to Nevada</w:t>
        </w:r>
      </w:hyperlink>
      <w:r>
        <w:rPr>
          <w:rFonts w:ascii="Verdana" w:cs="Verdana" w:eastAsia="Verdana" w:hAnsi="Verdana"/>
          <w:sz w:val="18"/>
          <w:szCs w:val="18"/>
          <w:u w:val="single" w:color="auto"/>
          <w:color w:val="0000FF"/>
        </w:rPr>
        <w:t xml:space="preserve"> </w:t>
      </w:r>
      <w:hyperlink r:id="rId243">
        <w:r>
          <w:rPr>
            <w:rFonts w:ascii="Verdana" w:cs="Verdana" w:eastAsia="Verdana" w:hAnsi="Verdana"/>
            <w:sz w:val="18"/>
            <w:szCs w:val="18"/>
            <w:u w:val="single" w:color="auto"/>
            <w:color w:val="0000FF"/>
          </w:rPr>
          <w:t>Revised Statutes Section 78.209, dated</w:t>
        </w:r>
      </w:hyperlink>
      <w:r>
        <w:rPr>
          <w:rFonts w:ascii="Verdana" w:cs="Verdana" w:eastAsia="Verdana" w:hAnsi="Verdana"/>
          <w:sz w:val="18"/>
          <w:szCs w:val="18"/>
          <w:u w:val="single" w:color="auto"/>
          <w:color w:val="0000FF"/>
        </w:rPr>
        <w:t xml:space="preserve"> </w:t>
      </w:r>
      <w:hyperlink r:id="rId243">
        <w:r>
          <w:rPr>
            <w:rFonts w:ascii="Verdana" w:cs="Verdana" w:eastAsia="Verdana" w:hAnsi="Verdana"/>
            <w:sz w:val="18"/>
            <w:szCs w:val="18"/>
            <w:u w:val="single" w:color="auto"/>
            <w:color w:val="0000FF"/>
          </w:rPr>
          <w:t>September 8, 2015</w:t>
        </w:r>
      </w:hyperlink>
    </w:p>
    <w:p>
      <w:pPr>
        <w:spacing w:after="0" w:line="269" w:lineRule="exact"/>
        <w:rPr>
          <w:rFonts w:ascii="Verdana" w:cs="Verdana" w:eastAsia="Verdana" w:hAnsi="Verdana"/>
          <w:sz w:val="18"/>
          <w:szCs w:val="18"/>
          <w:u w:val="single" w:color="auto"/>
          <w:color w:val="0000FF"/>
        </w:rPr>
      </w:pPr>
    </w:p>
    <w:tbl>
      <w:tblPr>
        <w:tblLayout w:type="fixed"/>
        <w:tblInd w:w="20" w:type="dxa"/>
        <w:tblCellMar>
          <w:top w:w="0" w:type="dxa"/>
          <w:left w:w="0" w:type="dxa"/>
          <w:bottom w:w="0" w:type="dxa"/>
          <w:right w:w="0" w:type="dxa"/>
        </w:tblCellMar>
      </w:tblPr>
      <w:tr>
        <w:trPr>
          <w:trHeight w:val="219"/>
        </w:trPr>
        <w:tc>
          <w:tcPr>
            <w:tcW w:w="980" w:type="dxa"/>
            <w:vAlign w:val="bottom"/>
          </w:tcPr>
          <w:p>
            <w:pPr>
              <w:spacing w:after="0"/>
              <w:rPr>
                <w:sz w:val="20"/>
                <w:szCs w:val="20"/>
                <w:color w:val="auto"/>
              </w:rPr>
            </w:pPr>
            <w:r>
              <w:rPr>
                <w:rFonts w:ascii="Verdana" w:cs="Verdana" w:eastAsia="Verdana" w:hAnsi="Verdana"/>
                <w:sz w:val="18"/>
                <w:szCs w:val="18"/>
                <w:color w:val="auto"/>
              </w:rPr>
              <w:t>3.2</w:t>
            </w:r>
          </w:p>
        </w:tc>
        <w:tc>
          <w:tcPr>
            <w:tcW w:w="4480" w:type="dxa"/>
            <w:vAlign w:val="bottom"/>
            <w:tcBorders>
              <w:bottom w:val="single" w:sz="8" w:color="0000FF"/>
            </w:tcBorders>
            <w:gridSpan w:val="8"/>
          </w:tcPr>
          <w:p>
            <w:pPr>
              <w:spacing w:after="0"/>
              <w:rPr>
                <w:rFonts w:ascii="Verdana" w:cs="Verdana" w:eastAsia="Verdana" w:hAnsi="Verdana"/>
                <w:sz w:val="18"/>
                <w:szCs w:val="18"/>
                <w:color w:val="0000FF"/>
              </w:rPr>
            </w:pPr>
            <w:hyperlink r:id="rId244">
              <w:r>
                <w:rPr>
                  <w:rFonts w:ascii="Verdana" w:cs="Verdana" w:eastAsia="Verdana" w:hAnsi="Verdana"/>
                  <w:sz w:val="18"/>
                  <w:szCs w:val="18"/>
                  <w:color w:val="0000FF"/>
                </w:rPr>
                <w:t>Certificate   of   Amendment   to   Articles   of</w:t>
              </w:r>
            </w:hyperlink>
          </w:p>
        </w:tc>
        <w:tc>
          <w:tcPr>
            <w:tcW w:w="1600" w:type="dxa"/>
            <w:vAlign w:val="bottom"/>
          </w:tcPr>
          <w:p>
            <w:pPr>
              <w:ind w:left="500"/>
              <w:spacing w:after="0"/>
              <w:rPr>
                <w:sz w:val="20"/>
                <w:szCs w:val="20"/>
                <w:color w:val="auto"/>
              </w:rPr>
            </w:pPr>
            <w:r>
              <w:rPr>
                <w:rFonts w:ascii="Verdana" w:cs="Verdana" w:eastAsia="Verdana" w:hAnsi="Verdana"/>
                <w:sz w:val="18"/>
                <w:szCs w:val="18"/>
                <w:color w:val="auto"/>
              </w:rPr>
              <w:t>BUSE</w:t>
            </w:r>
          </w:p>
        </w:tc>
        <w:tc>
          <w:tcPr>
            <w:tcW w:w="1020" w:type="dxa"/>
            <w:vAlign w:val="bottom"/>
          </w:tcPr>
          <w:p>
            <w:pPr>
              <w:jc w:val="center"/>
              <w:ind w:right="90"/>
              <w:spacing w:after="0"/>
              <w:rPr>
                <w:sz w:val="20"/>
                <w:szCs w:val="20"/>
                <w:color w:val="auto"/>
              </w:rPr>
            </w:pPr>
            <w:r>
              <w:rPr>
                <w:rFonts w:ascii="Verdana" w:cs="Verdana" w:eastAsia="Verdana" w:hAnsi="Verdana"/>
                <w:sz w:val="18"/>
                <w:szCs w:val="18"/>
                <w:color w:val="auto"/>
                <w:w w:val="99"/>
              </w:rPr>
              <w:t>S-8</w:t>
            </w:r>
          </w:p>
        </w:tc>
        <w:tc>
          <w:tcPr>
            <w:tcW w:w="980" w:type="dxa"/>
            <w:vAlign w:val="bottom"/>
          </w:tcPr>
          <w:p>
            <w:pPr>
              <w:jc w:val="center"/>
              <w:ind w:left="50"/>
              <w:spacing w:after="0"/>
              <w:rPr>
                <w:sz w:val="20"/>
                <w:szCs w:val="20"/>
                <w:color w:val="auto"/>
              </w:rPr>
            </w:pPr>
            <w:r>
              <w:rPr>
                <w:rFonts w:ascii="Verdana" w:cs="Verdana" w:eastAsia="Verdana" w:hAnsi="Verdana"/>
                <w:sz w:val="18"/>
                <w:szCs w:val="18"/>
                <w:color w:val="auto"/>
                <w:w w:val="94"/>
              </w:rPr>
              <w:t>4.2</w:t>
            </w:r>
          </w:p>
        </w:tc>
        <w:tc>
          <w:tcPr>
            <w:tcW w:w="1840" w:type="dxa"/>
            <w:vAlign w:val="bottom"/>
          </w:tcPr>
          <w:p>
            <w:pPr>
              <w:jc w:val="right"/>
              <w:ind w:right="450"/>
              <w:spacing w:after="0"/>
              <w:rPr>
                <w:sz w:val="20"/>
                <w:szCs w:val="20"/>
                <w:color w:val="auto"/>
              </w:rPr>
            </w:pPr>
            <w:r>
              <w:rPr>
                <w:rFonts w:ascii="Verdana" w:cs="Verdana" w:eastAsia="Verdana" w:hAnsi="Verdana"/>
                <w:sz w:val="18"/>
                <w:szCs w:val="18"/>
                <w:color w:val="auto"/>
              </w:rPr>
              <w:t>05/29/2020</w:t>
            </w:r>
          </w:p>
        </w:tc>
      </w:tr>
      <w:tr>
        <w:trPr>
          <w:trHeight w:val="196"/>
        </w:trPr>
        <w:tc>
          <w:tcPr>
            <w:tcW w:w="980" w:type="dxa"/>
            <w:vAlign w:val="bottom"/>
          </w:tcPr>
          <w:p>
            <w:pPr>
              <w:spacing w:after="0"/>
              <w:rPr>
                <w:sz w:val="17"/>
                <w:szCs w:val="17"/>
                <w:color w:val="auto"/>
              </w:rPr>
            </w:pPr>
          </w:p>
        </w:tc>
        <w:tc>
          <w:tcPr>
            <w:tcW w:w="3160" w:type="dxa"/>
            <w:vAlign w:val="bottom"/>
            <w:tcBorders>
              <w:bottom w:val="single" w:sz="8" w:color="0000FF"/>
            </w:tcBorders>
            <w:gridSpan w:val="5"/>
          </w:tcPr>
          <w:p>
            <w:pPr>
              <w:spacing w:after="0" w:line="196" w:lineRule="exact"/>
              <w:rPr>
                <w:rFonts w:ascii="Verdana" w:cs="Verdana" w:eastAsia="Verdana" w:hAnsi="Verdana"/>
                <w:sz w:val="18"/>
                <w:szCs w:val="18"/>
                <w:color w:val="0000FF"/>
                <w:w w:val="99"/>
              </w:rPr>
            </w:pPr>
            <w:hyperlink r:id="rId244">
              <w:r>
                <w:rPr>
                  <w:rFonts w:ascii="Verdana" w:cs="Verdana" w:eastAsia="Verdana" w:hAnsi="Verdana"/>
                  <w:sz w:val="18"/>
                  <w:szCs w:val="18"/>
                  <w:color w:val="0000FF"/>
                  <w:w w:val="99"/>
                </w:rPr>
                <w:t>Incorporation, dated May 22, 2020</w:t>
              </w:r>
            </w:hyperlink>
          </w:p>
        </w:tc>
        <w:tc>
          <w:tcPr>
            <w:tcW w:w="1320" w:type="dxa"/>
            <w:vAlign w:val="bottom"/>
            <w:gridSpan w:val="3"/>
          </w:tcPr>
          <w:p>
            <w:pPr>
              <w:spacing w:after="0"/>
              <w:rPr>
                <w:sz w:val="17"/>
                <w:szCs w:val="17"/>
                <w:color w:val="auto"/>
              </w:rPr>
            </w:pPr>
          </w:p>
        </w:tc>
        <w:tc>
          <w:tcPr>
            <w:tcW w:w="1600" w:type="dxa"/>
            <w:vAlign w:val="bottom"/>
          </w:tcPr>
          <w:p>
            <w:pPr>
              <w:jc w:val="center"/>
              <w:ind w:right="10"/>
              <w:spacing w:after="0" w:line="196" w:lineRule="exact"/>
              <w:rPr>
                <w:sz w:val="20"/>
                <w:szCs w:val="20"/>
                <w:color w:val="auto"/>
              </w:rPr>
            </w:pPr>
            <w:r>
              <w:rPr>
                <w:rFonts w:ascii="Verdana" w:cs="Verdana" w:eastAsia="Verdana" w:hAnsi="Verdana"/>
                <w:sz w:val="18"/>
                <w:szCs w:val="18"/>
                <w:color w:val="auto"/>
                <w:w w:val="98"/>
              </w:rPr>
              <w:t>(333-238782)</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506"/>
        </w:trPr>
        <w:tc>
          <w:tcPr>
            <w:tcW w:w="980" w:type="dxa"/>
            <w:vAlign w:val="bottom"/>
          </w:tcPr>
          <w:p>
            <w:pPr>
              <w:spacing w:after="0"/>
              <w:rPr>
                <w:sz w:val="20"/>
                <w:szCs w:val="20"/>
                <w:color w:val="auto"/>
              </w:rPr>
            </w:pPr>
            <w:r>
              <w:rPr>
                <w:rFonts w:ascii="Verdana" w:cs="Verdana" w:eastAsia="Verdana" w:hAnsi="Verdana"/>
                <w:sz w:val="18"/>
                <w:szCs w:val="18"/>
                <w:color w:val="auto"/>
              </w:rPr>
              <w:t>3.3</w:t>
            </w:r>
          </w:p>
        </w:tc>
        <w:tc>
          <w:tcPr>
            <w:tcW w:w="4480" w:type="dxa"/>
            <w:vAlign w:val="bottom"/>
            <w:tcBorders>
              <w:bottom w:val="single" w:sz="8" w:color="0000FF"/>
            </w:tcBorders>
            <w:gridSpan w:val="8"/>
          </w:tcPr>
          <w:p>
            <w:pPr>
              <w:spacing w:after="0"/>
              <w:rPr>
                <w:rFonts w:ascii="Verdana" w:cs="Verdana" w:eastAsia="Verdana" w:hAnsi="Verdana"/>
                <w:sz w:val="18"/>
                <w:szCs w:val="18"/>
                <w:color w:val="0000FF"/>
              </w:rPr>
            </w:pPr>
            <w:hyperlink r:id="rId245">
              <w:r>
                <w:rPr>
                  <w:rFonts w:ascii="Verdana" w:cs="Verdana" w:eastAsia="Verdana" w:hAnsi="Verdana"/>
                  <w:sz w:val="18"/>
                  <w:szCs w:val="18"/>
                  <w:color w:val="0000FF"/>
                </w:rPr>
                <w:t>Second Amended and Restated By-Laws of First</w:t>
              </w:r>
            </w:hyperlink>
          </w:p>
        </w:tc>
        <w:tc>
          <w:tcPr>
            <w:tcW w:w="1600" w:type="dxa"/>
            <w:vAlign w:val="bottom"/>
          </w:tcPr>
          <w:p>
            <w:pPr>
              <w:ind w:left="500"/>
              <w:spacing w:after="0"/>
              <w:rPr>
                <w:sz w:val="20"/>
                <w:szCs w:val="20"/>
                <w:color w:val="auto"/>
              </w:rPr>
            </w:pPr>
            <w:r>
              <w:rPr>
                <w:rFonts w:ascii="Verdana" w:cs="Verdana" w:eastAsia="Verdana" w:hAnsi="Verdana"/>
                <w:sz w:val="18"/>
                <w:szCs w:val="18"/>
                <w:color w:val="auto"/>
              </w:rPr>
              <w:t>BUSE</w:t>
            </w:r>
          </w:p>
        </w:tc>
        <w:tc>
          <w:tcPr>
            <w:tcW w:w="1020" w:type="dxa"/>
            <w:vAlign w:val="bottom"/>
          </w:tcPr>
          <w:p>
            <w:pPr>
              <w:jc w:val="center"/>
              <w:ind w:right="90"/>
              <w:spacing w:after="0"/>
              <w:rPr>
                <w:sz w:val="20"/>
                <w:szCs w:val="20"/>
                <w:color w:val="auto"/>
              </w:rPr>
            </w:pPr>
            <w:r>
              <w:rPr>
                <w:rFonts w:ascii="Verdana" w:cs="Verdana" w:eastAsia="Verdana" w:hAnsi="Verdana"/>
                <w:sz w:val="18"/>
                <w:szCs w:val="18"/>
                <w:color w:val="auto"/>
                <w:w w:val="99"/>
              </w:rPr>
              <w:t>8-K</w:t>
            </w:r>
          </w:p>
        </w:tc>
        <w:tc>
          <w:tcPr>
            <w:tcW w:w="980" w:type="dxa"/>
            <w:vAlign w:val="bottom"/>
          </w:tcPr>
          <w:p>
            <w:pPr>
              <w:jc w:val="center"/>
              <w:ind w:left="50"/>
              <w:spacing w:after="0"/>
              <w:rPr>
                <w:sz w:val="20"/>
                <w:szCs w:val="20"/>
                <w:color w:val="auto"/>
              </w:rPr>
            </w:pPr>
            <w:r>
              <w:rPr>
                <w:rFonts w:ascii="Verdana" w:cs="Verdana" w:eastAsia="Verdana" w:hAnsi="Verdana"/>
                <w:sz w:val="18"/>
                <w:szCs w:val="18"/>
                <w:color w:val="auto"/>
                <w:w w:val="94"/>
              </w:rPr>
              <w:t>3.1</w:t>
            </w:r>
          </w:p>
        </w:tc>
        <w:tc>
          <w:tcPr>
            <w:tcW w:w="1840" w:type="dxa"/>
            <w:vAlign w:val="bottom"/>
          </w:tcPr>
          <w:p>
            <w:pPr>
              <w:jc w:val="right"/>
              <w:ind w:right="450"/>
              <w:spacing w:after="0"/>
              <w:rPr>
                <w:sz w:val="20"/>
                <w:szCs w:val="20"/>
                <w:color w:val="auto"/>
              </w:rPr>
            </w:pPr>
            <w:r>
              <w:rPr>
                <w:rFonts w:ascii="Verdana" w:cs="Verdana" w:eastAsia="Verdana" w:hAnsi="Verdana"/>
                <w:sz w:val="18"/>
                <w:szCs w:val="18"/>
                <w:color w:val="auto"/>
              </w:rPr>
              <w:t>12/07/2023</w:t>
            </w:r>
          </w:p>
        </w:tc>
      </w:tr>
      <w:tr>
        <w:trPr>
          <w:trHeight w:val="196"/>
        </w:trPr>
        <w:tc>
          <w:tcPr>
            <w:tcW w:w="980" w:type="dxa"/>
            <w:vAlign w:val="bottom"/>
          </w:tcPr>
          <w:p>
            <w:pPr>
              <w:spacing w:after="0"/>
              <w:rPr>
                <w:sz w:val="17"/>
                <w:szCs w:val="17"/>
                <w:color w:val="auto"/>
              </w:rPr>
            </w:pPr>
          </w:p>
        </w:tc>
        <w:tc>
          <w:tcPr>
            <w:tcW w:w="4480" w:type="dxa"/>
            <w:vAlign w:val="bottom"/>
            <w:gridSpan w:val="8"/>
          </w:tcPr>
          <w:p>
            <w:pPr>
              <w:spacing w:after="0" w:line="196" w:lineRule="exact"/>
              <w:rPr>
                <w:rFonts w:ascii="Verdana" w:cs="Verdana" w:eastAsia="Verdana" w:hAnsi="Verdana"/>
                <w:sz w:val="18"/>
                <w:szCs w:val="18"/>
                <w:color w:val="0000FF"/>
              </w:rPr>
            </w:pPr>
            <w:hyperlink r:id="rId245">
              <w:r>
                <w:rPr>
                  <w:rFonts w:ascii="Verdana" w:cs="Verdana" w:eastAsia="Verdana" w:hAnsi="Verdana"/>
                  <w:sz w:val="18"/>
                  <w:szCs w:val="18"/>
                  <w:color w:val="0000FF"/>
                </w:rPr>
                <w:t>Busey Corporation</w:t>
              </w:r>
            </w:hyperlink>
          </w:p>
        </w:tc>
        <w:tc>
          <w:tcPr>
            <w:tcW w:w="1600" w:type="dxa"/>
            <w:vAlign w:val="bottom"/>
          </w:tcPr>
          <w:p>
            <w:pPr>
              <w:jc w:val="center"/>
              <w:ind w:right="10"/>
              <w:spacing w:after="0" w:line="196" w:lineRule="exact"/>
              <w:rPr>
                <w:sz w:val="20"/>
                <w:szCs w:val="20"/>
                <w:color w:val="auto"/>
              </w:rPr>
            </w:pPr>
            <w:r>
              <w:rPr>
                <w:rFonts w:ascii="Verdana" w:cs="Verdana" w:eastAsia="Verdana" w:hAnsi="Verdana"/>
                <w:sz w:val="18"/>
                <w:szCs w:val="18"/>
                <w:color w:val="auto"/>
              </w:rPr>
              <w:t>(0-15950)</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528"/>
        </w:trPr>
        <w:tc>
          <w:tcPr>
            <w:tcW w:w="980" w:type="dxa"/>
            <w:vAlign w:val="bottom"/>
          </w:tcPr>
          <w:p>
            <w:pPr>
              <w:spacing w:after="0"/>
              <w:rPr>
                <w:sz w:val="20"/>
                <w:szCs w:val="20"/>
                <w:color w:val="auto"/>
              </w:rPr>
            </w:pPr>
            <w:r>
              <w:rPr>
                <w:rFonts w:ascii="Verdana" w:cs="Verdana" w:eastAsia="Verdana" w:hAnsi="Verdana"/>
                <w:sz w:val="18"/>
                <w:szCs w:val="18"/>
                <w:color w:val="auto"/>
              </w:rPr>
              <w:t>4.1</w:t>
            </w:r>
          </w:p>
        </w:tc>
        <w:tc>
          <w:tcPr>
            <w:tcW w:w="4480" w:type="dxa"/>
            <w:vAlign w:val="bottom"/>
            <w:gridSpan w:val="8"/>
          </w:tcPr>
          <w:p>
            <w:pPr>
              <w:spacing w:after="0"/>
              <w:rPr>
                <w:sz w:val="20"/>
                <w:szCs w:val="20"/>
                <w:color w:val="auto"/>
              </w:rPr>
            </w:pPr>
            <w:r>
              <w:rPr>
                <w:rFonts w:ascii="Verdana" w:cs="Verdana" w:eastAsia="Verdana" w:hAnsi="Verdana"/>
                <w:sz w:val="18"/>
                <w:szCs w:val="18"/>
                <w:color w:val="auto"/>
              </w:rPr>
              <w:t>Certain  instruments  defining  the  rights  of</w:t>
            </w: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480" w:type="dxa"/>
            <w:vAlign w:val="bottom"/>
            <w:gridSpan w:val="8"/>
          </w:tcPr>
          <w:p>
            <w:pPr>
              <w:spacing w:after="0" w:line="216" w:lineRule="exact"/>
              <w:rPr>
                <w:sz w:val="20"/>
                <w:szCs w:val="20"/>
                <w:color w:val="auto"/>
              </w:rPr>
            </w:pPr>
            <w:r>
              <w:rPr>
                <w:rFonts w:ascii="Verdana" w:cs="Verdana" w:eastAsia="Verdana" w:hAnsi="Verdana"/>
                <w:sz w:val="18"/>
                <w:szCs w:val="18"/>
                <w:color w:val="auto"/>
              </w:rPr>
              <w:t>holders of long-term debt of First Busey, none of</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80" w:type="dxa"/>
            <w:vAlign w:val="bottom"/>
            <w:gridSpan w:val="8"/>
          </w:tcPr>
          <w:p>
            <w:pPr>
              <w:spacing w:after="0" w:line="216" w:lineRule="exact"/>
              <w:rPr>
                <w:sz w:val="20"/>
                <w:szCs w:val="20"/>
                <w:color w:val="auto"/>
              </w:rPr>
            </w:pPr>
            <w:r>
              <w:rPr>
                <w:rFonts w:ascii="Verdana" w:cs="Verdana" w:eastAsia="Verdana" w:hAnsi="Verdana"/>
                <w:sz w:val="18"/>
                <w:szCs w:val="18"/>
                <w:color w:val="auto"/>
              </w:rPr>
              <w:t>which authorize a total amount of indebtedness</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80" w:type="dxa"/>
            <w:vAlign w:val="bottom"/>
            <w:gridSpan w:val="8"/>
          </w:tcPr>
          <w:p>
            <w:pPr>
              <w:spacing w:after="0" w:line="216" w:lineRule="exact"/>
              <w:rPr>
                <w:sz w:val="20"/>
                <w:szCs w:val="20"/>
                <w:color w:val="auto"/>
              </w:rPr>
            </w:pPr>
            <w:r>
              <w:rPr>
                <w:rFonts w:ascii="Verdana" w:cs="Verdana" w:eastAsia="Verdana" w:hAnsi="Verdana"/>
                <w:sz w:val="18"/>
                <w:szCs w:val="18"/>
                <w:color w:val="auto"/>
              </w:rPr>
              <w:t>in excess of 10% of the total assets of the First</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80" w:type="dxa"/>
            <w:vAlign w:val="bottom"/>
            <w:gridSpan w:val="8"/>
          </w:tcPr>
          <w:p>
            <w:pPr>
              <w:spacing w:after="0" w:line="216" w:lineRule="exact"/>
              <w:rPr>
                <w:sz w:val="20"/>
                <w:szCs w:val="20"/>
                <w:color w:val="auto"/>
              </w:rPr>
            </w:pPr>
            <w:r>
              <w:rPr>
                <w:rFonts w:ascii="Verdana" w:cs="Verdana" w:eastAsia="Verdana" w:hAnsi="Verdana"/>
                <w:sz w:val="18"/>
                <w:szCs w:val="18"/>
                <w:color w:val="auto"/>
              </w:rPr>
              <w:t>Busey  and  its  subsidiaries  on  a  consolidated</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80" w:type="dxa"/>
            <w:vAlign w:val="bottom"/>
            <w:gridSpan w:val="8"/>
          </w:tcPr>
          <w:p>
            <w:pPr>
              <w:spacing w:after="0" w:line="216" w:lineRule="exact"/>
              <w:rPr>
                <w:sz w:val="20"/>
                <w:szCs w:val="20"/>
                <w:color w:val="auto"/>
              </w:rPr>
            </w:pPr>
            <w:r>
              <w:rPr>
                <w:rFonts w:ascii="Verdana" w:cs="Verdana" w:eastAsia="Verdana" w:hAnsi="Verdana"/>
                <w:sz w:val="18"/>
                <w:szCs w:val="18"/>
                <w:color w:val="auto"/>
              </w:rPr>
              <w:t>basis, have not been filed as exhibits.   First</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80" w:type="dxa"/>
            <w:vAlign w:val="bottom"/>
            <w:gridSpan w:val="8"/>
          </w:tcPr>
          <w:p>
            <w:pPr>
              <w:spacing w:after="0" w:line="216" w:lineRule="exact"/>
              <w:rPr>
                <w:sz w:val="20"/>
                <w:szCs w:val="20"/>
                <w:color w:val="auto"/>
              </w:rPr>
            </w:pPr>
            <w:r>
              <w:rPr>
                <w:rFonts w:ascii="Verdana" w:cs="Verdana" w:eastAsia="Verdana" w:hAnsi="Verdana"/>
                <w:sz w:val="18"/>
                <w:szCs w:val="18"/>
                <w:color w:val="auto"/>
              </w:rPr>
              <w:t>Busey hereby agrees to furnish a copy of any of</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5"/>
        </w:trPr>
        <w:tc>
          <w:tcPr>
            <w:tcW w:w="980" w:type="dxa"/>
            <w:vAlign w:val="bottom"/>
          </w:tcPr>
          <w:p>
            <w:pPr>
              <w:spacing w:after="0"/>
              <w:rPr>
                <w:sz w:val="20"/>
                <w:szCs w:val="20"/>
                <w:color w:val="auto"/>
              </w:rPr>
            </w:pPr>
          </w:p>
        </w:tc>
        <w:tc>
          <w:tcPr>
            <w:tcW w:w="4480" w:type="dxa"/>
            <w:vAlign w:val="bottom"/>
            <w:gridSpan w:val="8"/>
          </w:tcPr>
          <w:p>
            <w:pPr>
              <w:spacing w:after="0"/>
              <w:rPr>
                <w:sz w:val="20"/>
                <w:szCs w:val="20"/>
                <w:color w:val="auto"/>
              </w:rPr>
            </w:pPr>
            <w:r>
              <w:rPr>
                <w:rFonts w:ascii="Verdana" w:cs="Verdana" w:eastAsia="Verdana" w:hAnsi="Verdana"/>
                <w:sz w:val="18"/>
                <w:szCs w:val="18"/>
                <w:color w:val="auto"/>
              </w:rPr>
              <w:t>these agreements to the SEC upon request.</w:t>
            </w:r>
          </w:p>
        </w:tc>
        <w:tc>
          <w:tcPr>
            <w:tcW w:w="1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86"/>
        </w:trPr>
        <w:tc>
          <w:tcPr>
            <w:tcW w:w="980" w:type="dxa"/>
            <w:vAlign w:val="bottom"/>
          </w:tcPr>
          <w:p>
            <w:pPr>
              <w:spacing w:after="0"/>
              <w:rPr>
                <w:sz w:val="20"/>
                <w:szCs w:val="20"/>
                <w:color w:val="auto"/>
              </w:rPr>
            </w:pPr>
            <w:r>
              <w:rPr>
                <w:rFonts w:ascii="Verdana" w:cs="Verdana" w:eastAsia="Verdana" w:hAnsi="Verdana"/>
                <w:sz w:val="18"/>
                <w:szCs w:val="18"/>
                <w:color w:val="auto"/>
              </w:rPr>
              <w:t>4.2</w:t>
            </w:r>
          </w:p>
        </w:tc>
        <w:tc>
          <w:tcPr>
            <w:tcW w:w="3580" w:type="dxa"/>
            <w:vAlign w:val="bottom"/>
            <w:tcBorders>
              <w:bottom w:val="single" w:sz="8" w:color="0000FF"/>
            </w:tcBorders>
            <w:gridSpan w:val="6"/>
          </w:tcPr>
          <w:p>
            <w:pPr>
              <w:spacing w:after="0"/>
              <w:rPr>
                <w:sz w:val="20"/>
                <w:szCs w:val="20"/>
                <w:color w:val="auto"/>
              </w:rPr>
            </w:pPr>
            <w:r>
              <w:rPr>
                <w:rFonts w:ascii="Verdana" w:cs="Verdana" w:eastAsia="Verdana" w:hAnsi="Verdana"/>
                <w:sz w:val="18"/>
                <w:szCs w:val="18"/>
                <w:color w:val="0000FF"/>
                <w:w w:val="99"/>
              </w:rPr>
              <w:t>Description of the Company’s securities</w:t>
            </w:r>
          </w:p>
        </w:tc>
        <w:tc>
          <w:tcPr>
            <w:tcW w:w="900" w:type="dxa"/>
            <w:vAlign w:val="bottom"/>
            <w:gridSpan w:val="2"/>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Verdana" w:cs="Verdana" w:eastAsia="Verdana" w:hAnsi="Verdana"/>
                <w:sz w:val="18"/>
                <w:szCs w:val="18"/>
                <w:color w:val="auto"/>
              </w:rPr>
              <w:t>X</w:t>
            </w:r>
          </w:p>
        </w:tc>
      </w:tr>
      <w:tr>
        <w:trPr>
          <w:trHeight w:val="506"/>
        </w:trPr>
        <w:tc>
          <w:tcPr>
            <w:tcW w:w="980" w:type="dxa"/>
            <w:vAlign w:val="bottom"/>
          </w:tcPr>
          <w:p>
            <w:pPr>
              <w:spacing w:after="0"/>
              <w:rPr>
                <w:sz w:val="20"/>
                <w:szCs w:val="20"/>
                <w:color w:val="auto"/>
              </w:rPr>
            </w:pPr>
            <w:r>
              <w:rPr>
                <w:rFonts w:ascii="Verdana" w:cs="Verdana" w:eastAsia="Verdana" w:hAnsi="Verdana"/>
                <w:sz w:val="18"/>
                <w:szCs w:val="18"/>
                <w:color w:val="auto"/>
              </w:rPr>
              <w:t>10.1†</w:t>
            </w:r>
          </w:p>
        </w:tc>
        <w:tc>
          <w:tcPr>
            <w:tcW w:w="4460" w:type="dxa"/>
            <w:vAlign w:val="bottom"/>
            <w:tcBorders>
              <w:bottom w:val="single" w:sz="8" w:color="0000FF"/>
            </w:tcBorders>
            <w:gridSpan w:val="7"/>
          </w:tcPr>
          <w:p>
            <w:pPr>
              <w:spacing w:after="0"/>
              <w:rPr>
                <w:rFonts w:ascii="Verdana" w:cs="Verdana" w:eastAsia="Verdana" w:hAnsi="Verdana"/>
                <w:sz w:val="18"/>
                <w:szCs w:val="18"/>
                <w:color w:val="0000FF"/>
              </w:rPr>
            </w:pPr>
            <w:hyperlink r:id="rId246">
              <w:r>
                <w:rPr>
                  <w:rFonts w:ascii="Verdana" w:cs="Verdana" w:eastAsia="Verdana" w:hAnsi="Verdana"/>
                  <w:sz w:val="18"/>
                  <w:szCs w:val="18"/>
                  <w:color w:val="0000FF"/>
                </w:rPr>
                <w:t>Employment Agreement by and between Main</w:t>
              </w:r>
            </w:hyperlink>
          </w:p>
        </w:tc>
        <w:tc>
          <w:tcPr>
            <w:tcW w:w="20" w:type="dxa"/>
            <w:vAlign w:val="bottom"/>
          </w:tcPr>
          <w:p>
            <w:pPr>
              <w:spacing w:after="0"/>
              <w:rPr>
                <w:sz w:val="24"/>
                <w:szCs w:val="24"/>
                <w:color w:val="auto"/>
              </w:rPr>
            </w:pPr>
          </w:p>
        </w:tc>
        <w:tc>
          <w:tcPr>
            <w:tcW w:w="1600" w:type="dxa"/>
            <w:vAlign w:val="bottom"/>
          </w:tcPr>
          <w:p>
            <w:pPr>
              <w:ind w:left="520"/>
              <w:spacing w:after="0"/>
              <w:rPr>
                <w:sz w:val="20"/>
                <w:szCs w:val="20"/>
                <w:color w:val="auto"/>
              </w:rPr>
            </w:pPr>
            <w:r>
              <w:rPr>
                <w:rFonts w:ascii="Verdana" w:cs="Verdana" w:eastAsia="Verdana" w:hAnsi="Verdana"/>
                <w:sz w:val="18"/>
                <w:szCs w:val="18"/>
                <w:color w:val="auto"/>
              </w:rPr>
              <w:t>MSTI</w:t>
            </w:r>
          </w:p>
        </w:tc>
        <w:tc>
          <w:tcPr>
            <w:tcW w:w="1020" w:type="dxa"/>
            <w:vAlign w:val="bottom"/>
          </w:tcPr>
          <w:p>
            <w:pPr>
              <w:jc w:val="center"/>
              <w:ind w:right="90"/>
              <w:spacing w:after="0"/>
              <w:rPr>
                <w:sz w:val="20"/>
                <w:szCs w:val="20"/>
                <w:color w:val="auto"/>
              </w:rPr>
            </w:pPr>
            <w:r>
              <w:rPr>
                <w:rFonts w:ascii="Verdana" w:cs="Verdana" w:eastAsia="Verdana" w:hAnsi="Verdana"/>
                <w:sz w:val="18"/>
                <w:szCs w:val="18"/>
                <w:color w:val="auto"/>
              </w:rPr>
              <w:t>10-K</w:t>
            </w:r>
          </w:p>
        </w:tc>
        <w:tc>
          <w:tcPr>
            <w:tcW w:w="980" w:type="dxa"/>
            <w:vAlign w:val="bottom"/>
          </w:tcPr>
          <w:p>
            <w:pPr>
              <w:jc w:val="center"/>
              <w:ind w:left="50"/>
              <w:spacing w:after="0"/>
              <w:rPr>
                <w:sz w:val="20"/>
                <w:szCs w:val="20"/>
                <w:color w:val="auto"/>
              </w:rPr>
            </w:pPr>
            <w:r>
              <w:rPr>
                <w:rFonts w:ascii="Verdana" w:cs="Verdana" w:eastAsia="Verdana" w:hAnsi="Verdana"/>
                <w:sz w:val="18"/>
                <w:szCs w:val="18"/>
                <w:color w:val="auto"/>
                <w:w w:val="97"/>
              </w:rPr>
              <w:t>10.2</w:t>
            </w:r>
          </w:p>
        </w:tc>
        <w:tc>
          <w:tcPr>
            <w:tcW w:w="1840" w:type="dxa"/>
            <w:vAlign w:val="bottom"/>
          </w:tcPr>
          <w:p>
            <w:pPr>
              <w:jc w:val="right"/>
              <w:ind w:right="450"/>
              <w:spacing w:after="0"/>
              <w:rPr>
                <w:sz w:val="20"/>
                <w:szCs w:val="20"/>
                <w:color w:val="auto"/>
              </w:rPr>
            </w:pPr>
            <w:r>
              <w:rPr>
                <w:rFonts w:ascii="Verdana" w:cs="Verdana" w:eastAsia="Verdana" w:hAnsi="Verdana"/>
                <w:sz w:val="18"/>
                <w:szCs w:val="18"/>
                <w:color w:val="auto"/>
              </w:rPr>
              <w:t>03/29/2002</w:t>
            </w:r>
          </w:p>
        </w:tc>
      </w:tr>
      <w:tr>
        <w:trPr>
          <w:trHeight w:val="196"/>
        </w:trPr>
        <w:tc>
          <w:tcPr>
            <w:tcW w:w="980" w:type="dxa"/>
            <w:vAlign w:val="bottom"/>
          </w:tcPr>
          <w:p>
            <w:pPr>
              <w:spacing w:after="0"/>
              <w:rPr>
                <w:sz w:val="17"/>
                <w:szCs w:val="17"/>
                <w:color w:val="auto"/>
              </w:rPr>
            </w:pPr>
          </w:p>
        </w:tc>
        <w:tc>
          <w:tcPr>
            <w:tcW w:w="4460" w:type="dxa"/>
            <w:vAlign w:val="bottom"/>
            <w:tcBorders>
              <w:bottom w:val="single" w:sz="8" w:color="0000FF"/>
            </w:tcBorders>
            <w:gridSpan w:val="7"/>
          </w:tcPr>
          <w:p>
            <w:pPr>
              <w:spacing w:after="0" w:line="196" w:lineRule="exact"/>
              <w:rPr>
                <w:rFonts w:ascii="Verdana" w:cs="Verdana" w:eastAsia="Verdana" w:hAnsi="Verdana"/>
                <w:sz w:val="18"/>
                <w:szCs w:val="18"/>
                <w:color w:val="0000FF"/>
              </w:rPr>
            </w:pPr>
            <w:hyperlink r:id="rId246">
              <w:r>
                <w:rPr>
                  <w:rFonts w:ascii="Verdana" w:cs="Verdana" w:eastAsia="Verdana" w:hAnsi="Verdana"/>
                  <w:sz w:val="18"/>
                  <w:szCs w:val="18"/>
                  <w:color w:val="0000FF"/>
                </w:rPr>
                <w:t>Street Trust, Inc., and Van A. Dukeman, dated</w:t>
              </w:r>
            </w:hyperlink>
          </w:p>
        </w:tc>
        <w:tc>
          <w:tcPr>
            <w:tcW w:w="20" w:type="dxa"/>
            <w:vAlign w:val="bottom"/>
          </w:tcPr>
          <w:p>
            <w:pPr>
              <w:spacing w:after="0"/>
              <w:rPr>
                <w:sz w:val="17"/>
                <w:szCs w:val="17"/>
                <w:color w:val="auto"/>
              </w:rPr>
            </w:pPr>
          </w:p>
        </w:tc>
        <w:tc>
          <w:tcPr>
            <w:tcW w:w="1600" w:type="dxa"/>
            <w:vAlign w:val="bottom"/>
          </w:tcPr>
          <w:p>
            <w:pPr>
              <w:jc w:val="center"/>
              <w:spacing w:after="0" w:line="196" w:lineRule="exact"/>
              <w:rPr>
                <w:sz w:val="20"/>
                <w:szCs w:val="20"/>
                <w:color w:val="auto"/>
              </w:rPr>
            </w:pPr>
            <w:r>
              <w:rPr>
                <w:rFonts w:ascii="Verdana" w:cs="Verdana" w:eastAsia="Verdana" w:hAnsi="Verdana"/>
                <w:sz w:val="18"/>
                <w:szCs w:val="18"/>
                <w:color w:val="auto"/>
                <w:w w:val="99"/>
              </w:rPr>
              <w:t>(000-30031)</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line="196" w:lineRule="exact"/>
              <w:rPr>
                <w:rFonts w:ascii="Verdana" w:cs="Verdana" w:eastAsia="Verdana" w:hAnsi="Verdana"/>
                <w:sz w:val="18"/>
                <w:szCs w:val="18"/>
                <w:color w:val="0000FF"/>
                <w:w w:val="98"/>
              </w:rPr>
            </w:pPr>
            <w:hyperlink r:id="rId246">
              <w:r>
                <w:rPr>
                  <w:rFonts w:ascii="Verdana" w:cs="Verdana" w:eastAsia="Verdana" w:hAnsi="Verdana"/>
                  <w:sz w:val="18"/>
                  <w:szCs w:val="18"/>
                  <w:color w:val="0000FF"/>
                  <w:w w:val="98"/>
                </w:rPr>
                <w:t>December 26, 2001</w:t>
              </w:r>
            </w:hyperlink>
          </w:p>
        </w:tc>
        <w:tc>
          <w:tcPr>
            <w:tcW w:w="268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506"/>
        </w:trPr>
        <w:tc>
          <w:tcPr>
            <w:tcW w:w="980" w:type="dxa"/>
            <w:vAlign w:val="bottom"/>
          </w:tcPr>
          <w:p>
            <w:pPr>
              <w:spacing w:after="0"/>
              <w:rPr>
                <w:sz w:val="20"/>
                <w:szCs w:val="20"/>
                <w:color w:val="auto"/>
              </w:rPr>
            </w:pPr>
            <w:r>
              <w:rPr>
                <w:rFonts w:ascii="Verdana" w:cs="Verdana" w:eastAsia="Verdana" w:hAnsi="Verdana"/>
                <w:sz w:val="18"/>
                <w:szCs w:val="18"/>
                <w:color w:val="auto"/>
              </w:rPr>
              <w:t>10.2†</w:t>
            </w:r>
          </w:p>
        </w:tc>
        <w:tc>
          <w:tcPr>
            <w:tcW w:w="4460" w:type="dxa"/>
            <w:vAlign w:val="bottom"/>
            <w:tcBorders>
              <w:bottom w:val="single" w:sz="8" w:color="0000FF"/>
            </w:tcBorders>
            <w:gridSpan w:val="7"/>
          </w:tcPr>
          <w:p>
            <w:pPr>
              <w:spacing w:after="0"/>
              <w:rPr>
                <w:rFonts w:ascii="Verdana" w:cs="Verdana" w:eastAsia="Verdana" w:hAnsi="Verdana"/>
                <w:sz w:val="18"/>
                <w:szCs w:val="18"/>
                <w:color w:val="0000FF"/>
              </w:rPr>
            </w:pPr>
            <w:hyperlink r:id="rId247">
              <w:r>
                <w:rPr>
                  <w:rFonts w:ascii="Verdana" w:cs="Verdana" w:eastAsia="Verdana" w:hAnsi="Verdana"/>
                  <w:sz w:val="18"/>
                  <w:szCs w:val="18"/>
                  <w:color w:val="0000FF"/>
                </w:rPr>
                <w:t>Letter   Agreement   between   Main   Street</w:t>
              </w:r>
            </w:hyperlink>
          </w:p>
        </w:tc>
        <w:tc>
          <w:tcPr>
            <w:tcW w:w="20" w:type="dxa"/>
            <w:vAlign w:val="bottom"/>
          </w:tcPr>
          <w:p>
            <w:pPr>
              <w:spacing w:after="0"/>
              <w:rPr>
                <w:sz w:val="24"/>
                <w:szCs w:val="24"/>
                <w:color w:val="auto"/>
              </w:rPr>
            </w:pPr>
          </w:p>
        </w:tc>
        <w:tc>
          <w:tcPr>
            <w:tcW w:w="1600" w:type="dxa"/>
            <w:vAlign w:val="bottom"/>
          </w:tcPr>
          <w:p>
            <w:pPr>
              <w:ind w:left="520"/>
              <w:spacing w:after="0"/>
              <w:rPr>
                <w:sz w:val="20"/>
                <w:szCs w:val="20"/>
                <w:color w:val="auto"/>
              </w:rPr>
            </w:pPr>
            <w:r>
              <w:rPr>
                <w:rFonts w:ascii="Verdana" w:cs="Verdana" w:eastAsia="Verdana" w:hAnsi="Verdana"/>
                <w:sz w:val="18"/>
                <w:szCs w:val="18"/>
                <w:color w:val="auto"/>
              </w:rPr>
              <w:t>MSTI</w:t>
            </w:r>
          </w:p>
        </w:tc>
        <w:tc>
          <w:tcPr>
            <w:tcW w:w="1020" w:type="dxa"/>
            <w:vAlign w:val="bottom"/>
          </w:tcPr>
          <w:p>
            <w:pPr>
              <w:jc w:val="center"/>
              <w:ind w:right="90"/>
              <w:spacing w:after="0"/>
              <w:rPr>
                <w:sz w:val="20"/>
                <w:szCs w:val="20"/>
                <w:color w:val="auto"/>
              </w:rPr>
            </w:pPr>
            <w:r>
              <w:rPr>
                <w:rFonts w:ascii="Verdana" w:cs="Verdana" w:eastAsia="Verdana" w:hAnsi="Verdana"/>
                <w:sz w:val="18"/>
                <w:szCs w:val="18"/>
                <w:color w:val="auto"/>
                <w:w w:val="99"/>
              </w:rPr>
              <w:t>8-K</w:t>
            </w:r>
          </w:p>
        </w:tc>
        <w:tc>
          <w:tcPr>
            <w:tcW w:w="980" w:type="dxa"/>
            <w:vAlign w:val="bottom"/>
          </w:tcPr>
          <w:p>
            <w:pPr>
              <w:jc w:val="center"/>
              <w:ind w:left="50"/>
              <w:spacing w:after="0"/>
              <w:rPr>
                <w:sz w:val="20"/>
                <w:szCs w:val="20"/>
                <w:color w:val="auto"/>
              </w:rPr>
            </w:pPr>
            <w:r>
              <w:rPr>
                <w:rFonts w:ascii="Verdana" w:cs="Verdana" w:eastAsia="Verdana" w:hAnsi="Verdana"/>
                <w:sz w:val="18"/>
                <w:szCs w:val="18"/>
                <w:color w:val="auto"/>
                <w:w w:val="97"/>
              </w:rPr>
              <w:t>99.2</w:t>
            </w:r>
          </w:p>
        </w:tc>
        <w:tc>
          <w:tcPr>
            <w:tcW w:w="1840" w:type="dxa"/>
            <w:vAlign w:val="bottom"/>
          </w:tcPr>
          <w:p>
            <w:pPr>
              <w:jc w:val="right"/>
              <w:ind w:right="450"/>
              <w:spacing w:after="0"/>
              <w:rPr>
                <w:sz w:val="20"/>
                <w:szCs w:val="20"/>
                <w:color w:val="auto"/>
              </w:rPr>
            </w:pPr>
            <w:r>
              <w:rPr>
                <w:rFonts w:ascii="Verdana" w:cs="Verdana" w:eastAsia="Verdana" w:hAnsi="Verdana"/>
                <w:sz w:val="18"/>
                <w:szCs w:val="18"/>
                <w:color w:val="auto"/>
              </w:rPr>
              <w:t>09/21/2006</w:t>
            </w:r>
          </w:p>
        </w:tc>
      </w:tr>
      <w:tr>
        <w:trPr>
          <w:trHeight w:val="196"/>
        </w:trPr>
        <w:tc>
          <w:tcPr>
            <w:tcW w:w="980" w:type="dxa"/>
            <w:vAlign w:val="bottom"/>
          </w:tcPr>
          <w:p>
            <w:pPr>
              <w:spacing w:after="0"/>
              <w:rPr>
                <w:sz w:val="17"/>
                <w:szCs w:val="17"/>
                <w:color w:val="auto"/>
              </w:rPr>
            </w:pPr>
          </w:p>
        </w:tc>
        <w:tc>
          <w:tcPr>
            <w:tcW w:w="6080" w:type="dxa"/>
            <w:vAlign w:val="bottom"/>
            <w:gridSpan w:val="9"/>
          </w:tcPr>
          <w:p>
            <w:pPr>
              <w:spacing w:after="0" w:line="196" w:lineRule="exact"/>
              <w:rPr>
                <w:rFonts w:ascii="Verdana" w:cs="Verdana" w:eastAsia="Verdana" w:hAnsi="Verdana"/>
                <w:sz w:val="18"/>
                <w:szCs w:val="18"/>
                <w:color w:val="0000FF"/>
              </w:rPr>
            </w:pPr>
            <w:hyperlink r:id="rId247">
              <w:r>
                <w:rPr>
                  <w:rFonts w:ascii="Verdana" w:cs="Verdana" w:eastAsia="Verdana" w:hAnsi="Verdana"/>
                  <w:sz w:val="18"/>
                  <w:szCs w:val="18"/>
                  <w:color w:val="0000FF"/>
                </w:rPr>
                <w:t xml:space="preserve">Trust,  Inc.,  and  Van  A.  Dukeman,  dated  </w:t>
              </w:r>
            </w:hyperlink>
            <w:r>
              <w:rPr>
                <w:rFonts w:ascii="Verdana" w:cs="Verdana" w:eastAsia="Verdana" w:hAnsi="Verdana"/>
                <w:sz w:val="18"/>
                <w:szCs w:val="18"/>
                <w:color w:val="000000"/>
              </w:rPr>
              <w:t>(000-30031)</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460" w:type="dxa"/>
            <w:vAlign w:val="bottom"/>
            <w:tcBorders>
              <w:top w:val="single" w:sz="8" w:color="0000FF"/>
            </w:tcBorders>
            <w:gridSpan w:val="7"/>
          </w:tcPr>
          <w:p>
            <w:pPr>
              <w:spacing w:after="0" w:line="196" w:lineRule="exact"/>
              <w:rPr>
                <w:rFonts w:ascii="Verdana" w:cs="Verdana" w:eastAsia="Verdana" w:hAnsi="Verdana"/>
                <w:sz w:val="18"/>
                <w:szCs w:val="18"/>
                <w:color w:val="0000FF"/>
              </w:rPr>
            </w:pPr>
            <w:hyperlink r:id="rId247">
              <w:r>
                <w:rPr>
                  <w:rFonts w:ascii="Verdana" w:cs="Verdana" w:eastAsia="Verdana" w:hAnsi="Verdana"/>
                  <w:sz w:val="18"/>
                  <w:szCs w:val="18"/>
                  <w:color w:val="0000FF"/>
                </w:rPr>
                <w:t>September 20, 2006</w:t>
              </w:r>
            </w:hyperlink>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507"/>
        </w:trPr>
        <w:tc>
          <w:tcPr>
            <w:tcW w:w="980" w:type="dxa"/>
            <w:vAlign w:val="bottom"/>
          </w:tcPr>
          <w:p>
            <w:pPr>
              <w:spacing w:after="0"/>
              <w:rPr>
                <w:sz w:val="20"/>
                <w:szCs w:val="20"/>
                <w:color w:val="auto"/>
              </w:rPr>
            </w:pPr>
            <w:r>
              <w:rPr>
                <w:rFonts w:ascii="Verdana" w:cs="Verdana" w:eastAsia="Verdana" w:hAnsi="Verdana"/>
                <w:sz w:val="18"/>
                <w:szCs w:val="18"/>
                <w:color w:val="auto"/>
              </w:rPr>
              <w:t>10.3†</w:t>
            </w:r>
          </w:p>
        </w:tc>
        <w:tc>
          <w:tcPr>
            <w:tcW w:w="4480" w:type="dxa"/>
            <w:vAlign w:val="bottom"/>
            <w:tcBorders>
              <w:bottom w:val="single" w:sz="8" w:color="0000FF"/>
            </w:tcBorders>
            <w:gridSpan w:val="8"/>
          </w:tcPr>
          <w:p>
            <w:pPr>
              <w:spacing w:after="0"/>
              <w:rPr>
                <w:rFonts w:ascii="Verdana" w:cs="Verdana" w:eastAsia="Verdana" w:hAnsi="Verdana"/>
                <w:sz w:val="18"/>
                <w:szCs w:val="18"/>
                <w:color w:val="0000FF"/>
              </w:rPr>
            </w:pPr>
            <w:hyperlink r:id="rId248">
              <w:r>
                <w:rPr>
                  <w:rFonts w:ascii="Verdana" w:cs="Verdana" w:eastAsia="Verdana" w:hAnsi="Verdana"/>
                  <w:sz w:val="18"/>
                  <w:szCs w:val="18"/>
                  <w:color w:val="0000FF"/>
                </w:rPr>
                <w:t>Van  A.  Dukeman  Addendum  to  Employment</w:t>
              </w:r>
            </w:hyperlink>
          </w:p>
        </w:tc>
        <w:tc>
          <w:tcPr>
            <w:tcW w:w="1600" w:type="dxa"/>
            <w:vAlign w:val="bottom"/>
          </w:tcPr>
          <w:p>
            <w:pPr>
              <w:ind w:left="500"/>
              <w:spacing w:after="0"/>
              <w:rPr>
                <w:sz w:val="20"/>
                <w:szCs w:val="20"/>
                <w:color w:val="auto"/>
              </w:rPr>
            </w:pPr>
            <w:r>
              <w:rPr>
                <w:rFonts w:ascii="Verdana" w:cs="Verdana" w:eastAsia="Verdana" w:hAnsi="Verdana"/>
                <w:sz w:val="18"/>
                <w:szCs w:val="18"/>
                <w:color w:val="auto"/>
              </w:rPr>
              <w:t>BUSE</w:t>
            </w:r>
          </w:p>
        </w:tc>
        <w:tc>
          <w:tcPr>
            <w:tcW w:w="1020" w:type="dxa"/>
            <w:vAlign w:val="bottom"/>
          </w:tcPr>
          <w:p>
            <w:pPr>
              <w:jc w:val="center"/>
              <w:ind w:right="70"/>
              <w:spacing w:after="0"/>
              <w:rPr>
                <w:sz w:val="20"/>
                <w:szCs w:val="20"/>
                <w:color w:val="auto"/>
              </w:rPr>
            </w:pPr>
            <w:r>
              <w:rPr>
                <w:rFonts w:ascii="Verdana" w:cs="Verdana" w:eastAsia="Verdana" w:hAnsi="Verdana"/>
                <w:sz w:val="18"/>
                <w:szCs w:val="18"/>
                <w:color w:val="auto"/>
              </w:rPr>
              <w:t>10-Q</w:t>
            </w:r>
          </w:p>
        </w:tc>
        <w:tc>
          <w:tcPr>
            <w:tcW w:w="980" w:type="dxa"/>
            <w:vAlign w:val="bottom"/>
          </w:tcPr>
          <w:p>
            <w:pPr>
              <w:jc w:val="center"/>
              <w:ind w:left="50"/>
              <w:spacing w:after="0"/>
              <w:rPr>
                <w:sz w:val="20"/>
                <w:szCs w:val="20"/>
                <w:color w:val="auto"/>
              </w:rPr>
            </w:pPr>
            <w:r>
              <w:rPr>
                <w:rFonts w:ascii="Verdana" w:cs="Verdana" w:eastAsia="Verdana" w:hAnsi="Verdana"/>
                <w:sz w:val="18"/>
                <w:szCs w:val="18"/>
                <w:color w:val="auto"/>
                <w:w w:val="97"/>
              </w:rPr>
              <w:t>10.1</w:t>
            </w:r>
          </w:p>
        </w:tc>
        <w:tc>
          <w:tcPr>
            <w:tcW w:w="1840" w:type="dxa"/>
            <w:vAlign w:val="bottom"/>
          </w:tcPr>
          <w:p>
            <w:pPr>
              <w:jc w:val="right"/>
              <w:ind w:right="450"/>
              <w:spacing w:after="0"/>
              <w:rPr>
                <w:sz w:val="20"/>
                <w:szCs w:val="20"/>
                <w:color w:val="auto"/>
              </w:rPr>
            </w:pPr>
            <w:r>
              <w:rPr>
                <w:rFonts w:ascii="Verdana" w:cs="Verdana" w:eastAsia="Verdana" w:hAnsi="Verdana"/>
                <w:sz w:val="18"/>
                <w:szCs w:val="18"/>
                <w:color w:val="auto"/>
              </w:rPr>
              <w:t>05/13/2010</w:t>
            </w:r>
          </w:p>
        </w:tc>
      </w:tr>
      <w:tr>
        <w:trPr>
          <w:trHeight w:val="196"/>
        </w:trPr>
        <w:tc>
          <w:tcPr>
            <w:tcW w:w="980" w:type="dxa"/>
            <w:vAlign w:val="bottom"/>
          </w:tcPr>
          <w:p>
            <w:pPr>
              <w:spacing w:after="0"/>
              <w:rPr>
                <w:sz w:val="17"/>
                <w:szCs w:val="17"/>
                <w:color w:val="auto"/>
              </w:rPr>
            </w:pPr>
          </w:p>
        </w:tc>
        <w:tc>
          <w:tcPr>
            <w:tcW w:w="1000" w:type="dxa"/>
            <w:vAlign w:val="bottom"/>
            <w:tcBorders>
              <w:bottom w:val="single" w:sz="8" w:color="0000FF"/>
            </w:tcBorders>
          </w:tcPr>
          <w:p>
            <w:pPr>
              <w:spacing w:after="0" w:line="196" w:lineRule="exact"/>
              <w:rPr>
                <w:rFonts w:ascii="Verdana" w:cs="Verdana" w:eastAsia="Verdana" w:hAnsi="Verdana"/>
                <w:sz w:val="18"/>
                <w:szCs w:val="18"/>
                <w:color w:val="0000FF"/>
                <w:w w:val="98"/>
              </w:rPr>
            </w:pPr>
            <w:hyperlink r:id="rId248">
              <w:r>
                <w:rPr>
                  <w:rFonts w:ascii="Verdana" w:cs="Verdana" w:eastAsia="Verdana" w:hAnsi="Verdana"/>
                  <w:sz w:val="18"/>
                  <w:szCs w:val="18"/>
                  <w:color w:val="0000FF"/>
                  <w:w w:val="98"/>
                </w:rPr>
                <w:t>Agreement</w:t>
              </w:r>
            </w:hyperlink>
          </w:p>
        </w:tc>
        <w:tc>
          <w:tcPr>
            <w:tcW w:w="3480" w:type="dxa"/>
            <w:vAlign w:val="bottom"/>
            <w:gridSpan w:val="7"/>
          </w:tcPr>
          <w:p>
            <w:pPr>
              <w:spacing w:after="0"/>
              <w:rPr>
                <w:sz w:val="17"/>
                <w:szCs w:val="17"/>
                <w:color w:val="auto"/>
              </w:rPr>
            </w:pPr>
          </w:p>
        </w:tc>
        <w:tc>
          <w:tcPr>
            <w:tcW w:w="1600" w:type="dxa"/>
            <w:vAlign w:val="bottom"/>
          </w:tcPr>
          <w:p>
            <w:pPr>
              <w:jc w:val="center"/>
              <w:ind w:right="10"/>
              <w:spacing w:after="0" w:line="196" w:lineRule="exact"/>
              <w:rPr>
                <w:sz w:val="20"/>
                <w:szCs w:val="20"/>
                <w:color w:val="auto"/>
              </w:rPr>
            </w:pPr>
            <w:r>
              <w:rPr>
                <w:rFonts w:ascii="Verdana" w:cs="Verdana" w:eastAsia="Verdana" w:hAnsi="Verdana"/>
                <w:sz w:val="18"/>
                <w:szCs w:val="18"/>
                <w:color w:val="auto"/>
              </w:rPr>
              <w:t>(0-15950)</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18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3" w:name="page184"/>
    <w:bookmarkEnd w:id="18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Borders>
              <w:bottom w:val="single" w:sz="8" w:color="auto"/>
            </w:tcBorders>
            <w:gridSpan w:val="6"/>
          </w:tcPr>
          <w:p>
            <w:pPr>
              <w:ind w:left="1240"/>
              <w:spacing w:after="0"/>
              <w:rPr>
                <w:sz w:val="20"/>
                <w:szCs w:val="20"/>
                <w:color w:val="auto"/>
              </w:rPr>
            </w:pPr>
            <w:r>
              <w:rPr>
                <w:rFonts w:ascii="Verdana" w:cs="Verdana" w:eastAsia="Verdana" w:hAnsi="Verdana"/>
                <w:sz w:val="13"/>
                <w:szCs w:val="13"/>
                <w:b w:val="1"/>
                <w:bCs w:val="1"/>
                <w:color w:val="auto"/>
              </w:rPr>
              <w:t>Incorporated herein by reference</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80" w:type="dxa"/>
            <w:vAlign w:val="bottom"/>
            <w:gridSpan w:val="2"/>
          </w:tcPr>
          <w:p>
            <w:pPr>
              <w:ind w:left="200"/>
              <w:spacing w:after="0" w:line="122" w:lineRule="exact"/>
              <w:rPr>
                <w:sz w:val="20"/>
                <w:szCs w:val="20"/>
                <w:color w:val="auto"/>
              </w:rPr>
            </w:pPr>
            <w:r>
              <w:rPr>
                <w:rFonts w:ascii="Verdana" w:cs="Verdana" w:eastAsia="Verdana" w:hAnsi="Verdana"/>
                <w:sz w:val="13"/>
                <w:szCs w:val="13"/>
                <w:b w:val="1"/>
                <w:bCs w:val="1"/>
                <w:color w:val="auto"/>
              </w:rPr>
              <w:t>Exhibit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60" w:type="dxa"/>
            <w:vAlign w:val="bottom"/>
            <w:gridSpan w:val="10"/>
            <w:vMerge w:val="restart"/>
          </w:tcPr>
          <w:p>
            <w:pPr>
              <w:ind w:left="1000"/>
              <w:spacing w:after="0"/>
              <w:rPr>
                <w:sz w:val="20"/>
                <w:szCs w:val="20"/>
                <w:color w:val="auto"/>
              </w:rPr>
            </w:pPr>
            <w:r>
              <w:rPr>
                <w:rFonts w:ascii="Verdana" w:cs="Verdana" w:eastAsia="Verdana" w:hAnsi="Verdana"/>
                <w:sz w:val="13"/>
                <w:szCs w:val="13"/>
                <w:b w:val="1"/>
                <w:bCs w:val="1"/>
                <w:color w:val="auto"/>
              </w:rPr>
              <w:t>Description of Exhibit</w:t>
            </w:r>
          </w:p>
        </w:tc>
        <w:tc>
          <w:tcPr>
            <w:tcW w:w="40" w:type="dxa"/>
            <w:vAlign w:val="bottom"/>
            <w:vMerge w:val="restart"/>
          </w:tcPr>
          <w:p>
            <w:pPr>
              <w:spacing w:after="0"/>
              <w:rPr>
                <w:sz w:val="10"/>
                <w:szCs w:val="10"/>
                <w:color w:val="auto"/>
              </w:rPr>
            </w:pPr>
          </w:p>
        </w:tc>
        <w:tc>
          <w:tcPr>
            <w:tcW w:w="1400" w:type="dxa"/>
            <w:vAlign w:val="bottom"/>
            <w:gridSpan w:val="2"/>
          </w:tcPr>
          <w:p>
            <w:pPr>
              <w:jc w:val="center"/>
              <w:ind w:right="80"/>
              <w:spacing w:after="0" w:line="122" w:lineRule="exact"/>
              <w:rPr>
                <w:sz w:val="20"/>
                <w:szCs w:val="20"/>
                <w:color w:val="auto"/>
              </w:rPr>
            </w:pPr>
            <w:r>
              <w:rPr>
                <w:rFonts w:ascii="Verdana" w:cs="Verdana" w:eastAsia="Verdana" w:hAnsi="Verdana"/>
                <w:sz w:val="10"/>
                <w:szCs w:val="10"/>
                <w:b w:val="1"/>
                <w:bCs w:val="1"/>
                <w:color w:val="auto"/>
              </w:rPr>
              <w:t>Filing Entity</w:t>
            </w:r>
            <w:r>
              <w:rPr>
                <w:rFonts w:ascii="Verdana" w:cs="Verdana" w:eastAsia="Verdana" w:hAnsi="Verdana"/>
                <w:sz w:val="13"/>
                <w:szCs w:val="13"/>
                <w:b w:val="1"/>
                <w:bCs w:val="1"/>
                <w:color w:val="auto"/>
                <w:vertAlign w:val="superscript"/>
              </w:rPr>
              <w:t>1</w:t>
            </w:r>
          </w:p>
        </w:tc>
        <w:tc>
          <w:tcPr>
            <w:tcW w:w="1060" w:type="dxa"/>
            <w:vAlign w:val="bottom"/>
            <w:vMerge w:val="restart"/>
          </w:tcPr>
          <w:p>
            <w:pPr>
              <w:jc w:val="center"/>
              <w:spacing w:after="0"/>
              <w:rPr>
                <w:sz w:val="20"/>
                <w:szCs w:val="20"/>
                <w:color w:val="auto"/>
              </w:rPr>
            </w:pPr>
            <w:r>
              <w:rPr>
                <w:rFonts w:ascii="Verdana" w:cs="Verdana" w:eastAsia="Verdana" w:hAnsi="Verdana"/>
                <w:sz w:val="13"/>
                <w:szCs w:val="13"/>
                <w:b w:val="1"/>
                <w:bCs w:val="1"/>
                <w:color w:val="auto"/>
                <w:w w:val="95"/>
              </w:rPr>
              <w:t>Form</w:t>
            </w:r>
          </w:p>
        </w:tc>
        <w:tc>
          <w:tcPr>
            <w:tcW w:w="80" w:type="dxa"/>
            <w:vAlign w:val="bottom"/>
            <w:vMerge w:val="restart"/>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Verdana" w:cs="Verdana" w:eastAsia="Verdana" w:hAnsi="Verdana"/>
                <w:sz w:val="13"/>
                <w:szCs w:val="13"/>
                <w:b w:val="1"/>
                <w:bCs w:val="1"/>
                <w:color w:val="auto"/>
                <w:w w:val="98"/>
              </w:rPr>
              <w:t>Exhibit</w:t>
            </w:r>
          </w:p>
        </w:tc>
        <w:tc>
          <w:tcPr>
            <w:tcW w:w="80" w:type="dxa"/>
            <w:vAlign w:val="bottom"/>
            <w:vMerge w:val="restart"/>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ind w:left="220"/>
              <w:spacing w:after="0" w:line="122" w:lineRule="exact"/>
              <w:rPr>
                <w:sz w:val="20"/>
                <w:szCs w:val="20"/>
                <w:color w:val="auto"/>
              </w:rPr>
            </w:pPr>
            <w:r>
              <w:rPr>
                <w:rFonts w:ascii="Verdana" w:cs="Verdana" w:eastAsia="Verdana" w:hAnsi="Verdana"/>
                <w:sz w:val="13"/>
                <w:szCs w:val="13"/>
                <w:b w:val="1"/>
                <w:bCs w:val="1"/>
                <w:color w:val="auto"/>
              </w:rPr>
              <w:t>Filed</w:t>
            </w:r>
          </w:p>
        </w:tc>
        <w:tc>
          <w:tcPr>
            <w:tcW w:w="0" w:type="dxa"/>
            <w:vAlign w:val="bottom"/>
          </w:tcPr>
          <w:p>
            <w:pPr>
              <w:spacing w:after="0"/>
              <w:rPr>
                <w:sz w:val="1"/>
                <w:szCs w:val="1"/>
                <w:color w:val="auto"/>
              </w:rPr>
            </w:pPr>
          </w:p>
        </w:tc>
      </w:tr>
      <w:tr>
        <w:trPr>
          <w:trHeight w:val="170"/>
        </w:trPr>
        <w:tc>
          <w:tcPr>
            <w:tcW w:w="900" w:type="dxa"/>
            <w:vAlign w:val="bottom"/>
          </w:tcPr>
          <w:p>
            <w:pPr>
              <w:ind w:left="180"/>
              <w:spacing w:after="0"/>
              <w:rPr>
                <w:sz w:val="20"/>
                <w:szCs w:val="20"/>
                <w:color w:val="auto"/>
              </w:rPr>
            </w:pPr>
            <w:r>
              <w:rPr>
                <w:rFonts w:ascii="Verdana" w:cs="Verdana" w:eastAsia="Verdana" w:hAnsi="Verdana"/>
                <w:sz w:val="13"/>
                <w:szCs w:val="13"/>
                <w:b w:val="1"/>
                <w:bCs w:val="1"/>
                <w:color w:val="auto"/>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60" w:type="dxa"/>
            <w:vAlign w:val="bottom"/>
            <w:gridSpan w:val="10"/>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Verdana" w:cs="Verdana" w:eastAsia="Verdana" w:hAnsi="Verdana"/>
                <w:sz w:val="13"/>
                <w:szCs w:val="13"/>
                <w:b w:val="1"/>
                <w:bCs w:val="1"/>
                <w:color w:val="auto"/>
                <w:w w:val="98"/>
              </w:rPr>
              <w:t>(File No.)</w:t>
            </w: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960" w:type="dxa"/>
            <w:vAlign w:val="bottom"/>
            <w:gridSpan w:val="3"/>
          </w:tcPr>
          <w:p>
            <w:pPr>
              <w:ind w:left="180"/>
              <w:spacing w:after="0"/>
              <w:rPr>
                <w:sz w:val="20"/>
                <w:szCs w:val="20"/>
                <w:color w:val="auto"/>
              </w:rPr>
            </w:pPr>
            <w:r>
              <w:rPr>
                <w:rFonts w:ascii="Verdana" w:cs="Verdana" w:eastAsia="Verdana" w:hAnsi="Verdana"/>
                <w:sz w:val="13"/>
                <w:szCs w:val="13"/>
                <w:b w:val="1"/>
                <w:bCs w:val="1"/>
                <w:color w:val="auto"/>
                <w:w w:val="95"/>
              </w:rPr>
              <w:t>Filing DateHerewith</w:t>
            </w:r>
          </w:p>
        </w:tc>
        <w:tc>
          <w:tcPr>
            <w:tcW w:w="0" w:type="dxa"/>
            <w:vAlign w:val="bottom"/>
          </w:tcPr>
          <w:p>
            <w:pPr>
              <w:spacing w:after="0"/>
              <w:rPr>
                <w:sz w:val="1"/>
                <w:szCs w:val="1"/>
                <w:color w:val="auto"/>
              </w:rPr>
            </w:pPr>
          </w:p>
        </w:tc>
      </w:tr>
      <w:tr>
        <w:trPr>
          <w:trHeight w:val="458"/>
        </w:trPr>
        <w:tc>
          <w:tcPr>
            <w:tcW w:w="900" w:type="dxa"/>
            <w:vAlign w:val="bottom"/>
            <w:tcBorders>
              <w:top w:val="single" w:sz="8" w:color="auto"/>
            </w:tcBorders>
          </w:tcPr>
          <w:p>
            <w:pPr>
              <w:ind w:left="20"/>
              <w:spacing w:after="0"/>
              <w:rPr>
                <w:sz w:val="20"/>
                <w:szCs w:val="20"/>
                <w:color w:val="auto"/>
              </w:rPr>
            </w:pPr>
            <w:r>
              <w:rPr>
                <w:rFonts w:ascii="Verdana" w:cs="Verdana" w:eastAsia="Verdana" w:hAnsi="Verdana"/>
                <w:sz w:val="18"/>
                <w:szCs w:val="18"/>
                <w:color w:val="auto"/>
              </w:rPr>
              <w:t>10.4†</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60" w:type="dxa"/>
            <w:vAlign w:val="bottom"/>
            <w:tcBorders>
              <w:top w:val="single" w:sz="8" w:color="auto"/>
              <w:bottom w:val="single" w:sz="8" w:color="0000FF"/>
            </w:tcBorders>
            <w:gridSpan w:val="9"/>
          </w:tcPr>
          <w:p>
            <w:pPr>
              <w:spacing w:after="0"/>
              <w:rPr>
                <w:rFonts w:ascii="Verdana" w:cs="Verdana" w:eastAsia="Verdana" w:hAnsi="Verdana"/>
                <w:sz w:val="18"/>
                <w:szCs w:val="18"/>
                <w:color w:val="0000FF"/>
              </w:rPr>
            </w:pPr>
            <w:hyperlink r:id="rId250">
              <w:r>
                <w:rPr>
                  <w:rFonts w:ascii="Verdana" w:cs="Verdana" w:eastAsia="Verdana" w:hAnsi="Verdana"/>
                  <w:sz w:val="18"/>
                  <w:szCs w:val="18"/>
                  <w:color w:val="0000FF"/>
                </w:rPr>
                <w:t>Van   A.   Dukeman   First   Amendment   to</w:t>
              </w:r>
            </w:hyperlink>
          </w:p>
        </w:tc>
        <w:tc>
          <w:tcPr>
            <w:tcW w:w="60" w:type="dxa"/>
            <w:vAlign w:val="bottom"/>
            <w:tcBorders>
              <w:top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Verdana" w:cs="Verdana" w:eastAsia="Verdana" w:hAnsi="Verdana"/>
                <w:sz w:val="18"/>
                <w:szCs w:val="18"/>
                <w:color w:val="auto"/>
                <w:w w:val="97"/>
              </w:rPr>
              <w:t>BUSE</w:t>
            </w:r>
          </w:p>
        </w:tc>
        <w:tc>
          <w:tcPr>
            <w:tcW w:w="8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Verdana" w:cs="Verdana" w:eastAsia="Verdana" w:hAnsi="Verdana"/>
                <w:sz w:val="18"/>
                <w:szCs w:val="18"/>
                <w:color w:val="auto"/>
              </w:rPr>
              <w:t>10-Q</w:t>
            </w:r>
          </w:p>
        </w:tc>
        <w:tc>
          <w:tcPr>
            <w:tcW w:w="80" w:type="dxa"/>
            <w:vAlign w:val="bottom"/>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Verdana" w:cs="Verdana" w:eastAsia="Verdana" w:hAnsi="Verdana"/>
                <w:sz w:val="18"/>
                <w:szCs w:val="18"/>
                <w:color w:val="auto"/>
                <w:w w:val="97"/>
              </w:rPr>
              <w:t>10.1</w:t>
            </w:r>
          </w:p>
        </w:tc>
        <w:tc>
          <w:tcPr>
            <w:tcW w:w="8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Verdana" w:cs="Verdana" w:eastAsia="Verdana" w:hAnsi="Verdana"/>
                <w:sz w:val="18"/>
                <w:szCs w:val="18"/>
                <w:color w:val="auto"/>
                <w:w w:val="99"/>
              </w:rPr>
              <w:t>05/08/2012</w:t>
            </w:r>
          </w:p>
        </w:tc>
        <w:tc>
          <w:tcPr>
            <w:tcW w:w="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13"/>
          </w:tcPr>
          <w:p>
            <w:pPr>
              <w:spacing w:after="0" w:line="196" w:lineRule="exact"/>
              <w:rPr>
                <w:rFonts w:ascii="Verdana" w:cs="Verdana" w:eastAsia="Verdana" w:hAnsi="Verdana"/>
                <w:sz w:val="18"/>
                <w:szCs w:val="18"/>
                <w:color w:val="0000FF"/>
              </w:rPr>
            </w:pPr>
            <w:hyperlink r:id="rId250">
              <w:r>
                <w:rPr>
                  <w:rFonts w:ascii="Verdana" w:cs="Verdana" w:eastAsia="Verdana" w:hAnsi="Verdana"/>
                  <w:sz w:val="18"/>
                  <w:szCs w:val="18"/>
                  <w:color w:val="0000FF"/>
                </w:rPr>
                <w:t>Employment Agreement, dated December 31,</w:t>
              </w:r>
            </w:hyperlink>
          </w:p>
        </w:tc>
        <w:tc>
          <w:tcPr>
            <w:tcW w:w="1320" w:type="dxa"/>
            <w:vAlign w:val="bottom"/>
          </w:tcPr>
          <w:p>
            <w:pPr>
              <w:jc w:val="center"/>
              <w:spacing w:after="0" w:line="196" w:lineRule="exact"/>
              <w:rPr>
                <w:sz w:val="20"/>
                <w:szCs w:val="20"/>
                <w:color w:val="auto"/>
              </w:rPr>
            </w:pPr>
            <w:r>
              <w:rPr>
                <w:rFonts w:ascii="Verdana" w:cs="Verdana" w:eastAsia="Verdana" w:hAnsi="Verdana"/>
                <w:sz w:val="18"/>
                <w:szCs w:val="18"/>
                <w:color w:val="auto"/>
                <w:w w:val="98"/>
              </w:rPr>
              <w:t>(0-15950)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4"/>
          </w:tcPr>
          <w:p>
            <w:pPr>
              <w:ind w:left="20"/>
              <w:spacing w:after="0" w:line="196" w:lineRule="exact"/>
              <w:rPr>
                <w:rFonts w:ascii="Verdana" w:cs="Verdana" w:eastAsia="Verdana" w:hAnsi="Verdana"/>
                <w:sz w:val="18"/>
                <w:szCs w:val="18"/>
                <w:color w:val="0000FF"/>
              </w:rPr>
            </w:pPr>
            <w:hyperlink r:id="rId250">
              <w:r>
                <w:rPr>
                  <w:rFonts w:ascii="Verdana" w:cs="Verdana" w:eastAsia="Verdana" w:hAnsi="Verdana"/>
                  <w:sz w:val="18"/>
                  <w:szCs w:val="18"/>
                  <w:color w:val="0000FF"/>
                </w:rPr>
                <w:t>2008</w:t>
              </w:r>
            </w:hyperlink>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10.5†</w:t>
            </w:r>
          </w:p>
        </w:tc>
        <w:tc>
          <w:tcPr>
            <w:tcW w:w="20" w:type="dxa"/>
            <w:vAlign w:val="bottom"/>
          </w:tcPr>
          <w:p>
            <w:pPr>
              <w:spacing w:after="0"/>
              <w:rPr>
                <w:sz w:val="24"/>
                <w:szCs w:val="24"/>
                <w:color w:val="auto"/>
              </w:rPr>
            </w:pPr>
          </w:p>
        </w:tc>
        <w:tc>
          <w:tcPr>
            <w:tcW w:w="4480" w:type="dxa"/>
            <w:vAlign w:val="bottom"/>
            <w:tcBorders>
              <w:bottom w:val="single" w:sz="8" w:color="0000FF"/>
            </w:tcBorders>
            <w:gridSpan w:val="10"/>
          </w:tcPr>
          <w:p>
            <w:pPr>
              <w:spacing w:after="0"/>
              <w:rPr>
                <w:rFonts w:ascii="Verdana" w:cs="Verdana" w:eastAsia="Verdana" w:hAnsi="Verdana"/>
                <w:sz w:val="18"/>
                <w:szCs w:val="18"/>
                <w:color w:val="0000FF"/>
              </w:rPr>
            </w:pPr>
            <w:hyperlink r:id="rId251">
              <w:r>
                <w:rPr>
                  <w:rFonts w:ascii="Verdana" w:cs="Verdana" w:eastAsia="Verdana" w:hAnsi="Verdana"/>
                  <w:sz w:val="18"/>
                  <w:szCs w:val="18"/>
                  <w:color w:val="0000FF"/>
                </w:rPr>
                <w:t>First Busey Corporation 2010 Equity Incentive</w:t>
              </w:r>
            </w:hyperlink>
          </w:p>
        </w:tc>
        <w:tc>
          <w:tcPr>
            <w:tcW w:w="80" w:type="dxa"/>
            <w:vAlign w:val="bottom"/>
            <w:gridSpan w:val="3"/>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Verdana" w:cs="Verdana" w:eastAsia="Verdana" w:hAnsi="Verdana"/>
                <w:sz w:val="18"/>
                <w:szCs w:val="18"/>
                <w:color w:val="auto"/>
                <w:w w:val="97"/>
              </w:rPr>
              <w:t>BUSE</w:t>
            </w:r>
          </w:p>
        </w:tc>
        <w:tc>
          <w:tcPr>
            <w:tcW w:w="1140" w:type="dxa"/>
            <w:vAlign w:val="bottom"/>
            <w:gridSpan w:val="2"/>
          </w:tcPr>
          <w:p>
            <w:pPr>
              <w:jc w:val="center"/>
              <w:ind w:right="80"/>
              <w:spacing w:after="0"/>
              <w:rPr>
                <w:sz w:val="20"/>
                <w:szCs w:val="20"/>
                <w:color w:val="auto"/>
              </w:rPr>
            </w:pPr>
            <w:r>
              <w:rPr>
                <w:rFonts w:ascii="Verdana" w:cs="Verdana" w:eastAsia="Verdana" w:hAnsi="Verdana"/>
                <w:sz w:val="18"/>
                <w:szCs w:val="18"/>
                <w:color w:val="auto"/>
              </w:rPr>
              <w:t>DEF 14A</w:t>
            </w:r>
          </w:p>
        </w:tc>
        <w:tc>
          <w:tcPr>
            <w:tcW w:w="1180" w:type="dxa"/>
            <w:vAlign w:val="bottom"/>
            <w:gridSpan w:val="2"/>
          </w:tcPr>
          <w:p>
            <w:pPr>
              <w:jc w:val="center"/>
              <w:ind w:right="80"/>
              <w:spacing w:after="0"/>
              <w:rPr>
                <w:sz w:val="20"/>
                <w:szCs w:val="20"/>
                <w:color w:val="auto"/>
              </w:rPr>
            </w:pPr>
            <w:r>
              <w:rPr>
                <w:rFonts w:ascii="Verdana" w:cs="Verdana" w:eastAsia="Verdana" w:hAnsi="Verdana"/>
                <w:sz w:val="18"/>
                <w:szCs w:val="18"/>
                <w:color w:val="auto"/>
                <w:w w:val="99"/>
              </w:rPr>
              <w:t>Appendix C</w:t>
            </w: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04/17/2015</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13"/>
          </w:tcPr>
          <w:p>
            <w:pPr>
              <w:spacing w:after="0" w:line="196" w:lineRule="exact"/>
              <w:rPr>
                <w:rFonts w:ascii="Verdana" w:cs="Verdana" w:eastAsia="Verdana" w:hAnsi="Verdana"/>
                <w:sz w:val="18"/>
                <w:szCs w:val="18"/>
                <w:color w:val="0000FF"/>
              </w:rPr>
            </w:pPr>
            <w:hyperlink r:id="rId251">
              <w:r>
                <w:rPr>
                  <w:rFonts w:ascii="Verdana" w:cs="Verdana" w:eastAsia="Verdana" w:hAnsi="Verdana"/>
                  <w:sz w:val="18"/>
                  <w:szCs w:val="18"/>
                  <w:color w:val="0000FF"/>
                </w:rPr>
                <w:t>Plan, as amended</w:t>
              </w:r>
            </w:hyperlink>
          </w:p>
        </w:tc>
        <w:tc>
          <w:tcPr>
            <w:tcW w:w="1320" w:type="dxa"/>
            <w:vAlign w:val="bottom"/>
          </w:tcPr>
          <w:p>
            <w:pPr>
              <w:jc w:val="center"/>
              <w:spacing w:after="0" w:line="196" w:lineRule="exact"/>
              <w:rPr>
                <w:sz w:val="20"/>
                <w:szCs w:val="20"/>
                <w:color w:val="auto"/>
              </w:rPr>
            </w:pPr>
            <w:r>
              <w:rPr>
                <w:rFonts w:ascii="Verdana" w:cs="Verdana" w:eastAsia="Verdana" w:hAnsi="Verdana"/>
                <w:sz w:val="18"/>
                <w:szCs w:val="18"/>
                <w:color w:val="auto"/>
                <w:w w:val="98"/>
              </w:rPr>
              <w:t>(0-15950)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10.6†</w:t>
            </w:r>
          </w:p>
        </w:tc>
        <w:tc>
          <w:tcPr>
            <w:tcW w:w="20" w:type="dxa"/>
            <w:vAlign w:val="bottom"/>
          </w:tcPr>
          <w:p>
            <w:pPr>
              <w:spacing w:after="0"/>
              <w:rPr>
                <w:sz w:val="24"/>
                <w:szCs w:val="24"/>
                <w:color w:val="auto"/>
              </w:rPr>
            </w:pPr>
          </w:p>
        </w:tc>
        <w:tc>
          <w:tcPr>
            <w:tcW w:w="4560" w:type="dxa"/>
            <w:vAlign w:val="bottom"/>
            <w:gridSpan w:val="13"/>
          </w:tcPr>
          <w:p>
            <w:pPr>
              <w:spacing w:after="0"/>
              <w:rPr>
                <w:rFonts w:ascii="Verdana" w:cs="Verdana" w:eastAsia="Verdana" w:hAnsi="Verdana"/>
                <w:sz w:val="18"/>
                <w:szCs w:val="18"/>
                <w:color w:val="0000FF"/>
              </w:rPr>
            </w:pPr>
            <w:hyperlink r:id="rId252">
              <w:r>
                <w:rPr>
                  <w:rFonts w:ascii="Verdana" w:cs="Verdana" w:eastAsia="Verdana" w:hAnsi="Verdana"/>
                  <w:sz w:val="18"/>
                  <w:szCs w:val="18"/>
                  <w:color w:val="0000FF"/>
                </w:rPr>
                <w:t>Form of Restricted Stock Unit Award Agreement</w:t>
              </w:r>
            </w:hyperlink>
          </w:p>
        </w:tc>
        <w:tc>
          <w:tcPr>
            <w:tcW w:w="1400" w:type="dxa"/>
            <w:vAlign w:val="bottom"/>
            <w:gridSpan w:val="2"/>
          </w:tcPr>
          <w:p>
            <w:pPr>
              <w:jc w:val="center"/>
              <w:ind w:right="80"/>
              <w:spacing w:after="0"/>
              <w:rPr>
                <w:sz w:val="20"/>
                <w:szCs w:val="20"/>
                <w:color w:val="auto"/>
              </w:rPr>
            </w:pPr>
            <w:r>
              <w:rPr>
                <w:rFonts w:ascii="Verdana" w:cs="Verdana" w:eastAsia="Verdana" w:hAnsi="Verdana"/>
                <w:sz w:val="18"/>
                <w:szCs w:val="18"/>
                <w:color w:val="auto"/>
                <w:w w:val="97"/>
              </w:rPr>
              <w:t>BUSE</w:t>
            </w: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rPr>
              <w:t>10-K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9"/>
              </w:rPr>
              <w:t>10.27</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02/28/2018</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11"/>
          </w:tcPr>
          <w:p>
            <w:pPr>
              <w:spacing w:after="0" w:line="196" w:lineRule="exact"/>
              <w:rPr>
                <w:rFonts w:ascii="Verdana" w:cs="Verdana" w:eastAsia="Verdana" w:hAnsi="Verdana"/>
                <w:sz w:val="18"/>
                <w:szCs w:val="18"/>
                <w:color w:val="0000FF"/>
              </w:rPr>
            </w:pPr>
            <w:hyperlink r:id="rId252">
              <w:r>
                <w:rPr>
                  <w:rFonts w:ascii="Verdana" w:cs="Verdana" w:eastAsia="Verdana" w:hAnsi="Verdana"/>
                  <w:sz w:val="18"/>
                  <w:szCs w:val="18"/>
                  <w:color w:val="0000FF"/>
                </w:rPr>
                <w:t>under the First Busey Corporation 2010 Equity</w:t>
              </w:r>
            </w:hyperlink>
          </w:p>
        </w:tc>
        <w:tc>
          <w:tcPr>
            <w:tcW w:w="60" w:type="dxa"/>
            <w:vAlign w:val="bottom"/>
            <w:gridSpan w:val="2"/>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Verdana" w:cs="Verdana" w:eastAsia="Verdana" w:hAnsi="Verdana"/>
                <w:sz w:val="18"/>
                <w:szCs w:val="18"/>
                <w:color w:val="auto"/>
                <w:w w:val="98"/>
              </w:rPr>
              <w:t>(0-15950)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13"/>
          </w:tcPr>
          <w:p>
            <w:pPr>
              <w:spacing w:after="0" w:line="196" w:lineRule="exact"/>
              <w:rPr>
                <w:rFonts w:ascii="Verdana" w:cs="Verdana" w:eastAsia="Verdana" w:hAnsi="Verdana"/>
                <w:sz w:val="18"/>
                <w:szCs w:val="18"/>
                <w:color w:val="0000FF"/>
              </w:rPr>
            </w:pPr>
            <w:hyperlink r:id="rId252">
              <w:r>
                <w:rPr>
                  <w:rFonts w:ascii="Verdana" w:cs="Verdana" w:eastAsia="Verdana" w:hAnsi="Verdana"/>
                  <w:sz w:val="18"/>
                  <w:szCs w:val="18"/>
                  <w:color w:val="0000FF"/>
                </w:rPr>
                <w:t>Incentive Plan, as amended</w:t>
              </w:r>
            </w:hyperlink>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10.7†</w:t>
            </w:r>
          </w:p>
        </w:tc>
        <w:tc>
          <w:tcPr>
            <w:tcW w:w="20" w:type="dxa"/>
            <w:vAlign w:val="bottom"/>
          </w:tcPr>
          <w:p>
            <w:pPr>
              <w:spacing w:after="0"/>
              <w:rPr>
                <w:sz w:val="24"/>
                <w:szCs w:val="24"/>
                <w:color w:val="auto"/>
              </w:rPr>
            </w:pPr>
          </w:p>
        </w:tc>
        <w:tc>
          <w:tcPr>
            <w:tcW w:w="4460" w:type="dxa"/>
            <w:vAlign w:val="bottom"/>
            <w:tcBorders>
              <w:bottom w:val="single" w:sz="8" w:color="0000FF"/>
            </w:tcBorders>
            <w:gridSpan w:val="9"/>
          </w:tcPr>
          <w:p>
            <w:pPr>
              <w:spacing w:after="0"/>
              <w:rPr>
                <w:rFonts w:ascii="Verdana" w:cs="Verdana" w:eastAsia="Verdana" w:hAnsi="Verdana"/>
                <w:sz w:val="18"/>
                <w:szCs w:val="18"/>
                <w:color w:val="0000FF"/>
              </w:rPr>
            </w:pPr>
            <w:hyperlink r:id="rId253">
              <w:r>
                <w:rPr>
                  <w:rFonts w:ascii="Verdana" w:cs="Verdana" w:eastAsia="Verdana" w:hAnsi="Verdana"/>
                  <w:sz w:val="18"/>
                  <w:szCs w:val="18"/>
                  <w:color w:val="0000FF"/>
                </w:rPr>
                <w:t>First   Community   Financial   Partners,   Inc.</w:t>
              </w:r>
            </w:hyperlink>
          </w:p>
        </w:tc>
        <w:tc>
          <w:tcPr>
            <w:tcW w:w="100" w:type="dxa"/>
            <w:vAlign w:val="bottom"/>
            <w:gridSpan w:val="4"/>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Verdana" w:cs="Verdana" w:eastAsia="Verdana" w:hAnsi="Verdana"/>
                <w:sz w:val="18"/>
                <w:szCs w:val="18"/>
                <w:color w:val="auto"/>
                <w:w w:val="99"/>
              </w:rPr>
              <w:t>FCFP</w:t>
            </w: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S-4</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9"/>
              </w:rPr>
              <w:t>10.11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11/19/2012</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gridSpan w:val="15"/>
          </w:tcPr>
          <w:p>
            <w:pPr>
              <w:spacing w:after="0" w:line="196" w:lineRule="exact"/>
              <w:rPr>
                <w:rFonts w:ascii="Verdana" w:cs="Verdana" w:eastAsia="Verdana" w:hAnsi="Verdana"/>
                <w:sz w:val="18"/>
                <w:szCs w:val="18"/>
                <w:color w:val="0000FF"/>
              </w:rPr>
            </w:pPr>
            <w:hyperlink r:id="rId253">
              <w:r>
                <w:rPr>
                  <w:rFonts w:ascii="Verdana" w:cs="Verdana" w:eastAsia="Verdana" w:hAnsi="Verdana"/>
                  <w:sz w:val="18"/>
                  <w:szCs w:val="18"/>
                  <w:color w:val="0000FF"/>
                </w:rPr>
                <w:t xml:space="preserve">Amended and Restated 2008 Equity Incentive </w:t>
              </w:r>
            </w:hyperlink>
            <w:r>
              <w:rPr>
                <w:rFonts w:ascii="Verdana" w:cs="Verdana" w:eastAsia="Verdana" w:hAnsi="Verdana"/>
                <w:sz w:val="18"/>
                <w:szCs w:val="18"/>
                <w:color w:val="000000"/>
              </w:rPr>
              <w:t>(333-185041)</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0000FF"/>
              <w:bottom w:val="single" w:sz="8" w:color="0000FF"/>
            </w:tcBorders>
          </w:tcPr>
          <w:p>
            <w:pPr>
              <w:spacing w:after="0" w:line="196" w:lineRule="exact"/>
              <w:rPr>
                <w:rFonts w:ascii="Verdana" w:cs="Verdana" w:eastAsia="Verdana" w:hAnsi="Verdana"/>
                <w:sz w:val="18"/>
                <w:szCs w:val="18"/>
                <w:color w:val="0000FF"/>
                <w:w w:val="94"/>
              </w:rPr>
            </w:pPr>
            <w:hyperlink r:id="rId253">
              <w:r>
                <w:rPr>
                  <w:rFonts w:ascii="Verdana" w:cs="Verdana" w:eastAsia="Verdana" w:hAnsi="Verdana"/>
                  <w:sz w:val="18"/>
                  <w:szCs w:val="18"/>
                  <w:color w:val="0000FF"/>
                  <w:w w:val="94"/>
                </w:rPr>
                <w:t>Plan</w:t>
              </w:r>
            </w:hyperlink>
          </w:p>
        </w:tc>
        <w:tc>
          <w:tcPr>
            <w:tcW w:w="4060" w:type="dxa"/>
            <w:vAlign w:val="bottom"/>
            <w:tcBorders>
              <w:top w:val="single" w:sz="8" w:color="0000FF"/>
            </w:tcBorders>
            <w:gridSpan w:val="7"/>
          </w:tcPr>
          <w:p>
            <w:pPr>
              <w:spacing w:after="0"/>
              <w:rPr>
                <w:sz w:val="17"/>
                <w:szCs w:val="17"/>
                <w:color w:val="auto"/>
              </w:rPr>
            </w:pPr>
          </w:p>
        </w:tc>
        <w:tc>
          <w:tcPr>
            <w:tcW w:w="12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10.8†</w:t>
            </w:r>
          </w:p>
        </w:tc>
        <w:tc>
          <w:tcPr>
            <w:tcW w:w="20" w:type="dxa"/>
            <w:vAlign w:val="bottom"/>
          </w:tcPr>
          <w:p>
            <w:pPr>
              <w:spacing w:after="0"/>
              <w:rPr>
                <w:sz w:val="24"/>
                <w:szCs w:val="24"/>
                <w:color w:val="auto"/>
              </w:rPr>
            </w:pPr>
          </w:p>
        </w:tc>
        <w:tc>
          <w:tcPr>
            <w:tcW w:w="4560" w:type="dxa"/>
            <w:vAlign w:val="bottom"/>
            <w:gridSpan w:val="13"/>
          </w:tcPr>
          <w:p>
            <w:pPr>
              <w:spacing w:after="0"/>
              <w:rPr>
                <w:rFonts w:ascii="Verdana" w:cs="Verdana" w:eastAsia="Verdana" w:hAnsi="Verdana"/>
                <w:sz w:val="18"/>
                <w:szCs w:val="18"/>
                <w:color w:val="0000FF"/>
              </w:rPr>
            </w:pPr>
            <w:hyperlink r:id="rId254">
              <w:r>
                <w:rPr>
                  <w:rFonts w:ascii="Verdana" w:cs="Verdana" w:eastAsia="Verdana" w:hAnsi="Verdana"/>
                  <w:sz w:val="18"/>
                  <w:szCs w:val="18"/>
                  <w:color w:val="0000FF"/>
                </w:rPr>
                <w:t>First  Amendment  of  the  First  Community</w:t>
              </w:r>
            </w:hyperlink>
          </w:p>
        </w:tc>
        <w:tc>
          <w:tcPr>
            <w:tcW w:w="1400" w:type="dxa"/>
            <w:vAlign w:val="bottom"/>
            <w:gridSpan w:val="2"/>
          </w:tcPr>
          <w:p>
            <w:pPr>
              <w:jc w:val="center"/>
              <w:ind w:right="80"/>
              <w:spacing w:after="0"/>
              <w:rPr>
                <w:sz w:val="20"/>
                <w:szCs w:val="20"/>
                <w:color w:val="auto"/>
              </w:rPr>
            </w:pPr>
            <w:r>
              <w:rPr>
                <w:rFonts w:ascii="Verdana" w:cs="Verdana" w:eastAsia="Verdana" w:hAnsi="Verdana"/>
                <w:sz w:val="18"/>
                <w:szCs w:val="18"/>
                <w:color w:val="auto"/>
                <w:w w:val="99"/>
              </w:rPr>
              <w:t>FCFP</w:t>
            </w: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S-4</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9"/>
              </w:rPr>
              <w:t>10.12</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11/19/2012</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13"/>
          </w:tcPr>
          <w:p>
            <w:pPr>
              <w:spacing w:after="0" w:line="196" w:lineRule="exact"/>
              <w:rPr>
                <w:rFonts w:ascii="Verdana" w:cs="Verdana" w:eastAsia="Verdana" w:hAnsi="Verdana"/>
                <w:sz w:val="18"/>
                <w:szCs w:val="18"/>
                <w:color w:val="0000FF"/>
              </w:rPr>
            </w:pPr>
            <w:hyperlink r:id="rId254">
              <w:r>
                <w:rPr>
                  <w:rFonts w:ascii="Verdana" w:cs="Verdana" w:eastAsia="Verdana" w:hAnsi="Verdana"/>
                  <w:sz w:val="18"/>
                  <w:szCs w:val="18"/>
                  <w:color w:val="0000FF"/>
                </w:rPr>
                <w:t>Financial Partners, Inc. Amended and Restated</w:t>
              </w:r>
            </w:hyperlink>
          </w:p>
        </w:tc>
        <w:tc>
          <w:tcPr>
            <w:tcW w:w="1320" w:type="dxa"/>
            <w:vAlign w:val="bottom"/>
          </w:tcPr>
          <w:p>
            <w:pPr>
              <w:jc w:val="center"/>
              <w:spacing w:after="0" w:line="196" w:lineRule="exact"/>
              <w:rPr>
                <w:sz w:val="20"/>
                <w:szCs w:val="20"/>
                <w:color w:val="auto"/>
              </w:rPr>
            </w:pPr>
            <w:r>
              <w:rPr>
                <w:rFonts w:ascii="Verdana" w:cs="Verdana" w:eastAsia="Verdana" w:hAnsi="Verdana"/>
                <w:sz w:val="18"/>
                <w:szCs w:val="18"/>
                <w:color w:val="auto"/>
              </w:rPr>
              <w:t>(333-185041)</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top w:val="single" w:sz="8" w:color="0000FF"/>
            </w:tcBorders>
            <w:gridSpan w:val="8"/>
          </w:tcPr>
          <w:p>
            <w:pPr>
              <w:spacing w:after="0" w:line="196" w:lineRule="exact"/>
              <w:rPr>
                <w:rFonts w:ascii="Verdana" w:cs="Verdana" w:eastAsia="Verdana" w:hAnsi="Verdana"/>
                <w:sz w:val="18"/>
                <w:szCs w:val="18"/>
                <w:color w:val="0000FF"/>
              </w:rPr>
            </w:pPr>
            <w:hyperlink r:id="rId254">
              <w:r>
                <w:rPr>
                  <w:rFonts w:ascii="Verdana" w:cs="Verdana" w:eastAsia="Verdana" w:hAnsi="Verdana"/>
                  <w:sz w:val="18"/>
                  <w:szCs w:val="18"/>
                  <w:color w:val="0000FF"/>
                </w:rPr>
                <w:t>2008 Equity Incentive Plan</w:t>
              </w:r>
            </w:hyperlink>
          </w:p>
        </w:tc>
        <w:tc>
          <w:tcPr>
            <w:tcW w:w="12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10.9†</w:t>
            </w:r>
          </w:p>
        </w:tc>
        <w:tc>
          <w:tcPr>
            <w:tcW w:w="20" w:type="dxa"/>
            <w:vAlign w:val="bottom"/>
          </w:tcPr>
          <w:p>
            <w:pPr>
              <w:spacing w:after="0"/>
              <w:rPr>
                <w:sz w:val="24"/>
                <w:szCs w:val="24"/>
                <w:color w:val="auto"/>
              </w:rPr>
            </w:pPr>
          </w:p>
        </w:tc>
        <w:tc>
          <w:tcPr>
            <w:tcW w:w="4480" w:type="dxa"/>
            <w:vAlign w:val="bottom"/>
            <w:tcBorders>
              <w:bottom w:val="single" w:sz="8" w:color="0000FF"/>
            </w:tcBorders>
            <w:gridSpan w:val="10"/>
          </w:tcPr>
          <w:p>
            <w:pPr>
              <w:spacing w:after="0"/>
              <w:rPr>
                <w:rFonts w:ascii="Verdana" w:cs="Verdana" w:eastAsia="Verdana" w:hAnsi="Verdana"/>
                <w:sz w:val="18"/>
                <w:szCs w:val="18"/>
                <w:color w:val="0000FF"/>
              </w:rPr>
            </w:pPr>
            <w:hyperlink r:id="rId255">
              <w:r>
                <w:rPr>
                  <w:rFonts w:ascii="Verdana" w:cs="Verdana" w:eastAsia="Verdana" w:hAnsi="Verdana"/>
                  <w:sz w:val="18"/>
                  <w:szCs w:val="18"/>
                  <w:color w:val="0000FF"/>
                </w:rPr>
                <w:t>Second  Amendment  of  the  First  Community</w:t>
              </w:r>
            </w:hyperlink>
          </w:p>
        </w:tc>
        <w:tc>
          <w:tcPr>
            <w:tcW w:w="80" w:type="dxa"/>
            <w:vAlign w:val="bottom"/>
            <w:gridSpan w:val="3"/>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Verdana" w:cs="Verdana" w:eastAsia="Verdana" w:hAnsi="Verdana"/>
                <w:sz w:val="18"/>
                <w:szCs w:val="18"/>
                <w:color w:val="auto"/>
                <w:w w:val="99"/>
              </w:rPr>
              <w:t>FCFP</w:t>
            </w: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rPr>
              <w:t>10-K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10.8</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03/14/2016</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13"/>
          </w:tcPr>
          <w:p>
            <w:pPr>
              <w:spacing w:after="0" w:line="196" w:lineRule="exact"/>
              <w:rPr>
                <w:rFonts w:ascii="Verdana" w:cs="Verdana" w:eastAsia="Verdana" w:hAnsi="Verdana"/>
                <w:sz w:val="18"/>
                <w:szCs w:val="18"/>
                <w:color w:val="0000FF"/>
              </w:rPr>
            </w:pPr>
            <w:hyperlink r:id="rId255">
              <w:r>
                <w:rPr>
                  <w:rFonts w:ascii="Verdana" w:cs="Verdana" w:eastAsia="Verdana" w:hAnsi="Verdana"/>
                  <w:sz w:val="18"/>
                  <w:szCs w:val="18"/>
                  <w:color w:val="0000FF"/>
                </w:rPr>
                <w:t>Financial Partners, Inc. Amended and Restated</w:t>
              </w:r>
            </w:hyperlink>
          </w:p>
        </w:tc>
        <w:tc>
          <w:tcPr>
            <w:tcW w:w="1320" w:type="dxa"/>
            <w:vAlign w:val="bottom"/>
          </w:tcPr>
          <w:p>
            <w:pPr>
              <w:jc w:val="center"/>
              <w:spacing w:after="0" w:line="196" w:lineRule="exact"/>
              <w:rPr>
                <w:sz w:val="20"/>
                <w:szCs w:val="20"/>
                <w:color w:val="auto"/>
              </w:rPr>
            </w:pPr>
            <w:r>
              <w:rPr>
                <w:rFonts w:ascii="Verdana" w:cs="Verdana" w:eastAsia="Verdana" w:hAnsi="Verdana"/>
                <w:sz w:val="18"/>
                <w:szCs w:val="18"/>
                <w:color w:val="auto"/>
                <w:w w:val="99"/>
              </w:rPr>
              <w:t>(001-37505)</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top w:val="single" w:sz="8" w:color="0000FF"/>
            </w:tcBorders>
            <w:gridSpan w:val="8"/>
          </w:tcPr>
          <w:p>
            <w:pPr>
              <w:spacing w:after="0" w:line="196" w:lineRule="exact"/>
              <w:rPr>
                <w:rFonts w:ascii="Verdana" w:cs="Verdana" w:eastAsia="Verdana" w:hAnsi="Verdana"/>
                <w:sz w:val="18"/>
                <w:szCs w:val="18"/>
                <w:color w:val="0000FF"/>
              </w:rPr>
            </w:pPr>
            <w:hyperlink r:id="rId255">
              <w:r>
                <w:rPr>
                  <w:rFonts w:ascii="Verdana" w:cs="Verdana" w:eastAsia="Verdana" w:hAnsi="Verdana"/>
                  <w:sz w:val="18"/>
                  <w:szCs w:val="18"/>
                  <w:color w:val="0000FF"/>
                </w:rPr>
                <w:t>2008 Equity Incentive Plan</w:t>
              </w:r>
            </w:hyperlink>
          </w:p>
        </w:tc>
        <w:tc>
          <w:tcPr>
            <w:tcW w:w="12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10.10†</w:t>
            </w:r>
          </w:p>
        </w:tc>
        <w:tc>
          <w:tcPr>
            <w:tcW w:w="20" w:type="dxa"/>
            <w:vAlign w:val="bottom"/>
          </w:tcPr>
          <w:p>
            <w:pPr>
              <w:spacing w:after="0"/>
              <w:rPr>
                <w:sz w:val="24"/>
                <w:szCs w:val="24"/>
                <w:color w:val="auto"/>
              </w:rPr>
            </w:pPr>
          </w:p>
        </w:tc>
        <w:tc>
          <w:tcPr>
            <w:tcW w:w="4560" w:type="dxa"/>
            <w:vAlign w:val="bottom"/>
            <w:gridSpan w:val="13"/>
          </w:tcPr>
          <w:p>
            <w:pPr>
              <w:spacing w:after="0"/>
              <w:rPr>
                <w:rFonts w:ascii="Verdana" w:cs="Verdana" w:eastAsia="Verdana" w:hAnsi="Verdana"/>
                <w:sz w:val="18"/>
                <w:szCs w:val="18"/>
                <w:color w:val="0000FF"/>
              </w:rPr>
            </w:pPr>
            <w:hyperlink r:id="rId256">
              <w:r>
                <w:rPr>
                  <w:rFonts w:ascii="Verdana" w:cs="Verdana" w:eastAsia="Verdana" w:hAnsi="Verdana"/>
                  <w:sz w:val="18"/>
                  <w:szCs w:val="18"/>
                  <w:color w:val="0000FF"/>
                </w:rPr>
                <w:t>Third  Amendment  of  the  First  Community</w:t>
              </w:r>
            </w:hyperlink>
          </w:p>
        </w:tc>
        <w:tc>
          <w:tcPr>
            <w:tcW w:w="1400" w:type="dxa"/>
            <w:vAlign w:val="bottom"/>
            <w:gridSpan w:val="2"/>
          </w:tcPr>
          <w:p>
            <w:pPr>
              <w:jc w:val="center"/>
              <w:ind w:right="80"/>
              <w:spacing w:after="0"/>
              <w:rPr>
                <w:sz w:val="20"/>
                <w:szCs w:val="20"/>
                <w:color w:val="auto"/>
              </w:rPr>
            </w:pPr>
            <w:r>
              <w:rPr>
                <w:rFonts w:ascii="Verdana" w:cs="Verdana" w:eastAsia="Verdana" w:hAnsi="Verdana"/>
                <w:sz w:val="18"/>
                <w:szCs w:val="18"/>
                <w:color w:val="auto"/>
                <w:w w:val="97"/>
              </w:rPr>
              <w:t>BUSE</w:t>
            </w: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rPr>
              <w:t>10-K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9"/>
              </w:rPr>
              <w:t>10.36</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02/28/2018</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13"/>
          </w:tcPr>
          <w:p>
            <w:pPr>
              <w:spacing w:after="0" w:line="196" w:lineRule="exact"/>
              <w:rPr>
                <w:rFonts w:ascii="Verdana" w:cs="Verdana" w:eastAsia="Verdana" w:hAnsi="Verdana"/>
                <w:sz w:val="18"/>
                <w:szCs w:val="18"/>
                <w:color w:val="0000FF"/>
              </w:rPr>
            </w:pPr>
            <w:hyperlink r:id="rId256">
              <w:r>
                <w:rPr>
                  <w:rFonts w:ascii="Verdana" w:cs="Verdana" w:eastAsia="Verdana" w:hAnsi="Verdana"/>
                  <w:sz w:val="18"/>
                  <w:szCs w:val="18"/>
                  <w:color w:val="0000FF"/>
                </w:rPr>
                <w:t>Financial Partners, Inc. Amended and Restated</w:t>
              </w:r>
            </w:hyperlink>
          </w:p>
        </w:tc>
        <w:tc>
          <w:tcPr>
            <w:tcW w:w="1320" w:type="dxa"/>
            <w:vAlign w:val="bottom"/>
          </w:tcPr>
          <w:p>
            <w:pPr>
              <w:jc w:val="center"/>
              <w:spacing w:after="0" w:line="196" w:lineRule="exact"/>
              <w:rPr>
                <w:sz w:val="20"/>
                <w:szCs w:val="20"/>
                <w:color w:val="auto"/>
              </w:rPr>
            </w:pPr>
            <w:r>
              <w:rPr>
                <w:rFonts w:ascii="Verdana" w:cs="Verdana" w:eastAsia="Verdana" w:hAnsi="Verdana"/>
                <w:sz w:val="18"/>
                <w:szCs w:val="18"/>
                <w:color w:val="auto"/>
                <w:w w:val="98"/>
              </w:rPr>
              <w:t>(0-15950)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top w:val="single" w:sz="8" w:color="0000FF"/>
            </w:tcBorders>
            <w:gridSpan w:val="8"/>
          </w:tcPr>
          <w:p>
            <w:pPr>
              <w:spacing w:after="0" w:line="196" w:lineRule="exact"/>
              <w:rPr>
                <w:rFonts w:ascii="Verdana" w:cs="Verdana" w:eastAsia="Verdana" w:hAnsi="Verdana"/>
                <w:sz w:val="18"/>
                <w:szCs w:val="18"/>
                <w:color w:val="0000FF"/>
              </w:rPr>
            </w:pPr>
            <w:hyperlink r:id="rId256">
              <w:r>
                <w:rPr>
                  <w:rFonts w:ascii="Verdana" w:cs="Verdana" w:eastAsia="Verdana" w:hAnsi="Verdana"/>
                  <w:sz w:val="18"/>
                  <w:szCs w:val="18"/>
                  <w:color w:val="0000FF"/>
                </w:rPr>
                <w:t>2008 Equity Incentive Plan</w:t>
              </w:r>
            </w:hyperlink>
          </w:p>
        </w:tc>
        <w:tc>
          <w:tcPr>
            <w:tcW w:w="12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10.11†</w:t>
            </w:r>
          </w:p>
        </w:tc>
        <w:tc>
          <w:tcPr>
            <w:tcW w:w="20" w:type="dxa"/>
            <w:vAlign w:val="bottom"/>
          </w:tcPr>
          <w:p>
            <w:pPr>
              <w:spacing w:after="0"/>
              <w:rPr>
                <w:sz w:val="24"/>
                <w:szCs w:val="24"/>
                <w:color w:val="auto"/>
              </w:rPr>
            </w:pPr>
          </w:p>
        </w:tc>
        <w:tc>
          <w:tcPr>
            <w:tcW w:w="4500" w:type="dxa"/>
            <w:vAlign w:val="bottom"/>
            <w:tcBorders>
              <w:bottom w:val="single" w:sz="8" w:color="0000FF"/>
            </w:tcBorders>
            <w:gridSpan w:val="11"/>
          </w:tcPr>
          <w:p>
            <w:pPr>
              <w:spacing w:after="0"/>
              <w:rPr>
                <w:rFonts w:ascii="Verdana" w:cs="Verdana" w:eastAsia="Verdana" w:hAnsi="Verdana"/>
                <w:sz w:val="18"/>
                <w:szCs w:val="18"/>
                <w:color w:val="0000FF"/>
              </w:rPr>
            </w:pPr>
            <w:hyperlink r:id="rId257">
              <w:r>
                <w:rPr>
                  <w:rFonts w:ascii="Verdana" w:cs="Verdana" w:eastAsia="Verdana" w:hAnsi="Verdana"/>
                  <w:sz w:val="18"/>
                  <w:szCs w:val="18"/>
                  <w:color w:val="0000FF"/>
                </w:rPr>
                <w:t>First Community Financial Partners, Inc. 2016</w:t>
              </w:r>
            </w:hyperlink>
          </w:p>
        </w:tc>
        <w:tc>
          <w:tcPr>
            <w:tcW w:w="60" w:type="dxa"/>
            <w:vAlign w:val="bottom"/>
            <w:gridSpan w:val="2"/>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Verdana" w:cs="Verdana" w:eastAsia="Verdana" w:hAnsi="Verdana"/>
                <w:sz w:val="18"/>
                <w:szCs w:val="18"/>
                <w:color w:val="auto"/>
                <w:w w:val="99"/>
              </w:rPr>
              <w:t>FCFP</w:t>
            </w: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S-8</w:t>
            </w:r>
          </w:p>
        </w:tc>
        <w:tc>
          <w:tcPr>
            <w:tcW w:w="1100" w:type="dxa"/>
            <w:vAlign w:val="bottom"/>
          </w:tcPr>
          <w:p>
            <w:pPr>
              <w:jc w:val="center"/>
              <w:spacing w:after="0"/>
              <w:rPr>
                <w:sz w:val="20"/>
                <w:szCs w:val="20"/>
                <w:color w:val="auto"/>
              </w:rPr>
            </w:pPr>
            <w:r>
              <w:rPr>
                <w:rFonts w:ascii="Verdana" w:cs="Verdana" w:eastAsia="Verdana" w:hAnsi="Verdana"/>
                <w:sz w:val="18"/>
                <w:szCs w:val="18"/>
                <w:color w:val="auto"/>
              </w:rPr>
              <w:t>4.4</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06/03/2016</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13"/>
          </w:tcPr>
          <w:p>
            <w:pPr>
              <w:spacing w:after="0" w:line="196" w:lineRule="exact"/>
              <w:rPr>
                <w:rFonts w:ascii="Verdana" w:cs="Verdana" w:eastAsia="Verdana" w:hAnsi="Verdana"/>
                <w:sz w:val="18"/>
                <w:szCs w:val="18"/>
                <w:color w:val="0000FF"/>
              </w:rPr>
            </w:pPr>
            <w:hyperlink r:id="rId257">
              <w:r>
                <w:rPr>
                  <w:rFonts w:ascii="Verdana" w:cs="Verdana" w:eastAsia="Verdana" w:hAnsi="Verdana"/>
                  <w:sz w:val="18"/>
                  <w:szCs w:val="18"/>
                  <w:color w:val="0000FF"/>
                </w:rPr>
                <w:t>Equity Incentive Plan</w:t>
              </w:r>
            </w:hyperlink>
          </w:p>
        </w:tc>
        <w:tc>
          <w:tcPr>
            <w:tcW w:w="1320" w:type="dxa"/>
            <w:vAlign w:val="bottom"/>
          </w:tcPr>
          <w:p>
            <w:pPr>
              <w:jc w:val="center"/>
              <w:spacing w:after="0" w:line="196" w:lineRule="exact"/>
              <w:rPr>
                <w:sz w:val="20"/>
                <w:szCs w:val="20"/>
                <w:color w:val="auto"/>
              </w:rPr>
            </w:pPr>
            <w:r>
              <w:rPr>
                <w:rFonts w:ascii="Verdana" w:cs="Verdana" w:eastAsia="Verdana" w:hAnsi="Verdana"/>
                <w:sz w:val="18"/>
                <w:szCs w:val="18"/>
                <w:color w:val="auto"/>
              </w:rPr>
              <w:t>(333-211811)</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10.12†</w:t>
            </w:r>
          </w:p>
        </w:tc>
        <w:tc>
          <w:tcPr>
            <w:tcW w:w="20" w:type="dxa"/>
            <w:vAlign w:val="bottom"/>
          </w:tcPr>
          <w:p>
            <w:pPr>
              <w:spacing w:after="0"/>
              <w:rPr>
                <w:sz w:val="24"/>
                <w:szCs w:val="24"/>
                <w:color w:val="auto"/>
              </w:rPr>
            </w:pPr>
          </w:p>
        </w:tc>
        <w:tc>
          <w:tcPr>
            <w:tcW w:w="4560" w:type="dxa"/>
            <w:vAlign w:val="bottom"/>
            <w:gridSpan w:val="13"/>
          </w:tcPr>
          <w:p>
            <w:pPr>
              <w:spacing w:after="0"/>
              <w:rPr>
                <w:rFonts w:ascii="Verdana" w:cs="Verdana" w:eastAsia="Verdana" w:hAnsi="Verdana"/>
                <w:sz w:val="18"/>
                <w:szCs w:val="18"/>
                <w:color w:val="0000FF"/>
              </w:rPr>
            </w:pPr>
            <w:hyperlink r:id="rId258">
              <w:r>
                <w:rPr>
                  <w:rFonts w:ascii="Verdana" w:cs="Verdana" w:eastAsia="Verdana" w:hAnsi="Verdana"/>
                  <w:sz w:val="18"/>
                  <w:szCs w:val="18"/>
                  <w:color w:val="0000FF"/>
                </w:rPr>
                <w:t>First  Amendment  of  the  First  Community</w:t>
              </w:r>
            </w:hyperlink>
          </w:p>
        </w:tc>
        <w:tc>
          <w:tcPr>
            <w:tcW w:w="1400" w:type="dxa"/>
            <w:vAlign w:val="bottom"/>
            <w:gridSpan w:val="2"/>
          </w:tcPr>
          <w:p>
            <w:pPr>
              <w:jc w:val="center"/>
              <w:ind w:right="80"/>
              <w:spacing w:after="0"/>
              <w:rPr>
                <w:sz w:val="20"/>
                <w:szCs w:val="20"/>
                <w:color w:val="auto"/>
              </w:rPr>
            </w:pPr>
            <w:r>
              <w:rPr>
                <w:rFonts w:ascii="Verdana" w:cs="Verdana" w:eastAsia="Verdana" w:hAnsi="Verdana"/>
                <w:sz w:val="18"/>
                <w:szCs w:val="18"/>
                <w:color w:val="auto"/>
                <w:w w:val="97"/>
              </w:rPr>
              <w:t>BUSE</w:t>
            </w: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rPr>
              <w:t>10-K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9"/>
              </w:rPr>
              <w:t>10.38</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02/28/2018</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FF"/>
            </w:tcBorders>
            <w:gridSpan w:val="9"/>
          </w:tcPr>
          <w:p>
            <w:pPr>
              <w:spacing w:after="0" w:line="196" w:lineRule="exact"/>
              <w:rPr>
                <w:rFonts w:ascii="Verdana" w:cs="Verdana" w:eastAsia="Verdana" w:hAnsi="Verdana"/>
                <w:sz w:val="18"/>
                <w:szCs w:val="18"/>
                <w:color w:val="0000FF"/>
              </w:rPr>
            </w:pPr>
            <w:hyperlink r:id="rId258">
              <w:r>
                <w:rPr>
                  <w:rFonts w:ascii="Verdana" w:cs="Verdana" w:eastAsia="Verdana" w:hAnsi="Verdana"/>
                  <w:sz w:val="18"/>
                  <w:szCs w:val="18"/>
                  <w:color w:val="0000FF"/>
                </w:rPr>
                <w:t>Financial Partners, Inc. 2016 Equity Incentive</w:t>
              </w:r>
            </w:hyperlink>
          </w:p>
        </w:tc>
        <w:tc>
          <w:tcPr>
            <w:tcW w:w="100" w:type="dxa"/>
            <w:vAlign w:val="bottom"/>
            <w:gridSpan w:val="4"/>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Verdana" w:cs="Verdana" w:eastAsia="Verdana" w:hAnsi="Verdana"/>
                <w:sz w:val="18"/>
                <w:szCs w:val="18"/>
                <w:color w:val="auto"/>
                <w:w w:val="98"/>
              </w:rPr>
              <w:t>(0-15950)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0000FF"/>
            </w:tcBorders>
          </w:tcPr>
          <w:p>
            <w:pPr>
              <w:spacing w:after="0" w:line="196" w:lineRule="exact"/>
              <w:rPr>
                <w:rFonts w:ascii="Verdana" w:cs="Verdana" w:eastAsia="Verdana" w:hAnsi="Verdana"/>
                <w:sz w:val="18"/>
                <w:szCs w:val="18"/>
                <w:color w:val="0000FF"/>
                <w:w w:val="94"/>
              </w:rPr>
            </w:pPr>
            <w:hyperlink r:id="rId258">
              <w:r>
                <w:rPr>
                  <w:rFonts w:ascii="Verdana" w:cs="Verdana" w:eastAsia="Verdana" w:hAnsi="Verdana"/>
                  <w:sz w:val="18"/>
                  <w:szCs w:val="18"/>
                  <w:color w:val="0000FF"/>
                  <w:w w:val="94"/>
                </w:rPr>
                <w:t>Plan</w:t>
              </w:r>
            </w:hyperlink>
          </w:p>
        </w:tc>
        <w:tc>
          <w:tcPr>
            <w:tcW w:w="4180" w:type="dxa"/>
            <w:vAlign w:val="bottom"/>
            <w:gridSpan w:val="12"/>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10.13†</w:t>
            </w:r>
          </w:p>
        </w:tc>
        <w:tc>
          <w:tcPr>
            <w:tcW w:w="20" w:type="dxa"/>
            <w:vAlign w:val="bottom"/>
          </w:tcPr>
          <w:p>
            <w:pPr>
              <w:spacing w:after="0"/>
              <w:rPr>
                <w:sz w:val="24"/>
                <w:szCs w:val="24"/>
                <w:color w:val="auto"/>
              </w:rPr>
            </w:pPr>
          </w:p>
        </w:tc>
        <w:tc>
          <w:tcPr>
            <w:tcW w:w="4560" w:type="dxa"/>
            <w:vAlign w:val="bottom"/>
            <w:gridSpan w:val="13"/>
          </w:tcPr>
          <w:p>
            <w:pPr>
              <w:spacing w:after="0"/>
              <w:rPr>
                <w:rFonts w:ascii="Verdana" w:cs="Verdana" w:eastAsia="Verdana" w:hAnsi="Verdana"/>
                <w:sz w:val="18"/>
                <w:szCs w:val="18"/>
                <w:color w:val="0000FF"/>
              </w:rPr>
            </w:pPr>
            <w:hyperlink r:id="rId259">
              <w:r>
                <w:rPr>
                  <w:rFonts w:ascii="Verdana" w:cs="Verdana" w:eastAsia="Verdana" w:hAnsi="Verdana"/>
                  <w:sz w:val="18"/>
                  <w:szCs w:val="18"/>
                  <w:color w:val="0000FF"/>
                </w:rPr>
                <w:t>Form  of  Nonqualified  Stock  Option  Award</w:t>
              </w:r>
            </w:hyperlink>
          </w:p>
        </w:tc>
        <w:tc>
          <w:tcPr>
            <w:tcW w:w="1400" w:type="dxa"/>
            <w:vAlign w:val="bottom"/>
            <w:gridSpan w:val="2"/>
          </w:tcPr>
          <w:p>
            <w:pPr>
              <w:jc w:val="center"/>
              <w:ind w:right="80"/>
              <w:spacing w:after="0"/>
              <w:rPr>
                <w:sz w:val="20"/>
                <w:szCs w:val="20"/>
                <w:color w:val="auto"/>
              </w:rPr>
            </w:pPr>
            <w:r>
              <w:rPr>
                <w:rFonts w:ascii="Verdana" w:cs="Verdana" w:eastAsia="Verdana" w:hAnsi="Verdana"/>
                <w:sz w:val="18"/>
                <w:szCs w:val="18"/>
                <w:color w:val="auto"/>
                <w:w w:val="99"/>
              </w:rPr>
              <w:t>FCFP</w:t>
            </w: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S-8</w:t>
            </w:r>
          </w:p>
        </w:tc>
        <w:tc>
          <w:tcPr>
            <w:tcW w:w="1100" w:type="dxa"/>
            <w:vAlign w:val="bottom"/>
          </w:tcPr>
          <w:p>
            <w:pPr>
              <w:jc w:val="center"/>
              <w:spacing w:after="0"/>
              <w:rPr>
                <w:sz w:val="20"/>
                <w:szCs w:val="20"/>
                <w:color w:val="auto"/>
              </w:rPr>
            </w:pPr>
            <w:r>
              <w:rPr>
                <w:rFonts w:ascii="Verdana" w:cs="Verdana" w:eastAsia="Verdana" w:hAnsi="Verdana"/>
                <w:sz w:val="18"/>
                <w:szCs w:val="18"/>
                <w:color w:val="auto"/>
              </w:rPr>
              <w:t>4.7</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06/03/2016</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FF"/>
            </w:tcBorders>
            <w:gridSpan w:val="9"/>
          </w:tcPr>
          <w:p>
            <w:pPr>
              <w:spacing w:after="0" w:line="196" w:lineRule="exact"/>
              <w:rPr>
                <w:rFonts w:ascii="Verdana" w:cs="Verdana" w:eastAsia="Verdana" w:hAnsi="Verdana"/>
                <w:sz w:val="18"/>
                <w:szCs w:val="18"/>
                <w:color w:val="0000FF"/>
              </w:rPr>
            </w:pPr>
            <w:hyperlink r:id="rId259">
              <w:r>
                <w:rPr>
                  <w:rFonts w:ascii="Verdana" w:cs="Verdana" w:eastAsia="Verdana" w:hAnsi="Verdana"/>
                  <w:sz w:val="18"/>
                  <w:szCs w:val="18"/>
                  <w:color w:val="0000FF"/>
                </w:rPr>
                <w:t>Agreement under the First Community Financial</w:t>
              </w:r>
            </w:hyperlink>
          </w:p>
        </w:tc>
        <w:tc>
          <w:tcPr>
            <w:tcW w:w="100" w:type="dxa"/>
            <w:vAlign w:val="bottom"/>
            <w:gridSpan w:val="4"/>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Verdana" w:cs="Verdana" w:eastAsia="Verdana" w:hAnsi="Verdana"/>
                <w:sz w:val="18"/>
                <w:szCs w:val="18"/>
                <w:color w:val="auto"/>
              </w:rPr>
              <w:t>(333-211811)</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FF"/>
            </w:tcBorders>
            <w:gridSpan w:val="7"/>
          </w:tcPr>
          <w:p>
            <w:pPr>
              <w:spacing w:after="0" w:line="196" w:lineRule="exact"/>
              <w:rPr>
                <w:rFonts w:ascii="Verdana" w:cs="Verdana" w:eastAsia="Verdana" w:hAnsi="Verdana"/>
                <w:sz w:val="18"/>
                <w:szCs w:val="18"/>
                <w:color w:val="0000FF"/>
                <w:w w:val="99"/>
              </w:rPr>
            </w:pPr>
            <w:hyperlink r:id="rId259">
              <w:r>
                <w:rPr>
                  <w:rFonts w:ascii="Verdana" w:cs="Verdana" w:eastAsia="Verdana" w:hAnsi="Verdana"/>
                  <w:sz w:val="18"/>
                  <w:szCs w:val="18"/>
                  <w:color w:val="0000FF"/>
                  <w:w w:val="99"/>
                </w:rPr>
                <w:t>Partners, Inc. 2016 Equity Incentive Plan</w:t>
              </w:r>
            </w:hyperlink>
          </w:p>
        </w:tc>
        <w:tc>
          <w:tcPr>
            <w:tcW w:w="840" w:type="dxa"/>
            <w:vAlign w:val="bottom"/>
            <w:gridSpan w:val="6"/>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4" w:name="page185"/>
    <w:bookmarkEnd w:id="18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20"/>
              <w:spacing w:after="0"/>
              <w:rPr>
                <w:sz w:val="20"/>
                <w:szCs w:val="20"/>
                <w:color w:val="auto"/>
              </w:rPr>
            </w:pPr>
            <w:r>
              <w:rPr>
                <w:rFonts w:ascii="Verdana" w:cs="Verdana" w:eastAsia="Verdana" w:hAnsi="Verdana"/>
                <w:sz w:val="13"/>
                <w:szCs w:val="13"/>
                <w:b w:val="1"/>
                <w:bCs w:val="1"/>
                <w:color w:val="auto"/>
                <w:w w:val="98"/>
              </w:rPr>
              <w:t>Incorporated herein by reference</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gridSpan w:val="3"/>
          </w:tcPr>
          <w:p>
            <w:pPr>
              <w:ind w:left="200"/>
              <w:spacing w:after="0" w:line="122" w:lineRule="exact"/>
              <w:rPr>
                <w:sz w:val="20"/>
                <w:szCs w:val="20"/>
                <w:color w:val="auto"/>
              </w:rPr>
            </w:pPr>
            <w:r>
              <w:rPr>
                <w:rFonts w:ascii="Verdana" w:cs="Verdana" w:eastAsia="Verdana" w:hAnsi="Verdana"/>
                <w:sz w:val="13"/>
                <w:szCs w:val="13"/>
                <w:b w:val="1"/>
                <w:bCs w:val="1"/>
                <w:color w:val="auto"/>
              </w:rPr>
              <w:t>Exhibit</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80" w:type="dxa"/>
            <w:vAlign w:val="bottom"/>
            <w:gridSpan w:val="5"/>
            <w:vMerge w:val="restart"/>
          </w:tcPr>
          <w:p>
            <w:pPr>
              <w:ind w:left="180"/>
              <w:spacing w:after="0"/>
              <w:rPr>
                <w:sz w:val="20"/>
                <w:szCs w:val="20"/>
                <w:color w:val="auto"/>
              </w:rPr>
            </w:pPr>
            <w:r>
              <w:rPr>
                <w:rFonts w:ascii="Verdana" w:cs="Verdana" w:eastAsia="Verdana" w:hAnsi="Verdana"/>
                <w:sz w:val="13"/>
                <w:szCs w:val="13"/>
                <w:b w:val="1"/>
                <w:bCs w:val="1"/>
                <w:color w:val="auto"/>
              </w:rPr>
              <w:t>Description of Exhibit</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left="53"/>
              <w:spacing w:after="0" w:line="122" w:lineRule="exact"/>
              <w:rPr>
                <w:sz w:val="20"/>
                <w:szCs w:val="20"/>
                <w:color w:val="auto"/>
              </w:rPr>
            </w:pPr>
            <w:r>
              <w:rPr>
                <w:rFonts w:ascii="Verdana" w:cs="Verdana" w:eastAsia="Verdana" w:hAnsi="Verdana"/>
                <w:sz w:val="10"/>
                <w:szCs w:val="10"/>
                <w:b w:val="1"/>
                <w:bCs w:val="1"/>
                <w:color w:val="auto"/>
              </w:rPr>
              <w:t>Filing Entity</w:t>
            </w:r>
            <w:r>
              <w:rPr>
                <w:rFonts w:ascii="Verdana" w:cs="Verdana" w:eastAsia="Verdana" w:hAnsi="Verdana"/>
                <w:sz w:val="13"/>
                <w:szCs w:val="13"/>
                <w:b w:val="1"/>
                <w:bCs w:val="1"/>
                <w:color w:val="auto"/>
                <w:vertAlign w:val="superscript"/>
              </w:rPr>
              <w:t>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Verdana" w:cs="Verdana" w:eastAsia="Verdana" w:hAnsi="Verdana"/>
                <w:sz w:val="13"/>
                <w:szCs w:val="13"/>
                <w:b w:val="1"/>
                <w:bCs w:val="1"/>
                <w:color w:val="auto"/>
                <w:w w:val="95"/>
              </w:rPr>
              <w:t>Form</w:t>
            </w:r>
          </w:p>
        </w:tc>
        <w:tc>
          <w:tcPr>
            <w:tcW w:w="80" w:type="dxa"/>
            <w:vAlign w:val="bottom"/>
            <w:vMerge w:val="restart"/>
          </w:tcPr>
          <w:p>
            <w:pPr>
              <w:spacing w:after="0"/>
              <w:rPr>
                <w:sz w:val="10"/>
                <w:szCs w:val="10"/>
                <w:color w:val="auto"/>
              </w:rPr>
            </w:pPr>
          </w:p>
        </w:tc>
        <w:tc>
          <w:tcPr>
            <w:tcW w:w="1100" w:type="dxa"/>
            <w:vAlign w:val="bottom"/>
            <w:vMerge w:val="restart"/>
          </w:tcPr>
          <w:p>
            <w:pPr>
              <w:jc w:val="right"/>
              <w:ind w:right="212"/>
              <w:spacing w:after="0"/>
              <w:rPr>
                <w:sz w:val="20"/>
                <w:szCs w:val="20"/>
                <w:color w:val="auto"/>
              </w:rPr>
            </w:pPr>
            <w:r>
              <w:rPr>
                <w:rFonts w:ascii="Verdana" w:cs="Verdana" w:eastAsia="Verdana" w:hAnsi="Verdana"/>
                <w:sz w:val="13"/>
                <w:szCs w:val="13"/>
                <w:b w:val="1"/>
                <w:bCs w:val="1"/>
                <w:color w:val="auto"/>
              </w:rPr>
              <w:t>Exhibit</w:t>
            </w:r>
          </w:p>
        </w:tc>
        <w:tc>
          <w:tcPr>
            <w:tcW w:w="80" w:type="dxa"/>
            <w:vAlign w:val="bottom"/>
            <w:vMerge w:val="restart"/>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ind w:left="220"/>
              <w:spacing w:after="0" w:line="122" w:lineRule="exact"/>
              <w:rPr>
                <w:sz w:val="20"/>
                <w:szCs w:val="20"/>
                <w:color w:val="auto"/>
              </w:rPr>
            </w:pPr>
            <w:r>
              <w:rPr>
                <w:rFonts w:ascii="Verdana" w:cs="Verdana" w:eastAsia="Verdana" w:hAnsi="Verdana"/>
                <w:sz w:val="13"/>
                <w:szCs w:val="13"/>
                <w:b w:val="1"/>
                <w:bCs w:val="1"/>
                <w:color w:val="auto"/>
              </w:rPr>
              <w:t>Filed</w:t>
            </w:r>
          </w:p>
        </w:tc>
        <w:tc>
          <w:tcPr>
            <w:tcW w:w="0" w:type="dxa"/>
            <w:vAlign w:val="bottom"/>
          </w:tcPr>
          <w:p>
            <w:pPr>
              <w:spacing w:after="0"/>
              <w:rPr>
                <w:sz w:val="1"/>
                <w:szCs w:val="1"/>
                <w:color w:val="auto"/>
              </w:rPr>
            </w:pPr>
          </w:p>
        </w:tc>
      </w:tr>
      <w:tr>
        <w:trPr>
          <w:trHeight w:val="170"/>
        </w:trPr>
        <w:tc>
          <w:tcPr>
            <w:tcW w:w="900" w:type="dxa"/>
            <w:vAlign w:val="bottom"/>
          </w:tcPr>
          <w:p>
            <w:pPr>
              <w:ind w:left="180"/>
              <w:spacing w:after="0"/>
              <w:rPr>
                <w:sz w:val="20"/>
                <w:szCs w:val="20"/>
                <w:color w:val="auto"/>
              </w:rPr>
            </w:pPr>
            <w:r>
              <w:rPr>
                <w:rFonts w:ascii="Verdana" w:cs="Verdana" w:eastAsia="Verdana" w:hAnsi="Verdana"/>
                <w:sz w:val="13"/>
                <w:szCs w:val="13"/>
                <w:b w:val="1"/>
                <w:bCs w:val="1"/>
                <w:color w:val="auto"/>
              </w:rPr>
              <w:t>Number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53"/>
              <w:spacing w:after="0"/>
              <w:rPr>
                <w:sz w:val="20"/>
                <w:szCs w:val="20"/>
                <w:color w:val="auto"/>
              </w:rPr>
            </w:pPr>
            <w:r>
              <w:rPr>
                <w:rFonts w:ascii="Verdana" w:cs="Verdana" w:eastAsia="Verdana" w:hAnsi="Verdana"/>
                <w:sz w:val="13"/>
                <w:szCs w:val="13"/>
                <w:b w:val="1"/>
                <w:bCs w:val="1"/>
                <w:color w:val="auto"/>
                <w:w w:val="98"/>
              </w:rPr>
              <w:t>(File No.)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960" w:type="dxa"/>
            <w:vAlign w:val="bottom"/>
            <w:gridSpan w:val="3"/>
          </w:tcPr>
          <w:p>
            <w:pPr>
              <w:ind w:left="180"/>
              <w:spacing w:after="0"/>
              <w:rPr>
                <w:sz w:val="20"/>
                <w:szCs w:val="20"/>
                <w:color w:val="auto"/>
              </w:rPr>
            </w:pPr>
            <w:r>
              <w:rPr>
                <w:rFonts w:ascii="Verdana" w:cs="Verdana" w:eastAsia="Verdana" w:hAnsi="Verdana"/>
                <w:sz w:val="13"/>
                <w:szCs w:val="13"/>
                <w:b w:val="1"/>
                <w:bCs w:val="1"/>
                <w:color w:val="auto"/>
                <w:w w:val="95"/>
              </w:rPr>
              <w:t>Filing DateHerewith</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20" w:type="dxa"/>
            <w:vAlign w:val="bottom"/>
            <w:gridSpan w:val="3"/>
          </w:tcPr>
          <w:p>
            <w:pPr>
              <w:ind w:left="20"/>
              <w:spacing w:after="0" w:line="215" w:lineRule="exact"/>
              <w:rPr>
                <w:rFonts w:ascii="Verdana" w:cs="Verdana" w:eastAsia="Verdana" w:hAnsi="Verdana"/>
                <w:sz w:val="18"/>
                <w:szCs w:val="18"/>
                <w:color w:val="auto"/>
              </w:rPr>
            </w:pPr>
            <w:r>
              <w:rPr>
                <w:rFonts w:ascii="Verdana" w:cs="Verdana" w:eastAsia="Verdana" w:hAnsi="Verdana"/>
                <w:sz w:val="18"/>
                <w:szCs w:val="18"/>
                <w:color w:val="auto"/>
              </w:rPr>
              <w:t xml:space="preserve">10.14†   </w:t>
            </w:r>
            <w:hyperlink r:id="rId261">
              <w:r>
                <w:rPr>
                  <w:rFonts w:ascii="Verdana" w:cs="Verdana" w:eastAsia="Verdana" w:hAnsi="Verdana"/>
                  <w:sz w:val="18"/>
                  <w:szCs w:val="18"/>
                  <w:color w:val="0000FF"/>
                </w:rPr>
                <w:t>Form</w:t>
              </w:r>
            </w:hyperlink>
          </w:p>
        </w:tc>
        <w:tc>
          <w:tcPr>
            <w:tcW w:w="3940" w:type="dxa"/>
            <w:vAlign w:val="bottom"/>
            <w:gridSpan w:val="11"/>
          </w:tcPr>
          <w:p>
            <w:pPr>
              <w:jc w:val="right"/>
              <w:ind w:right="120"/>
              <w:spacing w:after="0" w:line="215" w:lineRule="exact"/>
              <w:rPr>
                <w:rFonts w:ascii="Verdana" w:cs="Verdana" w:eastAsia="Verdana" w:hAnsi="Verdana"/>
                <w:sz w:val="18"/>
                <w:szCs w:val="18"/>
                <w:color w:val="0000FF"/>
              </w:rPr>
            </w:pPr>
            <w:hyperlink r:id="rId261">
              <w:r>
                <w:rPr>
                  <w:rFonts w:ascii="Verdana" w:cs="Verdana" w:eastAsia="Verdana" w:hAnsi="Verdana"/>
                  <w:sz w:val="18"/>
                  <w:szCs w:val="18"/>
                  <w:color w:val="0000FF"/>
                </w:rPr>
                <w:t>of   Incentive   Stock   Option   Award</w:t>
              </w:r>
            </w:hyperlink>
          </w:p>
        </w:tc>
        <w:tc>
          <w:tcPr>
            <w:tcW w:w="1180" w:type="dxa"/>
            <w:vAlign w:val="bottom"/>
          </w:tcPr>
          <w:p>
            <w:pPr>
              <w:jc w:val="center"/>
              <w:ind w:left="53"/>
              <w:spacing w:after="0" w:line="215" w:lineRule="exact"/>
              <w:rPr>
                <w:sz w:val="20"/>
                <w:szCs w:val="20"/>
                <w:color w:val="auto"/>
              </w:rPr>
            </w:pPr>
            <w:r>
              <w:rPr>
                <w:rFonts w:ascii="Verdana" w:cs="Verdana" w:eastAsia="Verdana" w:hAnsi="Verdana"/>
                <w:sz w:val="18"/>
                <w:szCs w:val="18"/>
                <w:color w:val="auto"/>
                <w:w w:val="99"/>
              </w:rPr>
              <w:t>FCFP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60"/>
              <w:spacing w:after="0" w:line="215" w:lineRule="exact"/>
              <w:rPr>
                <w:sz w:val="20"/>
                <w:szCs w:val="20"/>
                <w:color w:val="auto"/>
              </w:rPr>
            </w:pPr>
            <w:r>
              <w:rPr>
                <w:rFonts w:ascii="Verdana" w:cs="Verdana" w:eastAsia="Verdana" w:hAnsi="Verdana"/>
                <w:sz w:val="18"/>
                <w:szCs w:val="18"/>
                <w:color w:val="auto"/>
                <w:w w:val="99"/>
              </w:rPr>
              <w:t>S-8</w:t>
            </w:r>
          </w:p>
        </w:tc>
        <w:tc>
          <w:tcPr>
            <w:tcW w:w="1100" w:type="dxa"/>
            <w:vAlign w:val="bottom"/>
          </w:tcPr>
          <w:p>
            <w:pPr>
              <w:jc w:val="center"/>
              <w:spacing w:after="0" w:line="215" w:lineRule="exact"/>
              <w:rPr>
                <w:sz w:val="20"/>
                <w:szCs w:val="20"/>
                <w:color w:val="auto"/>
              </w:rPr>
            </w:pPr>
            <w:r>
              <w:rPr>
                <w:rFonts w:ascii="Verdana" w:cs="Verdana" w:eastAsia="Verdana" w:hAnsi="Verdana"/>
                <w:sz w:val="18"/>
                <w:szCs w:val="18"/>
                <w:color w:val="auto"/>
              </w:rPr>
              <w:t>4.8</w:t>
            </w:r>
          </w:p>
        </w:tc>
        <w:tc>
          <w:tcPr>
            <w:tcW w:w="8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Verdana" w:cs="Verdana" w:eastAsia="Verdana" w:hAnsi="Verdana"/>
                <w:sz w:val="18"/>
                <w:szCs w:val="18"/>
                <w:color w:val="auto"/>
                <w:w w:val="99"/>
              </w:rPr>
              <w:t>06/03/2016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Borders>
              <w:bottom w:val="single" w:sz="8" w:color="0000FF"/>
            </w:tcBorders>
            <w:gridSpan w:val="11"/>
          </w:tcPr>
          <w:p>
            <w:pPr>
              <w:spacing w:after="0" w:line="196" w:lineRule="exact"/>
              <w:rPr>
                <w:rFonts w:ascii="Verdana" w:cs="Verdana" w:eastAsia="Verdana" w:hAnsi="Verdana"/>
                <w:sz w:val="18"/>
                <w:szCs w:val="18"/>
                <w:color w:val="0000FF"/>
              </w:rPr>
            </w:pPr>
            <w:hyperlink r:id="rId261">
              <w:r>
                <w:rPr>
                  <w:rFonts w:ascii="Verdana" w:cs="Verdana" w:eastAsia="Verdana" w:hAnsi="Verdana"/>
                  <w:sz w:val="18"/>
                  <w:szCs w:val="18"/>
                  <w:color w:val="0000FF"/>
                </w:rPr>
                <w:t>Agreement under the First Community Financial</w:t>
              </w:r>
            </w:hyperlink>
          </w:p>
        </w:tc>
        <w:tc>
          <w:tcPr>
            <w:tcW w:w="80" w:type="dxa"/>
            <w:vAlign w:val="bottom"/>
          </w:tcPr>
          <w:p>
            <w:pPr>
              <w:spacing w:after="0"/>
              <w:rPr>
                <w:sz w:val="17"/>
                <w:szCs w:val="17"/>
                <w:color w:val="auto"/>
              </w:rPr>
            </w:pPr>
          </w:p>
        </w:tc>
        <w:tc>
          <w:tcPr>
            <w:tcW w:w="1320" w:type="dxa"/>
            <w:vAlign w:val="bottom"/>
            <w:gridSpan w:val="2"/>
          </w:tcPr>
          <w:p>
            <w:pPr>
              <w:jc w:val="center"/>
              <w:spacing w:after="0" w:line="196" w:lineRule="exact"/>
              <w:rPr>
                <w:sz w:val="20"/>
                <w:szCs w:val="20"/>
                <w:color w:val="auto"/>
              </w:rPr>
            </w:pPr>
            <w:r>
              <w:rPr>
                <w:rFonts w:ascii="Verdana" w:cs="Verdana" w:eastAsia="Verdana" w:hAnsi="Verdana"/>
                <w:sz w:val="18"/>
                <w:szCs w:val="18"/>
                <w:color w:val="auto"/>
              </w:rPr>
              <w:t>(333-211811)</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Borders>
              <w:bottom w:val="single" w:sz="8" w:color="0000FF"/>
            </w:tcBorders>
            <w:gridSpan w:val="9"/>
          </w:tcPr>
          <w:p>
            <w:pPr>
              <w:spacing w:after="0" w:line="196" w:lineRule="exact"/>
              <w:rPr>
                <w:rFonts w:ascii="Verdana" w:cs="Verdana" w:eastAsia="Verdana" w:hAnsi="Verdana"/>
                <w:sz w:val="18"/>
                <w:szCs w:val="18"/>
                <w:color w:val="0000FF"/>
                <w:w w:val="99"/>
              </w:rPr>
            </w:pPr>
            <w:hyperlink r:id="rId261">
              <w:r>
                <w:rPr>
                  <w:rFonts w:ascii="Verdana" w:cs="Verdana" w:eastAsia="Verdana" w:hAnsi="Verdana"/>
                  <w:sz w:val="18"/>
                  <w:szCs w:val="18"/>
                  <w:color w:val="0000FF"/>
                  <w:w w:val="99"/>
                </w:rPr>
                <w:t>Partners, Inc. 2016 Equity Incentive Plan</w:t>
              </w:r>
            </w:hyperlink>
          </w:p>
        </w:tc>
        <w:tc>
          <w:tcPr>
            <w:tcW w:w="84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5560" w:type="dxa"/>
            <w:vAlign w:val="bottom"/>
            <w:gridSpan w:val="14"/>
          </w:tcPr>
          <w:p>
            <w:pPr>
              <w:ind w:left="20"/>
              <w:spacing w:after="0"/>
              <w:rPr>
                <w:rFonts w:ascii="Verdana" w:cs="Verdana" w:eastAsia="Verdana" w:hAnsi="Verdana"/>
                <w:sz w:val="18"/>
                <w:szCs w:val="18"/>
                <w:color w:val="auto"/>
              </w:rPr>
            </w:pPr>
            <w:r>
              <w:rPr>
                <w:rFonts w:ascii="Verdana" w:cs="Verdana" w:eastAsia="Verdana" w:hAnsi="Verdana"/>
                <w:sz w:val="18"/>
                <w:szCs w:val="18"/>
                <w:color w:val="auto"/>
              </w:rPr>
              <w:t xml:space="preserve">10.15†   </w:t>
            </w:r>
            <w:hyperlink r:id="rId262">
              <w:r>
                <w:rPr>
                  <w:rFonts w:ascii="Verdana" w:cs="Verdana" w:eastAsia="Verdana" w:hAnsi="Verdana"/>
                  <w:sz w:val="18"/>
                  <w:szCs w:val="18"/>
                  <w:color w:val="0000FF"/>
                </w:rPr>
                <w:t>Form of Restricted Stock Unit Award Agreement</w:t>
              </w:r>
            </w:hyperlink>
          </w:p>
        </w:tc>
        <w:tc>
          <w:tcPr>
            <w:tcW w:w="1180" w:type="dxa"/>
            <w:vAlign w:val="bottom"/>
          </w:tcPr>
          <w:p>
            <w:pPr>
              <w:jc w:val="center"/>
              <w:ind w:left="53"/>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rPr>
              <w:t>10-K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9"/>
              </w:rPr>
              <w:t>10.41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02/28/2018</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line="196" w:lineRule="exact"/>
              <w:rPr>
                <w:rFonts w:ascii="Verdana" w:cs="Verdana" w:eastAsia="Verdana" w:hAnsi="Verdana"/>
                <w:sz w:val="18"/>
                <w:szCs w:val="18"/>
                <w:color w:val="0000FF"/>
              </w:rPr>
            </w:pPr>
            <w:hyperlink r:id="rId262">
              <w:r>
                <w:rPr>
                  <w:rFonts w:ascii="Verdana" w:cs="Verdana" w:eastAsia="Verdana" w:hAnsi="Verdana"/>
                  <w:sz w:val="18"/>
                  <w:szCs w:val="18"/>
                  <w:color w:val="0000FF"/>
                </w:rPr>
                <w:t>under</w:t>
              </w:r>
            </w:hyperlink>
          </w:p>
        </w:tc>
        <w:tc>
          <w:tcPr>
            <w:tcW w:w="660" w:type="dxa"/>
            <w:vAlign w:val="bottom"/>
            <w:gridSpan w:val="2"/>
          </w:tcPr>
          <w:p>
            <w:pPr>
              <w:ind w:left="260"/>
              <w:spacing w:after="0" w:line="196" w:lineRule="exact"/>
              <w:rPr>
                <w:rFonts w:ascii="Verdana" w:cs="Verdana" w:eastAsia="Verdana" w:hAnsi="Verdana"/>
                <w:sz w:val="18"/>
                <w:szCs w:val="18"/>
                <w:color w:val="0000FF"/>
              </w:rPr>
            </w:pPr>
            <w:hyperlink r:id="rId262">
              <w:r>
                <w:rPr>
                  <w:rFonts w:ascii="Verdana" w:cs="Verdana" w:eastAsia="Verdana" w:hAnsi="Verdana"/>
                  <w:sz w:val="18"/>
                  <w:szCs w:val="18"/>
                  <w:color w:val="0000FF"/>
                </w:rPr>
                <w:t>the</w:t>
              </w:r>
            </w:hyperlink>
          </w:p>
        </w:tc>
        <w:tc>
          <w:tcPr>
            <w:tcW w:w="820" w:type="dxa"/>
            <w:vAlign w:val="bottom"/>
            <w:gridSpan w:val="3"/>
          </w:tcPr>
          <w:p>
            <w:pPr>
              <w:ind w:left="240"/>
              <w:spacing w:after="0" w:line="196" w:lineRule="exact"/>
              <w:rPr>
                <w:rFonts w:ascii="Verdana" w:cs="Verdana" w:eastAsia="Verdana" w:hAnsi="Verdana"/>
                <w:sz w:val="18"/>
                <w:szCs w:val="18"/>
                <w:color w:val="0000FF"/>
              </w:rPr>
            </w:pPr>
            <w:hyperlink r:id="rId262">
              <w:r>
                <w:rPr>
                  <w:rFonts w:ascii="Verdana" w:cs="Verdana" w:eastAsia="Verdana" w:hAnsi="Verdana"/>
                  <w:sz w:val="18"/>
                  <w:szCs w:val="18"/>
                  <w:color w:val="0000FF"/>
                </w:rPr>
                <w:t>First</w:t>
              </w:r>
            </w:hyperlink>
          </w:p>
        </w:tc>
        <w:tc>
          <w:tcPr>
            <w:tcW w:w="1560" w:type="dxa"/>
            <w:vAlign w:val="bottom"/>
            <w:gridSpan w:val="2"/>
          </w:tcPr>
          <w:p>
            <w:pPr>
              <w:ind w:left="160"/>
              <w:spacing w:after="0" w:line="196" w:lineRule="exact"/>
              <w:rPr>
                <w:rFonts w:ascii="Verdana" w:cs="Verdana" w:eastAsia="Verdana" w:hAnsi="Verdana"/>
                <w:sz w:val="18"/>
                <w:szCs w:val="18"/>
                <w:color w:val="0000FF"/>
              </w:rPr>
            </w:pPr>
            <w:hyperlink r:id="rId262">
              <w:r>
                <w:rPr>
                  <w:rFonts w:ascii="Verdana" w:cs="Verdana" w:eastAsia="Verdana" w:hAnsi="Verdana"/>
                  <w:sz w:val="18"/>
                  <w:szCs w:val="18"/>
                  <w:color w:val="0000FF"/>
                </w:rPr>
                <w:t>Community</w:t>
              </w:r>
            </w:hyperlink>
          </w:p>
        </w:tc>
        <w:tc>
          <w:tcPr>
            <w:tcW w:w="900" w:type="dxa"/>
            <w:vAlign w:val="bottom"/>
            <w:gridSpan w:val="4"/>
          </w:tcPr>
          <w:p>
            <w:pPr>
              <w:jc w:val="right"/>
              <w:ind w:right="120"/>
              <w:spacing w:after="0" w:line="196" w:lineRule="exact"/>
              <w:rPr>
                <w:rFonts w:ascii="Verdana" w:cs="Verdana" w:eastAsia="Verdana" w:hAnsi="Verdana"/>
                <w:sz w:val="18"/>
                <w:szCs w:val="18"/>
                <w:color w:val="0000FF"/>
                <w:w w:val="96"/>
              </w:rPr>
            </w:pPr>
            <w:hyperlink r:id="rId262">
              <w:r>
                <w:rPr>
                  <w:rFonts w:ascii="Verdana" w:cs="Verdana" w:eastAsia="Verdana" w:hAnsi="Verdana"/>
                  <w:sz w:val="18"/>
                  <w:szCs w:val="18"/>
                  <w:color w:val="0000FF"/>
                  <w:w w:val="96"/>
                </w:rPr>
                <w:t>Financial</w:t>
              </w:r>
            </w:hyperlink>
          </w:p>
        </w:tc>
        <w:tc>
          <w:tcPr>
            <w:tcW w:w="1180" w:type="dxa"/>
            <w:vAlign w:val="bottom"/>
          </w:tcPr>
          <w:p>
            <w:pPr>
              <w:jc w:val="center"/>
              <w:ind w:left="53"/>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Borders>
              <w:top w:val="single" w:sz="8" w:color="0000FF"/>
              <w:bottom w:val="single" w:sz="8" w:color="0000FF"/>
            </w:tcBorders>
            <w:gridSpan w:val="9"/>
          </w:tcPr>
          <w:p>
            <w:pPr>
              <w:spacing w:after="0" w:line="196" w:lineRule="exact"/>
              <w:rPr>
                <w:rFonts w:ascii="Verdana" w:cs="Verdana" w:eastAsia="Verdana" w:hAnsi="Verdana"/>
                <w:sz w:val="18"/>
                <w:szCs w:val="18"/>
                <w:color w:val="0000FF"/>
                <w:w w:val="99"/>
              </w:rPr>
            </w:pPr>
            <w:hyperlink r:id="rId262">
              <w:r>
                <w:rPr>
                  <w:rFonts w:ascii="Verdana" w:cs="Verdana" w:eastAsia="Verdana" w:hAnsi="Verdana"/>
                  <w:sz w:val="18"/>
                  <w:szCs w:val="18"/>
                  <w:color w:val="0000FF"/>
                  <w:w w:val="99"/>
                </w:rPr>
                <w:t>Partners, Inc. 2016 Equity Incentive Plan</w:t>
              </w:r>
            </w:hyperlink>
          </w:p>
        </w:tc>
        <w:tc>
          <w:tcPr>
            <w:tcW w:w="720" w:type="dxa"/>
            <w:vAlign w:val="bottom"/>
            <w:tcBorders>
              <w:top w:val="single" w:sz="8" w:color="0000FF"/>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560" w:type="dxa"/>
            <w:vAlign w:val="bottom"/>
            <w:gridSpan w:val="14"/>
          </w:tcPr>
          <w:p>
            <w:pPr>
              <w:ind w:left="20"/>
              <w:spacing w:after="0"/>
              <w:rPr>
                <w:rFonts w:ascii="Verdana" w:cs="Verdana" w:eastAsia="Verdana" w:hAnsi="Verdana"/>
                <w:sz w:val="18"/>
                <w:szCs w:val="18"/>
                <w:color w:val="auto"/>
              </w:rPr>
            </w:pPr>
            <w:r>
              <w:rPr>
                <w:rFonts w:ascii="Verdana" w:cs="Verdana" w:eastAsia="Verdana" w:hAnsi="Verdana"/>
                <w:sz w:val="18"/>
                <w:szCs w:val="18"/>
                <w:color w:val="auto"/>
              </w:rPr>
              <w:t xml:space="preserve">10.16†   </w:t>
            </w:r>
            <w:hyperlink r:id="rId263">
              <w:r>
                <w:rPr>
                  <w:rFonts w:ascii="Verdana" w:cs="Verdana" w:eastAsia="Verdana" w:hAnsi="Verdana"/>
                  <w:sz w:val="18"/>
                  <w:szCs w:val="18"/>
                  <w:color w:val="0000FF"/>
                </w:rPr>
                <w:t>Form  of  Director  Deferred  Stock  Unit  Award</w:t>
              </w:r>
            </w:hyperlink>
          </w:p>
        </w:tc>
        <w:tc>
          <w:tcPr>
            <w:tcW w:w="1180" w:type="dxa"/>
            <w:vAlign w:val="bottom"/>
          </w:tcPr>
          <w:p>
            <w:pPr>
              <w:jc w:val="center"/>
              <w:ind w:left="53"/>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Verdana" w:cs="Verdana" w:eastAsia="Verdana" w:hAnsi="Verdana"/>
                <w:sz w:val="18"/>
                <w:szCs w:val="18"/>
                <w:color w:val="auto"/>
              </w:rPr>
              <w:t>10-Q</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08/07/2018</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Borders>
              <w:top w:val="single" w:sz="8" w:color="0000FF"/>
            </w:tcBorders>
            <w:gridSpan w:val="11"/>
          </w:tcPr>
          <w:p>
            <w:pPr>
              <w:spacing w:after="0" w:line="196" w:lineRule="exact"/>
              <w:rPr>
                <w:rFonts w:ascii="Verdana" w:cs="Verdana" w:eastAsia="Verdana" w:hAnsi="Verdana"/>
                <w:sz w:val="18"/>
                <w:szCs w:val="18"/>
                <w:color w:val="0000FF"/>
              </w:rPr>
            </w:pPr>
            <w:hyperlink r:id="rId263">
              <w:r>
                <w:rPr>
                  <w:rFonts w:ascii="Verdana" w:cs="Verdana" w:eastAsia="Verdana" w:hAnsi="Verdana"/>
                  <w:sz w:val="18"/>
                  <w:szCs w:val="18"/>
                  <w:color w:val="0000FF"/>
                </w:rPr>
                <w:t>Agreement under the First Busey Corporation</w:t>
              </w:r>
            </w:hyperlink>
          </w:p>
        </w:tc>
        <w:tc>
          <w:tcPr>
            <w:tcW w:w="80" w:type="dxa"/>
            <w:vAlign w:val="bottom"/>
          </w:tcPr>
          <w:p>
            <w:pPr>
              <w:spacing w:after="0"/>
              <w:rPr>
                <w:sz w:val="17"/>
                <w:szCs w:val="17"/>
                <w:color w:val="auto"/>
              </w:rPr>
            </w:pPr>
          </w:p>
        </w:tc>
        <w:tc>
          <w:tcPr>
            <w:tcW w:w="1180" w:type="dxa"/>
            <w:vAlign w:val="bottom"/>
          </w:tcPr>
          <w:p>
            <w:pPr>
              <w:jc w:val="center"/>
              <w:ind w:left="53"/>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196" w:lineRule="exact"/>
              <w:rPr>
                <w:rFonts w:ascii="Verdana" w:cs="Verdana" w:eastAsia="Verdana" w:hAnsi="Verdana"/>
                <w:sz w:val="18"/>
                <w:szCs w:val="18"/>
                <w:color w:val="0000FF"/>
                <w:w w:val="99"/>
              </w:rPr>
            </w:pPr>
            <w:hyperlink r:id="rId263">
              <w:r>
                <w:rPr>
                  <w:rFonts w:ascii="Verdana" w:cs="Verdana" w:eastAsia="Verdana" w:hAnsi="Verdana"/>
                  <w:sz w:val="18"/>
                  <w:szCs w:val="18"/>
                  <w:color w:val="0000FF"/>
                  <w:w w:val="99"/>
                </w:rPr>
                <w:t>2010 Equity Incentive Plan, as amended</w:t>
              </w:r>
            </w:hyperlink>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560" w:type="dxa"/>
            <w:vAlign w:val="bottom"/>
            <w:gridSpan w:val="14"/>
          </w:tcPr>
          <w:p>
            <w:pPr>
              <w:ind w:left="20"/>
              <w:spacing w:after="0"/>
              <w:rPr>
                <w:rFonts w:ascii="Verdana" w:cs="Verdana" w:eastAsia="Verdana" w:hAnsi="Verdana"/>
                <w:sz w:val="18"/>
                <w:szCs w:val="18"/>
                <w:color w:val="auto"/>
              </w:rPr>
            </w:pPr>
            <w:r>
              <w:rPr>
                <w:rFonts w:ascii="Verdana" w:cs="Verdana" w:eastAsia="Verdana" w:hAnsi="Verdana"/>
                <w:sz w:val="18"/>
                <w:szCs w:val="18"/>
                <w:color w:val="auto"/>
              </w:rPr>
              <w:t xml:space="preserve">10.17†   </w:t>
            </w:r>
            <w:hyperlink r:id="rId264">
              <w:r>
                <w:rPr>
                  <w:rFonts w:ascii="Verdana" w:cs="Verdana" w:eastAsia="Verdana" w:hAnsi="Verdana"/>
                  <w:sz w:val="18"/>
                  <w:szCs w:val="18"/>
                  <w:color w:val="0000FF"/>
                </w:rPr>
                <w:t>Form  of  Director  Deferred  Stock  Unit  Award</w:t>
              </w:r>
            </w:hyperlink>
          </w:p>
        </w:tc>
        <w:tc>
          <w:tcPr>
            <w:tcW w:w="1180" w:type="dxa"/>
            <w:vAlign w:val="bottom"/>
          </w:tcPr>
          <w:p>
            <w:pPr>
              <w:jc w:val="center"/>
              <w:ind w:left="53"/>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Verdana" w:cs="Verdana" w:eastAsia="Verdana" w:hAnsi="Verdana"/>
                <w:sz w:val="18"/>
                <w:szCs w:val="18"/>
                <w:color w:val="auto"/>
              </w:rPr>
              <w:t>10-Q</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10.2</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08/07/2018</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Borders>
              <w:top w:val="single" w:sz="8" w:color="0000FF"/>
              <w:bottom w:val="single" w:sz="8" w:color="0000FF"/>
            </w:tcBorders>
            <w:gridSpan w:val="11"/>
          </w:tcPr>
          <w:p>
            <w:pPr>
              <w:spacing w:after="0" w:line="196" w:lineRule="exact"/>
              <w:rPr>
                <w:rFonts w:ascii="Verdana" w:cs="Verdana" w:eastAsia="Verdana" w:hAnsi="Verdana"/>
                <w:sz w:val="18"/>
                <w:szCs w:val="18"/>
                <w:color w:val="0000FF"/>
              </w:rPr>
            </w:pPr>
            <w:hyperlink r:id="rId264">
              <w:r>
                <w:rPr>
                  <w:rFonts w:ascii="Verdana" w:cs="Verdana" w:eastAsia="Verdana" w:hAnsi="Verdana"/>
                  <w:sz w:val="18"/>
                  <w:szCs w:val="18"/>
                  <w:color w:val="0000FF"/>
                </w:rPr>
                <w:t>Agreement under the First Community Financial</w:t>
              </w:r>
            </w:hyperlink>
          </w:p>
        </w:tc>
        <w:tc>
          <w:tcPr>
            <w:tcW w:w="80" w:type="dxa"/>
            <w:vAlign w:val="bottom"/>
          </w:tcPr>
          <w:p>
            <w:pPr>
              <w:spacing w:after="0"/>
              <w:rPr>
                <w:sz w:val="17"/>
                <w:szCs w:val="17"/>
                <w:color w:val="auto"/>
              </w:rPr>
            </w:pPr>
          </w:p>
        </w:tc>
        <w:tc>
          <w:tcPr>
            <w:tcW w:w="1180" w:type="dxa"/>
            <w:vAlign w:val="bottom"/>
          </w:tcPr>
          <w:p>
            <w:pPr>
              <w:jc w:val="center"/>
              <w:ind w:left="53"/>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Borders>
              <w:bottom w:val="single" w:sz="8" w:color="0000FF"/>
            </w:tcBorders>
            <w:gridSpan w:val="9"/>
          </w:tcPr>
          <w:p>
            <w:pPr>
              <w:spacing w:after="0" w:line="196" w:lineRule="exact"/>
              <w:rPr>
                <w:rFonts w:ascii="Verdana" w:cs="Verdana" w:eastAsia="Verdana" w:hAnsi="Verdana"/>
                <w:sz w:val="18"/>
                <w:szCs w:val="18"/>
                <w:color w:val="0000FF"/>
                <w:w w:val="99"/>
              </w:rPr>
            </w:pPr>
            <w:hyperlink r:id="rId264">
              <w:r>
                <w:rPr>
                  <w:rFonts w:ascii="Verdana" w:cs="Verdana" w:eastAsia="Verdana" w:hAnsi="Verdana"/>
                  <w:sz w:val="18"/>
                  <w:szCs w:val="18"/>
                  <w:color w:val="0000FF"/>
                  <w:w w:val="99"/>
                </w:rPr>
                <w:t>Partners, Inc. 2016 Equity Incentive Plan</w:t>
              </w:r>
            </w:hyperlink>
          </w:p>
        </w:tc>
        <w:tc>
          <w:tcPr>
            <w:tcW w:w="84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560" w:type="dxa"/>
            <w:vAlign w:val="bottom"/>
            <w:gridSpan w:val="14"/>
          </w:tcPr>
          <w:p>
            <w:pPr>
              <w:ind w:left="20"/>
              <w:spacing w:after="0"/>
              <w:rPr>
                <w:rFonts w:ascii="Verdana" w:cs="Verdana" w:eastAsia="Verdana" w:hAnsi="Verdana"/>
                <w:sz w:val="18"/>
                <w:szCs w:val="18"/>
                <w:color w:val="auto"/>
              </w:rPr>
            </w:pPr>
            <w:r>
              <w:rPr>
                <w:rFonts w:ascii="Verdana" w:cs="Verdana" w:eastAsia="Verdana" w:hAnsi="Verdana"/>
                <w:sz w:val="18"/>
                <w:szCs w:val="18"/>
                <w:color w:val="auto"/>
              </w:rPr>
              <w:t xml:space="preserve">10.18†   </w:t>
            </w:r>
            <w:hyperlink r:id="rId265">
              <w:r>
                <w:rPr>
                  <w:rFonts w:ascii="Verdana" w:cs="Verdana" w:eastAsia="Verdana" w:hAnsi="Verdana"/>
                  <w:sz w:val="18"/>
                  <w:szCs w:val="18"/>
                  <w:color w:val="0000FF"/>
                </w:rPr>
                <w:t>Jeffrey D. Jones Employment Agreement, dated</w:t>
              </w:r>
            </w:hyperlink>
          </w:p>
        </w:tc>
        <w:tc>
          <w:tcPr>
            <w:tcW w:w="1180" w:type="dxa"/>
            <w:vAlign w:val="bottom"/>
          </w:tcPr>
          <w:p>
            <w:pPr>
              <w:jc w:val="center"/>
              <w:ind w:left="53"/>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8-K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07/26/2019</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0000FF"/>
            </w:tcBorders>
            <w:gridSpan w:val="3"/>
          </w:tcPr>
          <w:p>
            <w:pPr>
              <w:spacing w:after="0" w:line="196" w:lineRule="exact"/>
              <w:rPr>
                <w:rFonts w:ascii="Verdana" w:cs="Verdana" w:eastAsia="Verdana" w:hAnsi="Verdana"/>
                <w:sz w:val="18"/>
                <w:szCs w:val="18"/>
                <w:color w:val="0000FF"/>
              </w:rPr>
            </w:pPr>
            <w:hyperlink r:id="rId265">
              <w:r>
                <w:rPr>
                  <w:rFonts w:ascii="Verdana" w:cs="Verdana" w:eastAsia="Verdana" w:hAnsi="Verdana"/>
                  <w:sz w:val="18"/>
                  <w:szCs w:val="18"/>
                  <w:color w:val="0000FF"/>
                </w:rPr>
                <w:t>July 26, 2019</w:t>
              </w:r>
            </w:hyperlink>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left="53"/>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560" w:type="dxa"/>
            <w:vAlign w:val="bottom"/>
            <w:gridSpan w:val="14"/>
          </w:tcPr>
          <w:p>
            <w:pPr>
              <w:ind w:left="20"/>
              <w:spacing w:after="0"/>
              <w:rPr>
                <w:rFonts w:ascii="Verdana" w:cs="Verdana" w:eastAsia="Verdana" w:hAnsi="Verdana"/>
                <w:sz w:val="18"/>
                <w:szCs w:val="18"/>
                <w:color w:val="auto"/>
              </w:rPr>
            </w:pPr>
            <w:r>
              <w:rPr>
                <w:rFonts w:ascii="Verdana" w:cs="Verdana" w:eastAsia="Verdana" w:hAnsi="Verdana"/>
                <w:sz w:val="18"/>
                <w:szCs w:val="18"/>
                <w:color w:val="auto"/>
              </w:rPr>
              <w:t xml:space="preserve">10.19†   </w:t>
            </w:r>
            <w:hyperlink r:id="rId266">
              <w:r>
                <w:rPr>
                  <w:rFonts w:ascii="Verdana" w:cs="Verdana" w:eastAsia="Verdana" w:hAnsi="Verdana"/>
                  <w:sz w:val="18"/>
                  <w:szCs w:val="18"/>
                  <w:color w:val="0000FF"/>
                </w:rPr>
                <w:t>Robin N. Elliott Employment Agreement, dated</w:t>
              </w:r>
            </w:hyperlink>
          </w:p>
        </w:tc>
        <w:tc>
          <w:tcPr>
            <w:tcW w:w="1180" w:type="dxa"/>
            <w:vAlign w:val="bottom"/>
          </w:tcPr>
          <w:p>
            <w:pPr>
              <w:jc w:val="center"/>
              <w:ind w:left="53"/>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8-K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12/10/2019</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5"/>
          </w:tcPr>
          <w:p>
            <w:pPr>
              <w:spacing w:after="0" w:line="196" w:lineRule="exact"/>
              <w:rPr>
                <w:rFonts w:ascii="Verdana" w:cs="Verdana" w:eastAsia="Verdana" w:hAnsi="Verdana"/>
                <w:sz w:val="18"/>
                <w:szCs w:val="18"/>
                <w:color w:val="0000FF"/>
                <w:w w:val="99"/>
              </w:rPr>
            </w:pPr>
            <w:hyperlink r:id="rId266">
              <w:r>
                <w:rPr>
                  <w:rFonts w:ascii="Verdana" w:cs="Verdana" w:eastAsia="Verdana" w:hAnsi="Verdana"/>
                  <w:sz w:val="18"/>
                  <w:szCs w:val="18"/>
                  <w:color w:val="0000FF"/>
                  <w:w w:val="99"/>
                </w:rPr>
                <w:t>December 5, 2019</w:t>
              </w:r>
            </w:hyperlink>
          </w:p>
        </w:tc>
        <w:tc>
          <w:tcPr>
            <w:tcW w:w="4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left="53"/>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5560" w:type="dxa"/>
            <w:vAlign w:val="bottom"/>
            <w:gridSpan w:val="14"/>
          </w:tcPr>
          <w:p>
            <w:pPr>
              <w:ind w:left="20"/>
              <w:spacing w:after="0"/>
              <w:rPr>
                <w:rFonts w:ascii="Verdana" w:cs="Verdana" w:eastAsia="Verdana" w:hAnsi="Verdana"/>
                <w:sz w:val="18"/>
                <w:szCs w:val="18"/>
                <w:color w:val="auto"/>
              </w:rPr>
            </w:pPr>
            <w:r>
              <w:rPr>
                <w:rFonts w:ascii="Verdana" w:cs="Verdana" w:eastAsia="Verdana" w:hAnsi="Verdana"/>
                <w:sz w:val="18"/>
                <w:szCs w:val="18"/>
                <w:color w:val="auto"/>
              </w:rPr>
              <w:t xml:space="preserve">10.20†   </w:t>
            </w:r>
            <w:hyperlink r:id="rId267">
              <w:r>
                <w:rPr>
                  <w:rFonts w:ascii="Verdana" w:cs="Verdana" w:eastAsia="Verdana" w:hAnsi="Verdana"/>
                  <w:sz w:val="18"/>
                  <w:szCs w:val="18"/>
                  <w:color w:val="0000FF"/>
                </w:rPr>
                <w:t>Amy L. Randolph Employment Agreement, dated</w:t>
              </w:r>
            </w:hyperlink>
          </w:p>
        </w:tc>
        <w:tc>
          <w:tcPr>
            <w:tcW w:w="1180" w:type="dxa"/>
            <w:vAlign w:val="bottom"/>
          </w:tcPr>
          <w:p>
            <w:pPr>
              <w:jc w:val="center"/>
              <w:ind w:left="53"/>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8-K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10.2</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12/10/2019</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5"/>
          </w:tcPr>
          <w:p>
            <w:pPr>
              <w:spacing w:after="0" w:line="196" w:lineRule="exact"/>
              <w:rPr>
                <w:rFonts w:ascii="Verdana" w:cs="Verdana" w:eastAsia="Verdana" w:hAnsi="Verdana"/>
                <w:sz w:val="18"/>
                <w:szCs w:val="18"/>
                <w:color w:val="0000FF"/>
                <w:w w:val="99"/>
              </w:rPr>
            </w:pPr>
            <w:hyperlink r:id="rId267">
              <w:r>
                <w:rPr>
                  <w:rFonts w:ascii="Verdana" w:cs="Verdana" w:eastAsia="Verdana" w:hAnsi="Verdana"/>
                  <w:sz w:val="18"/>
                  <w:szCs w:val="18"/>
                  <w:color w:val="0000FF"/>
                  <w:w w:val="99"/>
                </w:rPr>
                <w:t>December 5, 2019</w:t>
              </w:r>
            </w:hyperlink>
          </w:p>
        </w:tc>
        <w:tc>
          <w:tcPr>
            <w:tcW w:w="4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left="53"/>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560" w:type="dxa"/>
            <w:vAlign w:val="bottom"/>
            <w:gridSpan w:val="14"/>
          </w:tcPr>
          <w:p>
            <w:pPr>
              <w:ind w:left="20"/>
              <w:spacing w:after="0"/>
              <w:rPr>
                <w:rFonts w:ascii="Verdana" w:cs="Verdana" w:eastAsia="Verdana" w:hAnsi="Verdana"/>
                <w:sz w:val="18"/>
                <w:szCs w:val="18"/>
                <w:color w:val="auto"/>
              </w:rPr>
            </w:pPr>
            <w:r>
              <w:rPr>
                <w:rFonts w:ascii="Verdana" w:cs="Verdana" w:eastAsia="Verdana" w:hAnsi="Verdana"/>
                <w:sz w:val="18"/>
                <w:szCs w:val="18"/>
                <w:color w:val="auto"/>
              </w:rPr>
              <w:t xml:space="preserve">10.21†   </w:t>
            </w:r>
            <w:hyperlink r:id="rId268">
              <w:r>
                <w:rPr>
                  <w:rFonts w:ascii="Verdana" w:cs="Verdana" w:eastAsia="Verdana" w:hAnsi="Verdana"/>
                  <w:sz w:val="18"/>
                  <w:szCs w:val="18"/>
                  <w:color w:val="0000FF"/>
                </w:rPr>
                <w:t>John J. Powers Employment Agreement, dated</w:t>
              </w:r>
            </w:hyperlink>
          </w:p>
        </w:tc>
        <w:tc>
          <w:tcPr>
            <w:tcW w:w="1180" w:type="dxa"/>
            <w:vAlign w:val="bottom"/>
          </w:tcPr>
          <w:p>
            <w:pPr>
              <w:jc w:val="center"/>
              <w:ind w:left="53"/>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8-K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10.3</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12/10/2019</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4"/>
          </w:tcPr>
          <w:p>
            <w:pPr>
              <w:spacing w:after="0" w:line="196" w:lineRule="exact"/>
              <w:rPr>
                <w:rFonts w:ascii="Verdana" w:cs="Verdana" w:eastAsia="Verdana" w:hAnsi="Verdana"/>
                <w:sz w:val="18"/>
                <w:szCs w:val="18"/>
                <w:color w:val="0000FF"/>
                <w:w w:val="98"/>
              </w:rPr>
            </w:pPr>
            <w:hyperlink r:id="rId268">
              <w:r>
                <w:rPr>
                  <w:rFonts w:ascii="Verdana" w:cs="Verdana" w:eastAsia="Verdana" w:hAnsi="Verdana"/>
                  <w:sz w:val="18"/>
                  <w:szCs w:val="18"/>
                  <w:color w:val="0000FF"/>
                  <w:w w:val="98"/>
                </w:rPr>
                <w:t>December 5, 2019</w:t>
              </w:r>
            </w:hyperlink>
          </w:p>
        </w:tc>
        <w:tc>
          <w:tcPr>
            <w:tcW w:w="420" w:type="dxa"/>
            <w:vAlign w:val="bottom"/>
            <w:tcBorders>
              <w:top w:val="single" w:sz="8" w:color="0000FF"/>
            </w:tcBorders>
            <w:gridSpan w:val="2"/>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left="53"/>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560" w:type="dxa"/>
            <w:vAlign w:val="bottom"/>
            <w:gridSpan w:val="14"/>
          </w:tcPr>
          <w:p>
            <w:pPr>
              <w:ind w:left="20"/>
              <w:spacing w:after="0"/>
              <w:rPr>
                <w:rFonts w:ascii="Verdana" w:cs="Verdana" w:eastAsia="Verdana" w:hAnsi="Verdana"/>
                <w:sz w:val="18"/>
                <w:szCs w:val="18"/>
                <w:color w:val="auto"/>
              </w:rPr>
            </w:pPr>
            <w:r>
              <w:rPr>
                <w:rFonts w:ascii="Verdana" w:cs="Verdana" w:eastAsia="Verdana" w:hAnsi="Verdana"/>
                <w:sz w:val="18"/>
                <w:szCs w:val="18"/>
                <w:color w:val="auto"/>
              </w:rPr>
              <w:t xml:space="preserve">10.22†   </w:t>
            </w:r>
            <w:hyperlink r:id="rId269">
              <w:r>
                <w:rPr>
                  <w:rFonts w:ascii="Verdana" w:cs="Verdana" w:eastAsia="Verdana" w:hAnsi="Verdana"/>
                  <w:sz w:val="18"/>
                  <w:szCs w:val="18"/>
                  <w:color w:val="0000FF"/>
                </w:rPr>
                <w:t>Jeffrey  D.  Jones  Amendment  to  Employment</w:t>
              </w:r>
            </w:hyperlink>
          </w:p>
        </w:tc>
        <w:tc>
          <w:tcPr>
            <w:tcW w:w="1180" w:type="dxa"/>
            <w:vAlign w:val="bottom"/>
          </w:tcPr>
          <w:p>
            <w:pPr>
              <w:jc w:val="center"/>
              <w:ind w:left="53"/>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8-K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10.4</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12/10/2019</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top w:val="single" w:sz="8" w:color="0000FF"/>
              <w:bottom w:val="single" w:sz="8" w:color="0000FF"/>
            </w:tcBorders>
            <w:gridSpan w:val="7"/>
          </w:tcPr>
          <w:p>
            <w:pPr>
              <w:spacing w:after="0" w:line="196" w:lineRule="exact"/>
              <w:rPr>
                <w:rFonts w:ascii="Verdana" w:cs="Verdana" w:eastAsia="Verdana" w:hAnsi="Verdana"/>
                <w:sz w:val="18"/>
                <w:szCs w:val="18"/>
                <w:color w:val="0000FF"/>
                <w:w w:val="99"/>
              </w:rPr>
            </w:pPr>
            <w:hyperlink r:id="rId269">
              <w:r>
                <w:rPr>
                  <w:rFonts w:ascii="Verdana" w:cs="Verdana" w:eastAsia="Verdana" w:hAnsi="Verdana"/>
                  <w:sz w:val="18"/>
                  <w:szCs w:val="18"/>
                  <w:color w:val="0000FF"/>
                  <w:w w:val="99"/>
                </w:rPr>
                <w:t>Agreement, dated December 5, 2019</w:t>
              </w:r>
            </w:hyperlink>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left="53"/>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560" w:type="dxa"/>
            <w:vAlign w:val="bottom"/>
            <w:gridSpan w:val="14"/>
          </w:tcPr>
          <w:p>
            <w:pPr>
              <w:ind w:left="20"/>
              <w:spacing w:after="0"/>
              <w:rPr>
                <w:rFonts w:ascii="Verdana" w:cs="Verdana" w:eastAsia="Verdana" w:hAnsi="Verdana"/>
                <w:sz w:val="18"/>
                <w:szCs w:val="18"/>
                <w:color w:val="auto"/>
              </w:rPr>
            </w:pPr>
            <w:r>
              <w:rPr>
                <w:rFonts w:ascii="Verdana" w:cs="Verdana" w:eastAsia="Verdana" w:hAnsi="Verdana"/>
                <w:sz w:val="18"/>
                <w:szCs w:val="18"/>
                <w:color w:val="auto"/>
              </w:rPr>
              <w:t xml:space="preserve">10.23†   </w:t>
            </w:r>
            <w:hyperlink r:id="rId270">
              <w:r>
                <w:rPr>
                  <w:rFonts w:ascii="Verdana" w:cs="Verdana" w:eastAsia="Verdana" w:hAnsi="Verdana"/>
                  <w:sz w:val="18"/>
                  <w:szCs w:val="18"/>
                  <w:color w:val="0000FF"/>
                </w:rPr>
                <w:t>First Busey Corporation Amended 2020 Equity</w:t>
              </w:r>
            </w:hyperlink>
          </w:p>
        </w:tc>
        <w:tc>
          <w:tcPr>
            <w:tcW w:w="1180" w:type="dxa"/>
            <w:vAlign w:val="bottom"/>
          </w:tcPr>
          <w:p>
            <w:pPr>
              <w:jc w:val="center"/>
              <w:ind w:left="53"/>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Verdana" w:cs="Verdana" w:eastAsia="Verdana" w:hAnsi="Verdana"/>
                <w:sz w:val="18"/>
                <w:szCs w:val="18"/>
                <w:color w:val="auto"/>
              </w:rPr>
              <w:t>DEF 14A</w:t>
            </w:r>
          </w:p>
        </w:tc>
        <w:tc>
          <w:tcPr>
            <w:tcW w:w="118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Appendix A</w:t>
            </w: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04/14/2023</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3"/>
          </w:tcPr>
          <w:p>
            <w:pPr>
              <w:spacing w:after="0" w:line="196" w:lineRule="exact"/>
              <w:rPr>
                <w:rFonts w:ascii="Verdana" w:cs="Verdana" w:eastAsia="Verdana" w:hAnsi="Verdana"/>
                <w:sz w:val="18"/>
                <w:szCs w:val="18"/>
                <w:color w:val="0000FF"/>
                <w:w w:val="98"/>
              </w:rPr>
            </w:pPr>
            <w:hyperlink r:id="rId270">
              <w:r>
                <w:rPr>
                  <w:rFonts w:ascii="Verdana" w:cs="Verdana" w:eastAsia="Verdana" w:hAnsi="Verdana"/>
                  <w:sz w:val="18"/>
                  <w:szCs w:val="18"/>
                  <w:color w:val="0000FF"/>
                  <w:w w:val="98"/>
                </w:rPr>
                <w:t>Incentive Plan</w:t>
              </w:r>
            </w:hyperlink>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left="53"/>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5" w:name="page186"/>
    <w:bookmarkEnd w:id="18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20"/>
              <w:spacing w:after="0"/>
              <w:rPr>
                <w:sz w:val="20"/>
                <w:szCs w:val="20"/>
                <w:color w:val="auto"/>
              </w:rPr>
            </w:pPr>
            <w:r>
              <w:rPr>
                <w:rFonts w:ascii="Verdana" w:cs="Verdana" w:eastAsia="Verdana" w:hAnsi="Verdana"/>
                <w:sz w:val="13"/>
                <w:szCs w:val="13"/>
                <w:b w:val="1"/>
                <w:bCs w:val="1"/>
                <w:color w:val="auto"/>
                <w:w w:val="98"/>
              </w:rPr>
              <w:t>Incorporated herein by reference</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980" w:type="dxa"/>
            <w:vAlign w:val="bottom"/>
            <w:gridSpan w:val="2"/>
          </w:tcPr>
          <w:p>
            <w:pPr>
              <w:ind w:left="200"/>
              <w:spacing w:after="0" w:line="122" w:lineRule="exact"/>
              <w:rPr>
                <w:sz w:val="20"/>
                <w:szCs w:val="20"/>
                <w:color w:val="auto"/>
              </w:rPr>
            </w:pPr>
            <w:r>
              <w:rPr>
                <w:rFonts w:ascii="Verdana" w:cs="Verdana" w:eastAsia="Verdana" w:hAnsi="Verdana"/>
                <w:sz w:val="13"/>
                <w:szCs w:val="13"/>
                <w:b w:val="1"/>
                <w:bCs w:val="1"/>
                <w:color w:val="auto"/>
              </w:rPr>
              <w:t>Exhibit</w:t>
            </w: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40" w:type="dxa"/>
            <w:vAlign w:val="bottom"/>
            <w:gridSpan w:val="13"/>
            <w:vMerge w:val="restart"/>
          </w:tcPr>
          <w:p>
            <w:pPr>
              <w:ind w:left="180"/>
              <w:spacing w:after="0"/>
              <w:rPr>
                <w:sz w:val="20"/>
                <w:szCs w:val="20"/>
                <w:color w:val="auto"/>
              </w:rPr>
            </w:pPr>
            <w:r>
              <w:rPr>
                <w:rFonts w:ascii="Verdana" w:cs="Verdana" w:eastAsia="Verdana" w:hAnsi="Verdana"/>
                <w:sz w:val="13"/>
                <w:szCs w:val="13"/>
                <w:b w:val="1"/>
                <w:bCs w:val="1"/>
                <w:color w:val="auto"/>
              </w:rPr>
              <w:t>Description of Exhibit</w:t>
            </w:r>
          </w:p>
        </w:tc>
        <w:tc>
          <w:tcPr>
            <w:tcW w:w="40" w:type="dxa"/>
            <w:vAlign w:val="bottom"/>
            <w:vMerge w:val="restart"/>
          </w:tcPr>
          <w:p>
            <w:pPr>
              <w:spacing w:after="0"/>
              <w:rPr>
                <w:sz w:val="10"/>
                <w:szCs w:val="10"/>
                <w:color w:val="auto"/>
              </w:rPr>
            </w:pPr>
          </w:p>
        </w:tc>
        <w:tc>
          <w:tcPr>
            <w:tcW w:w="1180" w:type="dxa"/>
            <w:vAlign w:val="bottom"/>
          </w:tcPr>
          <w:p>
            <w:pPr>
              <w:jc w:val="center"/>
              <w:ind w:left="54"/>
              <w:spacing w:after="0" w:line="122" w:lineRule="exact"/>
              <w:rPr>
                <w:sz w:val="20"/>
                <w:szCs w:val="20"/>
                <w:color w:val="auto"/>
              </w:rPr>
            </w:pPr>
            <w:r>
              <w:rPr>
                <w:rFonts w:ascii="Verdana" w:cs="Verdana" w:eastAsia="Verdana" w:hAnsi="Verdana"/>
                <w:sz w:val="10"/>
                <w:szCs w:val="10"/>
                <w:b w:val="1"/>
                <w:bCs w:val="1"/>
                <w:color w:val="auto"/>
              </w:rPr>
              <w:t>Filing Entity</w:t>
            </w:r>
            <w:r>
              <w:rPr>
                <w:rFonts w:ascii="Verdana" w:cs="Verdana" w:eastAsia="Verdana" w:hAnsi="Verdana"/>
                <w:sz w:val="13"/>
                <w:szCs w:val="13"/>
                <w:b w:val="1"/>
                <w:bCs w:val="1"/>
                <w:color w:val="auto"/>
                <w:vertAlign w:val="superscript"/>
              </w:rPr>
              <w:t>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Verdana" w:cs="Verdana" w:eastAsia="Verdana" w:hAnsi="Verdana"/>
                <w:sz w:val="13"/>
                <w:szCs w:val="13"/>
                <w:b w:val="1"/>
                <w:bCs w:val="1"/>
                <w:color w:val="auto"/>
                <w:w w:val="95"/>
              </w:rPr>
              <w:t>Form</w:t>
            </w:r>
          </w:p>
        </w:tc>
        <w:tc>
          <w:tcPr>
            <w:tcW w:w="80" w:type="dxa"/>
            <w:vAlign w:val="bottom"/>
            <w:vMerge w:val="restart"/>
          </w:tcPr>
          <w:p>
            <w:pPr>
              <w:spacing w:after="0"/>
              <w:rPr>
                <w:sz w:val="10"/>
                <w:szCs w:val="10"/>
                <w:color w:val="auto"/>
              </w:rPr>
            </w:pPr>
          </w:p>
        </w:tc>
        <w:tc>
          <w:tcPr>
            <w:tcW w:w="1100" w:type="dxa"/>
            <w:vAlign w:val="bottom"/>
            <w:vMerge w:val="restart"/>
          </w:tcPr>
          <w:p>
            <w:pPr>
              <w:jc w:val="right"/>
              <w:ind w:right="213"/>
              <w:spacing w:after="0"/>
              <w:rPr>
                <w:sz w:val="20"/>
                <w:szCs w:val="20"/>
                <w:color w:val="auto"/>
              </w:rPr>
            </w:pPr>
            <w:r>
              <w:rPr>
                <w:rFonts w:ascii="Verdana" w:cs="Verdana" w:eastAsia="Verdana" w:hAnsi="Verdana"/>
                <w:sz w:val="13"/>
                <w:szCs w:val="13"/>
                <w:b w:val="1"/>
                <w:bCs w:val="1"/>
                <w:color w:val="auto"/>
              </w:rPr>
              <w:t>Exhibit</w:t>
            </w:r>
          </w:p>
        </w:tc>
        <w:tc>
          <w:tcPr>
            <w:tcW w:w="80" w:type="dxa"/>
            <w:vAlign w:val="bottom"/>
            <w:vMerge w:val="restart"/>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6"/>
              </w:rPr>
              <w:t>Filed</w:t>
            </w:r>
          </w:p>
        </w:tc>
        <w:tc>
          <w:tcPr>
            <w:tcW w:w="0" w:type="dxa"/>
            <w:vAlign w:val="bottom"/>
          </w:tcPr>
          <w:p>
            <w:pPr>
              <w:spacing w:after="0"/>
              <w:rPr>
                <w:sz w:val="1"/>
                <w:szCs w:val="1"/>
                <w:color w:val="auto"/>
              </w:rPr>
            </w:pPr>
          </w:p>
        </w:tc>
      </w:tr>
      <w:tr>
        <w:trPr>
          <w:trHeight w:val="170"/>
        </w:trPr>
        <w:tc>
          <w:tcPr>
            <w:tcW w:w="900" w:type="dxa"/>
            <w:vAlign w:val="bottom"/>
          </w:tcPr>
          <w:p>
            <w:pPr>
              <w:ind w:left="180"/>
              <w:spacing w:after="0"/>
              <w:rPr>
                <w:sz w:val="20"/>
                <w:szCs w:val="20"/>
                <w:color w:val="auto"/>
              </w:rPr>
            </w:pPr>
            <w:r>
              <w:rPr>
                <w:rFonts w:ascii="Verdana" w:cs="Verdana" w:eastAsia="Verdana" w:hAnsi="Verdana"/>
                <w:sz w:val="13"/>
                <w:szCs w:val="13"/>
                <w:b w:val="1"/>
                <w:bCs w:val="1"/>
                <w:color w:val="auto"/>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40" w:type="dxa"/>
            <w:vAlign w:val="bottom"/>
            <w:gridSpan w:val="1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180" w:type="dxa"/>
            <w:vAlign w:val="bottom"/>
          </w:tcPr>
          <w:p>
            <w:pPr>
              <w:jc w:val="center"/>
              <w:ind w:left="54"/>
              <w:spacing w:after="0"/>
              <w:rPr>
                <w:sz w:val="20"/>
                <w:szCs w:val="20"/>
                <w:color w:val="auto"/>
              </w:rPr>
            </w:pPr>
            <w:r>
              <w:rPr>
                <w:rFonts w:ascii="Verdana" w:cs="Verdana" w:eastAsia="Verdana" w:hAnsi="Verdana"/>
                <w:sz w:val="13"/>
                <w:szCs w:val="13"/>
                <w:b w:val="1"/>
                <w:bCs w:val="1"/>
                <w:color w:val="auto"/>
                <w:w w:val="98"/>
              </w:rPr>
              <w:t>(File No.)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960" w:type="dxa"/>
            <w:vAlign w:val="bottom"/>
            <w:gridSpan w:val="3"/>
          </w:tcPr>
          <w:p>
            <w:pPr>
              <w:ind w:left="180"/>
              <w:spacing w:after="0"/>
              <w:rPr>
                <w:sz w:val="20"/>
                <w:szCs w:val="20"/>
                <w:color w:val="auto"/>
              </w:rPr>
            </w:pPr>
            <w:r>
              <w:rPr>
                <w:rFonts w:ascii="Verdana" w:cs="Verdana" w:eastAsia="Verdana" w:hAnsi="Verdana"/>
                <w:sz w:val="13"/>
                <w:szCs w:val="13"/>
                <w:b w:val="1"/>
                <w:bCs w:val="1"/>
                <w:color w:val="auto"/>
                <w:w w:val="95"/>
              </w:rPr>
              <w:t>Filing DateHerewith</w:t>
            </w:r>
          </w:p>
        </w:tc>
        <w:tc>
          <w:tcPr>
            <w:tcW w:w="0" w:type="dxa"/>
            <w:vAlign w:val="bottom"/>
          </w:tcPr>
          <w:p>
            <w:pPr>
              <w:spacing w:after="0"/>
              <w:rPr>
                <w:sz w:val="1"/>
                <w:szCs w:val="1"/>
                <w:color w:val="auto"/>
              </w:rPr>
            </w:pPr>
          </w:p>
        </w:tc>
      </w:tr>
      <w:tr>
        <w:trPr>
          <w:trHeight w:val="215"/>
        </w:trPr>
        <w:tc>
          <w:tcPr>
            <w:tcW w:w="900" w:type="dxa"/>
            <w:vAlign w:val="bottom"/>
            <w:tcBorders>
              <w:top w:val="single" w:sz="8" w:color="auto"/>
            </w:tcBorders>
          </w:tcPr>
          <w:p>
            <w:pPr>
              <w:ind w:left="20"/>
              <w:spacing w:after="0" w:line="215" w:lineRule="exact"/>
              <w:rPr>
                <w:sz w:val="20"/>
                <w:szCs w:val="20"/>
                <w:color w:val="auto"/>
              </w:rPr>
            </w:pPr>
            <w:r>
              <w:rPr>
                <w:rFonts w:ascii="Verdana" w:cs="Verdana" w:eastAsia="Verdana" w:hAnsi="Verdana"/>
                <w:sz w:val="18"/>
                <w:szCs w:val="18"/>
                <w:color w:val="auto"/>
              </w:rPr>
              <w:t>10.24†</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gridSpan w:val="16"/>
          </w:tcPr>
          <w:p>
            <w:pPr>
              <w:spacing w:after="0" w:line="215" w:lineRule="exact"/>
              <w:rPr>
                <w:rFonts w:ascii="Verdana" w:cs="Verdana" w:eastAsia="Verdana" w:hAnsi="Verdana"/>
                <w:sz w:val="18"/>
                <w:szCs w:val="18"/>
                <w:color w:val="0000FF"/>
              </w:rPr>
            </w:pPr>
            <w:hyperlink r:id="rId272">
              <w:r>
                <w:rPr>
                  <w:rFonts w:ascii="Verdana" w:cs="Verdana" w:eastAsia="Verdana" w:hAnsi="Verdana"/>
                  <w:sz w:val="18"/>
                  <w:szCs w:val="18"/>
                  <w:color w:val="0000FF"/>
                </w:rPr>
                <w:t>Form of Restricted Stock Unit Award Agreement</w:t>
              </w:r>
            </w:hyperlink>
          </w:p>
        </w:tc>
        <w:tc>
          <w:tcPr>
            <w:tcW w:w="40" w:type="dxa"/>
            <w:vAlign w:val="bottom"/>
          </w:tcPr>
          <w:p>
            <w:pPr>
              <w:spacing w:after="0"/>
              <w:rPr>
                <w:sz w:val="18"/>
                <w:szCs w:val="18"/>
                <w:color w:val="auto"/>
              </w:rPr>
            </w:pPr>
          </w:p>
        </w:tc>
        <w:tc>
          <w:tcPr>
            <w:tcW w:w="1180" w:type="dxa"/>
            <w:vAlign w:val="bottom"/>
            <w:tcBorders>
              <w:top w:val="single" w:sz="8" w:color="auto"/>
            </w:tcBorders>
          </w:tcPr>
          <w:p>
            <w:pPr>
              <w:jc w:val="center"/>
              <w:ind w:left="54"/>
              <w:spacing w:after="0" w:line="215" w:lineRule="exact"/>
              <w:rPr>
                <w:sz w:val="20"/>
                <w:szCs w:val="20"/>
                <w:color w:val="auto"/>
              </w:rPr>
            </w:pPr>
            <w:r>
              <w:rPr>
                <w:rFonts w:ascii="Verdana" w:cs="Verdana" w:eastAsia="Verdana" w:hAnsi="Verdana"/>
                <w:sz w:val="18"/>
                <w:szCs w:val="18"/>
                <w:color w:val="auto"/>
                <w:w w:val="97"/>
              </w:rPr>
              <w:t>BUSE</w:t>
            </w: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tcPr>
          <w:p>
            <w:pPr>
              <w:jc w:val="center"/>
              <w:spacing w:after="0" w:line="215" w:lineRule="exact"/>
              <w:rPr>
                <w:sz w:val="20"/>
                <w:szCs w:val="20"/>
                <w:color w:val="auto"/>
              </w:rPr>
            </w:pPr>
            <w:r>
              <w:rPr>
                <w:rFonts w:ascii="Verdana" w:cs="Verdana" w:eastAsia="Verdana" w:hAnsi="Verdana"/>
                <w:sz w:val="18"/>
                <w:szCs w:val="18"/>
                <w:color w:val="auto"/>
                <w:w w:val="99"/>
              </w:rPr>
              <w:t>S-8</w:t>
            </w:r>
          </w:p>
        </w:tc>
        <w:tc>
          <w:tcPr>
            <w:tcW w:w="80" w:type="dxa"/>
            <w:vAlign w:val="bottom"/>
          </w:tcPr>
          <w:p>
            <w:pPr>
              <w:spacing w:after="0"/>
              <w:rPr>
                <w:sz w:val="18"/>
                <w:szCs w:val="18"/>
                <w:color w:val="auto"/>
              </w:rPr>
            </w:pPr>
          </w:p>
        </w:tc>
        <w:tc>
          <w:tcPr>
            <w:tcW w:w="1100" w:type="dxa"/>
            <w:vAlign w:val="bottom"/>
            <w:tcBorders>
              <w:top w:val="single" w:sz="8" w:color="auto"/>
            </w:tcBorders>
          </w:tcPr>
          <w:p>
            <w:pPr>
              <w:jc w:val="center"/>
              <w:spacing w:after="0" w:line="215" w:lineRule="exact"/>
              <w:rPr>
                <w:sz w:val="20"/>
                <w:szCs w:val="20"/>
                <w:color w:val="auto"/>
              </w:rPr>
            </w:pPr>
            <w:r>
              <w:rPr>
                <w:rFonts w:ascii="Verdana" w:cs="Verdana" w:eastAsia="Verdana" w:hAnsi="Verdana"/>
                <w:sz w:val="18"/>
                <w:szCs w:val="18"/>
                <w:color w:val="auto"/>
              </w:rPr>
              <w:t>4.5</w:t>
            </w: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spacing w:after="0" w:line="215" w:lineRule="exact"/>
              <w:rPr>
                <w:sz w:val="20"/>
                <w:szCs w:val="20"/>
                <w:color w:val="auto"/>
              </w:rPr>
            </w:pPr>
            <w:r>
              <w:rPr>
                <w:rFonts w:ascii="Verdana" w:cs="Verdana" w:eastAsia="Verdana" w:hAnsi="Verdana"/>
                <w:sz w:val="18"/>
                <w:szCs w:val="18"/>
                <w:color w:val="auto"/>
                <w:w w:val="99"/>
              </w:rPr>
              <w:t>05/29/2020</w:t>
            </w:r>
          </w:p>
        </w:tc>
        <w:tc>
          <w:tcPr>
            <w:tcW w:w="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4"/>
          </w:tcPr>
          <w:p>
            <w:pPr>
              <w:spacing w:after="0" w:line="196" w:lineRule="exact"/>
              <w:rPr>
                <w:rFonts w:ascii="Verdana" w:cs="Verdana" w:eastAsia="Verdana" w:hAnsi="Verdana"/>
                <w:sz w:val="18"/>
                <w:szCs w:val="18"/>
                <w:color w:val="0000FF"/>
              </w:rPr>
            </w:pPr>
            <w:hyperlink r:id="rId272">
              <w:r>
                <w:rPr>
                  <w:rFonts w:ascii="Verdana" w:cs="Verdana" w:eastAsia="Verdana" w:hAnsi="Verdana"/>
                  <w:sz w:val="18"/>
                  <w:szCs w:val="18"/>
                  <w:color w:val="0000FF"/>
                </w:rPr>
                <w:t>under the First Busey Corporation 2020 Equity</w:t>
              </w:r>
            </w:hyperlink>
          </w:p>
        </w:tc>
        <w:tc>
          <w:tcPr>
            <w:tcW w:w="80" w:type="dxa"/>
            <w:vAlign w:val="bottom"/>
            <w:gridSpan w:val="3"/>
          </w:tcPr>
          <w:p>
            <w:pPr>
              <w:spacing w:after="0"/>
              <w:rPr>
                <w:sz w:val="17"/>
                <w:szCs w:val="17"/>
                <w:color w:val="auto"/>
              </w:rPr>
            </w:pPr>
          </w:p>
        </w:tc>
        <w:tc>
          <w:tcPr>
            <w:tcW w:w="1180" w:type="dxa"/>
            <w:vAlign w:val="bottom"/>
          </w:tcPr>
          <w:p>
            <w:pPr>
              <w:jc w:val="center"/>
              <w:ind w:left="54"/>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0000FF"/>
            </w:tcBorders>
            <w:gridSpan w:val="3"/>
          </w:tcPr>
          <w:p>
            <w:pPr>
              <w:spacing w:after="0" w:line="196" w:lineRule="exact"/>
              <w:rPr>
                <w:rFonts w:ascii="Verdana" w:cs="Verdana" w:eastAsia="Verdana" w:hAnsi="Verdana"/>
                <w:sz w:val="18"/>
                <w:szCs w:val="18"/>
                <w:color w:val="0000FF"/>
                <w:w w:val="98"/>
              </w:rPr>
            </w:pPr>
            <w:hyperlink r:id="rId272">
              <w:r>
                <w:rPr>
                  <w:rFonts w:ascii="Verdana" w:cs="Verdana" w:eastAsia="Verdana" w:hAnsi="Verdana"/>
                  <w:sz w:val="18"/>
                  <w:szCs w:val="18"/>
                  <w:color w:val="0000FF"/>
                  <w:w w:val="98"/>
                </w:rPr>
                <w:t>Incentive Plan</w:t>
              </w:r>
            </w:hyperlink>
          </w:p>
        </w:tc>
        <w:tc>
          <w:tcPr>
            <w:tcW w:w="3280" w:type="dxa"/>
            <w:vAlign w:val="bottom"/>
            <w:gridSpan w:val="14"/>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10.25†</w:t>
            </w:r>
          </w:p>
        </w:tc>
        <w:tc>
          <w:tcPr>
            <w:tcW w:w="20" w:type="dxa"/>
            <w:vAlign w:val="bottom"/>
          </w:tcPr>
          <w:p>
            <w:pPr>
              <w:spacing w:after="0"/>
              <w:rPr>
                <w:sz w:val="24"/>
                <w:szCs w:val="24"/>
                <w:color w:val="auto"/>
              </w:rPr>
            </w:pPr>
          </w:p>
        </w:tc>
        <w:tc>
          <w:tcPr>
            <w:tcW w:w="4480" w:type="dxa"/>
            <w:vAlign w:val="bottom"/>
            <w:tcBorders>
              <w:bottom w:val="single" w:sz="8" w:color="0000FF"/>
            </w:tcBorders>
            <w:gridSpan w:val="14"/>
          </w:tcPr>
          <w:p>
            <w:pPr>
              <w:spacing w:after="0"/>
              <w:rPr>
                <w:rFonts w:ascii="Verdana" w:cs="Verdana" w:eastAsia="Verdana" w:hAnsi="Verdana"/>
                <w:sz w:val="18"/>
                <w:szCs w:val="18"/>
                <w:color w:val="0000FF"/>
              </w:rPr>
            </w:pPr>
            <w:hyperlink r:id="rId273">
              <w:r>
                <w:rPr>
                  <w:rFonts w:ascii="Verdana" w:cs="Verdana" w:eastAsia="Verdana" w:hAnsi="Verdana"/>
                  <w:sz w:val="18"/>
                  <w:szCs w:val="18"/>
                  <w:color w:val="0000FF"/>
                </w:rPr>
                <w:t>Form  of  Performance-Based  Restricted  Stock</w:t>
              </w:r>
            </w:hyperlink>
          </w:p>
        </w:tc>
        <w:tc>
          <w:tcPr>
            <w:tcW w:w="80" w:type="dxa"/>
            <w:vAlign w:val="bottom"/>
            <w:gridSpan w:val="3"/>
          </w:tcPr>
          <w:p>
            <w:pPr>
              <w:spacing w:after="0"/>
              <w:rPr>
                <w:sz w:val="24"/>
                <w:szCs w:val="24"/>
                <w:color w:val="auto"/>
              </w:rPr>
            </w:pPr>
          </w:p>
        </w:tc>
        <w:tc>
          <w:tcPr>
            <w:tcW w:w="1180" w:type="dxa"/>
            <w:vAlign w:val="bottom"/>
          </w:tcPr>
          <w:p>
            <w:pPr>
              <w:jc w:val="center"/>
              <w:ind w:left="54"/>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8-K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07/09/2020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17"/>
          </w:tcPr>
          <w:p>
            <w:pPr>
              <w:spacing w:after="0" w:line="196" w:lineRule="exact"/>
              <w:rPr>
                <w:rFonts w:ascii="Verdana" w:cs="Verdana" w:eastAsia="Verdana" w:hAnsi="Verdana"/>
                <w:sz w:val="18"/>
                <w:szCs w:val="18"/>
                <w:color w:val="0000FF"/>
              </w:rPr>
            </w:pPr>
            <w:hyperlink r:id="rId273">
              <w:r>
                <w:rPr>
                  <w:rFonts w:ascii="Verdana" w:cs="Verdana" w:eastAsia="Verdana" w:hAnsi="Verdana"/>
                  <w:sz w:val="18"/>
                  <w:szCs w:val="18"/>
                  <w:color w:val="0000FF"/>
                </w:rPr>
                <w:t>Unit Award Agreement under the First Busey</w:t>
              </w:r>
            </w:hyperlink>
          </w:p>
        </w:tc>
        <w:tc>
          <w:tcPr>
            <w:tcW w:w="1180" w:type="dxa"/>
            <w:vAlign w:val="bottom"/>
          </w:tcPr>
          <w:p>
            <w:pPr>
              <w:jc w:val="center"/>
              <w:ind w:left="54"/>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top w:val="single" w:sz="8" w:color="0000FF"/>
            </w:tcBorders>
            <w:gridSpan w:val="12"/>
          </w:tcPr>
          <w:p>
            <w:pPr>
              <w:spacing w:after="0" w:line="196" w:lineRule="exact"/>
              <w:rPr>
                <w:rFonts w:ascii="Verdana" w:cs="Verdana" w:eastAsia="Verdana" w:hAnsi="Verdana"/>
                <w:sz w:val="18"/>
                <w:szCs w:val="18"/>
                <w:color w:val="0000FF"/>
              </w:rPr>
            </w:pPr>
            <w:hyperlink r:id="rId273">
              <w:r>
                <w:rPr>
                  <w:rFonts w:ascii="Verdana" w:cs="Verdana" w:eastAsia="Verdana" w:hAnsi="Verdana"/>
                  <w:sz w:val="18"/>
                  <w:szCs w:val="18"/>
                  <w:color w:val="0000FF"/>
                </w:rPr>
                <w:t>Corporation 2020 Equity Incentive Plan</w:t>
              </w:r>
            </w:hyperlink>
          </w:p>
        </w:tc>
        <w:tc>
          <w:tcPr>
            <w:tcW w:w="120" w:type="dxa"/>
            <w:vAlign w:val="bottom"/>
            <w:gridSpan w:val="5"/>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10.26†</w:t>
            </w:r>
          </w:p>
        </w:tc>
        <w:tc>
          <w:tcPr>
            <w:tcW w:w="20" w:type="dxa"/>
            <w:vAlign w:val="bottom"/>
          </w:tcPr>
          <w:p>
            <w:pPr>
              <w:spacing w:after="0"/>
              <w:rPr>
                <w:sz w:val="24"/>
                <w:szCs w:val="24"/>
                <w:color w:val="auto"/>
              </w:rPr>
            </w:pPr>
          </w:p>
        </w:tc>
        <w:tc>
          <w:tcPr>
            <w:tcW w:w="4480" w:type="dxa"/>
            <w:vAlign w:val="bottom"/>
            <w:tcBorders>
              <w:bottom w:val="single" w:sz="8" w:color="0000FF"/>
            </w:tcBorders>
            <w:gridSpan w:val="14"/>
          </w:tcPr>
          <w:p>
            <w:pPr>
              <w:spacing w:after="0"/>
              <w:rPr>
                <w:rFonts w:ascii="Verdana" w:cs="Verdana" w:eastAsia="Verdana" w:hAnsi="Verdana"/>
                <w:sz w:val="18"/>
                <w:szCs w:val="18"/>
                <w:color w:val="0000FF"/>
              </w:rPr>
            </w:pPr>
            <w:hyperlink r:id="rId274">
              <w:r>
                <w:rPr>
                  <w:rFonts w:ascii="Verdana" w:cs="Verdana" w:eastAsia="Verdana" w:hAnsi="Verdana"/>
                  <w:sz w:val="18"/>
                  <w:szCs w:val="18"/>
                  <w:color w:val="0000FF"/>
                </w:rPr>
                <w:t>Form  of  Director  Deferred  Stock  Unit  Award</w:t>
              </w:r>
            </w:hyperlink>
          </w:p>
        </w:tc>
        <w:tc>
          <w:tcPr>
            <w:tcW w:w="80" w:type="dxa"/>
            <w:vAlign w:val="bottom"/>
            <w:gridSpan w:val="3"/>
          </w:tcPr>
          <w:p>
            <w:pPr>
              <w:spacing w:after="0"/>
              <w:rPr>
                <w:sz w:val="24"/>
                <w:szCs w:val="24"/>
                <w:color w:val="auto"/>
              </w:rPr>
            </w:pPr>
          </w:p>
        </w:tc>
        <w:tc>
          <w:tcPr>
            <w:tcW w:w="1180" w:type="dxa"/>
            <w:vAlign w:val="bottom"/>
          </w:tcPr>
          <w:p>
            <w:pPr>
              <w:jc w:val="center"/>
              <w:ind w:left="54"/>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Verdana" w:cs="Verdana" w:eastAsia="Verdana" w:hAnsi="Verdana"/>
                <w:sz w:val="18"/>
                <w:szCs w:val="18"/>
                <w:color w:val="auto"/>
              </w:rPr>
              <w:t>10-Q</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08/06/2020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15"/>
          </w:tcPr>
          <w:p>
            <w:pPr>
              <w:spacing w:after="0" w:line="196" w:lineRule="exact"/>
              <w:rPr>
                <w:rFonts w:ascii="Verdana" w:cs="Verdana" w:eastAsia="Verdana" w:hAnsi="Verdana"/>
                <w:sz w:val="18"/>
                <w:szCs w:val="18"/>
                <w:color w:val="0000FF"/>
              </w:rPr>
            </w:pPr>
            <w:hyperlink r:id="rId274">
              <w:r>
                <w:rPr>
                  <w:rFonts w:ascii="Verdana" w:cs="Verdana" w:eastAsia="Verdana" w:hAnsi="Verdana"/>
                  <w:sz w:val="18"/>
                  <w:szCs w:val="18"/>
                  <w:color w:val="0000FF"/>
                </w:rPr>
                <w:t>Agreement under the First Busey Corporation</w:t>
              </w:r>
            </w:hyperlink>
          </w:p>
        </w:tc>
        <w:tc>
          <w:tcPr>
            <w:tcW w:w="60" w:type="dxa"/>
            <w:vAlign w:val="bottom"/>
            <w:gridSpan w:val="2"/>
          </w:tcPr>
          <w:p>
            <w:pPr>
              <w:spacing w:after="0"/>
              <w:rPr>
                <w:sz w:val="17"/>
                <w:szCs w:val="17"/>
                <w:color w:val="auto"/>
              </w:rPr>
            </w:pPr>
          </w:p>
        </w:tc>
        <w:tc>
          <w:tcPr>
            <w:tcW w:w="1180" w:type="dxa"/>
            <w:vAlign w:val="bottom"/>
          </w:tcPr>
          <w:p>
            <w:pPr>
              <w:jc w:val="center"/>
              <w:ind w:left="54"/>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17"/>
          </w:tcPr>
          <w:p>
            <w:pPr>
              <w:spacing w:after="0" w:line="196" w:lineRule="exact"/>
              <w:rPr>
                <w:rFonts w:ascii="Verdana" w:cs="Verdana" w:eastAsia="Verdana" w:hAnsi="Verdana"/>
                <w:sz w:val="18"/>
                <w:szCs w:val="18"/>
                <w:color w:val="0000FF"/>
              </w:rPr>
            </w:pPr>
            <w:hyperlink r:id="rId274">
              <w:r>
                <w:rPr>
                  <w:rFonts w:ascii="Verdana" w:cs="Verdana" w:eastAsia="Verdana" w:hAnsi="Verdana"/>
                  <w:sz w:val="18"/>
                  <w:szCs w:val="18"/>
                  <w:color w:val="0000FF"/>
                </w:rPr>
                <w:t>2020 Equity Incentive Plan</w:t>
              </w:r>
            </w:hyperlink>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10.27†</w:t>
            </w:r>
          </w:p>
        </w:tc>
        <w:tc>
          <w:tcPr>
            <w:tcW w:w="20" w:type="dxa"/>
            <w:vAlign w:val="bottom"/>
          </w:tcPr>
          <w:p>
            <w:pPr>
              <w:spacing w:after="0"/>
              <w:rPr>
                <w:sz w:val="24"/>
                <w:szCs w:val="24"/>
                <w:color w:val="auto"/>
              </w:rPr>
            </w:pPr>
          </w:p>
        </w:tc>
        <w:tc>
          <w:tcPr>
            <w:tcW w:w="4560" w:type="dxa"/>
            <w:vAlign w:val="bottom"/>
            <w:gridSpan w:val="17"/>
          </w:tcPr>
          <w:p>
            <w:pPr>
              <w:spacing w:after="0"/>
              <w:rPr>
                <w:rFonts w:ascii="Verdana" w:cs="Verdana" w:eastAsia="Verdana" w:hAnsi="Verdana"/>
                <w:sz w:val="18"/>
                <w:szCs w:val="18"/>
                <w:color w:val="0000FF"/>
              </w:rPr>
            </w:pPr>
            <w:hyperlink r:id="rId275">
              <w:r>
                <w:rPr>
                  <w:rFonts w:ascii="Verdana" w:cs="Verdana" w:eastAsia="Verdana" w:hAnsi="Verdana"/>
                  <w:sz w:val="18"/>
                  <w:szCs w:val="18"/>
                  <w:color w:val="0000FF"/>
                </w:rPr>
                <w:t>First Busey Corporation 2021 Employee Stock</w:t>
              </w:r>
            </w:hyperlink>
          </w:p>
        </w:tc>
        <w:tc>
          <w:tcPr>
            <w:tcW w:w="1180" w:type="dxa"/>
            <w:vAlign w:val="bottom"/>
          </w:tcPr>
          <w:p>
            <w:pPr>
              <w:jc w:val="center"/>
              <w:ind w:left="54"/>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Verdana" w:cs="Verdana" w:eastAsia="Verdana" w:hAnsi="Verdana"/>
                <w:sz w:val="18"/>
                <w:szCs w:val="18"/>
                <w:color w:val="auto"/>
              </w:rPr>
              <w:t>DEF 14A</w:t>
            </w:r>
          </w:p>
        </w:tc>
        <w:tc>
          <w:tcPr>
            <w:tcW w:w="118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Appendix A</w:t>
            </w: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04/08/2021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2"/>
          </w:tcPr>
          <w:p>
            <w:pPr>
              <w:spacing w:after="0" w:line="196" w:lineRule="exact"/>
              <w:rPr>
                <w:rFonts w:ascii="Verdana" w:cs="Verdana" w:eastAsia="Verdana" w:hAnsi="Verdana"/>
                <w:sz w:val="18"/>
                <w:szCs w:val="18"/>
                <w:color w:val="0000FF"/>
                <w:w w:val="98"/>
              </w:rPr>
            </w:pPr>
            <w:hyperlink r:id="rId275">
              <w:r>
                <w:rPr>
                  <w:rFonts w:ascii="Verdana" w:cs="Verdana" w:eastAsia="Verdana" w:hAnsi="Verdana"/>
                  <w:sz w:val="18"/>
                  <w:szCs w:val="18"/>
                  <w:color w:val="0000FF"/>
                  <w:w w:val="98"/>
                </w:rPr>
                <w:t>Purchase Plan</w:t>
              </w:r>
            </w:hyperlink>
          </w:p>
        </w:tc>
        <w:tc>
          <w:tcPr>
            <w:tcW w:w="3180" w:type="dxa"/>
            <w:vAlign w:val="bottom"/>
            <w:tcBorders>
              <w:top w:val="single" w:sz="8" w:color="0000FF"/>
            </w:tcBorders>
            <w:gridSpan w:val="10"/>
          </w:tcPr>
          <w:p>
            <w:pPr>
              <w:spacing w:after="0"/>
              <w:rPr>
                <w:sz w:val="17"/>
                <w:szCs w:val="17"/>
                <w:color w:val="auto"/>
              </w:rPr>
            </w:pPr>
          </w:p>
        </w:tc>
        <w:tc>
          <w:tcPr>
            <w:tcW w:w="120" w:type="dxa"/>
            <w:vAlign w:val="bottom"/>
            <w:gridSpan w:val="5"/>
          </w:tcPr>
          <w:p>
            <w:pPr>
              <w:spacing w:after="0"/>
              <w:rPr>
                <w:sz w:val="17"/>
                <w:szCs w:val="17"/>
                <w:color w:val="auto"/>
              </w:rPr>
            </w:pPr>
          </w:p>
        </w:tc>
        <w:tc>
          <w:tcPr>
            <w:tcW w:w="1180" w:type="dxa"/>
            <w:vAlign w:val="bottom"/>
          </w:tcPr>
          <w:p>
            <w:pPr>
              <w:jc w:val="center"/>
              <w:ind w:left="54"/>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10.28†</w:t>
            </w:r>
          </w:p>
        </w:tc>
        <w:tc>
          <w:tcPr>
            <w:tcW w:w="20" w:type="dxa"/>
            <w:vAlign w:val="bottom"/>
          </w:tcPr>
          <w:p>
            <w:pPr>
              <w:spacing w:after="0"/>
              <w:rPr>
                <w:sz w:val="24"/>
                <w:szCs w:val="24"/>
                <w:color w:val="auto"/>
              </w:rPr>
            </w:pPr>
          </w:p>
        </w:tc>
        <w:tc>
          <w:tcPr>
            <w:tcW w:w="4480" w:type="dxa"/>
            <w:vAlign w:val="bottom"/>
            <w:tcBorders>
              <w:bottom w:val="single" w:sz="8" w:color="0000FF"/>
            </w:tcBorders>
            <w:gridSpan w:val="14"/>
          </w:tcPr>
          <w:p>
            <w:pPr>
              <w:spacing w:after="0"/>
              <w:rPr>
                <w:rFonts w:ascii="Verdana" w:cs="Verdana" w:eastAsia="Verdana" w:hAnsi="Verdana"/>
                <w:sz w:val="18"/>
                <w:szCs w:val="18"/>
                <w:color w:val="0000FF"/>
                <w:w w:val="99"/>
              </w:rPr>
            </w:pPr>
            <w:hyperlink r:id="rId276">
              <w:r>
                <w:rPr>
                  <w:rFonts w:ascii="Verdana" w:cs="Verdana" w:eastAsia="Verdana" w:hAnsi="Verdana"/>
                  <w:sz w:val="18"/>
                  <w:szCs w:val="18"/>
                  <w:color w:val="0000FF"/>
                  <w:w w:val="99"/>
                </w:rPr>
                <w:t>Gregory B. Lykins Letter of Understanding, dated</w:t>
              </w:r>
            </w:hyperlink>
          </w:p>
        </w:tc>
        <w:tc>
          <w:tcPr>
            <w:tcW w:w="80" w:type="dxa"/>
            <w:vAlign w:val="bottom"/>
            <w:gridSpan w:val="3"/>
          </w:tcPr>
          <w:p>
            <w:pPr>
              <w:spacing w:after="0"/>
              <w:rPr>
                <w:sz w:val="24"/>
                <w:szCs w:val="24"/>
                <w:color w:val="auto"/>
              </w:rPr>
            </w:pPr>
          </w:p>
        </w:tc>
        <w:tc>
          <w:tcPr>
            <w:tcW w:w="1180" w:type="dxa"/>
            <w:vAlign w:val="bottom"/>
          </w:tcPr>
          <w:p>
            <w:pPr>
              <w:jc w:val="center"/>
              <w:ind w:left="54"/>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Verdana" w:cs="Verdana" w:eastAsia="Verdana" w:hAnsi="Verdana"/>
                <w:sz w:val="18"/>
                <w:szCs w:val="18"/>
                <w:color w:val="auto"/>
              </w:rPr>
              <w:t>10-Q</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9"/>
              </w:rPr>
              <w:t>10.33</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05/06/2021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0000FF"/>
            </w:tcBorders>
          </w:tcPr>
          <w:p>
            <w:pPr>
              <w:spacing w:after="0" w:line="196" w:lineRule="exact"/>
              <w:rPr>
                <w:rFonts w:ascii="Verdana" w:cs="Verdana" w:eastAsia="Verdana" w:hAnsi="Verdana"/>
                <w:sz w:val="18"/>
                <w:szCs w:val="18"/>
                <w:color w:val="0000FF"/>
                <w:w w:val="98"/>
              </w:rPr>
            </w:pPr>
            <w:hyperlink r:id="rId276">
              <w:r>
                <w:rPr>
                  <w:rFonts w:ascii="Verdana" w:cs="Verdana" w:eastAsia="Verdana" w:hAnsi="Verdana"/>
                  <w:sz w:val="18"/>
                  <w:szCs w:val="18"/>
                  <w:color w:val="0000FF"/>
                  <w:w w:val="98"/>
                </w:rPr>
                <w:t>April 1, 2021</w:t>
              </w:r>
            </w:hyperlink>
          </w:p>
        </w:tc>
        <w:tc>
          <w:tcPr>
            <w:tcW w:w="3380" w:type="dxa"/>
            <w:vAlign w:val="bottom"/>
            <w:gridSpan w:val="16"/>
          </w:tcPr>
          <w:p>
            <w:pPr>
              <w:spacing w:after="0"/>
              <w:rPr>
                <w:sz w:val="17"/>
                <w:szCs w:val="17"/>
                <w:color w:val="auto"/>
              </w:rPr>
            </w:pPr>
          </w:p>
        </w:tc>
        <w:tc>
          <w:tcPr>
            <w:tcW w:w="1180" w:type="dxa"/>
            <w:vAlign w:val="bottom"/>
          </w:tcPr>
          <w:p>
            <w:pPr>
              <w:jc w:val="center"/>
              <w:ind w:left="54"/>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00" w:type="dxa"/>
            <w:vAlign w:val="bottom"/>
          </w:tcPr>
          <w:p>
            <w:pPr>
              <w:ind w:left="20"/>
              <w:spacing w:after="0"/>
              <w:rPr>
                <w:sz w:val="20"/>
                <w:szCs w:val="20"/>
                <w:color w:val="auto"/>
              </w:rPr>
            </w:pPr>
            <w:r>
              <w:rPr>
                <w:rFonts w:ascii="Verdana" w:cs="Verdana" w:eastAsia="Verdana" w:hAnsi="Verdana"/>
                <w:sz w:val="18"/>
                <w:szCs w:val="18"/>
                <w:color w:val="auto"/>
              </w:rPr>
              <w:t>10.29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FF"/>
            </w:tcBorders>
            <w:gridSpan w:val="14"/>
          </w:tcPr>
          <w:p>
            <w:pPr>
              <w:spacing w:after="0"/>
              <w:rPr>
                <w:rFonts w:ascii="Verdana" w:cs="Verdana" w:eastAsia="Verdana" w:hAnsi="Verdana"/>
                <w:sz w:val="18"/>
                <w:szCs w:val="18"/>
                <w:color w:val="0000FF"/>
              </w:rPr>
            </w:pPr>
            <w:hyperlink r:id="rId277">
              <w:r>
                <w:rPr>
                  <w:rFonts w:ascii="Verdana" w:cs="Verdana" w:eastAsia="Verdana" w:hAnsi="Verdana"/>
                  <w:sz w:val="18"/>
                  <w:szCs w:val="18"/>
                  <w:color w:val="0000FF"/>
                </w:rPr>
                <w:t>Second   Amended   and   Restated   Credit</w:t>
              </w:r>
            </w:hyperlink>
          </w:p>
        </w:tc>
        <w:tc>
          <w:tcPr>
            <w:tcW w:w="80" w:type="dxa"/>
            <w:vAlign w:val="bottom"/>
            <w:gridSpan w:val="3"/>
          </w:tcPr>
          <w:p>
            <w:pPr>
              <w:spacing w:after="0"/>
              <w:rPr>
                <w:sz w:val="24"/>
                <w:szCs w:val="24"/>
                <w:color w:val="auto"/>
              </w:rPr>
            </w:pPr>
          </w:p>
        </w:tc>
        <w:tc>
          <w:tcPr>
            <w:tcW w:w="1180" w:type="dxa"/>
            <w:vAlign w:val="bottom"/>
          </w:tcPr>
          <w:p>
            <w:pPr>
              <w:jc w:val="center"/>
              <w:ind w:left="54"/>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8-K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9"/>
              </w:rPr>
              <w:t>10.34</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06/02/2021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4"/>
          </w:tcPr>
          <w:p>
            <w:pPr>
              <w:spacing w:after="0" w:line="196" w:lineRule="exact"/>
              <w:rPr>
                <w:rFonts w:ascii="Verdana" w:cs="Verdana" w:eastAsia="Verdana" w:hAnsi="Verdana"/>
                <w:sz w:val="18"/>
                <w:szCs w:val="18"/>
                <w:color w:val="0000FF"/>
              </w:rPr>
            </w:pPr>
            <w:hyperlink r:id="rId277">
              <w:r>
                <w:rPr>
                  <w:rFonts w:ascii="Verdana" w:cs="Verdana" w:eastAsia="Verdana" w:hAnsi="Verdana"/>
                  <w:sz w:val="18"/>
                  <w:szCs w:val="18"/>
                  <w:color w:val="0000FF"/>
                </w:rPr>
                <w:t>Agreement, dated as of May 28, 2021, by and</w:t>
              </w:r>
            </w:hyperlink>
          </w:p>
        </w:tc>
        <w:tc>
          <w:tcPr>
            <w:tcW w:w="80" w:type="dxa"/>
            <w:vAlign w:val="bottom"/>
            <w:gridSpan w:val="3"/>
          </w:tcPr>
          <w:p>
            <w:pPr>
              <w:spacing w:after="0"/>
              <w:rPr>
                <w:sz w:val="17"/>
                <w:szCs w:val="17"/>
                <w:color w:val="auto"/>
              </w:rPr>
            </w:pPr>
          </w:p>
        </w:tc>
        <w:tc>
          <w:tcPr>
            <w:tcW w:w="1180" w:type="dxa"/>
            <w:vAlign w:val="bottom"/>
          </w:tcPr>
          <w:p>
            <w:pPr>
              <w:jc w:val="center"/>
              <w:ind w:left="54"/>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4"/>
          </w:tcPr>
          <w:p>
            <w:pPr>
              <w:spacing w:after="0" w:line="196" w:lineRule="exact"/>
              <w:rPr>
                <w:rFonts w:ascii="Verdana" w:cs="Verdana" w:eastAsia="Verdana" w:hAnsi="Verdana"/>
                <w:sz w:val="18"/>
                <w:szCs w:val="18"/>
                <w:color w:val="0000FF"/>
              </w:rPr>
            </w:pPr>
            <w:hyperlink r:id="rId277">
              <w:r>
                <w:rPr>
                  <w:rFonts w:ascii="Verdana" w:cs="Verdana" w:eastAsia="Verdana" w:hAnsi="Verdana"/>
                  <w:sz w:val="18"/>
                  <w:szCs w:val="18"/>
                  <w:color w:val="0000FF"/>
                </w:rPr>
                <w:t>between First Busey Corporation and U.S. Bank</w:t>
              </w:r>
            </w:hyperlink>
          </w:p>
        </w:tc>
        <w:tc>
          <w:tcPr>
            <w:tcW w:w="8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FF"/>
            </w:tcBorders>
            <w:gridSpan w:val="5"/>
          </w:tcPr>
          <w:p>
            <w:pPr>
              <w:spacing w:after="0" w:line="196" w:lineRule="exact"/>
              <w:rPr>
                <w:rFonts w:ascii="Verdana" w:cs="Verdana" w:eastAsia="Verdana" w:hAnsi="Verdana"/>
                <w:sz w:val="18"/>
                <w:szCs w:val="18"/>
                <w:color w:val="0000FF"/>
                <w:w w:val="98"/>
              </w:rPr>
            </w:pPr>
            <w:hyperlink r:id="rId277">
              <w:r>
                <w:rPr>
                  <w:rFonts w:ascii="Verdana" w:cs="Verdana" w:eastAsia="Verdana" w:hAnsi="Verdana"/>
                  <w:sz w:val="18"/>
                  <w:szCs w:val="18"/>
                  <w:color w:val="0000FF"/>
                  <w:w w:val="98"/>
                </w:rPr>
                <w:t>National Association</w:t>
              </w:r>
            </w:hyperlink>
          </w:p>
        </w:tc>
        <w:tc>
          <w:tcPr>
            <w:tcW w:w="2740" w:type="dxa"/>
            <w:vAlign w:val="bottom"/>
            <w:gridSpan w:val="12"/>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10.30†</w:t>
            </w:r>
          </w:p>
        </w:tc>
        <w:tc>
          <w:tcPr>
            <w:tcW w:w="20" w:type="dxa"/>
            <w:vAlign w:val="bottom"/>
          </w:tcPr>
          <w:p>
            <w:pPr>
              <w:spacing w:after="0"/>
              <w:rPr>
                <w:sz w:val="24"/>
                <w:szCs w:val="24"/>
                <w:color w:val="auto"/>
              </w:rPr>
            </w:pPr>
          </w:p>
        </w:tc>
        <w:tc>
          <w:tcPr>
            <w:tcW w:w="4560" w:type="dxa"/>
            <w:vAlign w:val="bottom"/>
            <w:gridSpan w:val="17"/>
          </w:tcPr>
          <w:p>
            <w:pPr>
              <w:spacing w:after="0"/>
              <w:rPr>
                <w:rFonts w:ascii="Verdana" w:cs="Verdana" w:eastAsia="Verdana" w:hAnsi="Verdana"/>
                <w:sz w:val="18"/>
                <w:szCs w:val="18"/>
                <w:color w:val="0000FF"/>
              </w:rPr>
            </w:pPr>
            <w:hyperlink r:id="rId278">
              <w:r>
                <w:rPr>
                  <w:rFonts w:ascii="Verdana" w:cs="Verdana" w:eastAsia="Verdana" w:hAnsi="Verdana"/>
                  <w:sz w:val="18"/>
                  <w:szCs w:val="18"/>
                  <w:color w:val="0000FF"/>
                </w:rPr>
                <w:t>First Busey Profit Sharing Plan and Trust (as</w:t>
              </w:r>
            </w:hyperlink>
          </w:p>
        </w:tc>
        <w:tc>
          <w:tcPr>
            <w:tcW w:w="1180" w:type="dxa"/>
            <w:vAlign w:val="bottom"/>
          </w:tcPr>
          <w:p>
            <w:pPr>
              <w:jc w:val="center"/>
              <w:ind w:left="54"/>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rPr>
              <w:t>10-K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9"/>
              </w:rPr>
              <w:t>10.30</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02/23/2023</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9"/>
          </w:tcPr>
          <w:p>
            <w:pPr>
              <w:spacing w:after="0" w:line="196" w:lineRule="exact"/>
              <w:rPr>
                <w:rFonts w:ascii="Verdana" w:cs="Verdana" w:eastAsia="Verdana" w:hAnsi="Verdana"/>
                <w:sz w:val="18"/>
                <w:szCs w:val="18"/>
                <w:color w:val="0000FF"/>
                <w:w w:val="99"/>
              </w:rPr>
            </w:pPr>
            <w:hyperlink r:id="rId278">
              <w:r>
                <w:rPr>
                  <w:rFonts w:ascii="Verdana" w:cs="Verdana" w:eastAsia="Verdana" w:hAnsi="Verdana"/>
                  <w:sz w:val="18"/>
                  <w:szCs w:val="18"/>
                  <w:color w:val="0000FF"/>
                  <w:w w:val="99"/>
                </w:rPr>
                <w:t>amended and restated January 1, 2022)</w:t>
              </w:r>
            </w:hyperlink>
          </w:p>
        </w:tc>
        <w:tc>
          <w:tcPr>
            <w:tcW w:w="780" w:type="dxa"/>
            <w:vAlign w:val="bottom"/>
            <w:tcBorders>
              <w:top w:val="single" w:sz="8" w:color="0000FF"/>
            </w:tcBorders>
            <w:gridSpan w:val="3"/>
          </w:tcPr>
          <w:p>
            <w:pPr>
              <w:spacing w:after="0"/>
              <w:rPr>
                <w:sz w:val="17"/>
                <w:szCs w:val="17"/>
                <w:color w:val="auto"/>
              </w:rPr>
            </w:pPr>
          </w:p>
        </w:tc>
        <w:tc>
          <w:tcPr>
            <w:tcW w:w="120" w:type="dxa"/>
            <w:vAlign w:val="bottom"/>
            <w:gridSpan w:val="5"/>
          </w:tcPr>
          <w:p>
            <w:pPr>
              <w:spacing w:after="0"/>
              <w:rPr>
                <w:sz w:val="17"/>
                <w:szCs w:val="17"/>
                <w:color w:val="auto"/>
              </w:rPr>
            </w:pPr>
          </w:p>
        </w:tc>
        <w:tc>
          <w:tcPr>
            <w:tcW w:w="1180" w:type="dxa"/>
            <w:vAlign w:val="bottom"/>
          </w:tcPr>
          <w:p>
            <w:pPr>
              <w:jc w:val="center"/>
              <w:ind w:left="54"/>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80" w:type="dxa"/>
            <w:vAlign w:val="bottom"/>
            <w:gridSpan w:val="2"/>
          </w:tcPr>
          <w:p>
            <w:pPr>
              <w:ind w:left="20"/>
              <w:spacing w:after="0"/>
              <w:rPr>
                <w:sz w:val="20"/>
                <w:szCs w:val="20"/>
                <w:color w:val="auto"/>
              </w:rPr>
            </w:pPr>
            <w:r>
              <w:rPr>
                <w:rFonts w:ascii="Verdana" w:cs="Verdana" w:eastAsia="Verdana" w:hAnsi="Verdana"/>
                <w:sz w:val="18"/>
                <w:szCs w:val="18"/>
                <w:color w:val="auto"/>
              </w:rPr>
              <w:t>10.31†</w:t>
            </w:r>
          </w:p>
        </w:tc>
        <w:tc>
          <w:tcPr>
            <w:tcW w:w="20" w:type="dxa"/>
            <w:vAlign w:val="bottom"/>
          </w:tcPr>
          <w:p>
            <w:pPr>
              <w:spacing w:after="0"/>
              <w:rPr>
                <w:sz w:val="24"/>
                <w:szCs w:val="24"/>
                <w:color w:val="auto"/>
              </w:rPr>
            </w:pPr>
          </w:p>
        </w:tc>
        <w:tc>
          <w:tcPr>
            <w:tcW w:w="4560" w:type="dxa"/>
            <w:vAlign w:val="bottom"/>
            <w:gridSpan w:val="17"/>
          </w:tcPr>
          <w:p>
            <w:pPr>
              <w:spacing w:after="0"/>
              <w:rPr>
                <w:rFonts w:ascii="Verdana" w:cs="Verdana" w:eastAsia="Verdana" w:hAnsi="Verdana"/>
                <w:sz w:val="18"/>
                <w:szCs w:val="18"/>
                <w:color w:val="0000FF"/>
              </w:rPr>
            </w:pPr>
            <w:hyperlink r:id="rId279">
              <w:r>
                <w:rPr>
                  <w:rFonts w:ascii="Verdana" w:cs="Verdana" w:eastAsia="Verdana" w:hAnsi="Verdana"/>
                  <w:sz w:val="18"/>
                  <w:szCs w:val="18"/>
                  <w:color w:val="0000FF"/>
                </w:rPr>
                <w:t>Separation Letter, dated as of October 20, 2023</w:t>
              </w:r>
            </w:hyperlink>
          </w:p>
        </w:tc>
        <w:tc>
          <w:tcPr>
            <w:tcW w:w="1180" w:type="dxa"/>
            <w:vAlign w:val="bottom"/>
          </w:tcPr>
          <w:p>
            <w:pPr>
              <w:jc w:val="center"/>
              <w:ind w:left="54"/>
              <w:spacing w:after="0"/>
              <w:rPr>
                <w:sz w:val="20"/>
                <w:szCs w:val="20"/>
                <w:color w:val="auto"/>
              </w:rPr>
            </w:pPr>
            <w:r>
              <w:rPr>
                <w:rFonts w:ascii="Verdana" w:cs="Verdana" w:eastAsia="Verdana" w:hAnsi="Verdana"/>
                <w:sz w:val="18"/>
                <w:szCs w:val="18"/>
                <w:color w:val="auto"/>
                <w:w w:val="97"/>
              </w:rPr>
              <w:t>BUSE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60"/>
              <w:spacing w:after="0"/>
              <w:rPr>
                <w:sz w:val="20"/>
                <w:szCs w:val="20"/>
                <w:color w:val="auto"/>
              </w:rPr>
            </w:pPr>
            <w:r>
              <w:rPr>
                <w:rFonts w:ascii="Verdana" w:cs="Verdana" w:eastAsia="Verdana" w:hAnsi="Verdana"/>
                <w:sz w:val="18"/>
                <w:szCs w:val="18"/>
                <w:color w:val="auto"/>
                <w:w w:val="99"/>
              </w:rPr>
              <w:t>8-K</w:t>
            </w:r>
          </w:p>
        </w:tc>
        <w:tc>
          <w:tcPr>
            <w:tcW w:w="1100" w:type="dxa"/>
            <w:vAlign w:val="bottom"/>
          </w:tcPr>
          <w:p>
            <w:pPr>
              <w:jc w:val="center"/>
              <w:spacing w:after="0"/>
              <w:rPr>
                <w:sz w:val="20"/>
                <w:szCs w:val="20"/>
                <w:color w:val="auto"/>
              </w:rPr>
            </w:pPr>
            <w:r>
              <w:rPr>
                <w:rFonts w:ascii="Verdana" w:cs="Verdana" w:eastAsia="Verdana" w:hAnsi="Verdana"/>
                <w:sz w:val="18"/>
                <w:szCs w:val="18"/>
                <w:color w:val="auto"/>
                <w:w w:val="97"/>
              </w:rPr>
              <w:t>10.1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9"/>
              </w:rPr>
              <w:t>10/24/2023</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17"/>
          </w:tcPr>
          <w:p>
            <w:pPr>
              <w:spacing w:after="0" w:line="196" w:lineRule="exact"/>
              <w:rPr>
                <w:rFonts w:ascii="Verdana" w:cs="Verdana" w:eastAsia="Verdana" w:hAnsi="Verdana"/>
                <w:sz w:val="18"/>
                <w:szCs w:val="18"/>
                <w:color w:val="0000FF"/>
              </w:rPr>
            </w:pPr>
            <w:hyperlink r:id="rId279">
              <w:r>
                <w:rPr>
                  <w:rFonts w:ascii="Verdana" w:cs="Verdana" w:eastAsia="Verdana" w:hAnsi="Verdana"/>
                  <w:sz w:val="18"/>
                  <w:szCs w:val="18"/>
                  <w:color w:val="0000FF"/>
                </w:rPr>
                <w:t>between First Busey Corporation, Busey Bank,</w:t>
              </w:r>
            </w:hyperlink>
          </w:p>
        </w:tc>
        <w:tc>
          <w:tcPr>
            <w:tcW w:w="1180" w:type="dxa"/>
            <w:vAlign w:val="bottom"/>
          </w:tcPr>
          <w:p>
            <w:pPr>
              <w:jc w:val="center"/>
              <w:ind w:left="54"/>
              <w:spacing w:after="0" w:line="196" w:lineRule="exact"/>
              <w:rPr>
                <w:sz w:val="20"/>
                <w:szCs w:val="20"/>
                <w:color w:val="auto"/>
              </w:rPr>
            </w:pPr>
            <w:r>
              <w:rPr>
                <w:rFonts w:ascii="Verdana" w:cs="Verdana" w:eastAsia="Verdana" w:hAnsi="Verdana"/>
                <w:sz w:val="18"/>
                <w:szCs w:val="18"/>
                <w:color w:val="auto"/>
                <w:w w:val="98"/>
              </w:rPr>
              <w:t>(0-15950)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top w:val="single" w:sz="8" w:color="0000FF"/>
              <w:bottom w:val="single" w:sz="8" w:color="0000FF"/>
            </w:tcBorders>
            <w:gridSpan w:val="4"/>
          </w:tcPr>
          <w:p>
            <w:pPr>
              <w:spacing w:after="0" w:line="196" w:lineRule="exact"/>
              <w:rPr>
                <w:rFonts w:ascii="Verdana" w:cs="Verdana" w:eastAsia="Verdana" w:hAnsi="Verdana"/>
                <w:sz w:val="18"/>
                <w:szCs w:val="18"/>
                <w:color w:val="0000FF"/>
                <w:w w:val="98"/>
              </w:rPr>
            </w:pPr>
            <w:hyperlink r:id="rId279">
              <w:r>
                <w:rPr>
                  <w:rFonts w:ascii="Verdana" w:cs="Verdana" w:eastAsia="Verdana" w:hAnsi="Verdana"/>
                  <w:sz w:val="18"/>
                  <w:szCs w:val="18"/>
                  <w:color w:val="0000FF"/>
                  <w:w w:val="98"/>
                </w:rPr>
                <w:t>and Robin N. Elliott</w:t>
              </w:r>
            </w:hyperlink>
          </w:p>
        </w:tc>
        <w:tc>
          <w:tcPr>
            <w:tcW w:w="2700" w:type="dxa"/>
            <w:vAlign w:val="bottom"/>
            <w:tcBorders>
              <w:top w:val="single" w:sz="8" w:color="0000FF"/>
            </w:tcBorders>
            <w:gridSpan w:val="8"/>
          </w:tcPr>
          <w:p>
            <w:pPr>
              <w:spacing w:after="0"/>
              <w:rPr>
                <w:sz w:val="17"/>
                <w:szCs w:val="17"/>
                <w:color w:val="auto"/>
              </w:rPr>
            </w:pPr>
          </w:p>
        </w:tc>
        <w:tc>
          <w:tcPr>
            <w:tcW w:w="120" w:type="dxa"/>
            <w:vAlign w:val="bottom"/>
            <w:gridSpan w:val="5"/>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00" w:type="dxa"/>
            <w:vAlign w:val="bottom"/>
          </w:tcPr>
          <w:p>
            <w:pPr>
              <w:ind w:left="20"/>
              <w:spacing w:after="0"/>
              <w:rPr>
                <w:sz w:val="20"/>
                <w:szCs w:val="20"/>
                <w:color w:val="auto"/>
              </w:rPr>
            </w:pPr>
            <w:r>
              <w:rPr>
                <w:rFonts w:ascii="Verdana" w:cs="Verdana" w:eastAsia="Verdana" w:hAnsi="Verdana"/>
                <w:sz w:val="18"/>
                <w:szCs w:val="18"/>
                <w:color w:val="auto"/>
              </w:rPr>
              <w:t>21.1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7"/>
          </w:tcPr>
          <w:p>
            <w:pPr>
              <w:spacing w:after="0"/>
              <w:rPr>
                <w:sz w:val="20"/>
                <w:szCs w:val="20"/>
                <w:color w:val="auto"/>
              </w:rPr>
            </w:pPr>
            <w:r>
              <w:rPr>
                <w:rFonts w:ascii="Verdana" w:cs="Verdana" w:eastAsia="Verdana" w:hAnsi="Verdana"/>
                <w:sz w:val="18"/>
                <w:szCs w:val="18"/>
                <w:color w:val="0000FF"/>
              </w:rPr>
              <w:t>List of Subsidiaries of First Busey Corporation</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7"/>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00" w:type="dxa"/>
            <w:vAlign w:val="bottom"/>
          </w:tcPr>
          <w:p>
            <w:pPr>
              <w:ind w:left="20"/>
              <w:spacing w:after="0"/>
              <w:rPr>
                <w:sz w:val="20"/>
                <w:szCs w:val="20"/>
                <w:color w:val="auto"/>
              </w:rPr>
            </w:pPr>
            <w:r>
              <w:rPr>
                <w:rFonts w:ascii="Verdana" w:cs="Verdana" w:eastAsia="Verdana" w:hAnsi="Verdana"/>
                <w:sz w:val="18"/>
                <w:szCs w:val="18"/>
                <w:color w:val="auto"/>
              </w:rPr>
              <w:t>23.1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0000FF"/>
            </w:tcBorders>
            <w:gridSpan w:val="13"/>
          </w:tcPr>
          <w:p>
            <w:pPr>
              <w:spacing w:after="0"/>
              <w:rPr>
                <w:sz w:val="20"/>
                <w:szCs w:val="20"/>
                <w:color w:val="auto"/>
              </w:rPr>
            </w:pPr>
            <w:r>
              <w:rPr>
                <w:rFonts w:ascii="Verdana" w:cs="Verdana" w:eastAsia="Verdana" w:hAnsi="Verdana"/>
                <w:sz w:val="18"/>
                <w:szCs w:val="18"/>
                <w:color w:val="0000FF"/>
              </w:rPr>
              <w:t>Consent  of  Independent  Registered  Public</w:t>
            </w:r>
          </w:p>
        </w:tc>
        <w:tc>
          <w:tcPr>
            <w:tcW w:w="100" w:type="dxa"/>
            <w:vAlign w:val="bottom"/>
            <w:gridSpan w:val="4"/>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FF"/>
            </w:tcBorders>
            <w:gridSpan w:val="7"/>
          </w:tcPr>
          <w:p>
            <w:pPr>
              <w:spacing w:after="0" w:line="196" w:lineRule="exact"/>
              <w:rPr>
                <w:sz w:val="20"/>
                <w:szCs w:val="20"/>
                <w:color w:val="auto"/>
              </w:rPr>
            </w:pPr>
            <w:r>
              <w:rPr>
                <w:rFonts w:ascii="Verdana" w:cs="Verdana" w:eastAsia="Verdana" w:hAnsi="Verdana"/>
                <w:sz w:val="18"/>
                <w:szCs w:val="18"/>
                <w:color w:val="0000FF"/>
                <w:w w:val="99"/>
              </w:rPr>
              <w:t>Accounting Firm, RSM US LLP</w:t>
            </w:r>
          </w:p>
        </w:tc>
        <w:tc>
          <w:tcPr>
            <w:tcW w:w="1880" w:type="dxa"/>
            <w:vAlign w:val="bottom"/>
            <w:gridSpan w:val="10"/>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00" w:type="dxa"/>
            <w:vAlign w:val="bottom"/>
          </w:tcPr>
          <w:p>
            <w:pPr>
              <w:ind w:left="20"/>
              <w:spacing w:after="0"/>
              <w:rPr>
                <w:sz w:val="20"/>
                <w:szCs w:val="20"/>
                <w:color w:val="auto"/>
              </w:rPr>
            </w:pPr>
            <w:r>
              <w:rPr>
                <w:rFonts w:ascii="Verdana" w:cs="Verdana" w:eastAsia="Verdana" w:hAnsi="Verdana"/>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7"/>
          </w:tcPr>
          <w:p>
            <w:pPr>
              <w:spacing w:after="0"/>
              <w:rPr>
                <w:sz w:val="20"/>
                <w:szCs w:val="20"/>
                <w:color w:val="auto"/>
              </w:rPr>
            </w:pPr>
            <w:r>
              <w:rPr>
                <w:rFonts w:ascii="Verdana" w:cs="Verdana" w:eastAsia="Verdana" w:hAnsi="Verdana"/>
                <w:sz w:val="18"/>
                <w:szCs w:val="18"/>
                <w:color w:val="0000FF"/>
              </w:rPr>
              <w:t>Certification  of  Principal  Executive  Officer,</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top w:val="single" w:sz="8" w:color="0000FF"/>
            </w:tcBorders>
            <w:gridSpan w:val="12"/>
          </w:tcPr>
          <w:p>
            <w:pPr>
              <w:spacing w:after="0" w:line="196" w:lineRule="exact"/>
              <w:rPr>
                <w:sz w:val="20"/>
                <w:szCs w:val="20"/>
                <w:color w:val="auto"/>
              </w:rPr>
            </w:pPr>
            <w:r>
              <w:rPr>
                <w:rFonts w:ascii="Verdana" w:cs="Verdana" w:eastAsia="Verdana" w:hAnsi="Verdana"/>
                <w:sz w:val="18"/>
                <w:szCs w:val="18"/>
                <w:color w:val="0000FF"/>
              </w:rPr>
              <w:t>pursuant to Rule 13a-14(a) and Rule 15d-14(a)</w:t>
            </w:r>
          </w:p>
        </w:tc>
        <w:tc>
          <w:tcPr>
            <w:tcW w:w="120" w:type="dxa"/>
            <w:vAlign w:val="bottom"/>
            <w:gridSpan w:val="5"/>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6" w:name="page187"/>
    <w:bookmarkEnd w:id="18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ind w:left="60"/>
              <w:spacing w:after="0"/>
              <w:rPr>
                <w:sz w:val="20"/>
                <w:szCs w:val="20"/>
                <w:color w:val="auto"/>
              </w:rPr>
            </w:pPr>
            <w:r>
              <w:rPr>
                <w:rFonts w:ascii="Verdana" w:cs="Verdana" w:eastAsia="Verdana" w:hAnsi="Verdana"/>
                <w:sz w:val="13"/>
                <w:szCs w:val="13"/>
                <w:b w:val="1"/>
                <w:bCs w:val="1"/>
                <w:color w:val="auto"/>
              </w:rPr>
              <w:t>Incorporated herein by reference</w:t>
            </w: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00" w:type="dxa"/>
            <w:vAlign w:val="bottom"/>
            <w:gridSpan w:val="2"/>
          </w:tcPr>
          <w:p>
            <w:pPr>
              <w:ind w:left="220"/>
              <w:spacing w:after="0" w:line="122" w:lineRule="exact"/>
              <w:rPr>
                <w:sz w:val="20"/>
                <w:szCs w:val="20"/>
                <w:color w:val="auto"/>
              </w:rPr>
            </w:pPr>
            <w:r>
              <w:rPr>
                <w:rFonts w:ascii="Verdana" w:cs="Verdana" w:eastAsia="Verdana" w:hAnsi="Verdana"/>
                <w:sz w:val="13"/>
                <w:szCs w:val="13"/>
                <w:b w:val="1"/>
                <w:bCs w:val="1"/>
                <w:color w:val="auto"/>
              </w:rPr>
              <w:t>Exhibit</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60" w:type="dxa"/>
            <w:vAlign w:val="bottom"/>
            <w:gridSpan w:val="3"/>
            <w:vMerge w:val="restart"/>
          </w:tcPr>
          <w:p>
            <w:pPr>
              <w:jc w:val="right"/>
              <w:ind w:right="190"/>
              <w:spacing w:after="0"/>
              <w:rPr>
                <w:sz w:val="20"/>
                <w:szCs w:val="20"/>
                <w:color w:val="auto"/>
              </w:rPr>
            </w:pPr>
            <w:r>
              <w:rPr>
                <w:rFonts w:ascii="Verdana" w:cs="Verdana" w:eastAsia="Verdana" w:hAnsi="Verdana"/>
                <w:sz w:val="13"/>
                <w:szCs w:val="13"/>
                <w:b w:val="1"/>
                <w:bCs w:val="1"/>
                <w:color w:val="auto"/>
              </w:rPr>
              <w:t>Description of Exhibit</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jc w:val="center"/>
              <w:ind w:left="103"/>
              <w:spacing w:after="0" w:line="122" w:lineRule="exact"/>
              <w:rPr>
                <w:sz w:val="20"/>
                <w:szCs w:val="20"/>
                <w:color w:val="auto"/>
              </w:rPr>
            </w:pPr>
            <w:r>
              <w:rPr>
                <w:rFonts w:ascii="Verdana" w:cs="Verdana" w:eastAsia="Verdana" w:hAnsi="Verdana"/>
                <w:sz w:val="10"/>
                <w:szCs w:val="10"/>
                <w:b w:val="1"/>
                <w:bCs w:val="1"/>
                <w:color w:val="auto"/>
              </w:rPr>
              <w:t>Filing Entity</w:t>
            </w:r>
            <w:r>
              <w:rPr>
                <w:rFonts w:ascii="Verdana" w:cs="Verdana" w:eastAsia="Verdana" w:hAnsi="Verdana"/>
                <w:sz w:val="13"/>
                <w:szCs w:val="13"/>
                <w:b w:val="1"/>
                <w:bCs w:val="1"/>
                <w:color w:val="auto"/>
                <w:vertAlign w:val="superscript"/>
              </w:rPr>
              <w:t>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ind w:left="360"/>
              <w:spacing w:after="0"/>
              <w:rPr>
                <w:sz w:val="20"/>
                <w:szCs w:val="20"/>
                <w:color w:val="auto"/>
              </w:rPr>
            </w:pPr>
            <w:r>
              <w:rPr>
                <w:rFonts w:ascii="Verdana" w:cs="Verdana" w:eastAsia="Verdana" w:hAnsi="Verdana"/>
                <w:sz w:val="13"/>
                <w:szCs w:val="13"/>
                <w:b w:val="1"/>
                <w:bCs w:val="1"/>
                <w:color w:val="auto"/>
              </w:rPr>
              <w:t>Form</w:t>
            </w:r>
          </w:p>
        </w:tc>
        <w:tc>
          <w:tcPr>
            <w:tcW w:w="80" w:type="dxa"/>
            <w:vAlign w:val="bottom"/>
            <w:vMerge w:val="restart"/>
          </w:tcPr>
          <w:p>
            <w:pPr>
              <w:spacing w:after="0"/>
              <w:rPr>
                <w:sz w:val="10"/>
                <w:szCs w:val="10"/>
                <w:color w:val="auto"/>
              </w:rPr>
            </w:pPr>
          </w:p>
        </w:tc>
        <w:tc>
          <w:tcPr>
            <w:tcW w:w="1080" w:type="dxa"/>
            <w:vAlign w:val="bottom"/>
            <w:vMerge w:val="restart"/>
          </w:tcPr>
          <w:p>
            <w:pPr>
              <w:ind w:left="300"/>
              <w:spacing w:after="0"/>
              <w:rPr>
                <w:sz w:val="20"/>
                <w:szCs w:val="20"/>
                <w:color w:val="auto"/>
              </w:rPr>
            </w:pPr>
            <w:r>
              <w:rPr>
                <w:rFonts w:ascii="Verdana" w:cs="Verdana" w:eastAsia="Verdana" w:hAnsi="Verdana"/>
                <w:sz w:val="13"/>
                <w:szCs w:val="13"/>
                <w:b w:val="1"/>
                <w:bCs w:val="1"/>
                <w:color w:val="auto"/>
              </w:rPr>
              <w:t>Exhibit</w:t>
            </w:r>
          </w:p>
        </w:tc>
        <w:tc>
          <w:tcPr>
            <w:tcW w:w="80" w:type="dxa"/>
            <w:vAlign w:val="bottom"/>
            <w:vMerge w:val="restart"/>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6"/>
              </w:rPr>
              <w:t>Filed</w:t>
            </w:r>
          </w:p>
        </w:tc>
        <w:tc>
          <w:tcPr>
            <w:tcW w:w="0" w:type="dxa"/>
            <w:vAlign w:val="bottom"/>
          </w:tcPr>
          <w:p>
            <w:pPr>
              <w:spacing w:after="0"/>
              <w:rPr>
                <w:sz w:val="1"/>
                <w:szCs w:val="1"/>
                <w:color w:val="auto"/>
              </w:rPr>
            </w:pPr>
          </w:p>
        </w:tc>
      </w:tr>
      <w:tr>
        <w:trPr>
          <w:trHeight w:val="170"/>
        </w:trPr>
        <w:tc>
          <w:tcPr>
            <w:tcW w:w="920" w:type="dxa"/>
            <w:vAlign w:val="bottom"/>
          </w:tcPr>
          <w:p>
            <w:pPr>
              <w:ind w:left="180"/>
              <w:spacing w:after="0"/>
              <w:rPr>
                <w:sz w:val="20"/>
                <w:szCs w:val="20"/>
                <w:color w:val="auto"/>
              </w:rPr>
            </w:pPr>
            <w:r>
              <w:rPr>
                <w:rFonts w:ascii="Verdana" w:cs="Verdana" w:eastAsia="Verdana" w:hAnsi="Verdana"/>
                <w:sz w:val="13"/>
                <w:szCs w:val="13"/>
                <w:b w:val="1"/>
                <w:bCs w:val="1"/>
                <w:color w:val="auto"/>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center"/>
              <w:ind w:left="103"/>
              <w:spacing w:after="0"/>
              <w:rPr>
                <w:sz w:val="20"/>
                <w:szCs w:val="20"/>
                <w:color w:val="auto"/>
              </w:rPr>
            </w:pPr>
            <w:r>
              <w:rPr>
                <w:rFonts w:ascii="Verdana" w:cs="Verdana" w:eastAsia="Verdana" w:hAnsi="Verdana"/>
                <w:sz w:val="13"/>
                <w:szCs w:val="13"/>
                <w:b w:val="1"/>
                <w:bCs w:val="1"/>
                <w:color w:val="auto"/>
                <w:w w:val="98"/>
              </w:rPr>
              <w:t>(File No.)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940" w:type="dxa"/>
            <w:vAlign w:val="bottom"/>
            <w:gridSpan w:val="3"/>
          </w:tcPr>
          <w:p>
            <w:pPr>
              <w:ind w:left="180"/>
              <w:spacing w:after="0"/>
              <w:rPr>
                <w:sz w:val="20"/>
                <w:szCs w:val="20"/>
                <w:color w:val="auto"/>
              </w:rPr>
            </w:pPr>
            <w:r>
              <w:rPr>
                <w:rFonts w:ascii="Verdana" w:cs="Verdana" w:eastAsia="Verdana" w:hAnsi="Verdana"/>
                <w:sz w:val="13"/>
                <w:szCs w:val="13"/>
                <w:b w:val="1"/>
                <w:bCs w:val="1"/>
                <w:color w:val="auto"/>
              </w:rPr>
              <w:t>Filing Date    Herewith</w:t>
            </w:r>
          </w:p>
        </w:tc>
        <w:tc>
          <w:tcPr>
            <w:tcW w:w="0" w:type="dxa"/>
            <w:vAlign w:val="bottom"/>
          </w:tcPr>
          <w:p>
            <w:pPr>
              <w:spacing w:after="0"/>
              <w:rPr>
                <w:sz w:val="1"/>
                <w:szCs w:val="1"/>
                <w:color w:val="auto"/>
              </w:rPr>
            </w:pPr>
          </w:p>
        </w:tc>
      </w:tr>
      <w:tr>
        <w:trPr>
          <w:trHeight w:val="458"/>
        </w:trPr>
        <w:tc>
          <w:tcPr>
            <w:tcW w:w="920" w:type="dxa"/>
            <w:vAlign w:val="bottom"/>
            <w:tcBorders>
              <w:top w:val="single" w:sz="8" w:color="auto"/>
            </w:tcBorders>
          </w:tcPr>
          <w:p>
            <w:pPr>
              <w:ind w:left="20"/>
              <w:spacing w:after="0"/>
              <w:rPr>
                <w:sz w:val="20"/>
                <w:szCs w:val="20"/>
                <w:color w:val="auto"/>
              </w:rPr>
            </w:pPr>
            <w:r>
              <w:rPr>
                <w:rFonts w:ascii="Verdana" w:cs="Verdana" w:eastAsia="Verdana" w:hAnsi="Verdana"/>
                <w:sz w:val="18"/>
                <w:szCs w:val="18"/>
                <w:color w:val="auto"/>
              </w:rPr>
              <w:t>31.2</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80" w:type="dxa"/>
            <w:vAlign w:val="bottom"/>
            <w:tcBorders>
              <w:top w:val="single" w:sz="8" w:color="auto"/>
              <w:bottom w:val="single" w:sz="8" w:color="0000FF"/>
            </w:tcBorders>
            <w:gridSpan w:val="7"/>
          </w:tcPr>
          <w:p>
            <w:pPr>
              <w:spacing w:after="0"/>
              <w:rPr>
                <w:sz w:val="20"/>
                <w:szCs w:val="20"/>
                <w:color w:val="auto"/>
              </w:rPr>
            </w:pPr>
            <w:r>
              <w:rPr>
                <w:rFonts w:ascii="Verdana" w:cs="Verdana" w:eastAsia="Verdana" w:hAnsi="Verdana"/>
                <w:sz w:val="18"/>
                <w:szCs w:val="18"/>
                <w:color w:val="0000FF"/>
              </w:rPr>
              <w:t>Certification   of   Principal   Financial   Officer,</w:t>
            </w:r>
          </w:p>
        </w:tc>
        <w:tc>
          <w:tcPr>
            <w:tcW w:w="40" w:type="dxa"/>
            <w:vAlign w:val="bottom"/>
            <w:tcBorders>
              <w:top w:val="single" w:sz="8" w:color="auto"/>
            </w:tcBorders>
            <w:gridSpan w:val="2"/>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6"/>
          </w:tcPr>
          <w:p>
            <w:pPr>
              <w:spacing w:after="0" w:line="196" w:lineRule="exact"/>
              <w:rPr>
                <w:sz w:val="20"/>
                <w:szCs w:val="20"/>
                <w:color w:val="auto"/>
              </w:rPr>
            </w:pPr>
            <w:r>
              <w:rPr>
                <w:rFonts w:ascii="Verdana" w:cs="Verdana" w:eastAsia="Verdana" w:hAnsi="Verdana"/>
                <w:sz w:val="18"/>
                <w:szCs w:val="18"/>
                <w:color w:val="0000FF"/>
                <w:w w:val="99"/>
              </w:rPr>
              <w:t>pursuant to Rule 13a-14(a) and Rule 15d-14(a)</w:t>
            </w:r>
          </w:p>
        </w:tc>
        <w:tc>
          <w:tcPr>
            <w:tcW w:w="142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20" w:type="dxa"/>
            <w:vAlign w:val="bottom"/>
          </w:tcPr>
          <w:p>
            <w:pPr>
              <w:ind w:left="20"/>
              <w:spacing w:after="0"/>
              <w:rPr>
                <w:sz w:val="20"/>
                <w:szCs w:val="20"/>
                <w:color w:val="auto"/>
              </w:rPr>
            </w:pPr>
            <w:r>
              <w:rPr>
                <w:rFonts w:ascii="Verdana" w:cs="Verdana" w:eastAsia="Verdana" w:hAnsi="Verdana"/>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bottom w:val="single" w:sz="8" w:color="0000FF"/>
            </w:tcBorders>
            <w:gridSpan w:val="8"/>
          </w:tcPr>
          <w:p>
            <w:pPr>
              <w:spacing w:after="0"/>
              <w:rPr>
                <w:sz w:val="20"/>
                <w:szCs w:val="20"/>
                <w:color w:val="auto"/>
              </w:rPr>
            </w:pPr>
            <w:r>
              <w:rPr>
                <w:rFonts w:ascii="Verdana" w:cs="Verdana" w:eastAsia="Verdana" w:hAnsi="Verdana"/>
                <w:sz w:val="18"/>
                <w:szCs w:val="18"/>
                <w:color w:val="0000FF"/>
              </w:rPr>
              <w:t>Certification pursuant to 18 U.S.C. Section 1350,</w:t>
            </w:r>
          </w:p>
        </w:tc>
        <w:tc>
          <w:tcPr>
            <w:tcW w:w="12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7"/>
          </w:tcPr>
          <w:p>
            <w:pPr>
              <w:spacing w:after="0" w:line="196" w:lineRule="exact"/>
              <w:rPr>
                <w:sz w:val="20"/>
                <w:szCs w:val="20"/>
                <w:color w:val="auto"/>
              </w:rPr>
            </w:pPr>
            <w:r>
              <w:rPr>
                <w:rFonts w:ascii="Verdana" w:cs="Verdana" w:eastAsia="Verdana" w:hAnsi="Verdana"/>
                <w:sz w:val="18"/>
                <w:szCs w:val="18"/>
                <w:color w:val="0000FF"/>
              </w:rPr>
              <w:t>as  adopted  pursuant  to  Section  906  of  the</w:t>
            </w:r>
          </w:p>
        </w:tc>
        <w:tc>
          <w:tcPr>
            <w:tcW w:w="12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gridSpan w:val="11"/>
          </w:tcPr>
          <w:p>
            <w:pPr>
              <w:spacing w:after="0" w:line="196" w:lineRule="exact"/>
              <w:rPr>
                <w:sz w:val="20"/>
                <w:szCs w:val="20"/>
                <w:color w:val="auto"/>
              </w:rPr>
            </w:pPr>
            <w:r>
              <w:rPr>
                <w:rFonts w:ascii="Verdana" w:cs="Verdana" w:eastAsia="Verdana" w:hAnsi="Verdana"/>
                <w:sz w:val="18"/>
                <w:szCs w:val="18"/>
                <w:color w:val="0000FF"/>
              </w:rPr>
              <w:t>Sarbanes-Oxley Act of 2002, from First Busey’s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top w:val="single" w:sz="8" w:color="0000FF"/>
              <w:bottom w:val="single" w:sz="8" w:color="0000FF"/>
            </w:tcBorders>
            <w:gridSpan w:val="3"/>
          </w:tcPr>
          <w:p>
            <w:pPr>
              <w:spacing w:after="0" w:line="196" w:lineRule="exact"/>
              <w:rPr>
                <w:sz w:val="20"/>
                <w:szCs w:val="20"/>
                <w:color w:val="auto"/>
              </w:rPr>
            </w:pPr>
            <w:r>
              <w:rPr>
                <w:rFonts w:ascii="Verdana" w:cs="Verdana" w:eastAsia="Verdana" w:hAnsi="Verdana"/>
                <w:sz w:val="18"/>
                <w:szCs w:val="18"/>
                <w:color w:val="0000FF"/>
                <w:w w:val="98"/>
              </w:rPr>
              <w:t>Chief Executive Officer</w:t>
            </w:r>
          </w:p>
        </w:tc>
        <w:tc>
          <w:tcPr>
            <w:tcW w:w="1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20" w:type="dxa"/>
            <w:vAlign w:val="bottom"/>
          </w:tcPr>
          <w:p>
            <w:pPr>
              <w:ind w:left="20"/>
              <w:spacing w:after="0"/>
              <w:rPr>
                <w:sz w:val="20"/>
                <w:szCs w:val="20"/>
                <w:color w:val="auto"/>
              </w:rPr>
            </w:pPr>
            <w:r>
              <w:rPr>
                <w:rFonts w:ascii="Verdana" w:cs="Verdana" w:eastAsia="Verdana" w:hAnsi="Verdana"/>
                <w:sz w:val="18"/>
                <w:szCs w:val="18"/>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bottom w:val="single" w:sz="8" w:color="0000FF"/>
            </w:tcBorders>
            <w:gridSpan w:val="8"/>
          </w:tcPr>
          <w:p>
            <w:pPr>
              <w:spacing w:after="0"/>
              <w:rPr>
                <w:sz w:val="20"/>
                <w:szCs w:val="20"/>
                <w:color w:val="auto"/>
              </w:rPr>
            </w:pPr>
            <w:r>
              <w:rPr>
                <w:rFonts w:ascii="Verdana" w:cs="Verdana" w:eastAsia="Verdana" w:hAnsi="Verdana"/>
                <w:sz w:val="18"/>
                <w:szCs w:val="18"/>
                <w:color w:val="0000FF"/>
              </w:rPr>
              <w:t>Certification pursuant to 18 U.S.C. Section 1350,</w:t>
            </w:r>
          </w:p>
        </w:tc>
        <w:tc>
          <w:tcPr>
            <w:tcW w:w="12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7"/>
          </w:tcPr>
          <w:p>
            <w:pPr>
              <w:spacing w:after="0" w:line="196" w:lineRule="exact"/>
              <w:rPr>
                <w:sz w:val="20"/>
                <w:szCs w:val="20"/>
                <w:color w:val="auto"/>
              </w:rPr>
            </w:pPr>
            <w:r>
              <w:rPr>
                <w:rFonts w:ascii="Verdana" w:cs="Verdana" w:eastAsia="Verdana" w:hAnsi="Verdana"/>
                <w:sz w:val="18"/>
                <w:szCs w:val="18"/>
                <w:color w:val="0000FF"/>
              </w:rPr>
              <w:t>as  adopted  pursuant  to  Section  906  of  the</w:t>
            </w:r>
          </w:p>
        </w:tc>
        <w:tc>
          <w:tcPr>
            <w:tcW w:w="12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gridSpan w:val="11"/>
          </w:tcPr>
          <w:p>
            <w:pPr>
              <w:spacing w:after="0" w:line="196" w:lineRule="exact"/>
              <w:rPr>
                <w:sz w:val="20"/>
                <w:szCs w:val="20"/>
                <w:color w:val="auto"/>
              </w:rPr>
            </w:pPr>
            <w:r>
              <w:rPr>
                <w:rFonts w:ascii="Verdana" w:cs="Verdana" w:eastAsia="Verdana" w:hAnsi="Verdana"/>
                <w:sz w:val="18"/>
                <w:szCs w:val="18"/>
                <w:color w:val="0000FF"/>
              </w:rPr>
              <w:t>Sarbanes-Oxley Act of 2002, from First Busey’s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top w:val="single" w:sz="8" w:color="0000FF"/>
            </w:tcBorders>
            <w:gridSpan w:val="3"/>
          </w:tcPr>
          <w:p>
            <w:pPr>
              <w:spacing w:after="0" w:line="196" w:lineRule="exact"/>
              <w:rPr>
                <w:sz w:val="20"/>
                <w:szCs w:val="20"/>
                <w:color w:val="auto"/>
              </w:rPr>
            </w:pPr>
            <w:r>
              <w:rPr>
                <w:rFonts w:ascii="Verdana" w:cs="Verdana" w:eastAsia="Verdana" w:hAnsi="Verdana"/>
                <w:sz w:val="18"/>
                <w:szCs w:val="18"/>
                <w:color w:val="0000FF"/>
              </w:rPr>
              <w:t>Chief Financial Officer</w:t>
            </w:r>
          </w:p>
        </w:tc>
        <w:tc>
          <w:tcPr>
            <w:tcW w:w="1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20" w:type="dxa"/>
            <w:vAlign w:val="bottom"/>
          </w:tcPr>
          <w:p>
            <w:pPr>
              <w:ind w:left="20"/>
              <w:spacing w:after="0"/>
              <w:rPr>
                <w:sz w:val="20"/>
                <w:szCs w:val="20"/>
                <w:color w:val="auto"/>
              </w:rPr>
            </w:pPr>
            <w:r>
              <w:rPr>
                <w:rFonts w:ascii="Verdana" w:cs="Verdana" w:eastAsia="Verdana" w:hAnsi="Verdana"/>
                <w:sz w:val="18"/>
                <w:szCs w:val="18"/>
                <w:color w:val="auto"/>
              </w:rPr>
              <w:t>97.1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11"/>
          </w:tcPr>
          <w:p>
            <w:pPr>
              <w:spacing w:after="0"/>
              <w:rPr>
                <w:sz w:val="20"/>
                <w:szCs w:val="20"/>
                <w:color w:val="auto"/>
              </w:rPr>
            </w:pPr>
            <w:r>
              <w:rPr>
                <w:rFonts w:ascii="Verdana" w:cs="Verdana" w:eastAsia="Verdana" w:hAnsi="Verdana"/>
                <w:sz w:val="18"/>
                <w:szCs w:val="18"/>
                <w:color w:val="0000FF"/>
              </w:rPr>
              <w:t>First Busey Corporation Clawback Policy</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547"/>
        </w:trPr>
        <w:tc>
          <w:tcPr>
            <w:tcW w:w="1000" w:type="dxa"/>
            <w:vAlign w:val="bottom"/>
            <w:gridSpan w:val="2"/>
          </w:tcPr>
          <w:p>
            <w:pPr>
              <w:ind w:left="20"/>
              <w:spacing w:after="0"/>
              <w:rPr>
                <w:sz w:val="20"/>
                <w:szCs w:val="20"/>
                <w:color w:val="auto"/>
              </w:rPr>
            </w:pPr>
            <w:r>
              <w:rPr>
                <w:rFonts w:ascii="Verdana" w:cs="Verdana" w:eastAsia="Verdana" w:hAnsi="Verdana"/>
                <w:sz w:val="18"/>
                <w:szCs w:val="18"/>
                <w:color w:val="auto"/>
              </w:rPr>
              <w:t>101.INS</w:t>
            </w:r>
          </w:p>
        </w:tc>
        <w:tc>
          <w:tcPr>
            <w:tcW w:w="20" w:type="dxa"/>
            <w:vAlign w:val="bottom"/>
          </w:tcPr>
          <w:p>
            <w:pPr>
              <w:spacing w:after="0"/>
              <w:rPr>
                <w:sz w:val="24"/>
                <w:szCs w:val="24"/>
                <w:color w:val="auto"/>
              </w:rPr>
            </w:pPr>
          </w:p>
        </w:tc>
        <w:tc>
          <w:tcPr>
            <w:tcW w:w="3280" w:type="dxa"/>
            <w:vAlign w:val="bottom"/>
            <w:tcBorders>
              <w:top w:val="single" w:sz="8" w:color="0000FF"/>
            </w:tcBorders>
            <w:gridSpan w:val="4"/>
          </w:tcPr>
          <w:p>
            <w:pPr>
              <w:spacing w:after="0"/>
              <w:rPr>
                <w:sz w:val="20"/>
                <w:szCs w:val="20"/>
                <w:color w:val="auto"/>
              </w:rPr>
            </w:pPr>
            <w:r>
              <w:rPr>
                <w:rFonts w:ascii="Verdana" w:cs="Verdana" w:eastAsia="Verdana" w:hAnsi="Verdana"/>
                <w:sz w:val="18"/>
                <w:szCs w:val="18"/>
                <w:color w:val="auto"/>
              </w:rPr>
              <w:t>iXBRL Instance Document</w:t>
            </w:r>
          </w:p>
        </w:tc>
        <w:tc>
          <w:tcPr>
            <w:tcW w:w="3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000" w:type="dxa"/>
            <w:vAlign w:val="bottom"/>
            <w:gridSpan w:val="2"/>
          </w:tcPr>
          <w:p>
            <w:pPr>
              <w:ind w:left="20"/>
              <w:spacing w:after="0"/>
              <w:rPr>
                <w:sz w:val="20"/>
                <w:szCs w:val="20"/>
                <w:color w:val="auto"/>
              </w:rPr>
            </w:pPr>
            <w:r>
              <w:rPr>
                <w:rFonts w:ascii="Verdana" w:cs="Verdana" w:eastAsia="Verdana" w:hAnsi="Verdana"/>
                <w:sz w:val="18"/>
                <w:szCs w:val="18"/>
                <w:color w:val="auto"/>
              </w:rPr>
              <w:t>101.SCH</w:t>
            </w:r>
          </w:p>
        </w:tc>
        <w:tc>
          <w:tcPr>
            <w:tcW w:w="20" w:type="dxa"/>
            <w:vAlign w:val="bottom"/>
          </w:tcPr>
          <w:p>
            <w:pPr>
              <w:spacing w:after="0"/>
              <w:rPr>
                <w:sz w:val="24"/>
                <w:szCs w:val="24"/>
                <w:color w:val="auto"/>
              </w:rPr>
            </w:pPr>
          </w:p>
        </w:tc>
        <w:tc>
          <w:tcPr>
            <w:tcW w:w="3280" w:type="dxa"/>
            <w:vAlign w:val="bottom"/>
            <w:gridSpan w:val="4"/>
          </w:tcPr>
          <w:p>
            <w:pPr>
              <w:spacing w:after="0"/>
              <w:rPr>
                <w:sz w:val="20"/>
                <w:szCs w:val="20"/>
                <w:color w:val="auto"/>
              </w:rPr>
            </w:pPr>
            <w:r>
              <w:rPr>
                <w:rFonts w:ascii="Verdana" w:cs="Verdana" w:eastAsia="Verdana" w:hAnsi="Verdana"/>
                <w:sz w:val="18"/>
                <w:szCs w:val="18"/>
                <w:color w:val="auto"/>
              </w:rPr>
              <w:t>iXBRL Taxonomy Extension Schema</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1000" w:type="dxa"/>
            <w:vAlign w:val="bottom"/>
            <w:gridSpan w:val="2"/>
          </w:tcPr>
          <w:p>
            <w:pPr>
              <w:ind w:left="20"/>
              <w:spacing w:after="0"/>
              <w:rPr>
                <w:sz w:val="20"/>
                <w:szCs w:val="20"/>
                <w:color w:val="auto"/>
              </w:rPr>
            </w:pPr>
            <w:r>
              <w:rPr>
                <w:rFonts w:ascii="Verdana" w:cs="Verdana" w:eastAsia="Verdana" w:hAnsi="Verdana"/>
                <w:sz w:val="18"/>
                <w:szCs w:val="18"/>
                <w:color w:val="auto"/>
              </w:rPr>
              <w:t>101.CAL</w:t>
            </w:r>
          </w:p>
        </w:tc>
        <w:tc>
          <w:tcPr>
            <w:tcW w:w="20" w:type="dxa"/>
            <w:vAlign w:val="bottom"/>
          </w:tcPr>
          <w:p>
            <w:pPr>
              <w:spacing w:after="0"/>
              <w:rPr>
                <w:sz w:val="24"/>
                <w:szCs w:val="24"/>
                <w:color w:val="auto"/>
              </w:rPr>
            </w:pPr>
          </w:p>
        </w:tc>
        <w:tc>
          <w:tcPr>
            <w:tcW w:w="5740" w:type="dxa"/>
            <w:vAlign w:val="bottom"/>
            <w:gridSpan w:val="11"/>
          </w:tcPr>
          <w:p>
            <w:pPr>
              <w:spacing w:after="0"/>
              <w:rPr>
                <w:sz w:val="20"/>
                <w:szCs w:val="20"/>
                <w:color w:val="auto"/>
              </w:rPr>
            </w:pPr>
            <w:r>
              <w:rPr>
                <w:rFonts w:ascii="Verdana" w:cs="Verdana" w:eastAsia="Verdana" w:hAnsi="Verdana"/>
                <w:sz w:val="18"/>
                <w:szCs w:val="18"/>
                <w:color w:val="auto"/>
              </w:rPr>
              <w:t>iXBRL Taxonomy Extension Calculation Linkbase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1000" w:type="dxa"/>
            <w:vAlign w:val="bottom"/>
            <w:gridSpan w:val="2"/>
          </w:tcPr>
          <w:p>
            <w:pPr>
              <w:ind w:left="20"/>
              <w:spacing w:after="0"/>
              <w:rPr>
                <w:sz w:val="20"/>
                <w:szCs w:val="20"/>
                <w:color w:val="auto"/>
              </w:rPr>
            </w:pPr>
            <w:r>
              <w:rPr>
                <w:rFonts w:ascii="Verdana" w:cs="Verdana" w:eastAsia="Verdana" w:hAnsi="Verdana"/>
                <w:sz w:val="18"/>
                <w:szCs w:val="18"/>
                <w:color w:val="auto"/>
              </w:rPr>
              <w:t>101.LAB</w:t>
            </w:r>
          </w:p>
        </w:tc>
        <w:tc>
          <w:tcPr>
            <w:tcW w:w="20" w:type="dxa"/>
            <w:vAlign w:val="bottom"/>
          </w:tcPr>
          <w:p>
            <w:pPr>
              <w:spacing w:after="0"/>
              <w:rPr>
                <w:sz w:val="24"/>
                <w:szCs w:val="24"/>
                <w:color w:val="auto"/>
              </w:rPr>
            </w:pPr>
          </w:p>
        </w:tc>
        <w:tc>
          <w:tcPr>
            <w:tcW w:w="5740" w:type="dxa"/>
            <w:vAlign w:val="bottom"/>
            <w:gridSpan w:val="11"/>
          </w:tcPr>
          <w:p>
            <w:pPr>
              <w:spacing w:after="0"/>
              <w:rPr>
                <w:sz w:val="20"/>
                <w:szCs w:val="20"/>
                <w:color w:val="auto"/>
              </w:rPr>
            </w:pPr>
            <w:r>
              <w:rPr>
                <w:rFonts w:ascii="Verdana" w:cs="Verdana" w:eastAsia="Verdana" w:hAnsi="Verdana"/>
                <w:sz w:val="18"/>
                <w:szCs w:val="18"/>
                <w:color w:val="auto"/>
              </w:rPr>
              <w:t>iXBRL Taxonomy Extension Label Linkbase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1000" w:type="dxa"/>
            <w:vAlign w:val="bottom"/>
            <w:gridSpan w:val="2"/>
          </w:tcPr>
          <w:p>
            <w:pPr>
              <w:ind w:left="20"/>
              <w:spacing w:after="0"/>
              <w:rPr>
                <w:sz w:val="20"/>
                <w:szCs w:val="20"/>
                <w:color w:val="auto"/>
              </w:rPr>
            </w:pPr>
            <w:r>
              <w:rPr>
                <w:rFonts w:ascii="Verdana" w:cs="Verdana" w:eastAsia="Verdana" w:hAnsi="Verdana"/>
                <w:sz w:val="18"/>
                <w:szCs w:val="18"/>
                <w:color w:val="auto"/>
              </w:rPr>
              <w:t>101.PRE</w:t>
            </w:r>
          </w:p>
        </w:tc>
        <w:tc>
          <w:tcPr>
            <w:tcW w:w="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Verdana" w:cs="Verdana" w:eastAsia="Verdana" w:hAnsi="Verdana"/>
                <w:sz w:val="18"/>
                <w:szCs w:val="18"/>
                <w:color w:val="auto"/>
              </w:rPr>
              <w:t>iXBRL</w:t>
            </w:r>
          </w:p>
        </w:tc>
        <w:tc>
          <w:tcPr>
            <w:tcW w:w="1220" w:type="dxa"/>
            <w:vAlign w:val="bottom"/>
            <w:gridSpan w:val="2"/>
          </w:tcPr>
          <w:p>
            <w:pPr>
              <w:ind w:left="40"/>
              <w:spacing w:after="0"/>
              <w:rPr>
                <w:sz w:val="20"/>
                <w:szCs w:val="20"/>
                <w:color w:val="auto"/>
              </w:rPr>
            </w:pPr>
            <w:r>
              <w:rPr>
                <w:rFonts w:ascii="Verdana" w:cs="Verdana" w:eastAsia="Verdana" w:hAnsi="Verdana"/>
                <w:sz w:val="18"/>
                <w:szCs w:val="18"/>
                <w:color w:val="auto"/>
              </w:rPr>
              <w:t>Taxonomy</w:t>
            </w:r>
          </w:p>
        </w:tc>
        <w:tc>
          <w:tcPr>
            <w:tcW w:w="1240" w:type="dxa"/>
            <w:vAlign w:val="bottom"/>
          </w:tcPr>
          <w:p>
            <w:pPr>
              <w:jc w:val="right"/>
              <w:ind w:right="190"/>
              <w:spacing w:after="0"/>
              <w:rPr>
                <w:sz w:val="20"/>
                <w:szCs w:val="20"/>
                <w:color w:val="auto"/>
              </w:rPr>
            </w:pPr>
            <w:r>
              <w:rPr>
                <w:rFonts w:ascii="Verdana" w:cs="Verdana" w:eastAsia="Verdana" w:hAnsi="Verdana"/>
                <w:sz w:val="18"/>
                <w:szCs w:val="18"/>
                <w:color w:val="auto"/>
              </w:rPr>
              <w:t>Extension</w:t>
            </w:r>
          </w:p>
        </w:tc>
        <w:tc>
          <w:tcPr>
            <w:tcW w:w="2460" w:type="dxa"/>
            <w:vAlign w:val="bottom"/>
            <w:gridSpan w:val="7"/>
          </w:tcPr>
          <w:p>
            <w:pPr>
              <w:ind w:left="60"/>
              <w:spacing w:after="0"/>
              <w:rPr>
                <w:sz w:val="20"/>
                <w:szCs w:val="20"/>
                <w:color w:val="auto"/>
              </w:rPr>
            </w:pPr>
            <w:r>
              <w:rPr>
                <w:rFonts w:ascii="Verdana" w:cs="Verdana" w:eastAsia="Verdana" w:hAnsi="Verdana"/>
                <w:sz w:val="18"/>
                <w:szCs w:val="18"/>
                <w:color w:val="auto"/>
              </w:rPr>
              <w:t>Presentation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Verdana" w:cs="Verdana" w:eastAsia="Verdana" w:hAnsi="Verdana"/>
                <w:sz w:val="18"/>
                <w:szCs w:val="18"/>
                <w:color w:val="auto"/>
              </w:rPr>
              <w:t>Linkbase</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00" w:type="dxa"/>
            <w:vAlign w:val="bottom"/>
            <w:gridSpan w:val="2"/>
          </w:tcPr>
          <w:p>
            <w:pPr>
              <w:ind w:left="20"/>
              <w:spacing w:after="0"/>
              <w:rPr>
                <w:sz w:val="20"/>
                <w:szCs w:val="20"/>
                <w:color w:val="auto"/>
              </w:rPr>
            </w:pPr>
            <w:r>
              <w:rPr>
                <w:rFonts w:ascii="Verdana" w:cs="Verdana" w:eastAsia="Verdana" w:hAnsi="Verdana"/>
                <w:sz w:val="18"/>
                <w:szCs w:val="18"/>
                <w:color w:val="auto"/>
              </w:rPr>
              <w:t>101.DEF</w:t>
            </w:r>
          </w:p>
        </w:tc>
        <w:tc>
          <w:tcPr>
            <w:tcW w:w="20" w:type="dxa"/>
            <w:vAlign w:val="bottom"/>
          </w:tcPr>
          <w:p>
            <w:pPr>
              <w:spacing w:after="0"/>
              <w:rPr>
                <w:sz w:val="24"/>
                <w:szCs w:val="24"/>
                <w:color w:val="auto"/>
              </w:rPr>
            </w:pPr>
          </w:p>
        </w:tc>
        <w:tc>
          <w:tcPr>
            <w:tcW w:w="5740" w:type="dxa"/>
            <w:vAlign w:val="bottom"/>
            <w:gridSpan w:val="11"/>
          </w:tcPr>
          <w:p>
            <w:pPr>
              <w:spacing w:after="0"/>
              <w:rPr>
                <w:sz w:val="20"/>
                <w:szCs w:val="20"/>
                <w:color w:val="auto"/>
              </w:rPr>
            </w:pPr>
            <w:r>
              <w:rPr>
                <w:rFonts w:ascii="Verdana" w:cs="Verdana" w:eastAsia="Verdana" w:hAnsi="Verdana"/>
                <w:sz w:val="18"/>
                <w:szCs w:val="18"/>
                <w:color w:val="auto"/>
              </w:rPr>
              <w:t>iXBRL Taxonomy Extension Definition Linkbase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1020" w:right="5740" w:hanging="994"/>
        <w:spacing w:after="0" w:line="245" w:lineRule="auto"/>
        <w:tabs>
          <w:tab w:leader="none" w:pos="1020" w:val="left"/>
        </w:tabs>
        <w:numPr>
          <w:ilvl w:val="0"/>
          <w:numId w:val="68"/>
        </w:numPr>
        <w:rPr>
          <w:rFonts w:ascii="Verdana" w:cs="Verdana" w:eastAsia="Verdana" w:hAnsi="Verdana"/>
          <w:sz w:val="18"/>
          <w:szCs w:val="18"/>
          <w:color w:val="auto"/>
        </w:rPr>
      </w:pPr>
      <w:r>
        <w:rPr>
          <w:rFonts w:ascii="Verdana" w:cs="Verdana" w:eastAsia="Verdana" w:hAnsi="Verdana"/>
          <w:sz w:val="18"/>
          <w:szCs w:val="18"/>
          <w:color w:val="auto"/>
        </w:rPr>
        <w:t>Cover Page Interactive Data File (formatted as inline XBRL with applicable taxonomy extension information contained in Exhibits 101)</w:t>
      </w:r>
    </w:p>
    <w:p>
      <w:pPr>
        <w:spacing w:after="0" w:line="8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320" w:hanging="312"/>
        <w:spacing w:after="0" w:line="231" w:lineRule="auto"/>
        <w:tabs>
          <w:tab w:leader="none" w:pos="320" w:val="left"/>
        </w:tabs>
        <w:numPr>
          <w:ilvl w:val="0"/>
          <w:numId w:val="69"/>
        </w:numPr>
        <w:rPr>
          <w:rFonts w:ascii="Verdana" w:cs="Verdana" w:eastAsia="Verdana" w:hAnsi="Verdana"/>
          <w:sz w:val="13"/>
          <w:szCs w:val="13"/>
          <w:color w:val="auto"/>
        </w:rPr>
      </w:pPr>
      <w:r>
        <w:rPr>
          <w:rFonts w:ascii="Verdana" w:cs="Verdana" w:eastAsia="Verdana" w:hAnsi="Verdana"/>
          <w:sz w:val="13"/>
          <w:szCs w:val="13"/>
          <w:color w:val="auto"/>
        </w:rPr>
        <w:t>BUSE is First Busey Corporation. MSTI is Main Street Trust, Inc. FCFP is First Community Financial Partners, Inc.</w:t>
      </w:r>
    </w:p>
    <w:p>
      <w:pPr>
        <w:spacing w:after="0"/>
        <w:rPr>
          <w:rFonts w:ascii="Verdana" w:cs="Verdana" w:eastAsia="Verdana" w:hAnsi="Verdana"/>
          <w:sz w:val="13"/>
          <w:szCs w:val="13"/>
          <w:color w:val="auto"/>
        </w:rPr>
      </w:pPr>
      <w:r>
        <w:rPr>
          <w:rFonts w:ascii="Verdana" w:cs="Verdana" w:eastAsia="Verdana" w:hAnsi="Verdana"/>
          <w:sz w:val="13"/>
          <w:szCs w:val="13"/>
          <w:color w:val="auto"/>
        </w:rPr>
        <w:t>†   Management contract or compensatory plan.</w:t>
      </w:r>
    </w:p>
    <w:p>
      <w:pPr>
        <w:spacing w:after="0" w:line="4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7" w:name="page188"/>
    <w:bookmarkEnd w:id="18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SIGNATURES</w:t>
      </w:r>
    </w:p>
    <w:p>
      <w:pPr>
        <w:spacing w:after="0" w:line="173" w:lineRule="exact"/>
        <w:rPr>
          <w:sz w:val="20"/>
          <w:szCs w:val="20"/>
          <w:color w:val="auto"/>
        </w:rPr>
      </w:pPr>
    </w:p>
    <w:p>
      <w:pPr>
        <w:ind w:right="20"/>
        <w:spacing w:after="0" w:line="254" w:lineRule="auto"/>
        <w:rPr>
          <w:sz w:val="20"/>
          <w:szCs w:val="20"/>
          <w:color w:val="auto"/>
        </w:rPr>
      </w:pPr>
      <w:r>
        <w:rPr>
          <w:rFonts w:ascii="Verdana" w:cs="Verdana" w:eastAsia="Verdana" w:hAnsi="Verdana"/>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660"/>
        <w:spacing w:after="0"/>
        <w:rPr>
          <w:sz w:val="20"/>
          <w:szCs w:val="20"/>
          <w:color w:val="auto"/>
        </w:rPr>
      </w:pPr>
      <w:r>
        <w:rPr>
          <w:rFonts w:ascii="Verdana" w:cs="Verdana" w:eastAsia="Verdana" w:hAnsi="Verdana"/>
          <w:sz w:val="18"/>
          <w:szCs w:val="18"/>
          <w:color w:val="auto"/>
        </w:rPr>
        <w:t>FIRST BUSEY CORPORATION</w:t>
      </w:r>
    </w:p>
    <w:p>
      <w:pPr>
        <w:ind w:left="20"/>
        <w:spacing w:after="0"/>
        <w:rPr>
          <w:sz w:val="20"/>
          <w:szCs w:val="20"/>
          <w:color w:val="auto"/>
        </w:rPr>
      </w:pPr>
      <w:r>
        <w:rPr>
          <w:rFonts w:ascii="Verdana" w:cs="Verdana" w:eastAsia="Verdana" w:hAnsi="Verdana"/>
          <w:sz w:val="18"/>
          <w:szCs w:val="18"/>
          <w:color w:val="auto"/>
        </w:rPr>
        <w:t>Date: February 22, 2024</w:t>
      </w:r>
    </w:p>
    <w:p>
      <w:pPr>
        <w:spacing w:after="0" w:line="227" w:lineRule="exact"/>
        <w:rPr>
          <w:sz w:val="20"/>
          <w:szCs w:val="20"/>
          <w:color w:val="auto"/>
        </w:rPr>
      </w:pPr>
    </w:p>
    <w:p>
      <w:pPr>
        <w:ind w:left="5660"/>
        <w:spacing w:after="0"/>
        <w:rPr>
          <w:sz w:val="20"/>
          <w:szCs w:val="20"/>
          <w:color w:val="auto"/>
        </w:rPr>
      </w:pPr>
      <w:r>
        <w:rPr>
          <w:rFonts w:ascii="Verdana" w:cs="Verdana" w:eastAsia="Verdana" w:hAnsi="Verdana"/>
          <w:sz w:val="18"/>
          <w:szCs w:val="18"/>
          <w:color w:val="auto"/>
        </w:rPr>
        <w:t>(Registrant)</w:t>
      </w:r>
    </w:p>
    <w:p>
      <w:pPr>
        <w:spacing w:after="0" w:line="321" w:lineRule="exact"/>
        <w:rPr>
          <w:sz w:val="20"/>
          <w:szCs w:val="20"/>
          <w:color w:val="auto"/>
        </w:rPr>
      </w:pPr>
    </w:p>
    <w:p>
      <w:pPr>
        <w:ind w:left="5660"/>
        <w:spacing w:after="0"/>
        <w:tabs>
          <w:tab w:leader="none" w:pos="6340" w:val="left"/>
        </w:tabs>
        <w:rPr>
          <w:sz w:val="20"/>
          <w:szCs w:val="20"/>
          <w:color w:val="auto"/>
        </w:rPr>
      </w:pPr>
      <w:r>
        <w:rPr>
          <w:rFonts w:ascii="Verdana" w:cs="Verdana" w:eastAsia="Verdana" w:hAnsi="Verdana"/>
          <w:sz w:val="18"/>
          <w:szCs w:val="18"/>
          <w:color w:val="auto"/>
        </w:rPr>
        <w:t>BY</w:t>
      </w:r>
      <w:r>
        <w:rPr>
          <w:sz w:val="20"/>
          <w:szCs w:val="20"/>
          <w:color w:val="auto"/>
        </w:rPr>
        <w:tab/>
      </w:r>
      <w:r>
        <w:rPr>
          <w:rFonts w:ascii="Verdana" w:cs="Verdana" w:eastAsia="Verdana" w:hAnsi="Verdana"/>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19050</wp:posOffset>
            </wp:positionV>
            <wp:extent cx="3111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1" w:lineRule="exact"/>
        <w:rPr>
          <w:sz w:val="20"/>
          <w:szCs w:val="20"/>
          <w:color w:val="auto"/>
        </w:rPr>
      </w:pPr>
    </w:p>
    <w:p>
      <w:pPr>
        <w:ind w:left="5660"/>
        <w:spacing w:after="0"/>
        <w:rPr>
          <w:sz w:val="20"/>
          <w:szCs w:val="20"/>
          <w:color w:val="auto"/>
        </w:rPr>
      </w:pPr>
      <w:r>
        <w:rPr>
          <w:rFonts w:ascii="Verdana" w:cs="Verdana" w:eastAsia="Verdana" w:hAnsi="Verdana"/>
          <w:sz w:val="18"/>
          <w:szCs w:val="18"/>
          <w:color w:val="auto"/>
        </w:rPr>
        <w:t>Van A. Dukeman</w:t>
      </w:r>
    </w:p>
    <w:p>
      <w:pPr>
        <w:spacing w:after="0" w:line="51" w:lineRule="exact"/>
        <w:rPr>
          <w:sz w:val="20"/>
          <w:szCs w:val="20"/>
          <w:color w:val="auto"/>
        </w:rPr>
      </w:pPr>
    </w:p>
    <w:p>
      <w:pPr>
        <w:ind w:left="5660"/>
        <w:spacing w:after="0"/>
        <w:rPr>
          <w:sz w:val="20"/>
          <w:szCs w:val="20"/>
          <w:color w:val="auto"/>
        </w:rPr>
      </w:pPr>
      <w:r>
        <w:rPr>
          <w:rFonts w:ascii="Verdana" w:cs="Verdana" w:eastAsia="Verdana" w:hAnsi="Verdana"/>
          <w:sz w:val="18"/>
          <w:szCs w:val="18"/>
          <w:color w:val="auto"/>
        </w:rPr>
        <w:t>Chairman, President and Chief Executive Officer</w:t>
      </w:r>
    </w:p>
    <w:p>
      <w:pPr>
        <w:spacing w:after="0" w:line="51" w:lineRule="exact"/>
        <w:rPr>
          <w:sz w:val="20"/>
          <w:szCs w:val="20"/>
          <w:color w:val="auto"/>
        </w:rPr>
      </w:pPr>
    </w:p>
    <w:p>
      <w:pPr>
        <w:ind w:left="5660"/>
        <w:spacing w:after="0"/>
        <w:rPr>
          <w:sz w:val="20"/>
          <w:szCs w:val="20"/>
          <w:color w:val="auto"/>
        </w:rPr>
      </w:pPr>
      <w:r>
        <w:rPr>
          <w:rFonts w:ascii="Verdana" w:cs="Verdana" w:eastAsia="Verdana" w:hAnsi="Verdana"/>
          <w:sz w:val="18"/>
          <w:szCs w:val="18"/>
          <w:color w:val="auto"/>
        </w:rPr>
        <w:t>(Principal Executive Officer)</w:t>
      </w:r>
    </w:p>
    <w:p>
      <w:pPr>
        <w:spacing w:after="0" w:line="321" w:lineRule="exact"/>
        <w:rPr>
          <w:sz w:val="20"/>
          <w:szCs w:val="20"/>
          <w:color w:val="auto"/>
        </w:rPr>
      </w:pPr>
    </w:p>
    <w:tbl>
      <w:tblPr>
        <w:tblLayout w:type="fixed"/>
        <w:tblInd w:w="5660" w:type="dxa"/>
        <w:tblCellMar>
          <w:top w:w="0" w:type="dxa"/>
          <w:left w:w="0" w:type="dxa"/>
          <w:bottom w:w="0" w:type="dxa"/>
          <w:right w:w="0" w:type="dxa"/>
        </w:tblCellMar>
      </w:tblPr>
      <w:tr>
        <w:trPr>
          <w:trHeight w:val="242"/>
        </w:trPr>
        <w:tc>
          <w:tcPr>
            <w:tcW w:w="680" w:type="dxa"/>
            <w:vAlign w:val="bottom"/>
          </w:tcPr>
          <w:p>
            <w:pPr>
              <w:spacing w:after="0"/>
              <w:rPr>
                <w:sz w:val="20"/>
                <w:szCs w:val="20"/>
                <w:color w:val="auto"/>
              </w:rPr>
            </w:pPr>
            <w:r>
              <w:rPr>
                <w:rFonts w:ascii="Verdana" w:cs="Verdana" w:eastAsia="Verdana" w:hAnsi="Verdana"/>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JEFFREY D. JONES</w:t>
            </w:r>
          </w:p>
        </w:tc>
      </w:tr>
      <w:tr>
        <w:trPr>
          <w:trHeight w:val="243"/>
        </w:trPr>
        <w:tc>
          <w:tcPr>
            <w:tcW w:w="5580" w:type="dxa"/>
            <w:vAlign w:val="bottom"/>
            <w:gridSpan w:val="2"/>
          </w:tcPr>
          <w:p>
            <w:pPr>
              <w:spacing w:after="0"/>
              <w:rPr>
                <w:sz w:val="20"/>
                <w:szCs w:val="20"/>
                <w:color w:val="auto"/>
              </w:rPr>
            </w:pPr>
            <w:r>
              <w:rPr>
                <w:rFonts w:ascii="Verdana" w:cs="Verdana" w:eastAsia="Verdana" w:hAnsi="Verdana"/>
                <w:sz w:val="18"/>
                <w:szCs w:val="18"/>
                <w:color w:val="auto"/>
              </w:rPr>
              <w:t>Jeffrey D. Jones</w:t>
            </w:r>
          </w:p>
        </w:tc>
      </w:tr>
      <w:tr>
        <w:trPr>
          <w:trHeight w:val="270"/>
        </w:trPr>
        <w:tc>
          <w:tcPr>
            <w:tcW w:w="5580" w:type="dxa"/>
            <w:vAlign w:val="bottom"/>
            <w:gridSpan w:val="2"/>
          </w:tcPr>
          <w:p>
            <w:pPr>
              <w:spacing w:after="0"/>
              <w:rPr>
                <w:sz w:val="20"/>
                <w:szCs w:val="20"/>
                <w:color w:val="auto"/>
              </w:rPr>
            </w:pPr>
            <w:r>
              <w:rPr>
                <w:rFonts w:ascii="Verdana" w:cs="Verdana" w:eastAsia="Verdana" w:hAnsi="Verdana"/>
                <w:sz w:val="18"/>
                <w:szCs w:val="18"/>
                <w:color w:val="auto"/>
              </w:rPr>
              <w:t>Chief Financial Officer</w:t>
            </w:r>
          </w:p>
        </w:tc>
      </w:tr>
      <w:tr>
        <w:trPr>
          <w:trHeight w:val="270"/>
        </w:trPr>
        <w:tc>
          <w:tcPr>
            <w:tcW w:w="5580" w:type="dxa"/>
            <w:vAlign w:val="bottom"/>
            <w:gridSpan w:val="2"/>
          </w:tcPr>
          <w:p>
            <w:pPr>
              <w:spacing w:after="0"/>
              <w:rPr>
                <w:sz w:val="20"/>
                <w:szCs w:val="20"/>
                <w:color w:val="auto"/>
              </w:rPr>
            </w:pPr>
            <w:r>
              <w:rPr>
                <w:rFonts w:ascii="Verdana" w:cs="Verdana" w:eastAsia="Verdana" w:hAnsi="Verdana"/>
                <w:sz w:val="18"/>
                <w:szCs w:val="18"/>
                <w:color w:val="auto"/>
              </w:rPr>
              <w:t>(Principal Financial Officer)</w:t>
            </w:r>
          </w:p>
        </w:tc>
      </w:tr>
      <w:tr>
        <w:trPr>
          <w:trHeight w:val="540"/>
        </w:trPr>
        <w:tc>
          <w:tcPr>
            <w:tcW w:w="680" w:type="dxa"/>
            <w:vAlign w:val="bottom"/>
          </w:tcPr>
          <w:p>
            <w:pPr>
              <w:spacing w:after="0"/>
              <w:rPr>
                <w:sz w:val="20"/>
                <w:szCs w:val="20"/>
                <w:color w:val="auto"/>
              </w:rPr>
            </w:pPr>
            <w:r>
              <w:rPr>
                <w:rFonts w:ascii="Verdana" w:cs="Verdana" w:eastAsia="Verdana" w:hAnsi="Verdana"/>
                <w:sz w:val="18"/>
                <w:szCs w:val="18"/>
                <w:color w:val="auto"/>
              </w:rPr>
              <w:t>BY</w:t>
            </w:r>
          </w:p>
        </w:tc>
        <w:tc>
          <w:tcPr>
            <w:tcW w:w="4900" w:type="dxa"/>
            <w:vAlign w:val="bottom"/>
          </w:tcPr>
          <w:p>
            <w:pPr>
              <w:ind w:left="20"/>
              <w:spacing w:after="0"/>
              <w:rPr>
                <w:sz w:val="20"/>
                <w:szCs w:val="20"/>
                <w:color w:val="auto"/>
              </w:rPr>
            </w:pPr>
            <w:r>
              <w:rPr>
                <w:rFonts w:ascii="Verdana" w:cs="Verdana" w:eastAsia="Verdana" w:hAnsi="Verdana"/>
                <w:sz w:val="18"/>
                <w:szCs w:val="18"/>
                <w:color w:val="auto"/>
              </w:rPr>
              <w:t>/s/ SCOTT A. PHILLIPS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8255</wp:posOffset>
            </wp:positionV>
            <wp:extent cx="3111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5" w:lineRule="exact"/>
        <w:rPr>
          <w:sz w:val="20"/>
          <w:szCs w:val="20"/>
          <w:color w:val="auto"/>
        </w:rPr>
      </w:pPr>
    </w:p>
    <w:p>
      <w:pPr>
        <w:ind w:left="5660"/>
        <w:spacing w:after="0"/>
        <w:rPr>
          <w:sz w:val="20"/>
          <w:szCs w:val="20"/>
          <w:color w:val="auto"/>
        </w:rPr>
      </w:pPr>
      <w:r>
        <w:rPr>
          <w:rFonts w:ascii="Verdana" w:cs="Verdana" w:eastAsia="Verdana" w:hAnsi="Verdana"/>
          <w:sz w:val="18"/>
          <w:szCs w:val="18"/>
          <w:color w:val="auto"/>
        </w:rPr>
        <w:t>Scott A. Phillips</w:t>
      </w:r>
    </w:p>
    <w:p>
      <w:pPr>
        <w:spacing w:after="0" w:line="51" w:lineRule="exact"/>
        <w:rPr>
          <w:sz w:val="20"/>
          <w:szCs w:val="20"/>
          <w:color w:val="auto"/>
        </w:rPr>
      </w:pPr>
    </w:p>
    <w:p>
      <w:pPr>
        <w:ind w:left="5660"/>
        <w:spacing w:after="0"/>
        <w:rPr>
          <w:sz w:val="20"/>
          <w:szCs w:val="20"/>
          <w:color w:val="auto"/>
        </w:rPr>
      </w:pPr>
      <w:r>
        <w:rPr>
          <w:rFonts w:ascii="Verdana" w:cs="Verdana" w:eastAsia="Verdana" w:hAnsi="Verdana"/>
          <w:sz w:val="18"/>
          <w:szCs w:val="18"/>
          <w:color w:val="auto"/>
        </w:rPr>
        <w:t>Corporate Controller and Principal Accounting Officer</w:t>
      </w:r>
    </w:p>
    <w:p>
      <w:pPr>
        <w:spacing w:after="0" w:line="51" w:lineRule="exact"/>
        <w:rPr>
          <w:sz w:val="20"/>
          <w:szCs w:val="20"/>
          <w:color w:val="auto"/>
        </w:rPr>
      </w:pPr>
    </w:p>
    <w:p>
      <w:pPr>
        <w:ind w:left="5660"/>
        <w:spacing w:after="0"/>
        <w:rPr>
          <w:sz w:val="20"/>
          <w:szCs w:val="20"/>
          <w:color w:val="auto"/>
        </w:rPr>
      </w:pPr>
      <w:r>
        <w:rPr>
          <w:rFonts w:ascii="Verdana" w:cs="Verdana" w:eastAsia="Verdana" w:hAnsi="Verdana"/>
          <w:sz w:val="18"/>
          <w:szCs w:val="18"/>
          <w:color w:val="auto"/>
        </w:rPr>
        <w:t>(Principal Accounting Officer)</w:t>
      </w:r>
    </w:p>
    <w:p>
      <w:pPr>
        <w:spacing w:after="0" w:line="34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8" w:name="page189"/>
    <w:bookmarkEnd w:id="18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00" w:type="dxa"/>
            <w:vAlign w:val="bottom"/>
          </w:tcPr>
          <w:p>
            <w:pPr>
              <w:ind w:left="1420"/>
              <w:spacing w:after="0"/>
              <w:rPr>
                <w:sz w:val="20"/>
                <w:szCs w:val="20"/>
                <w:color w:val="auto"/>
              </w:rPr>
            </w:pPr>
            <w:r>
              <w:rPr>
                <w:rFonts w:ascii="Verdana" w:cs="Verdana" w:eastAsia="Verdana" w:hAnsi="Verdana"/>
                <w:sz w:val="13"/>
                <w:szCs w:val="13"/>
                <w:b w:val="1"/>
                <w:bCs w:val="1"/>
                <w:color w:val="auto"/>
              </w:rPr>
              <w:t>Signature</w:t>
            </w:r>
          </w:p>
        </w:tc>
        <w:tc>
          <w:tcPr>
            <w:tcW w:w="5480" w:type="dxa"/>
            <w:vAlign w:val="bottom"/>
          </w:tcPr>
          <w:p>
            <w:pPr>
              <w:ind w:left="2620"/>
              <w:spacing w:after="0"/>
              <w:rPr>
                <w:sz w:val="20"/>
                <w:szCs w:val="20"/>
                <w:color w:val="auto"/>
              </w:rPr>
            </w:pPr>
            <w:r>
              <w:rPr>
                <w:rFonts w:ascii="Verdana" w:cs="Verdana" w:eastAsia="Verdana" w:hAnsi="Verdana"/>
                <w:sz w:val="13"/>
                <w:szCs w:val="13"/>
                <w:b w:val="1"/>
                <w:bCs w:val="1"/>
                <w:color w:val="auto"/>
              </w:rPr>
              <w:t>Title</w:t>
            </w:r>
          </w:p>
        </w:tc>
        <w:tc>
          <w:tcPr>
            <w:tcW w:w="2240" w:type="dxa"/>
            <w:vAlign w:val="bottom"/>
          </w:tcPr>
          <w:p>
            <w:pPr>
              <w:ind w:left="960"/>
              <w:spacing w:after="0"/>
              <w:rPr>
                <w:sz w:val="20"/>
                <w:szCs w:val="20"/>
                <w:color w:val="auto"/>
              </w:rPr>
            </w:pPr>
            <w:r>
              <w:rPr>
                <w:rFonts w:ascii="Verdana" w:cs="Verdana" w:eastAsia="Verdana" w:hAnsi="Verdana"/>
                <w:sz w:val="13"/>
                <w:szCs w:val="13"/>
                <w:b w:val="1"/>
                <w:bCs w:val="1"/>
                <w:color w:val="auto"/>
              </w:rPr>
              <w:t>Date</w:t>
            </w:r>
          </w:p>
        </w:tc>
      </w:tr>
      <w:tr>
        <w:trPr>
          <w:trHeight w:val="549"/>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VAN A. DUKEMAN</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Chairman, President and Chief Executive Officer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Van A. Dukeman</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(Principal Executive Officer)</w:t>
            </w: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JEFFREY D. JONES</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Chief Financial Officer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Jeffrey D. Jones</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(Principal Financial Officer)</w:t>
            </w: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SCOTT A. PHILLIPS</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Corporate Controller and Principal Accounting Officer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Scott A. Phillips</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(Principal Accounting Officer)</w:t>
            </w: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GREGORY B. LYKINS</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Vice-Chairman</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Gregory B. Lykins</w:t>
            </w:r>
          </w:p>
        </w:tc>
        <w:tc>
          <w:tcPr>
            <w:tcW w:w="54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SAMUEL P. BANKS</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Director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Samuel P. Banks</w:t>
            </w:r>
          </w:p>
        </w:tc>
        <w:tc>
          <w:tcPr>
            <w:tcW w:w="54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GEORGE BARR</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Director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George Barr</w:t>
            </w:r>
          </w:p>
        </w:tc>
        <w:tc>
          <w:tcPr>
            <w:tcW w:w="54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STANLEY J. BRADSHAW</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Director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Stanley J. Bradshaw</w:t>
            </w:r>
          </w:p>
        </w:tc>
        <w:tc>
          <w:tcPr>
            <w:tcW w:w="54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MICHAEL D. CASSENS</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Director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Michael D. Cassens</w:t>
            </w:r>
          </w:p>
        </w:tc>
        <w:tc>
          <w:tcPr>
            <w:tcW w:w="54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KAREN M. JENSEN</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Director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Karen M. Jensen</w:t>
            </w:r>
          </w:p>
        </w:tc>
        <w:tc>
          <w:tcPr>
            <w:tcW w:w="54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FREDERIC L. KENNEY</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Director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Frederic L. Kenney</w:t>
            </w:r>
          </w:p>
        </w:tc>
        <w:tc>
          <w:tcPr>
            <w:tcW w:w="54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STEPHEN V. KING</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Director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7"/>
        </w:trPr>
        <w:tc>
          <w:tcPr>
            <w:tcW w:w="3500" w:type="dxa"/>
            <w:vAlign w:val="bottom"/>
          </w:tcPr>
          <w:p>
            <w:pPr>
              <w:ind w:left="20"/>
              <w:spacing w:after="0"/>
              <w:rPr>
                <w:sz w:val="20"/>
                <w:szCs w:val="20"/>
                <w:color w:val="auto"/>
              </w:rPr>
            </w:pPr>
            <w:r>
              <w:rPr>
                <w:rFonts w:ascii="Verdana" w:cs="Verdana" w:eastAsia="Verdana" w:hAnsi="Verdana"/>
                <w:sz w:val="18"/>
                <w:szCs w:val="18"/>
                <w:color w:val="auto"/>
              </w:rPr>
              <w:t>Stephen V. King</w:t>
            </w:r>
          </w:p>
        </w:tc>
        <w:tc>
          <w:tcPr>
            <w:tcW w:w="54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547"/>
        </w:trPr>
        <w:tc>
          <w:tcPr>
            <w:tcW w:w="350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/s/ CASSANDRA R. SANFORD</w:t>
            </w:r>
          </w:p>
        </w:tc>
        <w:tc>
          <w:tcPr>
            <w:tcW w:w="5480" w:type="dxa"/>
            <w:vAlign w:val="bottom"/>
          </w:tcPr>
          <w:p>
            <w:pPr>
              <w:ind w:left="120"/>
              <w:spacing w:after="0"/>
              <w:rPr>
                <w:sz w:val="20"/>
                <w:szCs w:val="20"/>
                <w:color w:val="auto"/>
              </w:rPr>
            </w:pPr>
            <w:r>
              <w:rPr>
                <w:rFonts w:ascii="Verdana" w:cs="Verdana" w:eastAsia="Verdana" w:hAnsi="Verdana"/>
                <w:sz w:val="18"/>
                <w:szCs w:val="18"/>
                <w:color w:val="auto"/>
              </w:rPr>
              <w:t>Director</w:t>
            </w:r>
          </w:p>
        </w:tc>
        <w:tc>
          <w:tcPr>
            <w:tcW w:w="2240" w:type="dxa"/>
            <w:vAlign w:val="bottom"/>
          </w:tcPr>
          <w:p>
            <w:pPr>
              <w:ind w:left="560"/>
              <w:spacing w:after="0"/>
              <w:rPr>
                <w:sz w:val="20"/>
                <w:szCs w:val="20"/>
                <w:color w:val="auto"/>
              </w:rPr>
            </w:pPr>
            <w:r>
              <w:rPr>
                <w:rFonts w:ascii="Verdana" w:cs="Verdana" w:eastAsia="Verdana" w:hAnsi="Verdana"/>
                <w:sz w:val="18"/>
                <w:szCs w:val="18"/>
                <w:color w:val="auto"/>
                <w:w w:val="98"/>
              </w:rPr>
              <w:t>February 22, 2024</w:t>
            </w:r>
          </w:p>
        </w:tc>
      </w:tr>
      <w:tr>
        <w:trPr>
          <w:trHeight w:val="256"/>
        </w:trPr>
        <w:tc>
          <w:tcPr>
            <w:tcW w:w="3500" w:type="dxa"/>
            <w:vAlign w:val="bottom"/>
          </w:tcPr>
          <w:p>
            <w:pPr>
              <w:ind w:left="20"/>
              <w:spacing w:after="0"/>
              <w:rPr>
                <w:sz w:val="20"/>
                <w:szCs w:val="20"/>
                <w:color w:val="auto"/>
              </w:rPr>
            </w:pPr>
            <w:r>
              <w:rPr>
                <w:rFonts w:ascii="Verdana" w:cs="Verdana" w:eastAsia="Verdana" w:hAnsi="Verdana"/>
                <w:sz w:val="18"/>
                <w:szCs w:val="18"/>
                <w:color w:val="auto"/>
              </w:rPr>
              <w:t>Cassandra R. Sanford</w:t>
            </w:r>
          </w:p>
        </w:tc>
        <w:tc>
          <w:tcPr>
            <w:tcW w:w="5480" w:type="dxa"/>
            <w:vAlign w:val="bottom"/>
          </w:tcPr>
          <w:p>
            <w:pPr>
              <w:spacing w:after="0"/>
              <w:rPr>
                <w:sz w:val="22"/>
                <w:szCs w:val="22"/>
                <w:color w:val="auto"/>
              </w:rPr>
            </w:pPr>
          </w:p>
        </w:tc>
        <w:tc>
          <w:tcPr>
            <w:tcW w:w="2240" w:type="dxa"/>
            <w:vAlign w:val="bottom"/>
          </w:tcPr>
          <w:p>
            <w:pPr>
              <w:spacing w:after="0"/>
              <w:rPr>
                <w:sz w:val="22"/>
                <w:szCs w:val="22"/>
                <w:color w:val="auto"/>
              </w:rPr>
            </w:pPr>
          </w:p>
        </w:tc>
      </w:tr>
    </w:tbl>
    <w:p>
      <w:pPr>
        <w:spacing w:after="0" w:line="33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 2023 </w:t>
      </w:r>
      <w:r>
        <w:rPr>
          <w:rFonts w:ascii="Verdana" w:cs="Verdana" w:eastAsia="Verdana" w:hAnsi="Verdana"/>
          <w:sz w:val="18"/>
          <w:szCs w:val="18"/>
          <w:b w:val="1"/>
          <w:bCs w:val="1"/>
          <w:color w:val="376484"/>
        </w:rPr>
        <w:t>— 189</w:t>
      </w:r>
    </w:p>
    <w:p>
      <w:pPr>
        <w:sectPr>
          <w:pgSz w:w="11900" w:h="16838" w:orient="portrait"/>
          <w:cols w:equalWidth="0" w:num="1">
            <w:col w:w="11240"/>
          </w:cols>
          <w:pgMar w:left="320" w:top="310" w:right="339" w:bottom="1440" w:gutter="0" w:footer="0" w:header="0"/>
        </w:sectPr>
      </w:pPr>
    </w:p>
    <w:bookmarkStart w:id="189" w:name="page190"/>
    <w:bookmarkEnd w:id="189"/>
    <w:p>
      <w:pPr>
        <w:jc w:val="right"/>
        <w:spacing w:after="0"/>
        <w:rPr>
          <w:sz w:val="20"/>
          <w:szCs w:val="20"/>
          <w:color w:val="auto"/>
        </w:rPr>
      </w:pPr>
      <w:r>
        <w:rPr>
          <w:rFonts w:ascii="Verdana" w:cs="Verdana" w:eastAsia="Verdana" w:hAnsi="Verdana"/>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Verdana" w:cs="Verdana" w:eastAsia="Verdana" w:hAnsi="Verdana"/>
          <w:sz w:val="22"/>
          <w:szCs w:val="22"/>
          <w:b w:val="1"/>
          <w:bCs w:val="1"/>
          <w:color w:val="auto"/>
        </w:rPr>
        <w:t>DESCRIPTION OF</w:t>
      </w:r>
    </w:p>
    <w:p>
      <w:pPr>
        <w:jc w:val="center"/>
        <w:spacing w:after="0" w:line="230" w:lineRule="auto"/>
        <w:rPr>
          <w:sz w:val="20"/>
          <w:szCs w:val="20"/>
          <w:color w:val="auto"/>
        </w:rPr>
      </w:pPr>
      <w:r>
        <w:rPr>
          <w:rFonts w:ascii="Verdana" w:cs="Verdana" w:eastAsia="Verdana" w:hAnsi="Verdana"/>
          <w:sz w:val="22"/>
          <w:szCs w:val="22"/>
          <w:b w:val="1"/>
          <w:bCs w:val="1"/>
          <w:color w:val="auto"/>
        </w:rPr>
        <w:t>FIRST BUSEY CORPORATION’S SECURITIES</w:t>
      </w:r>
    </w:p>
    <w:p>
      <w:pPr>
        <w:jc w:val="center"/>
        <w:spacing w:after="0"/>
        <w:rPr>
          <w:sz w:val="20"/>
          <w:szCs w:val="20"/>
          <w:color w:val="auto"/>
        </w:rPr>
      </w:pPr>
      <w:r>
        <w:rPr>
          <w:rFonts w:ascii="Verdana" w:cs="Verdana" w:eastAsia="Verdana" w:hAnsi="Verdana"/>
          <w:sz w:val="22"/>
          <w:szCs w:val="22"/>
          <w:b w:val="1"/>
          <w:bCs w:val="1"/>
          <w:color w:val="auto"/>
        </w:rPr>
        <w:t>REGISTERED PURSUANT TO SECTION 12 OF THE</w:t>
      </w:r>
    </w:p>
    <w:p>
      <w:pPr>
        <w:spacing w:after="0" w:line="3" w:lineRule="exact"/>
        <w:rPr>
          <w:sz w:val="20"/>
          <w:szCs w:val="20"/>
          <w:color w:val="auto"/>
        </w:rPr>
      </w:pPr>
    </w:p>
    <w:p>
      <w:pPr>
        <w:jc w:val="center"/>
        <w:spacing w:after="0"/>
        <w:rPr>
          <w:sz w:val="20"/>
          <w:szCs w:val="20"/>
          <w:color w:val="auto"/>
        </w:rPr>
      </w:pPr>
      <w:r>
        <w:rPr>
          <w:rFonts w:ascii="Verdana" w:cs="Verdana" w:eastAsia="Verdana" w:hAnsi="Verdana"/>
          <w:sz w:val="22"/>
          <w:szCs w:val="22"/>
          <w:b w:val="1"/>
          <w:bCs w:val="1"/>
          <w:color w:val="auto"/>
        </w:rPr>
        <w:t>SECURITIES EXCHANGE ACT OF 1934</w:t>
      </w:r>
    </w:p>
    <w:p>
      <w:pPr>
        <w:spacing w:after="0" w:line="200" w:lineRule="exact"/>
        <w:rPr>
          <w:sz w:val="20"/>
          <w:szCs w:val="20"/>
          <w:color w:val="auto"/>
        </w:rPr>
      </w:pPr>
    </w:p>
    <w:p>
      <w:pPr>
        <w:spacing w:after="0" w:line="379" w:lineRule="exact"/>
        <w:rPr>
          <w:sz w:val="20"/>
          <w:szCs w:val="20"/>
          <w:color w:val="auto"/>
        </w:rPr>
      </w:pPr>
    </w:p>
    <w:p>
      <w:pPr>
        <w:jc w:val="both"/>
        <w:spacing w:after="0" w:line="239" w:lineRule="auto"/>
        <w:rPr>
          <w:rFonts w:ascii="Verdana" w:cs="Verdana" w:eastAsia="Verdana" w:hAnsi="Verdana"/>
          <w:sz w:val="18"/>
          <w:szCs w:val="18"/>
          <w:i w:val="1"/>
          <w:iCs w:val="1"/>
          <w:color w:val="auto"/>
        </w:rPr>
      </w:pPr>
      <w:r>
        <w:rPr>
          <w:rFonts w:ascii="Verdana" w:cs="Verdana" w:eastAsia="Verdana" w:hAnsi="Verdana"/>
          <w:sz w:val="18"/>
          <w:szCs w:val="18"/>
          <w:i w:val="1"/>
          <w:iCs w:val="1"/>
          <w:color w:val="auto"/>
        </w:rPr>
        <w:t xml:space="preserve">The common stock of First Busey Corporation (the “Company,” which is also referred to herein as “we,” “our” or “us”) is registered pursuant to Section 12 of the Securities Exchange Act of 1934, as amended. The following description of the material terms of the Company’s common stock is only a summary. This summary does not purport to be a complete description of the terms and conditions of the Company’s common stock and is subject to and qualified in its entirety by reference to the Company’s </w:t>
      </w:r>
      <w:hyperlink r:id="rId243">
        <w:r>
          <w:rPr>
            <w:rFonts w:ascii="Verdana" w:cs="Verdana" w:eastAsia="Verdana" w:hAnsi="Verdana"/>
            <w:sz w:val="18"/>
            <w:szCs w:val="18"/>
            <w:i w:val="1"/>
            <w:iCs w:val="1"/>
            <w:u w:val="single" w:color="auto"/>
            <w:color w:val="0000FF"/>
          </w:rPr>
          <w:t>Amended and Restated Articles of Incorporation</w:t>
        </w:r>
      </w:hyperlink>
      <w:r>
        <w:rPr>
          <w:rFonts w:ascii="Verdana" w:cs="Verdana" w:eastAsia="Verdana" w:hAnsi="Verdana"/>
          <w:sz w:val="18"/>
          <w:szCs w:val="18"/>
          <w:i w:val="1"/>
          <w:iCs w:val="1"/>
          <w:color w:val="auto"/>
        </w:rPr>
        <w:t xml:space="preserve">, which we refer to as the “Articles of Incorporation” and the Company’s </w:t>
      </w:r>
      <w:hyperlink r:id="rId245">
        <w:r>
          <w:rPr>
            <w:rFonts w:ascii="Verdana" w:cs="Verdana" w:eastAsia="Verdana" w:hAnsi="Verdana"/>
            <w:sz w:val="18"/>
            <w:szCs w:val="18"/>
            <w:i w:val="1"/>
            <w:iCs w:val="1"/>
            <w:u w:val="single" w:color="auto"/>
            <w:color w:val="0000FF"/>
          </w:rPr>
          <w:t>Second Amended and Restated By-laws</w:t>
        </w:r>
      </w:hyperlink>
      <w:r>
        <w:rPr>
          <w:rFonts w:ascii="Verdana" w:cs="Verdana" w:eastAsia="Verdana" w:hAnsi="Verdana"/>
          <w:sz w:val="18"/>
          <w:szCs w:val="18"/>
          <w:i w:val="1"/>
          <w:iCs w:val="1"/>
          <w:color w:val="auto"/>
        </w:rPr>
        <w:t>, which we refer to as the “Bylaws,” as well as the Nevada General Corporation Law, which we refer to as the “NGCL,” each as may be amended from time to time, and any other documents referenced in the summary and from which the summary is derived.</w:t>
      </w:r>
    </w:p>
    <w:p>
      <w:pPr>
        <w:spacing w:after="0" w:line="17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DESCRIPTION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General</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Under our Articles of Incorporation, we have the authority to issue 100,000,000 shares of our common stock, par value $0.001 per share, and 1,000,000 shares of preferred stock, par value $0.001 per share. Our common stock is listed for trading on the NASDAQ Global Select Market under the symbol “BUSE.” Each share of our common stock has the same relative rights and is identical in all respects to every other share of our common stock. Our shares of common stock are neither redeemable nor convertible, and the holders thereof have no preemptive or subscription rights to purchase any of our securities.</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Voting Rights</w:t>
      </w:r>
    </w:p>
    <w:p>
      <w:pPr>
        <w:spacing w:after="0" w:line="170" w:lineRule="exact"/>
        <w:rPr>
          <w:sz w:val="20"/>
          <w:szCs w:val="20"/>
          <w:color w:val="auto"/>
        </w:rPr>
      </w:pPr>
    </w:p>
    <w:p>
      <w:pPr>
        <w:spacing w:after="0"/>
        <w:rPr>
          <w:sz w:val="20"/>
          <w:szCs w:val="20"/>
          <w:color w:val="auto"/>
        </w:rPr>
      </w:pPr>
      <w:r>
        <w:rPr>
          <w:rFonts w:ascii="Verdana" w:cs="Verdana" w:eastAsia="Verdana" w:hAnsi="Verdana"/>
          <w:sz w:val="18"/>
          <w:szCs w:val="18"/>
          <w:color w:val="auto"/>
        </w:rPr>
        <w:t>Each outstanding share of our common stock is entitled to one vote on all matters submitted to a vote of stockholders.</w:t>
      </w:r>
    </w:p>
    <w:p>
      <w:pPr>
        <w:spacing w:after="0"/>
        <w:rPr>
          <w:sz w:val="20"/>
          <w:szCs w:val="20"/>
          <w:color w:val="auto"/>
        </w:rPr>
      </w:pPr>
      <w:r>
        <w:rPr>
          <w:rFonts w:ascii="Verdana" w:cs="Verdana" w:eastAsia="Verdana" w:hAnsi="Verdana"/>
          <w:sz w:val="18"/>
          <w:szCs w:val="18"/>
          <w:color w:val="auto"/>
        </w:rPr>
        <w:t>There is no cumulative voting in the election of directors.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Liquidation Rights</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Upon our liquidation, dissolution, or winding up, the holders of our common stock are entitled to receive, pro rata, our assets which are legally available for distribution, after payment of all debts and other liabilities and subject to the prior rights of any holders of preferred stock then outstanding.</w:t>
      </w:r>
    </w:p>
    <w:p>
      <w:pPr>
        <w:sectPr>
          <w:pgSz w:w="11900" w:h="16838" w:orient="portrait"/>
          <w:cols w:equalWidth="0" w:num="1">
            <w:col w:w="11240"/>
          </w:cols>
          <w:pgMar w:left="320" w:top="134" w:right="339" w:bottom="1440" w:gutter="0" w:footer="0" w:header="0"/>
        </w:sectPr>
      </w:pPr>
    </w:p>
    <w:bookmarkStart w:id="190" w:name="page191"/>
    <w:bookmarkEnd w:id="190"/>
    <w:p>
      <w:pPr>
        <w:spacing w:after="0" w:line="35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Dividends Payable on Shares of Common Stock</w:t>
      </w:r>
    </w:p>
    <w:p>
      <w:pPr>
        <w:spacing w:after="0" w:line="173" w:lineRule="exact"/>
        <w:rPr>
          <w:sz w:val="20"/>
          <w:szCs w:val="20"/>
          <w:color w:val="auto"/>
        </w:rPr>
      </w:pPr>
    </w:p>
    <w:p>
      <w:pPr>
        <w:jc w:val="both"/>
        <w:spacing w:after="0" w:line="237" w:lineRule="auto"/>
        <w:rPr>
          <w:sz w:val="20"/>
          <w:szCs w:val="20"/>
          <w:color w:val="auto"/>
        </w:rPr>
      </w:pPr>
      <w:r>
        <w:rPr>
          <w:rFonts w:ascii="Verdana" w:cs="Verdana" w:eastAsia="Verdana" w:hAnsi="Verdana"/>
          <w:sz w:val="18"/>
          <w:szCs w:val="18"/>
          <w:color w:val="auto"/>
        </w:rPr>
        <w:t>In general, the holders of outstanding shares of our common stock are entitled to receive dividends out of assets legally available therefor at such times and in such amounts as our board of directors may from time to time determine. The ability of our board of directors to declare and pay dividends on our common stock may be affected by both general corporate law considerations and policies of the Board of Governors of the Federal Reserve, which we refer to herein as the Federal Reserve, applicable to bank holding companies. As a Nevada corporation, we are subject to the limitations of Nevada law, which allows us to pay dividends unless, after such dividend, we would not be able to pay our debts as they become due in the usual course of business or our total assets would be less than the sum of our total liabilities plus any amount that would be needed if we were to be dissolved at the time of the dividend payment to satisfy the preferential rights of stockholders whose preferential rights are superior to those receiving the dividend. As a bank holding company, our ability to declare and pay dividends is subject to the guidelines of the Federal Reserve regarding capital adequacy and dividends. The Federal Reserve guidelines generally require us to review the effects of the cash payment of dividends on our common stock and other Tier 1 capital instruments (i.e., perpetual preferred stock and trust preferred securities) in light of our earnings, capital adequacy, and financial condition. As a general matter, the Federal Reserve indicates that the board of directors of a bank holding company should eliminate, defer, or significantly reduce the dividends if: (1) the company’s net income available to stockholders for the past four quarters, net of dividends previously paid during that period, is not sufficient to fully fund the dividends; (2) the prospective rate of earnings retention is inconsistent with the company’s capital needs and overall current and prospective financial condition; or (3)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17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Most of our revenues available for the payment of dividends derive from amounts paid to us by Busey Bank. There are various statutory limitations that limit the ability of Busey Bank to pay dividends to us. Busey Bank is a state-charted bank and is subject to the laws and regulations of the Illinois Department of Financial and Professional Regulation and to the regulations of the Federal Deposit Insurance Corporation. If a bank’s primary banking regulator determines that the bank is engaged or is about to engage in an unsafe or unsound banking practice, the regulator may require, after notice and hearing, that the bank cease and desist from such practice. Depending on the financial condition of the bank, an unsafe or unsound practice could include the payment of dividends. In particular, the federal banking agencies have indicated that paying dividends that deplete a bank’s capital base to an inadequate level would be an unsafe and unsound banking practice.</w:t>
      </w:r>
    </w:p>
    <w:p>
      <w:pPr>
        <w:spacing w:after="0" w:line="172"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Under the Illinois Banking Act, Busey Bank generally may not pay dividends in excess of its net profits. Further, the payment of dividends by any financial institution is also affected by the requirement to maintain adequate capital pursuant to applicable capital adequacy guidelines and regulations, and a financial institution generally is prohibited from paying any dividends if, following payment thereof, the institution would be undercapitalized. Even notwithstanding the availability of funds for dividends, the Federal Deposit Insurance Corporation may prohibit the payment of any dividends by an insured bank, such as Busey Bank, if the Federal Deposit Insurance Corporation determines such payment would constitute an unsafe or unsound practice. Furthermore, under applicable regulatory requirements, an Illinois state-chartered bank such as Busey Bank may not pay dividends in excess of its net profits.</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35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Preferred Stock</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We may issue up to 1,000,000 shares of preferred stock, $0.001 par value per share, from time to time in one or more series. Our board of directors, without further approval of the stockholders, has the authority to fix the dividend rights and terms, conversion rights, voting rights, redemption rights and terms, liquidation preferences, sinking funds, and any other rights, preferences, privileges, and restrictions applicable to each series of preferred stock. The issuance of preferred stock, while providing flexibility in connection with possible acquisitions and other corporate purposes, could, among other things, adversely affect the voting power of the holders of our common stock.</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ANTI-TAKEOVER PROVISIONS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General</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Our Articles of Incorporation and our Bylaws may have the effect of discouraging, delaying, or preventing a change in control or an unsolicited acquisition proposal that a stockholder might consider favorable, including a proposal that might result in the payment of a premium over the market price for the shares held by stockholders. These provisions are summarized in the following paragraphs.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Authorized Shares of Capital Stock</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Authorized but unissued shares of our common stock and preferred stock under our Articles of Incorporation could (within the limits imposed by applicable law and the rules of The NASDAQ Stock Market LLC) be issued in one or more transactions that could make a change of control of us more difficult, and therefore more unlikely. The additional authorized shares could be used to discourage persons from attempting to gain control of us by diluting the voting power of shares then outstanding or increasing the voting power of persons who would support the board of directors in a potential takeover situation, including by preventing or delaying a proposed business combination that is opposed by the board of directors although perceived to be desirable by some stockholders.</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Limitations on Right to Call Special Meetings; Stockholder Proposal Notice Requirements</w:t>
      </w:r>
    </w:p>
    <w:p>
      <w:pPr>
        <w:spacing w:after="0" w:line="170" w:lineRule="exact"/>
        <w:rPr>
          <w:sz w:val="20"/>
          <w:szCs w:val="20"/>
          <w:color w:val="auto"/>
        </w:rPr>
      </w:pPr>
    </w:p>
    <w:p>
      <w:pPr>
        <w:spacing w:after="0"/>
        <w:rPr>
          <w:sz w:val="20"/>
          <w:szCs w:val="20"/>
          <w:color w:val="auto"/>
        </w:rPr>
      </w:pPr>
      <w:r>
        <w:rPr>
          <w:rFonts w:ascii="Verdana" w:cs="Verdana" w:eastAsia="Verdana" w:hAnsi="Verdana"/>
          <w:sz w:val="18"/>
          <w:szCs w:val="18"/>
          <w:color w:val="auto"/>
        </w:rPr>
        <w:t>Under our Bylaws, a special meeting of our stockholders may be called only by (1) the Chair of our board of directors,</w:t>
      </w:r>
    </w:p>
    <w:p>
      <w:pPr>
        <w:jc w:val="both"/>
        <w:ind w:firstLine="8"/>
        <w:spacing w:after="0" w:line="241" w:lineRule="auto"/>
        <w:tabs>
          <w:tab w:leader="none" w:pos="359" w:val="left"/>
        </w:tabs>
        <w:numPr>
          <w:ilvl w:val="0"/>
          <w:numId w:val="70"/>
        </w:numPr>
        <w:rPr>
          <w:rFonts w:ascii="Verdana" w:cs="Verdana" w:eastAsia="Verdana" w:hAnsi="Verdana"/>
          <w:sz w:val="18"/>
          <w:szCs w:val="18"/>
          <w:color w:val="auto"/>
        </w:rPr>
      </w:pPr>
      <w:r>
        <w:rPr>
          <w:rFonts w:ascii="Verdana" w:cs="Verdana" w:eastAsia="Verdana" w:hAnsi="Verdana"/>
          <w:sz w:val="18"/>
          <w:szCs w:val="18"/>
          <w:color w:val="auto"/>
        </w:rPr>
        <w:t>our Chief Executive Officer, (3) our President, (4) a majority of our board of directors, or (5) stockholders owning at least fifty percent (50%) of the entire capital stock of the Company issued and outstanding and entitled to vote. Additionally, our Bylaws require that stockholder proposals meet certain advanced notice and minimum informational requirements. These provisions could have the effect of delaying until the next annual stockholders meeting stockholder actions which are favored by the holders of a majority of our outstanding voting securities.</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State Anti-Takeover Laws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Although under our Articles of Incorporation we have opted not to be governed by Nevada’s anti-takeover law known as the “Combination with Interested Stockholders Statute,” we may become subject to this provision in the future. In addition, the NGCL contains a “Control Share Acquisition Statute,” which does not currently apply to us.</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355"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Combination with Interested Stockholders Statute prevents “interested stockholders” and an applicable Nevada corporation from entering into a “combination” unless certain conditions are met. A combination means, among other things, any merger or consolidation with an “interested stockholder,” or any sale, lease, exchange, mortgage, pledge, transfer, or other disposition, in one transaction or a series of transactions, with an “interested stockholder” having: (1) an aggregate market value equal to more than 5% of the aggregate market value of the assets of the corporation; (2) an aggregate market value equal to more than 5% of the aggregate market value of all outstanding voting shares of the corporation; or (3) representing more than 10% of the earning power or net income of the corporation. An “interested stockholder” means the beneficial owner of 10% or more of the voting shares of a corporation, or an affiliate or associate of a corporation who at any time within two years immediately prior to the date in question was the beneficial owner of 10% or more of the voting shares of the corporation. A corporation may not engage in a “combination” within two years after the interested stockholder acquired its shares unless the combination or the purchase of shares made by the interested stockholder is approved by the board of directors before the interested stockholder acquired such shares or the combination is approved by the board of directors and, at or after that time, the combination is approved at an annual or special meeting of the stockholders of the corporation representing at least 60% of the outstanding voting power held by disinterested stockholders.</w:t>
      </w:r>
    </w:p>
    <w:p>
      <w:pPr>
        <w:spacing w:after="0" w:line="16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If such approval is not obtained, then after the expiration of the two-year period, the business combination may be consummated: (1) if the combination or the transaction in which the person became an interested stockholder was approved by the board of directors before the person became an interested stockholder; (2) if the combination is approved at an annual or special meeting of the stockholders of the corporation by a majority of the voting power held by disinterested stockholders; or (3) if the consideration to be paid by the interested stockholder for disinterested shares of common or preferred stock, as applicable, is at least equal to the highest of: (a) the highest price per share of such stock paid by the interested stockholder within the two years immediately preceding the date of the announcement of the combination or in the transaction in which the person became an interested stockholder, whichever is higher, plus interest from that date through the date of consummation of the combination and less any dividends paid during the same period;</w:t>
      </w:r>
    </w:p>
    <w:p>
      <w:pPr>
        <w:spacing w:after="0" w:line="8" w:lineRule="exact"/>
        <w:rPr>
          <w:sz w:val="20"/>
          <w:szCs w:val="20"/>
          <w:color w:val="auto"/>
        </w:rPr>
      </w:pPr>
    </w:p>
    <w:p>
      <w:pPr>
        <w:jc w:val="both"/>
        <w:ind w:firstLine="8"/>
        <w:spacing w:after="0" w:line="241" w:lineRule="auto"/>
        <w:tabs>
          <w:tab w:leader="none" w:pos="381" w:val="left"/>
        </w:tabs>
        <w:numPr>
          <w:ilvl w:val="0"/>
          <w:numId w:val="71"/>
        </w:numPr>
        <w:rPr>
          <w:rFonts w:ascii="Verdana" w:cs="Verdana" w:eastAsia="Verdana" w:hAnsi="Verdana"/>
          <w:sz w:val="18"/>
          <w:szCs w:val="18"/>
          <w:color w:val="auto"/>
        </w:rPr>
      </w:pPr>
      <w:r>
        <w:rPr>
          <w:rFonts w:ascii="Verdana" w:cs="Verdana" w:eastAsia="Verdana" w:hAnsi="Verdana"/>
          <w:sz w:val="18"/>
          <w:szCs w:val="18"/>
          <w:color w:val="auto"/>
        </w:rPr>
        <w:t>the market value per share of such stock on the date of the announcement of the combination or the date the interested stockholder acquired the shares, whichever is higher, plus interest from that date through the date of consummation of the combination and less any dividends paid during the same period; or (c) the amount specified in the corporation’s articles of incorporation, including in any certificate of designation for the class or series of shares are entitled upon the consummation of a transaction of a type encompassing the combination.</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355"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Control Share Acquisition Statute prohibits an acquiror, under certain circumstances, from voting shares of a target corporation’s stock after crossing certain threshold ownership percentages, unless the acquiror obtains the approval of the target corporation’s stockholders. The Control Share Acquisition Statute specifies three thresholds: (1) one-fifth or more but less than one-third; (2) one-third or more but less than a majority; and (3) a majority or more, of the voting power of the corporation in the election of directors. Once an acquiror crosses one of the above thresholds, those shares acquired in such offer or acquisition and those shares acquired within the preceding ninety days become “Control Shares” and such Control Shares are deprived of the right to vote until disinterested stockholders restore the right. The Control Shares Acquisition Statute also provides that in the event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The board of directors is to notify the stockholders after such an event has occurred that they have the right to receive the fair value of their shares in accordance with statutory procedures established generally for dissenters’ rights. The Control Share Acquisition Statute currently does not apply to us because we do not have 100 or more stockholders of record who are residents of the State of Nevada.</w:t>
      </w:r>
    </w:p>
    <w:p>
      <w:pPr>
        <w:sectPr>
          <w:pgSz w:w="11900" w:h="16838" w:orient="portrait"/>
          <w:cols w:equalWidth="0" w:num="1">
            <w:col w:w="11240"/>
          </w:cols>
          <w:pgMar w:left="320" w:top="1440"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5"/>
        </w:trPr>
        <w:tc>
          <w:tcPr>
            <w:tcW w:w="34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ind w:left="1140"/>
              <w:spacing w:after="0"/>
              <w:rPr>
                <w:sz w:val="20"/>
                <w:szCs w:val="20"/>
                <w:color w:val="auto"/>
              </w:rPr>
            </w:pPr>
            <w:r>
              <w:rPr>
                <w:rFonts w:ascii="Verdana" w:cs="Verdana" w:eastAsia="Verdana" w:hAnsi="Verdana"/>
                <w:sz w:val="18"/>
                <w:szCs w:val="18"/>
                <w:b w:val="1"/>
                <w:bCs w:val="1"/>
                <w:color w:val="auto"/>
                <w:w w:val="98"/>
              </w:rPr>
              <w:t>EXHIBIT 21.1</w:t>
            </w:r>
          </w:p>
        </w:tc>
      </w:tr>
      <w:tr>
        <w:trPr>
          <w:trHeight w:val="405"/>
        </w:trPr>
        <w:tc>
          <w:tcPr>
            <w:tcW w:w="3420" w:type="dxa"/>
            <w:vAlign w:val="bottom"/>
          </w:tcPr>
          <w:p>
            <w:pPr>
              <w:spacing w:after="0"/>
              <w:rPr>
                <w:sz w:val="24"/>
                <w:szCs w:val="24"/>
                <w:color w:val="auto"/>
              </w:rPr>
            </w:pPr>
          </w:p>
        </w:tc>
        <w:tc>
          <w:tcPr>
            <w:tcW w:w="7820" w:type="dxa"/>
            <w:vAlign w:val="bottom"/>
            <w:gridSpan w:val="3"/>
          </w:tcPr>
          <w:p>
            <w:pPr>
              <w:ind w:left="240"/>
              <w:spacing w:after="0"/>
              <w:rPr>
                <w:sz w:val="20"/>
                <w:szCs w:val="20"/>
                <w:color w:val="auto"/>
              </w:rPr>
            </w:pPr>
            <w:r>
              <w:rPr>
                <w:rFonts w:ascii="Verdana" w:cs="Verdana" w:eastAsia="Verdana" w:hAnsi="Verdana"/>
                <w:sz w:val="18"/>
                <w:szCs w:val="18"/>
                <w:b w:val="1"/>
                <w:bCs w:val="1"/>
                <w:color w:val="auto"/>
              </w:rPr>
              <w:t>Subsidiaries of First Busey Corporation</w:t>
            </w:r>
          </w:p>
        </w:tc>
      </w:tr>
      <w:tr>
        <w:trPr>
          <w:trHeight w:val="341"/>
        </w:trPr>
        <w:tc>
          <w:tcPr>
            <w:tcW w:w="3420" w:type="dxa"/>
            <w:vAlign w:val="bottom"/>
          </w:tcPr>
          <w:p>
            <w:pPr>
              <w:ind w:left="20"/>
              <w:spacing w:after="0"/>
              <w:rPr>
                <w:sz w:val="20"/>
                <w:szCs w:val="20"/>
                <w:color w:val="auto"/>
              </w:rPr>
            </w:pPr>
            <w:r>
              <w:rPr>
                <w:rFonts w:ascii="Verdana" w:cs="Verdana" w:eastAsia="Verdana" w:hAnsi="Verdana"/>
                <w:sz w:val="14"/>
                <w:szCs w:val="14"/>
                <w:b w:val="1"/>
                <w:bCs w:val="1"/>
                <w:color w:val="auto"/>
              </w:rPr>
              <w:t>DIRECT</w:t>
            </w: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b w:val="1"/>
                <w:bCs w:val="1"/>
                <w:color w:val="auto"/>
              </w:rPr>
              <w:t>State of</w:t>
            </w:r>
          </w:p>
        </w:tc>
      </w:tr>
      <w:tr>
        <w:trPr>
          <w:trHeight w:val="185"/>
        </w:trPr>
        <w:tc>
          <w:tcPr>
            <w:tcW w:w="34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b w:val="1"/>
                <w:bCs w:val="1"/>
                <w:color w:val="auto"/>
              </w:rPr>
              <w:t>Subsidiary</w:t>
            </w:r>
          </w:p>
        </w:tc>
        <w:tc>
          <w:tcPr>
            <w:tcW w:w="5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Incorporation or Organization</w:t>
            </w:r>
          </w:p>
        </w:tc>
      </w:tr>
      <w:tr>
        <w:trPr>
          <w:trHeight w:val="223"/>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Busey Bank</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3420" w:type="dxa"/>
            <w:vAlign w:val="bottom"/>
          </w:tcPr>
          <w:p>
            <w:pPr>
              <w:ind w:left="20"/>
              <w:spacing w:after="0"/>
              <w:rPr>
                <w:sz w:val="20"/>
                <w:szCs w:val="20"/>
                <w:color w:val="auto"/>
              </w:rPr>
            </w:pPr>
            <w:r>
              <w:rPr>
                <w:rFonts w:ascii="Verdana" w:cs="Verdana" w:eastAsia="Verdana" w:hAnsi="Verdana"/>
                <w:sz w:val="18"/>
                <w:szCs w:val="18"/>
                <w:color w:val="auto"/>
              </w:rPr>
              <w:t>Deed of Trust Services Corporation</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rPr>
              <w:t>Missouri</w:t>
            </w:r>
          </w:p>
        </w:tc>
      </w:tr>
      <w:tr>
        <w:trPr>
          <w:trHeight w:val="229"/>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First Busey Statutory Trust II</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9"/>
              </w:rPr>
              <w:t>Delaware</w:t>
            </w:r>
          </w:p>
        </w:tc>
      </w:tr>
      <w:tr>
        <w:trPr>
          <w:trHeight w:val="230"/>
        </w:trPr>
        <w:tc>
          <w:tcPr>
            <w:tcW w:w="3420" w:type="dxa"/>
            <w:vAlign w:val="bottom"/>
          </w:tcPr>
          <w:p>
            <w:pPr>
              <w:ind w:left="20"/>
              <w:spacing w:after="0"/>
              <w:rPr>
                <w:sz w:val="20"/>
                <w:szCs w:val="20"/>
                <w:color w:val="auto"/>
              </w:rPr>
            </w:pPr>
            <w:r>
              <w:rPr>
                <w:rFonts w:ascii="Verdana" w:cs="Verdana" w:eastAsia="Verdana" w:hAnsi="Verdana"/>
                <w:sz w:val="18"/>
                <w:szCs w:val="18"/>
                <w:color w:val="auto"/>
              </w:rPr>
              <w:t>First Busey Statutory Trust III</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w w:val="99"/>
              </w:rPr>
              <w:t>Delaware</w:t>
            </w:r>
          </w:p>
        </w:tc>
      </w:tr>
      <w:tr>
        <w:trPr>
          <w:trHeight w:val="229"/>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First Busey Statutory Trust IV</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9"/>
              </w:rPr>
              <w:t>Delaware</w:t>
            </w:r>
          </w:p>
        </w:tc>
      </w:tr>
      <w:tr>
        <w:trPr>
          <w:trHeight w:val="229"/>
        </w:trPr>
        <w:tc>
          <w:tcPr>
            <w:tcW w:w="3420" w:type="dxa"/>
            <w:vAlign w:val="bottom"/>
          </w:tcPr>
          <w:p>
            <w:pPr>
              <w:ind w:left="20"/>
              <w:spacing w:after="0"/>
              <w:rPr>
                <w:sz w:val="20"/>
                <w:szCs w:val="20"/>
                <w:color w:val="auto"/>
              </w:rPr>
            </w:pPr>
            <w:r>
              <w:rPr>
                <w:rFonts w:ascii="Verdana" w:cs="Verdana" w:eastAsia="Verdana" w:hAnsi="Verdana"/>
                <w:sz w:val="18"/>
                <w:szCs w:val="18"/>
                <w:color w:val="auto"/>
              </w:rPr>
              <w:t>Pulaski Financial Statutory Trust I</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w w:val="99"/>
              </w:rPr>
              <w:t>Connecticut</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Pulaski Financial Statutory Trust II</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9"/>
              </w:rPr>
              <w:t>Delaware</w:t>
            </w:r>
          </w:p>
        </w:tc>
      </w:tr>
      <w:tr>
        <w:trPr>
          <w:trHeight w:val="449"/>
        </w:trPr>
        <w:tc>
          <w:tcPr>
            <w:tcW w:w="3420" w:type="dxa"/>
            <w:vAlign w:val="bottom"/>
          </w:tcPr>
          <w:p>
            <w:pPr>
              <w:ind w:left="20"/>
              <w:spacing w:after="0"/>
              <w:rPr>
                <w:sz w:val="20"/>
                <w:szCs w:val="20"/>
                <w:color w:val="auto"/>
              </w:rPr>
            </w:pPr>
            <w:r>
              <w:rPr>
                <w:rFonts w:ascii="Verdana" w:cs="Verdana" w:eastAsia="Verdana" w:hAnsi="Verdana"/>
                <w:sz w:val="14"/>
                <w:szCs w:val="14"/>
                <w:b w:val="1"/>
                <w:bCs w:val="1"/>
                <w:color w:val="auto"/>
              </w:rPr>
              <w:t>INDIRECT</w:t>
            </w: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b w:val="1"/>
                <w:bCs w:val="1"/>
                <w:color w:val="auto"/>
              </w:rPr>
              <w:t>State of</w:t>
            </w:r>
          </w:p>
        </w:tc>
      </w:tr>
      <w:tr>
        <w:trPr>
          <w:trHeight w:val="185"/>
        </w:trPr>
        <w:tc>
          <w:tcPr>
            <w:tcW w:w="34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b w:val="1"/>
                <w:bCs w:val="1"/>
                <w:color w:val="auto"/>
              </w:rPr>
              <w:t>Subsidiary</w:t>
            </w:r>
          </w:p>
        </w:tc>
        <w:tc>
          <w:tcPr>
            <w:tcW w:w="5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Incorporation or Organization</w:t>
            </w:r>
          </w:p>
        </w:tc>
      </w:tr>
      <w:tr>
        <w:trPr>
          <w:trHeight w:val="223"/>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Busey Capital Management, Inc.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3420" w:type="dxa"/>
            <w:vAlign w:val="bottom"/>
          </w:tcPr>
          <w:p>
            <w:pPr>
              <w:ind w:left="20"/>
              <w:spacing w:after="0"/>
              <w:rPr>
                <w:sz w:val="20"/>
                <w:szCs w:val="20"/>
                <w:color w:val="auto"/>
              </w:rPr>
            </w:pPr>
            <w:r>
              <w:rPr>
                <w:rFonts w:ascii="Verdana" w:cs="Verdana" w:eastAsia="Verdana" w:hAnsi="Verdana"/>
                <w:sz w:val="18"/>
                <w:szCs w:val="18"/>
                <w:color w:val="auto"/>
              </w:rPr>
              <w:t>Echo Holdings I,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29"/>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Echo Holdings II,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30"/>
        </w:trPr>
        <w:tc>
          <w:tcPr>
            <w:tcW w:w="3420" w:type="dxa"/>
            <w:vAlign w:val="bottom"/>
          </w:tcPr>
          <w:p>
            <w:pPr>
              <w:ind w:left="20"/>
              <w:spacing w:after="0"/>
              <w:rPr>
                <w:sz w:val="20"/>
                <w:szCs w:val="20"/>
                <w:color w:val="auto"/>
              </w:rPr>
            </w:pPr>
            <w:r>
              <w:rPr>
                <w:rFonts w:ascii="Verdana" w:cs="Verdana" w:eastAsia="Verdana" w:hAnsi="Verdana"/>
                <w:sz w:val="18"/>
                <w:szCs w:val="18"/>
                <w:color w:val="auto"/>
              </w:rPr>
              <w:t>Echo Holdings III,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29"/>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Echo Properties I,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30"/>
        </w:trPr>
        <w:tc>
          <w:tcPr>
            <w:tcW w:w="3420" w:type="dxa"/>
            <w:vAlign w:val="bottom"/>
          </w:tcPr>
          <w:p>
            <w:pPr>
              <w:ind w:left="20"/>
              <w:spacing w:after="0"/>
              <w:rPr>
                <w:sz w:val="20"/>
                <w:szCs w:val="20"/>
                <w:color w:val="auto"/>
              </w:rPr>
            </w:pPr>
            <w:r>
              <w:rPr>
                <w:rFonts w:ascii="Verdana" w:cs="Verdana" w:eastAsia="Verdana" w:hAnsi="Verdana"/>
                <w:sz w:val="18"/>
                <w:szCs w:val="18"/>
                <w:color w:val="auto"/>
              </w:rPr>
              <w:t>Echo Properties II,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29"/>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Echo Properties III,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29"/>
        </w:trPr>
        <w:tc>
          <w:tcPr>
            <w:tcW w:w="3420" w:type="dxa"/>
            <w:vAlign w:val="bottom"/>
          </w:tcPr>
          <w:p>
            <w:pPr>
              <w:ind w:left="20"/>
              <w:spacing w:after="0"/>
              <w:rPr>
                <w:sz w:val="20"/>
                <w:szCs w:val="20"/>
                <w:color w:val="auto"/>
              </w:rPr>
            </w:pPr>
            <w:r>
              <w:rPr>
                <w:rFonts w:ascii="Verdana" w:cs="Verdana" w:eastAsia="Verdana" w:hAnsi="Verdana"/>
                <w:sz w:val="18"/>
                <w:szCs w:val="18"/>
                <w:color w:val="auto"/>
              </w:rPr>
              <w:t>Echo Properties IV,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Echo Properties V,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29"/>
        </w:trPr>
        <w:tc>
          <w:tcPr>
            <w:tcW w:w="3420" w:type="dxa"/>
            <w:vAlign w:val="bottom"/>
          </w:tcPr>
          <w:p>
            <w:pPr>
              <w:ind w:left="20"/>
              <w:spacing w:after="0"/>
              <w:rPr>
                <w:sz w:val="20"/>
                <w:szCs w:val="20"/>
                <w:color w:val="auto"/>
              </w:rPr>
            </w:pPr>
            <w:r>
              <w:rPr>
                <w:rFonts w:ascii="Verdana" w:cs="Verdana" w:eastAsia="Verdana" w:hAnsi="Verdana"/>
                <w:sz w:val="18"/>
                <w:szCs w:val="18"/>
                <w:color w:val="auto"/>
              </w:rPr>
              <w:t>Echo Properties VI,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Echo Properties VII,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30"/>
        </w:trPr>
        <w:tc>
          <w:tcPr>
            <w:tcW w:w="3420" w:type="dxa"/>
            <w:vAlign w:val="bottom"/>
          </w:tcPr>
          <w:p>
            <w:pPr>
              <w:ind w:left="20"/>
              <w:spacing w:after="0"/>
              <w:rPr>
                <w:sz w:val="20"/>
                <w:szCs w:val="20"/>
                <w:color w:val="auto"/>
              </w:rPr>
            </w:pPr>
            <w:r>
              <w:rPr>
                <w:rFonts w:ascii="Verdana" w:cs="Verdana" w:eastAsia="Verdana" w:hAnsi="Verdana"/>
                <w:sz w:val="18"/>
                <w:szCs w:val="18"/>
                <w:color w:val="auto"/>
              </w:rPr>
              <w:t>Echo Properties VIII,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Echo Properties IX,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29"/>
        </w:trPr>
        <w:tc>
          <w:tcPr>
            <w:tcW w:w="3420" w:type="dxa"/>
            <w:vAlign w:val="bottom"/>
          </w:tcPr>
          <w:p>
            <w:pPr>
              <w:ind w:left="20"/>
              <w:spacing w:after="0"/>
              <w:rPr>
                <w:sz w:val="20"/>
                <w:szCs w:val="20"/>
                <w:color w:val="auto"/>
              </w:rPr>
            </w:pPr>
            <w:r>
              <w:rPr>
                <w:rFonts w:ascii="Verdana" w:cs="Verdana" w:eastAsia="Verdana" w:hAnsi="Verdana"/>
                <w:sz w:val="18"/>
                <w:szCs w:val="18"/>
                <w:color w:val="auto"/>
              </w:rPr>
              <w:t>Echo Properties X,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Echo Properties XI,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30"/>
        </w:trPr>
        <w:tc>
          <w:tcPr>
            <w:tcW w:w="3420" w:type="dxa"/>
            <w:vAlign w:val="bottom"/>
          </w:tcPr>
          <w:p>
            <w:pPr>
              <w:ind w:left="20"/>
              <w:spacing w:after="0"/>
              <w:rPr>
                <w:sz w:val="20"/>
                <w:szCs w:val="20"/>
                <w:color w:val="auto"/>
              </w:rPr>
            </w:pPr>
            <w:r>
              <w:rPr>
                <w:rFonts w:ascii="Verdana" w:cs="Verdana" w:eastAsia="Verdana" w:hAnsi="Verdana"/>
                <w:sz w:val="18"/>
                <w:szCs w:val="18"/>
                <w:color w:val="auto"/>
              </w:rPr>
              <w:t>Echo Properties XII,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Echo Properties XIII,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w w:val="98"/>
              </w:rPr>
              <w:t>Florida</w:t>
            </w:r>
          </w:p>
        </w:tc>
      </w:tr>
      <w:tr>
        <w:trPr>
          <w:trHeight w:val="229"/>
        </w:trPr>
        <w:tc>
          <w:tcPr>
            <w:tcW w:w="3420" w:type="dxa"/>
            <w:vAlign w:val="bottom"/>
          </w:tcPr>
          <w:p>
            <w:pPr>
              <w:ind w:left="20"/>
              <w:spacing w:after="0"/>
              <w:rPr>
                <w:sz w:val="20"/>
                <w:szCs w:val="20"/>
                <w:color w:val="auto"/>
              </w:rPr>
            </w:pPr>
            <w:r>
              <w:rPr>
                <w:rFonts w:ascii="Verdana" w:cs="Verdana" w:eastAsia="Verdana" w:hAnsi="Verdana"/>
                <w:sz w:val="18"/>
                <w:szCs w:val="18"/>
                <w:color w:val="auto"/>
              </w:rPr>
              <w:t>Echo Resources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First Community OREO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3420" w:type="dxa"/>
            <w:vAlign w:val="bottom"/>
          </w:tcPr>
          <w:p>
            <w:pPr>
              <w:ind w:left="20"/>
              <w:spacing w:after="0"/>
              <w:rPr>
                <w:sz w:val="20"/>
                <w:szCs w:val="20"/>
                <w:color w:val="auto"/>
              </w:rPr>
            </w:pPr>
            <w:r>
              <w:rPr>
                <w:rFonts w:ascii="Verdana" w:cs="Verdana" w:eastAsia="Verdana" w:hAnsi="Verdana"/>
                <w:sz w:val="18"/>
                <w:szCs w:val="18"/>
                <w:color w:val="auto"/>
              </w:rPr>
              <w:t>First Community OREO LLC III</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Goshen Millstone Condo I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Missouri</w:t>
            </w:r>
          </w:p>
        </w:tc>
      </w:tr>
      <w:tr>
        <w:trPr>
          <w:trHeight w:val="229"/>
        </w:trPr>
        <w:tc>
          <w:tcPr>
            <w:tcW w:w="3420" w:type="dxa"/>
            <w:vAlign w:val="bottom"/>
          </w:tcPr>
          <w:p>
            <w:pPr>
              <w:ind w:left="20"/>
              <w:spacing w:after="0"/>
              <w:rPr>
                <w:sz w:val="20"/>
                <w:szCs w:val="20"/>
                <w:color w:val="auto"/>
              </w:rPr>
            </w:pPr>
            <w:r>
              <w:rPr>
                <w:rFonts w:ascii="Verdana" w:cs="Verdana" w:eastAsia="Verdana" w:hAnsi="Verdana"/>
                <w:sz w:val="18"/>
                <w:szCs w:val="18"/>
                <w:color w:val="auto"/>
              </w:rPr>
              <w:t>Goshen Millstone Condo II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rPr>
              <w:t>Missouri</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Goshen Millstone Land LLC</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Missouri</w:t>
            </w:r>
          </w:p>
        </w:tc>
      </w:tr>
      <w:tr>
        <w:trPr>
          <w:trHeight w:val="230"/>
        </w:trPr>
        <w:tc>
          <w:tcPr>
            <w:tcW w:w="3420" w:type="dxa"/>
            <w:vAlign w:val="bottom"/>
          </w:tcPr>
          <w:p>
            <w:pPr>
              <w:ind w:left="20"/>
              <w:spacing w:after="0"/>
              <w:rPr>
                <w:sz w:val="20"/>
                <w:szCs w:val="20"/>
                <w:color w:val="auto"/>
              </w:rPr>
            </w:pPr>
            <w:r>
              <w:rPr>
                <w:rFonts w:ascii="Verdana" w:cs="Verdana" w:eastAsia="Verdana" w:hAnsi="Verdana"/>
                <w:sz w:val="18"/>
                <w:szCs w:val="18"/>
                <w:color w:val="auto"/>
              </w:rPr>
              <w:t>Goshen Real Estate LLC</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Goshen Real Estate LLC, I</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3420" w:type="dxa"/>
            <w:vAlign w:val="bottom"/>
          </w:tcPr>
          <w:p>
            <w:pPr>
              <w:ind w:left="20"/>
              <w:spacing w:after="0"/>
              <w:rPr>
                <w:sz w:val="20"/>
                <w:szCs w:val="20"/>
                <w:color w:val="auto"/>
              </w:rPr>
            </w:pPr>
            <w:r>
              <w:rPr>
                <w:rFonts w:ascii="Verdana" w:cs="Verdana" w:eastAsia="Verdana" w:hAnsi="Verdana"/>
                <w:sz w:val="18"/>
                <w:szCs w:val="18"/>
                <w:color w:val="auto"/>
              </w:rPr>
              <w:t>Goshen Real Estate LLC, II</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Goshen Real Estate LLC, III</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3420" w:type="dxa"/>
            <w:vAlign w:val="bottom"/>
          </w:tcPr>
          <w:p>
            <w:pPr>
              <w:ind w:left="20"/>
              <w:spacing w:after="0"/>
              <w:rPr>
                <w:sz w:val="20"/>
                <w:szCs w:val="20"/>
                <w:color w:val="auto"/>
              </w:rPr>
            </w:pPr>
            <w:r>
              <w:rPr>
                <w:rFonts w:ascii="Verdana" w:cs="Verdana" w:eastAsia="Verdana" w:hAnsi="Verdana"/>
                <w:sz w:val="18"/>
                <w:szCs w:val="18"/>
                <w:color w:val="auto"/>
              </w:rPr>
              <w:t>Goshen Real Estate LLC, IV</w:t>
            </w:r>
          </w:p>
        </w:tc>
        <w:tc>
          <w:tcPr>
            <w:tcW w:w="5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3420" w:type="dxa"/>
            <w:vAlign w:val="bottom"/>
            <w:shd w:val="clear" w:color="auto" w:fill="CCEEFF"/>
          </w:tcPr>
          <w:p>
            <w:pPr>
              <w:ind w:left="20"/>
              <w:spacing w:after="0"/>
              <w:rPr>
                <w:sz w:val="20"/>
                <w:szCs w:val="20"/>
                <w:color w:val="auto"/>
              </w:rPr>
            </w:pPr>
            <w:r>
              <w:rPr>
                <w:rFonts w:ascii="Verdana" w:cs="Verdana" w:eastAsia="Verdana" w:hAnsi="Verdana"/>
                <w:sz w:val="18"/>
                <w:szCs w:val="18"/>
                <w:color w:val="auto"/>
              </w:rPr>
              <w:t>Goshen Real Estate LLC, V</w:t>
            </w:r>
          </w:p>
        </w:tc>
        <w:tc>
          <w:tcPr>
            <w:tcW w:w="5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35"/>
        </w:trPr>
        <w:tc>
          <w:tcPr>
            <w:tcW w:w="3420" w:type="dxa"/>
            <w:vAlign w:val="bottom"/>
          </w:tcPr>
          <w:p>
            <w:pPr>
              <w:ind w:left="20"/>
              <w:spacing w:after="0"/>
              <w:rPr>
                <w:sz w:val="20"/>
                <w:szCs w:val="20"/>
                <w:color w:val="auto"/>
              </w:rPr>
            </w:pPr>
            <w:r>
              <w:rPr>
                <w:rFonts w:ascii="Verdana" w:cs="Verdana" w:eastAsia="Verdana" w:hAnsi="Verdana"/>
                <w:sz w:val="18"/>
                <w:szCs w:val="18"/>
                <w:color w:val="auto"/>
              </w:rPr>
              <w:t>Goshen Real Estate of Illinois, LLC</w:t>
            </w:r>
          </w:p>
        </w:tc>
        <w:tc>
          <w:tcPr>
            <w:tcW w:w="5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Verdana" w:cs="Verdana" w:eastAsia="Verdana" w:hAnsi="Verdana"/>
                <w:sz w:val="18"/>
                <w:szCs w:val="18"/>
                <w:color w:val="auto"/>
              </w:rPr>
              <w:t>Missouri</w:t>
            </w:r>
          </w:p>
        </w:tc>
      </w:tr>
    </w:tbl>
    <w:p>
      <w:pPr>
        <w:sectPr>
          <w:pgSz w:w="11900" w:h="16838" w:orient="portrait"/>
          <w:cols w:equalWidth="0" w:num="1">
            <w:col w:w="11240"/>
          </w:cols>
          <w:pgMar w:left="320" w:top="1120" w:right="33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gridSpan w:val="2"/>
          </w:tcPr>
          <w:p>
            <w:pPr>
              <w:ind w:left="20"/>
              <w:spacing w:after="0"/>
              <w:rPr>
                <w:sz w:val="20"/>
                <w:szCs w:val="20"/>
                <w:color w:val="auto"/>
              </w:rPr>
            </w:pPr>
            <w:r>
              <w:rPr>
                <w:rFonts w:ascii="Verdana" w:cs="Verdana" w:eastAsia="Verdana" w:hAnsi="Verdana"/>
                <w:sz w:val="14"/>
                <w:szCs w:val="14"/>
                <w:b w:val="1"/>
                <w:bCs w:val="1"/>
                <w:color w:val="auto"/>
              </w:rPr>
              <w:t>INDIRECT</w:t>
            </w:r>
          </w:p>
        </w:tc>
        <w:tc>
          <w:tcPr>
            <w:tcW w:w="2520" w:type="dxa"/>
            <w:vAlign w:val="bottom"/>
          </w:tcPr>
          <w:p>
            <w:pPr>
              <w:jc w:val="center"/>
              <w:spacing w:after="0"/>
              <w:rPr>
                <w:sz w:val="20"/>
                <w:szCs w:val="20"/>
                <w:color w:val="auto"/>
              </w:rPr>
            </w:pPr>
            <w:r>
              <w:rPr>
                <w:rFonts w:ascii="Verdana" w:cs="Verdana" w:eastAsia="Verdana" w:hAnsi="Verdana"/>
                <w:sz w:val="14"/>
                <w:szCs w:val="14"/>
                <w:b w:val="1"/>
                <w:bCs w:val="1"/>
                <w:color w:val="auto"/>
              </w:rPr>
              <w:t>State of</w:t>
            </w:r>
          </w:p>
        </w:tc>
      </w:tr>
      <w:tr>
        <w:trPr>
          <w:trHeight w:val="188"/>
        </w:trPr>
        <w:tc>
          <w:tcPr>
            <w:tcW w:w="8720" w:type="dxa"/>
            <w:vAlign w:val="bottom"/>
            <w:gridSpan w:val="2"/>
          </w:tcPr>
          <w:p>
            <w:pPr>
              <w:ind w:left="20"/>
              <w:spacing w:after="0"/>
              <w:rPr>
                <w:sz w:val="20"/>
                <w:szCs w:val="20"/>
                <w:color w:val="auto"/>
              </w:rPr>
            </w:pPr>
            <w:r>
              <w:rPr>
                <w:rFonts w:ascii="Verdana" w:cs="Verdana" w:eastAsia="Verdana" w:hAnsi="Verdana"/>
                <w:sz w:val="14"/>
                <w:szCs w:val="14"/>
                <w:b w:val="1"/>
                <w:bCs w:val="1"/>
                <w:color w:val="auto"/>
              </w:rPr>
              <w:t>Subsidiary</w:t>
            </w:r>
          </w:p>
        </w:tc>
        <w:tc>
          <w:tcPr>
            <w:tcW w:w="2520" w:type="dxa"/>
            <w:vAlign w:val="bottom"/>
          </w:tcPr>
          <w:p>
            <w:pPr>
              <w:jc w:val="center"/>
              <w:spacing w:after="0"/>
              <w:rPr>
                <w:sz w:val="20"/>
                <w:szCs w:val="20"/>
                <w:color w:val="auto"/>
              </w:rPr>
            </w:pPr>
            <w:r>
              <w:rPr>
                <w:rFonts w:ascii="Verdana" w:cs="Verdana" w:eastAsia="Verdana" w:hAnsi="Verdana"/>
                <w:sz w:val="14"/>
                <w:szCs w:val="14"/>
                <w:b w:val="1"/>
                <w:bCs w:val="1"/>
                <w:color w:val="auto"/>
              </w:rPr>
              <w:t>Incorporation or Organization</w:t>
            </w:r>
          </w:p>
        </w:tc>
      </w:tr>
      <w:tr>
        <w:trPr>
          <w:trHeight w:val="224"/>
        </w:trPr>
        <w:tc>
          <w:tcPr>
            <w:tcW w:w="8640" w:type="dxa"/>
            <w:vAlign w:val="bottom"/>
            <w:tcBorders>
              <w:top w:val="single" w:sz="8" w:color="auto"/>
            </w:tcBorders>
            <w:shd w:val="clear" w:color="auto" w:fill="CCEEFF"/>
          </w:tcPr>
          <w:p>
            <w:pPr>
              <w:ind w:left="20"/>
              <w:spacing w:after="0"/>
              <w:rPr>
                <w:sz w:val="20"/>
                <w:szCs w:val="20"/>
                <w:color w:val="auto"/>
              </w:rPr>
            </w:pPr>
            <w:r>
              <w:rPr>
                <w:rFonts w:ascii="Verdana" w:cs="Verdana" w:eastAsia="Verdana" w:hAnsi="Verdana"/>
                <w:sz w:val="18"/>
                <w:szCs w:val="18"/>
                <w:color w:val="auto"/>
              </w:rPr>
              <w:t>FirsTech, Inc.</w:t>
            </w:r>
          </w:p>
        </w:tc>
        <w:tc>
          <w:tcPr>
            <w:tcW w:w="8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Pillar Properties I,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Pillar Properties II, LLC</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Pillar Properties III,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Pillar Properties IV, LLC</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Pillar Properties V,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Pillar Properties VI, LLC</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Pillar Properties VII,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Pillar Properties VIII, LLC</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Pillar Properties IX,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Pillar Properties X, LLC</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Pillar Properties XI,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Pillar Properties XII, LLC</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Pillar Properties XIII,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Pillar Properties XIV, LLC</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Pillar Properties XV,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Pillar Properties XVI, LLC</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Pillar Properties XVII,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Pillar Properties XVIII, LLC</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Pillar Properties XIX,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Illinois</w:t>
            </w:r>
          </w:p>
        </w:tc>
      </w:tr>
      <w:tr>
        <w:trPr>
          <w:trHeight w:val="229"/>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Pillar Properties XX, LLC</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Illinois</w:t>
            </w:r>
          </w:p>
        </w:tc>
      </w:tr>
      <w:tr>
        <w:trPr>
          <w:trHeight w:val="230"/>
        </w:trPr>
        <w:tc>
          <w:tcPr>
            <w:tcW w:w="8720" w:type="dxa"/>
            <w:vAlign w:val="bottom"/>
            <w:gridSpan w:val="2"/>
          </w:tcPr>
          <w:p>
            <w:pPr>
              <w:ind w:left="20"/>
              <w:spacing w:after="0"/>
              <w:rPr>
                <w:sz w:val="20"/>
                <w:szCs w:val="20"/>
                <w:color w:val="auto"/>
              </w:rPr>
            </w:pPr>
            <w:r>
              <w:rPr>
                <w:rFonts w:ascii="Verdana" w:cs="Verdana" w:eastAsia="Verdana" w:hAnsi="Verdana"/>
                <w:sz w:val="18"/>
                <w:szCs w:val="18"/>
                <w:color w:val="auto"/>
              </w:rPr>
              <w:t>Priority Property Holdings, LLC</w:t>
            </w:r>
          </w:p>
        </w:tc>
        <w:tc>
          <w:tcPr>
            <w:tcW w:w="2520" w:type="dxa"/>
            <w:vAlign w:val="bottom"/>
          </w:tcPr>
          <w:p>
            <w:pPr>
              <w:jc w:val="center"/>
              <w:spacing w:after="0"/>
              <w:rPr>
                <w:sz w:val="20"/>
                <w:szCs w:val="20"/>
                <w:color w:val="auto"/>
              </w:rPr>
            </w:pPr>
            <w:r>
              <w:rPr>
                <w:rFonts w:ascii="Verdana" w:cs="Verdana" w:eastAsia="Verdana" w:hAnsi="Verdana"/>
                <w:sz w:val="18"/>
                <w:szCs w:val="18"/>
                <w:color w:val="auto"/>
              </w:rPr>
              <w:t>Missouri</w:t>
            </w:r>
          </w:p>
        </w:tc>
      </w:tr>
      <w:tr>
        <w:trPr>
          <w:trHeight w:val="230"/>
        </w:trPr>
        <w:tc>
          <w:tcPr>
            <w:tcW w:w="8720" w:type="dxa"/>
            <w:vAlign w:val="bottom"/>
            <w:gridSpan w:val="2"/>
            <w:shd w:val="clear" w:color="auto" w:fill="CCEEFF"/>
          </w:tcPr>
          <w:p>
            <w:pPr>
              <w:ind w:left="20"/>
              <w:spacing w:after="0"/>
              <w:rPr>
                <w:sz w:val="20"/>
                <w:szCs w:val="20"/>
                <w:color w:val="auto"/>
              </w:rPr>
            </w:pPr>
            <w:r>
              <w:rPr>
                <w:rFonts w:ascii="Verdana" w:cs="Verdana" w:eastAsia="Verdana" w:hAnsi="Verdana"/>
                <w:sz w:val="18"/>
                <w:szCs w:val="18"/>
                <w:color w:val="auto"/>
              </w:rPr>
              <w:t>Pulaski Service Corporation</w:t>
            </w:r>
          </w:p>
        </w:tc>
        <w:tc>
          <w:tcPr>
            <w:tcW w:w="2520" w:type="dxa"/>
            <w:vAlign w:val="bottom"/>
            <w:shd w:val="clear" w:color="auto" w:fill="CCEEFF"/>
          </w:tcPr>
          <w:p>
            <w:pPr>
              <w:jc w:val="center"/>
              <w:spacing w:after="0"/>
              <w:rPr>
                <w:sz w:val="20"/>
                <w:szCs w:val="20"/>
                <w:color w:val="auto"/>
              </w:rPr>
            </w:pPr>
            <w:r>
              <w:rPr>
                <w:rFonts w:ascii="Verdana" w:cs="Verdana" w:eastAsia="Verdana" w:hAnsi="Verdana"/>
                <w:sz w:val="18"/>
                <w:szCs w:val="18"/>
                <w:color w:val="auto"/>
              </w:rPr>
              <w:t>Missouri</w:t>
            </w:r>
          </w:p>
        </w:tc>
      </w:tr>
    </w:tbl>
    <w:p>
      <w:pPr>
        <w:sectPr>
          <w:pgSz w:w="11900" w:h="16838" w:orient="portrait"/>
          <w:cols w:equalWidth="0" w:num="1">
            <w:col w:w="11240"/>
          </w:cols>
          <w:pgMar w:left="320" w:top="1320" w:right="339" w:bottom="1440" w:gutter="0" w:footer="0" w:header="0"/>
        </w:sectPr>
      </w:pPr>
    </w:p>
    <w:bookmarkStart w:id="196" w:name="page197"/>
    <w:bookmarkEnd w:id="196"/>
    <w:p>
      <w:pPr>
        <w:jc w:val="right"/>
        <w:spacing w:after="0"/>
        <w:rPr>
          <w:sz w:val="20"/>
          <w:szCs w:val="20"/>
          <w:color w:val="auto"/>
        </w:rPr>
      </w:pPr>
      <w:r>
        <w:rPr>
          <w:rFonts w:ascii="Verdana" w:cs="Verdana" w:eastAsia="Verdana" w:hAnsi="Verdana"/>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ind w:right="20"/>
        <w:spacing w:after="0" w:line="229" w:lineRule="exact"/>
        <w:rPr>
          <w:sz w:val="20"/>
          <w:szCs w:val="20"/>
          <w:color w:val="auto"/>
        </w:rPr>
      </w:pPr>
      <w:r>
        <w:rPr>
          <w:rFonts w:ascii="Arial" w:cs="Arial" w:eastAsia="Arial" w:hAnsi="Arial"/>
          <w:sz w:val="18"/>
          <w:szCs w:val="18"/>
          <w:color w:val="auto"/>
        </w:rPr>
        <w:t>We consent to the incorporation by reference in the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 xml:space="preserve"> 274620) on Form S</w:t>
      </w:r>
      <w:r>
        <w:rPr>
          <w:rFonts w:ascii="MS PGothic" w:cs="MS PGothic" w:eastAsia="MS PGothic" w:hAnsi="MS PGothic"/>
          <w:sz w:val="18"/>
          <w:szCs w:val="18"/>
          <w:color w:val="auto"/>
        </w:rPr>
        <w:t>‑</w:t>
      </w:r>
      <w:r>
        <w:rPr>
          <w:rFonts w:ascii="Arial" w:cs="Arial" w:eastAsia="Arial" w:hAnsi="Arial"/>
          <w:sz w:val="18"/>
          <w:szCs w:val="18"/>
          <w:color w:val="auto"/>
        </w:rPr>
        <w:t>3, (Nos. 333</w:t>
      </w:r>
      <w:r>
        <w:rPr>
          <w:rFonts w:ascii="MS PGothic" w:cs="MS PGothic" w:eastAsia="MS PGothic" w:hAnsi="MS PGothic"/>
          <w:sz w:val="18"/>
          <w:szCs w:val="18"/>
          <w:color w:val="auto"/>
        </w:rPr>
        <w:t>‑</w:t>
      </w:r>
      <w:r>
        <w:rPr>
          <w:rFonts w:ascii="Arial" w:cs="Arial" w:eastAsia="Arial" w:hAnsi="Arial"/>
          <w:sz w:val="18"/>
          <w:szCs w:val="18"/>
          <w:color w:val="auto"/>
        </w:rPr>
        <w:t>272268, 333</w:t>
      </w:r>
      <w:r>
        <w:rPr>
          <w:rFonts w:ascii="MS PGothic" w:cs="MS PGothic" w:eastAsia="MS PGothic" w:hAnsi="MS PGothic"/>
          <w:sz w:val="18"/>
          <w:szCs w:val="18"/>
          <w:color w:val="auto"/>
        </w:rPr>
        <w:t>‑</w:t>
      </w:r>
      <w:r>
        <w:rPr>
          <w:rFonts w:ascii="Arial" w:cs="Arial" w:eastAsia="Arial" w:hAnsi="Arial"/>
          <w:sz w:val="18"/>
          <w:szCs w:val="18"/>
          <w:color w:val="auto"/>
        </w:rPr>
        <w:t>256365) on Form S</w:t>
      </w:r>
      <w:r>
        <w:rPr>
          <w:rFonts w:ascii="MS PGothic" w:cs="MS PGothic" w:eastAsia="MS PGothic" w:hAnsi="MS PGothic"/>
          <w:sz w:val="18"/>
          <w:szCs w:val="18"/>
          <w:color w:val="auto"/>
        </w:rPr>
        <w:t>‑</w:t>
      </w:r>
      <w:r>
        <w:rPr>
          <w:rFonts w:ascii="Arial" w:cs="Arial" w:eastAsia="Arial" w:hAnsi="Arial"/>
          <w:sz w:val="18"/>
          <w:szCs w:val="18"/>
          <w:color w:val="auto"/>
        </w:rPr>
        <w:t>8, and (No 333-276507) on Form S-4, as amended, and the related proxy statement/prospectus, of First Busey Corporation of our reports dated February 22, 2024, relating to the consolidated financial statements and the effectiveness of internal control over financial reporting of First Busey Corporation, appearing in this Annual Report on Form 10-K of First Busey Corporation for the year ended December 31, 2023.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2024</w:t>
      </w:r>
    </w:p>
    <w:p>
      <w:pPr>
        <w:sectPr>
          <w:pgSz w:w="11900" w:h="16838" w:orient="portrait"/>
          <w:cols w:equalWidth="0" w:num="1">
            <w:col w:w="11240"/>
          </w:cols>
          <w:pgMar w:left="320" w:top="134" w:right="339" w:bottom="1440" w:gutter="0" w:footer="0" w:header="0"/>
        </w:sectPr>
      </w:pPr>
    </w:p>
    <w:bookmarkStart w:id="197" w:name="page198"/>
    <w:bookmarkEnd w:id="197"/>
    <w:p>
      <w:pPr>
        <w:jc w:val="right"/>
        <w:spacing w:after="0"/>
        <w:rPr>
          <w:sz w:val="20"/>
          <w:szCs w:val="20"/>
          <w:color w:val="auto"/>
        </w:rPr>
      </w:pPr>
      <w:r>
        <w:rPr>
          <w:rFonts w:ascii="Verdana" w:cs="Verdana" w:eastAsia="Verdana" w:hAnsi="Verdana"/>
          <w:sz w:val="18"/>
          <w:szCs w:val="18"/>
          <w:b w:val="1"/>
          <w:bCs w:val="1"/>
          <w:color w:val="auto"/>
        </w:rPr>
        <w:t>EXHIBIT 31.1</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CERTIFICATION OF PRINCIPAL EXECUTIVE OFFICER</w:t>
      </w:r>
    </w:p>
    <w:p>
      <w:pPr>
        <w:spacing w:after="0" w:line="146" w:lineRule="exact"/>
        <w:rPr>
          <w:sz w:val="20"/>
          <w:szCs w:val="20"/>
          <w:color w:val="auto"/>
        </w:rPr>
      </w:pPr>
    </w:p>
    <w:p>
      <w:pPr>
        <w:spacing w:after="0"/>
        <w:rPr>
          <w:sz w:val="20"/>
          <w:szCs w:val="20"/>
          <w:color w:val="auto"/>
        </w:rPr>
      </w:pPr>
      <w:r>
        <w:rPr>
          <w:rFonts w:ascii="Verdana" w:cs="Verdana" w:eastAsia="Verdana" w:hAnsi="Verdana"/>
          <w:sz w:val="18"/>
          <w:szCs w:val="18"/>
          <w:color w:val="auto"/>
        </w:rPr>
        <w:t>I, Van A. Dukeman, Chairman, President and Chief Executive Officer of First Busey Corporation, certify that:</w:t>
      </w:r>
    </w:p>
    <w:p>
      <w:pPr>
        <w:spacing w:after="0" w:line="146" w:lineRule="exact"/>
        <w:rPr>
          <w:sz w:val="20"/>
          <w:szCs w:val="20"/>
          <w:color w:val="auto"/>
        </w:rPr>
      </w:pPr>
    </w:p>
    <w:p>
      <w:pPr>
        <w:ind w:left="320" w:hanging="312"/>
        <w:spacing w:after="0"/>
        <w:tabs>
          <w:tab w:leader="none" w:pos="320" w:val="left"/>
        </w:tabs>
        <w:numPr>
          <w:ilvl w:val="0"/>
          <w:numId w:val="72"/>
        </w:numPr>
        <w:rPr>
          <w:rFonts w:ascii="Verdana" w:cs="Verdana" w:eastAsia="Verdana" w:hAnsi="Verdana"/>
          <w:sz w:val="18"/>
          <w:szCs w:val="18"/>
          <w:color w:val="auto"/>
        </w:rPr>
      </w:pPr>
      <w:r>
        <w:rPr>
          <w:rFonts w:ascii="Verdana" w:cs="Verdana" w:eastAsia="Verdana" w:hAnsi="Verdana"/>
          <w:sz w:val="18"/>
          <w:szCs w:val="18"/>
          <w:color w:val="auto"/>
        </w:rPr>
        <w:t>I have reviewed this Annual Report on Form 10-K of First Busey Corporation;</w:t>
      </w:r>
    </w:p>
    <w:p>
      <w:pPr>
        <w:spacing w:after="0" w:line="145" w:lineRule="exact"/>
        <w:rPr>
          <w:rFonts w:ascii="Verdana" w:cs="Verdana" w:eastAsia="Verdana" w:hAnsi="Verdana"/>
          <w:sz w:val="18"/>
          <w:szCs w:val="18"/>
          <w:color w:val="auto"/>
        </w:rPr>
      </w:pPr>
    </w:p>
    <w:p>
      <w:pPr>
        <w:jc w:val="both"/>
        <w:ind w:left="340" w:hanging="332"/>
        <w:spacing w:after="0" w:line="214" w:lineRule="auto"/>
        <w:tabs>
          <w:tab w:leader="none" w:pos="333" w:val="left"/>
        </w:tabs>
        <w:numPr>
          <w:ilvl w:val="0"/>
          <w:numId w:val="72"/>
        </w:numPr>
        <w:rPr>
          <w:rFonts w:ascii="Verdana" w:cs="Verdana" w:eastAsia="Verdana" w:hAnsi="Verdana"/>
          <w:sz w:val="18"/>
          <w:szCs w:val="18"/>
          <w:color w:val="auto"/>
        </w:rPr>
      </w:pPr>
      <w:r>
        <w:rPr>
          <w:rFonts w:ascii="Verdana" w:cs="Verdana" w:eastAsia="Verdana" w:hAnsi="Verdana"/>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0"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72"/>
        </w:numPr>
        <w:rPr>
          <w:rFonts w:ascii="Verdana" w:cs="Verdana" w:eastAsia="Verdana" w:hAnsi="Verdana"/>
          <w:sz w:val="18"/>
          <w:szCs w:val="18"/>
          <w:color w:val="auto"/>
        </w:rPr>
      </w:pPr>
      <w:r>
        <w:rPr>
          <w:rFonts w:ascii="Verdana" w:cs="Verdana" w:eastAsia="Verdana" w:hAnsi="Verdana"/>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16"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72"/>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Verdana" w:cs="Verdana" w:eastAsia="Verdana" w:hAnsi="Verdana"/>
          <w:sz w:val="18"/>
          <w:szCs w:val="18"/>
          <w:color w:val="auto"/>
        </w:rPr>
      </w:pPr>
    </w:p>
    <w:p>
      <w:pPr>
        <w:jc w:val="both"/>
        <w:ind w:left="660" w:hanging="328"/>
        <w:spacing w:after="0" w:line="212" w:lineRule="auto"/>
        <w:tabs>
          <w:tab w:leader="none" w:pos="647" w:val="left"/>
        </w:tabs>
        <w:numPr>
          <w:ilvl w:val="1"/>
          <w:numId w:val="72"/>
        </w:numPr>
        <w:rPr>
          <w:rFonts w:ascii="Verdana" w:cs="Verdana" w:eastAsia="Verdana" w:hAnsi="Verdana"/>
          <w:sz w:val="18"/>
          <w:szCs w:val="18"/>
          <w:color w:val="auto"/>
        </w:rPr>
      </w:pPr>
      <w:r>
        <w:rPr>
          <w:rFonts w:ascii="Verdana" w:cs="Verdana" w:eastAsia="Verdana" w:hAnsi="Verdan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18"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72"/>
        </w:numPr>
        <w:rPr>
          <w:rFonts w:ascii="Verdana" w:cs="Verdana" w:eastAsia="Verdana" w:hAnsi="Verdana"/>
          <w:sz w:val="18"/>
          <w:szCs w:val="18"/>
          <w:color w:val="auto"/>
        </w:rPr>
      </w:pPr>
      <w:r>
        <w:rPr>
          <w:rFonts w:ascii="Verdana" w:cs="Verdana" w:eastAsia="Verdana" w:hAnsi="Verdan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Verdana" w:cs="Verdana" w:eastAsia="Verdana" w:hAnsi="Verdana"/>
          <w:sz w:val="18"/>
          <w:szCs w:val="18"/>
          <w:color w:val="auto"/>
        </w:rPr>
      </w:pPr>
    </w:p>
    <w:p>
      <w:pPr>
        <w:jc w:val="both"/>
        <w:ind w:left="660" w:hanging="328"/>
        <w:spacing w:after="0" w:line="219" w:lineRule="auto"/>
        <w:tabs>
          <w:tab w:leader="none" w:pos="660" w:val="left"/>
        </w:tabs>
        <w:numPr>
          <w:ilvl w:val="1"/>
          <w:numId w:val="72"/>
        </w:numPr>
        <w:rPr>
          <w:rFonts w:ascii="Verdana" w:cs="Verdana" w:eastAsia="Verdana" w:hAnsi="Verdana"/>
          <w:sz w:val="18"/>
          <w:szCs w:val="18"/>
          <w:color w:val="auto"/>
        </w:rPr>
      </w:pPr>
      <w:r>
        <w:rPr>
          <w:rFonts w:ascii="Verdana" w:cs="Verdana" w:eastAsia="Verdana" w:hAnsi="Verdana"/>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16"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72"/>
        </w:numPr>
        <w:rPr>
          <w:rFonts w:ascii="Verdana" w:cs="Verdana" w:eastAsia="Verdana" w:hAnsi="Verdana"/>
          <w:sz w:val="18"/>
          <w:szCs w:val="18"/>
          <w:color w:val="auto"/>
        </w:rPr>
      </w:pPr>
      <w:r>
        <w:rPr>
          <w:rFonts w:ascii="Verdana" w:cs="Verdana" w:eastAsia="Verdana" w:hAnsi="Verdana"/>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Verdana" w:cs="Verdana" w:eastAsia="Verdana" w:hAnsi="Verdana"/>
          <w:sz w:val="18"/>
          <w:szCs w:val="18"/>
          <w:color w:val="auto"/>
        </w:rPr>
      </w:pPr>
    </w:p>
    <w:p>
      <w:pPr>
        <w:jc w:val="both"/>
        <w:ind w:left="340" w:right="20" w:hanging="332"/>
        <w:spacing w:after="0" w:line="214" w:lineRule="auto"/>
        <w:tabs>
          <w:tab w:leader="none" w:pos="333" w:val="left"/>
        </w:tabs>
        <w:numPr>
          <w:ilvl w:val="0"/>
          <w:numId w:val="72"/>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Verdana" w:cs="Verdana" w:eastAsia="Verdana" w:hAnsi="Verdana"/>
          <w:sz w:val="18"/>
          <w:szCs w:val="18"/>
          <w:color w:val="auto"/>
        </w:rPr>
      </w:pPr>
    </w:p>
    <w:p>
      <w:pPr>
        <w:jc w:val="both"/>
        <w:ind w:left="660" w:hanging="328"/>
        <w:spacing w:after="0" w:line="219" w:lineRule="auto"/>
        <w:tabs>
          <w:tab w:leader="none" w:pos="647" w:val="left"/>
        </w:tabs>
        <w:numPr>
          <w:ilvl w:val="1"/>
          <w:numId w:val="72"/>
        </w:numPr>
        <w:rPr>
          <w:rFonts w:ascii="Verdana" w:cs="Verdana" w:eastAsia="Verdana" w:hAnsi="Verdana"/>
          <w:sz w:val="18"/>
          <w:szCs w:val="18"/>
          <w:color w:val="auto"/>
        </w:rPr>
      </w:pPr>
      <w:r>
        <w:rPr>
          <w:rFonts w:ascii="Verdana" w:cs="Verdana" w:eastAsia="Verdana" w:hAnsi="Verdan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Verdana" w:cs="Verdana" w:eastAsia="Verdana" w:hAnsi="Verdana"/>
          <w:sz w:val="18"/>
          <w:szCs w:val="18"/>
          <w:color w:val="auto"/>
        </w:rPr>
      </w:pPr>
    </w:p>
    <w:p>
      <w:pPr>
        <w:ind w:left="660" w:hanging="328"/>
        <w:spacing w:after="0" w:line="232" w:lineRule="auto"/>
        <w:tabs>
          <w:tab w:leader="none" w:pos="651" w:val="left"/>
        </w:tabs>
        <w:numPr>
          <w:ilvl w:val="1"/>
          <w:numId w:val="72"/>
        </w:numPr>
        <w:rPr>
          <w:rFonts w:ascii="Verdana" w:cs="Verdana" w:eastAsia="Verdana" w:hAnsi="Verdana"/>
          <w:sz w:val="18"/>
          <w:szCs w:val="18"/>
          <w:color w:val="auto"/>
        </w:rPr>
      </w:pPr>
      <w:r>
        <w:rPr>
          <w:rFonts w:ascii="Verdana" w:cs="Verdana" w:eastAsia="Verdana" w:hAnsi="Verdana"/>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Van A. Dukeman</w:t>
      </w:r>
    </w:p>
    <w:p>
      <w:pPr>
        <w:spacing w:after="0" w:line="1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Chairman, President and Chief Executive Officer</w:t>
      </w:r>
    </w:p>
    <w:p>
      <w:pPr>
        <w:spacing w:after="0" w:line="281"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Date: February 22, 2024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93" w:right="339" w:bottom="1440" w:gutter="0" w:footer="0" w:header="0"/>
        </w:sectPr>
      </w:pPr>
    </w:p>
    <w:bookmarkStart w:id="198" w:name="page199"/>
    <w:bookmarkEnd w:id="198"/>
    <w:p>
      <w:pPr>
        <w:jc w:val="right"/>
        <w:spacing w:after="0"/>
        <w:rPr>
          <w:sz w:val="20"/>
          <w:szCs w:val="20"/>
          <w:color w:val="auto"/>
        </w:rPr>
      </w:pPr>
      <w:r>
        <w:rPr>
          <w:rFonts w:ascii="Verdana" w:cs="Verdana" w:eastAsia="Verdana" w:hAnsi="Verdana"/>
          <w:sz w:val="18"/>
          <w:szCs w:val="18"/>
          <w:b w:val="1"/>
          <w:bCs w:val="1"/>
          <w:color w:val="auto"/>
        </w:rPr>
        <w:t>EXHIBIT 31.2</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CERTIFICATION OF PRINCIPAL FINANCIAL OFFICER</w:t>
      </w:r>
    </w:p>
    <w:p>
      <w:pPr>
        <w:spacing w:after="0" w:line="146" w:lineRule="exact"/>
        <w:rPr>
          <w:sz w:val="20"/>
          <w:szCs w:val="20"/>
          <w:color w:val="auto"/>
        </w:rPr>
      </w:pPr>
    </w:p>
    <w:p>
      <w:pPr>
        <w:spacing w:after="0"/>
        <w:rPr>
          <w:sz w:val="20"/>
          <w:szCs w:val="20"/>
          <w:color w:val="auto"/>
        </w:rPr>
      </w:pPr>
      <w:r>
        <w:rPr>
          <w:rFonts w:ascii="Verdana" w:cs="Verdana" w:eastAsia="Verdana" w:hAnsi="Verdana"/>
          <w:sz w:val="18"/>
          <w:szCs w:val="18"/>
          <w:color w:val="auto"/>
        </w:rPr>
        <w:t>I, Jeffrey D. Jones, Chief Financial Officer of First Busey Corporation, certify that:</w:t>
      </w:r>
    </w:p>
    <w:p>
      <w:pPr>
        <w:spacing w:after="0" w:line="146" w:lineRule="exact"/>
        <w:rPr>
          <w:sz w:val="20"/>
          <w:szCs w:val="20"/>
          <w:color w:val="auto"/>
        </w:rPr>
      </w:pPr>
    </w:p>
    <w:p>
      <w:pPr>
        <w:ind w:left="320" w:hanging="312"/>
        <w:spacing w:after="0"/>
        <w:tabs>
          <w:tab w:leader="none" w:pos="320" w:val="left"/>
        </w:tabs>
        <w:numPr>
          <w:ilvl w:val="0"/>
          <w:numId w:val="73"/>
        </w:numPr>
        <w:rPr>
          <w:rFonts w:ascii="Verdana" w:cs="Verdana" w:eastAsia="Verdana" w:hAnsi="Verdana"/>
          <w:sz w:val="18"/>
          <w:szCs w:val="18"/>
          <w:color w:val="auto"/>
        </w:rPr>
      </w:pPr>
      <w:r>
        <w:rPr>
          <w:rFonts w:ascii="Verdana" w:cs="Verdana" w:eastAsia="Verdana" w:hAnsi="Verdana"/>
          <w:sz w:val="18"/>
          <w:szCs w:val="18"/>
          <w:color w:val="auto"/>
        </w:rPr>
        <w:t>I have reviewed this Annual Report on Form 10-K of First Busey Corporation;</w:t>
      </w:r>
    </w:p>
    <w:p>
      <w:pPr>
        <w:spacing w:after="0" w:line="145" w:lineRule="exact"/>
        <w:rPr>
          <w:rFonts w:ascii="Verdana" w:cs="Verdana" w:eastAsia="Verdana" w:hAnsi="Verdana"/>
          <w:sz w:val="18"/>
          <w:szCs w:val="18"/>
          <w:color w:val="auto"/>
        </w:rPr>
      </w:pPr>
    </w:p>
    <w:p>
      <w:pPr>
        <w:jc w:val="both"/>
        <w:ind w:left="340" w:hanging="332"/>
        <w:spacing w:after="0" w:line="214" w:lineRule="auto"/>
        <w:tabs>
          <w:tab w:leader="none" w:pos="333" w:val="left"/>
        </w:tabs>
        <w:numPr>
          <w:ilvl w:val="0"/>
          <w:numId w:val="73"/>
        </w:numPr>
        <w:rPr>
          <w:rFonts w:ascii="Verdana" w:cs="Verdana" w:eastAsia="Verdana" w:hAnsi="Verdana"/>
          <w:sz w:val="18"/>
          <w:szCs w:val="18"/>
          <w:color w:val="auto"/>
        </w:rPr>
      </w:pPr>
      <w:r>
        <w:rPr>
          <w:rFonts w:ascii="Verdana" w:cs="Verdana" w:eastAsia="Verdana" w:hAnsi="Verdana"/>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0"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73"/>
        </w:numPr>
        <w:rPr>
          <w:rFonts w:ascii="Verdana" w:cs="Verdana" w:eastAsia="Verdana" w:hAnsi="Verdana"/>
          <w:sz w:val="18"/>
          <w:szCs w:val="18"/>
          <w:color w:val="auto"/>
        </w:rPr>
      </w:pPr>
      <w:r>
        <w:rPr>
          <w:rFonts w:ascii="Verdana" w:cs="Verdana" w:eastAsia="Verdana" w:hAnsi="Verdana"/>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16"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73"/>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Verdana" w:cs="Verdana" w:eastAsia="Verdana" w:hAnsi="Verdana"/>
          <w:sz w:val="18"/>
          <w:szCs w:val="18"/>
          <w:color w:val="auto"/>
        </w:rPr>
      </w:pPr>
    </w:p>
    <w:p>
      <w:pPr>
        <w:jc w:val="both"/>
        <w:ind w:left="660" w:hanging="328"/>
        <w:spacing w:after="0" w:line="212" w:lineRule="auto"/>
        <w:tabs>
          <w:tab w:leader="none" w:pos="647" w:val="left"/>
        </w:tabs>
        <w:numPr>
          <w:ilvl w:val="1"/>
          <w:numId w:val="73"/>
        </w:numPr>
        <w:rPr>
          <w:rFonts w:ascii="Verdana" w:cs="Verdana" w:eastAsia="Verdana" w:hAnsi="Verdana"/>
          <w:sz w:val="18"/>
          <w:szCs w:val="18"/>
          <w:color w:val="auto"/>
        </w:rPr>
      </w:pPr>
      <w:r>
        <w:rPr>
          <w:rFonts w:ascii="Verdana" w:cs="Verdana" w:eastAsia="Verdana" w:hAnsi="Verdan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18"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73"/>
        </w:numPr>
        <w:rPr>
          <w:rFonts w:ascii="Verdana" w:cs="Verdana" w:eastAsia="Verdana" w:hAnsi="Verdana"/>
          <w:sz w:val="18"/>
          <w:szCs w:val="18"/>
          <w:color w:val="auto"/>
        </w:rPr>
      </w:pPr>
      <w:r>
        <w:rPr>
          <w:rFonts w:ascii="Verdana" w:cs="Verdana" w:eastAsia="Verdana" w:hAnsi="Verdan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Verdana" w:cs="Verdana" w:eastAsia="Verdana" w:hAnsi="Verdana"/>
          <w:sz w:val="18"/>
          <w:szCs w:val="18"/>
          <w:color w:val="auto"/>
        </w:rPr>
      </w:pPr>
    </w:p>
    <w:p>
      <w:pPr>
        <w:jc w:val="both"/>
        <w:ind w:left="660" w:hanging="328"/>
        <w:spacing w:after="0" w:line="219" w:lineRule="auto"/>
        <w:tabs>
          <w:tab w:leader="none" w:pos="660" w:val="left"/>
        </w:tabs>
        <w:numPr>
          <w:ilvl w:val="1"/>
          <w:numId w:val="73"/>
        </w:numPr>
        <w:rPr>
          <w:rFonts w:ascii="Verdana" w:cs="Verdana" w:eastAsia="Verdana" w:hAnsi="Verdana"/>
          <w:sz w:val="18"/>
          <w:szCs w:val="18"/>
          <w:color w:val="auto"/>
        </w:rPr>
      </w:pPr>
      <w:r>
        <w:rPr>
          <w:rFonts w:ascii="Verdana" w:cs="Verdana" w:eastAsia="Verdana" w:hAnsi="Verdana"/>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16"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73"/>
        </w:numPr>
        <w:rPr>
          <w:rFonts w:ascii="Verdana" w:cs="Verdana" w:eastAsia="Verdana" w:hAnsi="Verdana"/>
          <w:sz w:val="18"/>
          <w:szCs w:val="18"/>
          <w:color w:val="auto"/>
        </w:rPr>
      </w:pPr>
      <w:r>
        <w:rPr>
          <w:rFonts w:ascii="Verdana" w:cs="Verdana" w:eastAsia="Verdana" w:hAnsi="Verdana"/>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Verdana" w:cs="Verdana" w:eastAsia="Verdana" w:hAnsi="Verdana"/>
          <w:sz w:val="18"/>
          <w:szCs w:val="18"/>
          <w:color w:val="auto"/>
        </w:rPr>
      </w:pPr>
    </w:p>
    <w:p>
      <w:pPr>
        <w:jc w:val="both"/>
        <w:ind w:left="340" w:right="20" w:hanging="332"/>
        <w:spacing w:after="0" w:line="214" w:lineRule="auto"/>
        <w:tabs>
          <w:tab w:leader="none" w:pos="333" w:val="left"/>
        </w:tabs>
        <w:numPr>
          <w:ilvl w:val="0"/>
          <w:numId w:val="73"/>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Verdana" w:cs="Verdana" w:eastAsia="Verdana" w:hAnsi="Verdana"/>
          <w:sz w:val="18"/>
          <w:szCs w:val="18"/>
          <w:color w:val="auto"/>
        </w:rPr>
      </w:pPr>
    </w:p>
    <w:p>
      <w:pPr>
        <w:jc w:val="both"/>
        <w:ind w:left="660" w:hanging="328"/>
        <w:spacing w:after="0" w:line="219" w:lineRule="auto"/>
        <w:tabs>
          <w:tab w:leader="none" w:pos="647" w:val="left"/>
        </w:tabs>
        <w:numPr>
          <w:ilvl w:val="1"/>
          <w:numId w:val="73"/>
        </w:numPr>
        <w:rPr>
          <w:rFonts w:ascii="Verdana" w:cs="Verdana" w:eastAsia="Verdana" w:hAnsi="Verdana"/>
          <w:sz w:val="18"/>
          <w:szCs w:val="18"/>
          <w:color w:val="auto"/>
        </w:rPr>
      </w:pPr>
      <w:r>
        <w:rPr>
          <w:rFonts w:ascii="Verdana" w:cs="Verdana" w:eastAsia="Verdana" w:hAnsi="Verdan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Verdana" w:cs="Verdana" w:eastAsia="Verdana" w:hAnsi="Verdana"/>
          <w:sz w:val="18"/>
          <w:szCs w:val="18"/>
          <w:color w:val="auto"/>
        </w:rPr>
      </w:pPr>
    </w:p>
    <w:p>
      <w:pPr>
        <w:ind w:left="660" w:hanging="328"/>
        <w:spacing w:after="0" w:line="232" w:lineRule="auto"/>
        <w:tabs>
          <w:tab w:leader="none" w:pos="651" w:val="left"/>
        </w:tabs>
        <w:numPr>
          <w:ilvl w:val="1"/>
          <w:numId w:val="73"/>
        </w:numPr>
        <w:rPr>
          <w:rFonts w:ascii="Verdana" w:cs="Verdana" w:eastAsia="Verdana" w:hAnsi="Verdana"/>
          <w:sz w:val="18"/>
          <w:szCs w:val="18"/>
          <w:color w:val="auto"/>
        </w:rPr>
      </w:pPr>
      <w:r>
        <w:rPr>
          <w:rFonts w:ascii="Verdana" w:cs="Verdana" w:eastAsia="Verdana" w:hAnsi="Verdana"/>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Jeffrey D. Jones</w:t>
      </w:r>
    </w:p>
    <w:p>
      <w:pPr>
        <w:spacing w:after="0" w:line="1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Chief Financial Officer</w:t>
      </w:r>
    </w:p>
    <w:p>
      <w:pPr>
        <w:spacing w:after="0" w:line="281"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Date: February 22, 2024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93" w:right="339" w:bottom="1440" w:gutter="0" w:footer="0" w:header="0"/>
        </w:sectPr>
      </w:pPr>
    </w:p>
    <w:bookmarkStart w:id="199" w:name="page200"/>
    <w:bookmarkEnd w:id="199"/>
    <w:p>
      <w:pPr>
        <w:ind w:left="9860"/>
        <w:spacing w:after="0"/>
        <w:rPr>
          <w:sz w:val="20"/>
          <w:szCs w:val="20"/>
          <w:color w:val="auto"/>
        </w:rPr>
      </w:pPr>
      <w:r>
        <w:rPr>
          <w:rFonts w:ascii="Verdana" w:cs="Verdana" w:eastAsia="Verdana" w:hAnsi="Verdana"/>
          <w:sz w:val="18"/>
          <w:szCs w:val="18"/>
          <w:b w:val="1"/>
          <w:bCs w:val="1"/>
          <w:color w:val="auto"/>
        </w:rPr>
        <w:t>EXHIBIT 32.1</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CERTIFICATION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 hereby certify, pursuant to 18 U.S.C. Section 1350, as adopted pursuant to Section 906 of the Sarbanes-Oxley Act of 2002, that the accompanying Annual Report of First Busey Corporation on Form 10-K for the year ended December 31, 2023,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198"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7"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Van A. Dukeman</w:t>
      </w:r>
    </w:p>
    <w:p>
      <w:pPr>
        <w:spacing w:after="0" w:line="1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Chairman, President and Chief Executive Officer</w:t>
      </w:r>
    </w:p>
    <w:p>
      <w:pPr>
        <w:spacing w:after="0" w:line="281"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Date: February 22, 2024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20" w:right="339" w:bottom="1440" w:gutter="0" w:footer="0" w:header="0"/>
        </w:sectPr>
      </w:pPr>
    </w:p>
    <w:bookmarkStart w:id="200" w:name="page201"/>
    <w:bookmarkEnd w:id="200"/>
    <w:p>
      <w:pPr>
        <w:ind w:left="9860"/>
        <w:spacing w:after="0"/>
        <w:rPr>
          <w:sz w:val="20"/>
          <w:szCs w:val="20"/>
          <w:color w:val="auto"/>
        </w:rPr>
      </w:pPr>
      <w:r>
        <w:rPr>
          <w:rFonts w:ascii="Verdana" w:cs="Verdana" w:eastAsia="Verdana" w:hAnsi="Verdana"/>
          <w:sz w:val="18"/>
          <w:szCs w:val="18"/>
          <w:b w:val="1"/>
          <w:bCs w:val="1"/>
          <w:color w:val="auto"/>
        </w:rPr>
        <w:t>EXHIBIT 32.2</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CERTIFICATION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 hereby certify, pursuant to 18 U.S.C. Section 1350, as adopted pursuant to Section 906 of the Sarbanes-Oxley Act of 2002, that the accompanying Annual Report of First Busey Corporation on Form 10-K for the year ended December 31, 2023,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198"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7"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Jeffrey D. Jones</w:t>
      </w:r>
    </w:p>
    <w:p>
      <w:pPr>
        <w:spacing w:after="0" w:line="1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Chief Financial Officer</w:t>
      </w:r>
    </w:p>
    <w:p>
      <w:pPr>
        <w:spacing w:after="0" w:line="281"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Date: February 22, 2024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20" w:right="339" w:bottom="1440" w:gutter="0" w:footer="0" w:header="0"/>
        </w:sectPr>
      </w:pPr>
    </w:p>
    <w:bookmarkStart w:id="201" w:name="page202"/>
    <w:bookmarkEnd w:id="201"/>
    <w:p>
      <w:pPr>
        <w:jc w:val="right"/>
        <w:spacing w:after="0"/>
        <w:rPr>
          <w:sz w:val="20"/>
          <w:szCs w:val="20"/>
          <w:color w:val="auto"/>
        </w:rPr>
      </w:pPr>
      <w:r>
        <w:rPr>
          <w:rFonts w:ascii="Verdana" w:cs="Verdana" w:eastAsia="Verdana" w:hAnsi="Verdana"/>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Verdana" w:cs="Verdana" w:eastAsia="Verdana" w:hAnsi="Verdana"/>
          <w:sz w:val="22"/>
          <w:szCs w:val="22"/>
          <w:b w:val="1"/>
          <w:bCs w:val="1"/>
          <w:color w:val="auto"/>
        </w:rPr>
        <w:t>FIRST BUSEY CORPORATION</w:t>
      </w:r>
    </w:p>
    <w:p>
      <w:pPr>
        <w:spacing w:after="0" w:line="178" w:lineRule="exact"/>
        <w:rPr>
          <w:sz w:val="20"/>
          <w:szCs w:val="20"/>
          <w:color w:val="auto"/>
        </w:rPr>
      </w:pPr>
    </w:p>
    <w:p>
      <w:pPr>
        <w:jc w:val="center"/>
        <w:spacing w:after="0"/>
        <w:rPr>
          <w:sz w:val="20"/>
          <w:szCs w:val="20"/>
          <w:color w:val="auto"/>
        </w:rPr>
      </w:pPr>
      <w:r>
        <w:rPr>
          <w:rFonts w:ascii="Verdana" w:cs="Verdana" w:eastAsia="Verdana" w:hAnsi="Verdana"/>
          <w:sz w:val="22"/>
          <w:szCs w:val="22"/>
          <w:b w:val="1"/>
          <w:bCs w:val="1"/>
          <w:color w:val="auto"/>
        </w:rPr>
        <w:t>CLAWBACK POLICY</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POLICY STATEMENT</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As a publicly traded company, First Busey Corporation (the “</w:t>
      </w:r>
      <w:r>
        <w:rPr>
          <w:rFonts w:ascii="Verdana" w:cs="Verdana" w:eastAsia="Verdana" w:hAnsi="Verdana"/>
          <w:sz w:val="18"/>
          <w:szCs w:val="18"/>
          <w:u w:val="single" w:color="auto"/>
          <w:color w:val="auto"/>
        </w:rPr>
        <w:t>Company</w:t>
      </w:r>
      <w:r>
        <w:rPr>
          <w:rFonts w:ascii="Verdana" w:cs="Verdana" w:eastAsia="Verdana" w:hAnsi="Verdana"/>
          <w:sz w:val="18"/>
          <w:szCs w:val="18"/>
          <w:color w:val="auto"/>
        </w:rPr>
        <w:t>”) is subject to corporate governance standards established by the United States Securities and Exchange Commission (the “</w:t>
      </w:r>
      <w:r>
        <w:rPr>
          <w:rFonts w:ascii="Verdana" w:cs="Verdana" w:eastAsia="Verdana" w:hAnsi="Verdana"/>
          <w:sz w:val="18"/>
          <w:szCs w:val="18"/>
          <w:u w:val="single" w:color="auto"/>
          <w:color w:val="auto"/>
        </w:rPr>
        <w:t>SEC</w:t>
      </w:r>
      <w:r>
        <w:rPr>
          <w:rFonts w:ascii="Verdana" w:cs="Verdana" w:eastAsia="Verdana" w:hAnsi="Verdana"/>
          <w:sz w:val="18"/>
          <w:szCs w:val="18"/>
          <w:color w:val="auto"/>
        </w:rPr>
        <w:t>”) and the Nasdaq Stock Market (“</w:t>
      </w:r>
      <w:r>
        <w:rPr>
          <w:rFonts w:ascii="Verdana" w:cs="Verdana" w:eastAsia="Verdana" w:hAnsi="Verdana"/>
          <w:sz w:val="18"/>
          <w:szCs w:val="18"/>
          <w:u w:val="single" w:color="auto"/>
          <w:color w:val="auto"/>
        </w:rPr>
        <w:t>Nasdaq</w:t>
      </w:r>
      <w:r>
        <w:rPr>
          <w:rFonts w:ascii="Verdana" w:cs="Verdana" w:eastAsia="Verdana" w:hAnsi="Verdana"/>
          <w:sz w:val="18"/>
          <w:szCs w:val="18"/>
          <w:color w:val="auto"/>
        </w:rPr>
        <w:t>”). As part of those applicable standards, the Company is required to comply with applicable compensation “clawback” standards, including those promulgated pursuant to the Sarbanes-Oxley Act of 2002 (the “</w:t>
      </w:r>
      <w:r>
        <w:rPr>
          <w:rFonts w:ascii="Verdana" w:cs="Verdana" w:eastAsia="Verdana" w:hAnsi="Verdana"/>
          <w:sz w:val="18"/>
          <w:szCs w:val="18"/>
          <w:u w:val="single" w:color="auto"/>
          <w:color w:val="auto"/>
        </w:rPr>
        <w:t>SOX Act</w:t>
      </w:r>
      <w:r>
        <w:rPr>
          <w:rFonts w:ascii="Verdana" w:cs="Verdana" w:eastAsia="Verdana" w:hAnsi="Verdana"/>
          <w:sz w:val="18"/>
          <w:szCs w:val="18"/>
          <w:color w:val="auto"/>
        </w:rPr>
        <w:t>”) and the 2010 Dodd-Frank Wall Street Reform and Consumer Protection Act (the “</w:t>
      </w:r>
      <w:r>
        <w:rPr>
          <w:rFonts w:ascii="Verdana" w:cs="Verdana" w:eastAsia="Verdana" w:hAnsi="Verdana"/>
          <w:sz w:val="18"/>
          <w:szCs w:val="18"/>
          <w:u w:val="single" w:color="auto"/>
          <w:color w:val="auto"/>
        </w:rPr>
        <w:t>Dodd-Frank Act</w:t>
      </w:r>
      <w:r>
        <w:rPr>
          <w:rFonts w:ascii="Verdana" w:cs="Verdana" w:eastAsia="Verdana" w:hAnsi="Verdana"/>
          <w:sz w:val="18"/>
          <w:szCs w:val="18"/>
          <w:color w:val="auto"/>
        </w:rPr>
        <w:t>”). In addition, the Company believes a general clawback obligation should be applicable to certain employees for misconduct. Based on the foregoing, the Company has determined that it is in the best interests of the Company and its shareholders to adopt this Clawback Policy (this “</w:t>
      </w:r>
      <w:r>
        <w:rPr>
          <w:rFonts w:ascii="Verdana" w:cs="Verdana" w:eastAsia="Verdana" w:hAnsi="Verdana"/>
          <w:sz w:val="18"/>
          <w:szCs w:val="18"/>
          <w:u w:val="single" w:color="auto"/>
          <w:color w:val="auto"/>
        </w:rPr>
        <w:t>Policy</w:t>
      </w:r>
      <w:r>
        <w:rPr>
          <w:rFonts w:ascii="Verdana" w:cs="Verdana" w:eastAsia="Verdana" w:hAnsi="Verdana"/>
          <w:sz w:val="18"/>
          <w:szCs w:val="18"/>
          <w:color w:val="auto"/>
        </w:rPr>
        <w:t>”).</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PURPOSE</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For purposes of this Policy, the Company’s Board of Directors (the “</w:t>
      </w:r>
      <w:r>
        <w:rPr>
          <w:rFonts w:ascii="Verdana" w:cs="Verdana" w:eastAsia="Verdana" w:hAnsi="Verdana"/>
          <w:sz w:val="18"/>
          <w:szCs w:val="18"/>
          <w:u w:val="single" w:color="auto"/>
          <w:color w:val="auto"/>
        </w:rPr>
        <w:t>Board</w:t>
      </w:r>
      <w:r>
        <w:rPr>
          <w:rFonts w:ascii="Verdana" w:cs="Verdana" w:eastAsia="Verdana" w:hAnsi="Verdana"/>
          <w:sz w:val="18"/>
          <w:szCs w:val="18"/>
          <w:color w:val="auto"/>
        </w:rPr>
        <w:t>”) appoints the Board’s Compensation Committee as the “</w:t>
      </w:r>
      <w:r>
        <w:rPr>
          <w:rFonts w:ascii="Verdana" w:cs="Verdana" w:eastAsia="Verdana" w:hAnsi="Verdana"/>
          <w:sz w:val="18"/>
          <w:szCs w:val="18"/>
          <w:u w:val="single" w:color="auto"/>
          <w:color w:val="auto"/>
        </w:rPr>
        <w:t>Administrator</w:t>
      </w:r>
      <w:r>
        <w:rPr>
          <w:rFonts w:ascii="Verdana" w:cs="Verdana" w:eastAsia="Verdana" w:hAnsi="Verdana"/>
          <w:sz w:val="18"/>
          <w:szCs w:val="18"/>
          <w:color w:val="auto"/>
        </w:rPr>
        <w:t>”. The purpose of this Policy is to prescribe the circumstances under which the Administrator has either the obligation or right to recoup or adjust certain compensation paid to certain employees of the Company and its subsidiaries.</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DUTIES AND RESPONSIBILITIES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 Administrator Responsibilities</w:t>
      </w:r>
    </w:p>
    <w:p>
      <w:pPr>
        <w:spacing w:after="0" w:line="173" w:lineRule="exact"/>
        <w:rPr>
          <w:sz w:val="20"/>
          <w:szCs w:val="20"/>
          <w:color w:val="auto"/>
        </w:rPr>
      </w:pPr>
    </w:p>
    <w:p>
      <w:pPr>
        <w:jc w:val="both"/>
        <w:ind w:left="340" w:hanging="332"/>
        <w:spacing w:after="0" w:line="239" w:lineRule="auto"/>
        <w:tabs>
          <w:tab w:leader="none" w:pos="331" w:val="left"/>
        </w:tabs>
        <w:numPr>
          <w:ilvl w:val="0"/>
          <w:numId w:val="74"/>
        </w:numPr>
        <w:rPr>
          <w:rFonts w:ascii="Verdana" w:cs="Verdana" w:eastAsia="Verdana" w:hAnsi="Verdana"/>
          <w:sz w:val="18"/>
          <w:szCs w:val="18"/>
          <w:color w:val="auto"/>
        </w:rPr>
      </w:pPr>
      <w:r>
        <w:rPr>
          <w:rFonts w:ascii="Verdana" w:cs="Verdana" w:eastAsia="Verdana" w:hAnsi="Verdana"/>
          <w:sz w:val="18"/>
          <w:szCs w:val="18"/>
          <w:color w:val="auto"/>
        </w:rPr>
        <w:t>In the event of a Restatement required pursuant to SEC or Nasdaq clawback rules implemented under the Dodd-Frank Act (a “</w:t>
      </w:r>
      <w:r>
        <w:rPr>
          <w:rFonts w:ascii="Verdana" w:cs="Verdana" w:eastAsia="Verdana" w:hAnsi="Verdana"/>
          <w:sz w:val="18"/>
          <w:szCs w:val="18"/>
          <w:u w:val="single" w:color="auto"/>
          <w:color w:val="auto"/>
        </w:rPr>
        <w:t>Dodd-Frank Restatement</w:t>
      </w:r>
      <w:r>
        <w:rPr>
          <w:rFonts w:ascii="Verdana" w:cs="Verdana" w:eastAsia="Verdana" w:hAnsi="Verdana"/>
          <w:sz w:val="18"/>
          <w:szCs w:val="18"/>
          <w:color w:val="auto"/>
        </w:rPr>
        <w:t>”), the Company, at the direction of the Administrator, shall have the obligation to recoup certain Incentive Compensation paid to Covered Individuals for the applicable Covered Period. In the event of any other Restatement or Misconduct, the Company, at the direction of the Administrator, shall have the right to recoup or adjust certain Incentive Compensation paid to Covered Individuals for the applicable Covered Period. In determining what remedies to pursue, the Administrator shall take into account all relevant factors, including such factors as required or recommended by the SEC and Nasdaq.</w:t>
      </w:r>
    </w:p>
    <w:p>
      <w:pPr>
        <w:spacing w:after="0" w:line="176" w:lineRule="exact"/>
        <w:rPr>
          <w:rFonts w:ascii="Verdana" w:cs="Verdana" w:eastAsia="Verdana" w:hAnsi="Verdana"/>
          <w:sz w:val="18"/>
          <w:szCs w:val="18"/>
          <w:color w:val="auto"/>
        </w:rPr>
      </w:pPr>
    </w:p>
    <w:p>
      <w:pPr>
        <w:jc w:val="both"/>
        <w:ind w:left="340" w:hanging="332"/>
        <w:spacing w:after="0" w:line="236" w:lineRule="auto"/>
        <w:tabs>
          <w:tab w:leader="none" w:pos="331" w:val="left"/>
        </w:tabs>
        <w:numPr>
          <w:ilvl w:val="0"/>
          <w:numId w:val="74"/>
        </w:numPr>
        <w:rPr>
          <w:rFonts w:ascii="Verdana" w:cs="Verdana" w:eastAsia="Verdana" w:hAnsi="Verdana"/>
          <w:sz w:val="18"/>
          <w:szCs w:val="18"/>
          <w:color w:val="auto"/>
        </w:rPr>
      </w:pPr>
      <w:r>
        <w:rPr>
          <w:rFonts w:ascii="Verdana" w:cs="Verdana" w:eastAsia="Verdana" w:hAnsi="Verdana"/>
          <w:sz w:val="18"/>
          <w:szCs w:val="18"/>
          <w:color w:val="auto"/>
        </w:rPr>
        <w:t>In the event the Company is required to prepare a Dodd-Frank Restatement, the Company shall promptly recoup the amount of any Erroneously Awarded Compensation received by any Covered Individual. In such case, the Administrator shall determine, in its sole discretion, the timing and method for promptly recouping Erroneously Awarded Compensation hereunder, including, but not limited to, (a) seeking reimbursement of all or part of any cash or equity-based award, (b) cancelling prior cash or equity-based awards, whether vested or unvested or paid or unpaid,</w:t>
      </w:r>
    </w:p>
    <w:p>
      <w:pPr>
        <w:spacing w:after="0" w:line="4" w:lineRule="exact"/>
        <w:rPr>
          <w:rFonts w:ascii="Verdana" w:cs="Verdana" w:eastAsia="Verdana" w:hAnsi="Verdana"/>
          <w:sz w:val="18"/>
          <w:szCs w:val="18"/>
          <w:color w:val="auto"/>
        </w:rPr>
      </w:pPr>
    </w:p>
    <w:p>
      <w:pPr>
        <w:jc w:val="both"/>
        <w:ind w:left="340" w:hanging="8"/>
        <w:spacing w:after="0"/>
        <w:tabs>
          <w:tab w:leader="none" w:pos="727" w:val="left"/>
        </w:tabs>
        <w:numPr>
          <w:ilvl w:val="1"/>
          <w:numId w:val="74"/>
        </w:numPr>
        <w:rPr>
          <w:rFonts w:ascii="Verdana" w:cs="Verdana" w:eastAsia="Verdana" w:hAnsi="Verdana"/>
          <w:sz w:val="18"/>
          <w:szCs w:val="18"/>
          <w:color w:val="auto"/>
        </w:rPr>
      </w:pPr>
      <w:r>
        <w:rPr>
          <w:rFonts w:ascii="Verdana" w:cs="Verdana" w:eastAsia="Verdana" w:hAnsi="Verdana"/>
          <w:sz w:val="18"/>
          <w:szCs w:val="18"/>
          <w:color w:val="auto"/>
        </w:rPr>
        <w:t>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Administrator may affect recovery under this Policy from any amount otherwise payable to the Covered Individual, including amounts payable to such individual under any otherwise applicable Company plan or program, including base salary, bonuses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September 2023</w:t>
      </w:r>
    </w:p>
    <w:p>
      <w:pPr>
        <w:sectPr>
          <w:pgSz w:w="11900" w:h="16838" w:orient="portrait"/>
          <w:cols w:equalWidth="0" w:num="1">
            <w:col w:w="11240"/>
          </w:cols>
          <w:pgMar w:left="320" w:top="134" w:right="339" w:bottom="1440" w:gutter="0" w:footer="0" w:header="0"/>
        </w:sectPr>
      </w:pPr>
    </w:p>
    <w:bookmarkStart w:id="202" w:name="page203"/>
    <w:bookmarkEnd w:id="202"/>
    <w:p>
      <w:pPr>
        <w:spacing w:after="0" w:line="355" w:lineRule="exact"/>
        <w:rPr>
          <w:sz w:val="20"/>
          <w:szCs w:val="20"/>
          <w:color w:val="auto"/>
        </w:rPr>
      </w:pPr>
    </w:p>
    <w:p>
      <w:pPr>
        <w:jc w:val="both"/>
        <w:ind w:left="340"/>
        <w:spacing w:after="0" w:line="241" w:lineRule="auto"/>
        <w:rPr>
          <w:sz w:val="20"/>
          <w:szCs w:val="20"/>
          <w:color w:val="auto"/>
        </w:rPr>
      </w:pPr>
      <w:r>
        <w:rPr>
          <w:rFonts w:ascii="Verdana" w:cs="Verdana" w:eastAsia="Verdana" w:hAnsi="Verdana"/>
          <w:sz w:val="18"/>
          <w:szCs w:val="18"/>
          <w:color w:val="auto"/>
        </w:rPr>
        <w:t>commissions and compensation previously deferred by the Covered Individual. With respect to Dodd-Frank Restatements, this Policy only applies to Incentive Compensation received by a Covered Individual (i) after beginning services as a Covered Individual, (ii) if that person served as a Covered Individual at any time during the performance period for such Incentive Compensation, and (iii) while the Company had a listed class of securities on a national securities exchange.</w:t>
      </w:r>
    </w:p>
    <w:p>
      <w:pPr>
        <w:spacing w:after="0" w:line="157" w:lineRule="exact"/>
        <w:rPr>
          <w:sz w:val="20"/>
          <w:szCs w:val="20"/>
          <w:color w:val="auto"/>
        </w:rPr>
      </w:pPr>
    </w:p>
    <w:p>
      <w:pPr>
        <w:jc w:val="both"/>
        <w:ind w:left="340" w:hanging="332"/>
        <w:spacing w:after="0" w:line="236" w:lineRule="auto"/>
        <w:tabs>
          <w:tab w:leader="none" w:pos="331" w:val="left"/>
        </w:tabs>
        <w:numPr>
          <w:ilvl w:val="0"/>
          <w:numId w:val="75"/>
        </w:numPr>
        <w:rPr>
          <w:rFonts w:ascii="Verdana" w:cs="Verdana" w:eastAsia="Verdana" w:hAnsi="Verdana"/>
          <w:sz w:val="18"/>
          <w:szCs w:val="18"/>
          <w:color w:val="auto"/>
        </w:rPr>
      </w:pPr>
      <w:r>
        <w:rPr>
          <w:rFonts w:ascii="Verdana" w:cs="Verdana" w:eastAsia="Verdana" w:hAnsi="Verdana"/>
          <w:sz w:val="18"/>
          <w:szCs w:val="18"/>
          <w:color w:val="auto"/>
        </w:rPr>
        <w:t>In the event of a Restatement (other than a Dodd-Frank Restatement) or any Misconduct, the Administrator shall, to the extent it determines to be appropriate and consistent with the intent of this Policy, require reimbursement, on a net after-tax basis, of Covered Payments. The Administrator may also cause the cancellation of outstanding awards (or portions of such awards) of restricted stock, restricted stock units, stock options, stock appreciation rights, performance stock units, and performance shares that were granted during such time period (in each case, where such award constitutes Incentive Compensation), or seek reimbursement of any gains realized on the exercise of stock options or stock appreciation rights attributable to such awards. In the event of a Restatement (other than a Dodd-Frank Restatement), the recoupment of any Covered Payment shall be determined based upon the extent, if any, that</w:t>
      </w:r>
    </w:p>
    <w:p>
      <w:pPr>
        <w:spacing w:after="0" w:line="7" w:lineRule="exact"/>
        <w:rPr>
          <w:rFonts w:ascii="Verdana" w:cs="Verdana" w:eastAsia="Verdana" w:hAnsi="Verdana"/>
          <w:sz w:val="18"/>
          <w:szCs w:val="18"/>
          <w:color w:val="auto"/>
        </w:rPr>
      </w:pPr>
    </w:p>
    <w:p>
      <w:pPr>
        <w:jc w:val="both"/>
        <w:ind w:left="340" w:hanging="8"/>
        <w:spacing w:after="0" w:line="241" w:lineRule="auto"/>
        <w:tabs>
          <w:tab w:leader="none" w:pos="697" w:val="left"/>
        </w:tabs>
        <w:numPr>
          <w:ilvl w:val="1"/>
          <w:numId w:val="75"/>
        </w:numPr>
        <w:rPr>
          <w:rFonts w:ascii="Verdana" w:cs="Verdana" w:eastAsia="Verdana" w:hAnsi="Verdana"/>
          <w:sz w:val="18"/>
          <w:szCs w:val="18"/>
          <w:color w:val="auto"/>
        </w:rPr>
      </w:pPr>
      <w:r>
        <w:rPr>
          <w:rFonts w:ascii="Verdana" w:cs="Verdana" w:eastAsia="Verdana" w:hAnsi="Verdana"/>
          <w:sz w:val="18"/>
          <w:szCs w:val="18"/>
          <w:color w:val="auto"/>
        </w:rPr>
        <w:t xml:space="preserve">the amount of such Incentive Compensation was formulaically calculated based upon the certain financial results that were subsequently modified due to a Restatement, and (b) the Covered Payment amount actually earned, awarded, or paid was </w:t>
      </w:r>
      <w:r>
        <w:rPr>
          <w:rFonts w:ascii="Verdana" w:cs="Verdana" w:eastAsia="Verdana" w:hAnsi="Verdana"/>
          <w:sz w:val="18"/>
          <w:szCs w:val="18"/>
          <w:u w:val="single" w:color="auto"/>
          <w:color w:val="auto"/>
        </w:rPr>
        <w:t>greater</w:t>
      </w:r>
      <w:r>
        <w:rPr>
          <w:rFonts w:ascii="Verdana" w:cs="Verdana" w:eastAsia="Verdana" w:hAnsi="Verdana"/>
          <w:sz w:val="18"/>
          <w:szCs w:val="18"/>
          <w:color w:val="auto"/>
        </w:rPr>
        <w:t xml:space="preserve"> than the amount that would have been made to the Covered Individual had the financial results been properly reported. In the event of Misconduct, the recoupment of any Covered Payment shall be determined by the Administrator in its sole discretion.</w:t>
      </w:r>
    </w:p>
    <w:p>
      <w:pPr>
        <w:spacing w:after="0" w:line="157" w:lineRule="exact"/>
        <w:rPr>
          <w:rFonts w:ascii="Verdana" w:cs="Verdana" w:eastAsia="Verdana" w:hAnsi="Verdana"/>
          <w:sz w:val="18"/>
          <w:szCs w:val="18"/>
          <w:color w:val="auto"/>
        </w:rPr>
      </w:pPr>
    </w:p>
    <w:p>
      <w:pPr>
        <w:jc w:val="both"/>
        <w:ind w:left="340" w:hanging="332"/>
        <w:spacing w:after="0" w:line="242" w:lineRule="auto"/>
        <w:tabs>
          <w:tab w:leader="none" w:pos="331" w:val="left"/>
        </w:tabs>
        <w:numPr>
          <w:ilvl w:val="0"/>
          <w:numId w:val="75"/>
        </w:numPr>
        <w:rPr>
          <w:rFonts w:ascii="Verdana" w:cs="Verdana" w:eastAsia="Verdana" w:hAnsi="Verdana"/>
          <w:sz w:val="18"/>
          <w:szCs w:val="18"/>
          <w:color w:val="auto"/>
        </w:rPr>
      </w:pPr>
      <w:r>
        <w:rPr>
          <w:rFonts w:ascii="Verdana" w:cs="Verdana" w:eastAsia="Verdana" w:hAnsi="Verdana"/>
          <w:sz w:val="18"/>
          <w:szCs w:val="18"/>
          <w:color w:val="auto"/>
        </w:rPr>
        <w:t>The Company is authorized and directed, to the degree it is obligated to do so pursuant to this Policy, to recoup Erroneously Awarded Compensation in compliance with this Policy unless the Administrator has determined that recovery would be impracticable solely for the following limited reasons, and subject to the following procedural and disclosure requirements:</w:t>
      </w:r>
    </w:p>
    <w:p>
      <w:pPr>
        <w:spacing w:after="0" w:line="170" w:lineRule="exact"/>
        <w:rPr>
          <w:rFonts w:ascii="Verdana" w:cs="Verdana" w:eastAsia="Verdana" w:hAnsi="Verdana"/>
          <w:sz w:val="18"/>
          <w:szCs w:val="18"/>
          <w:color w:val="auto"/>
        </w:rPr>
      </w:pPr>
    </w:p>
    <w:p>
      <w:pPr>
        <w:jc w:val="both"/>
        <w:ind w:left="980" w:hanging="595"/>
        <w:spacing w:after="0" w:line="241" w:lineRule="auto"/>
        <w:tabs>
          <w:tab w:leader="none" w:pos="980" w:val="left"/>
        </w:tabs>
        <w:numPr>
          <w:ilvl w:val="2"/>
          <w:numId w:val="75"/>
        </w:numPr>
        <w:rPr>
          <w:rFonts w:ascii="Verdana" w:cs="Verdana" w:eastAsia="Verdana" w:hAnsi="Verdana"/>
          <w:sz w:val="18"/>
          <w:szCs w:val="18"/>
          <w:color w:val="auto"/>
        </w:rPr>
      </w:pPr>
      <w:r>
        <w:rPr>
          <w:rFonts w:ascii="Verdana" w:cs="Verdana" w:eastAsia="Verdana" w:hAnsi="Verdana"/>
          <w:sz w:val="18"/>
          <w:szCs w:val="18"/>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that documentation to Nasdaq;</w:t>
      </w:r>
    </w:p>
    <w:p>
      <w:pPr>
        <w:spacing w:after="0" w:line="157" w:lineRule="exact"/>
        <w:rPr>
          <w:rFonts w:ascii="Verdana" w:cs="Verdana" w:eastAsia="Verdana" w:hAnsi="Verdana"/>
          <w:sz w:val="18"/>
          <w:szCs w:val="18"/>
          <w:color w:val="auto"/>
        </w:rPr>
      </w:pPr>
    </w:p>
    <w:p>
      <w:pPr>
        <w:jc w:val="both"/>
        <w:ind w:left="980" w:hanging="599"/>
        <w:spacing w:after="0" w:line="241" w:lineRule="auto"/>
        <w:tabs>
          <w:tab w:leader="none" w:pos="980" w:val="left"/>
        </w:tabs>
        <w:numPr>
          <w:ilvl w:val="2"/>
          <w:numId w:val="75"/>
        </w:numPr>
        <w:rPr>
          <w:rFonts w:ascii="Verdana" w:cs="Verdana" w:eastAsia="Verdana" w:hAnsi="Verdana"/>
          <w:sz w:val="18"/>
          <w:szCs w:val="18"/>
          <w:color w:val="auto"/>
        </w:rPr>
      </w:pPr>
      <w:r>
        <w:rPr>
          <w:rFonts w:ascii="Verdana" w:cs="Verdana" w:eastAsia="Verdana" w:hAnsi="Verdana"/>
          <w:sz w:val="18"/>
          <w:szCs w:val="18"/>
          <w:color w:val="auto"/>
        </w:rPr>
        <w:t>Recovery would violate home country law of the issuer where that law was adopted prior to November 28, 2022. Before concluding that it would be impracticable to recover any amount of Erroneously Awarded Compensation based on violation of home country law of the issuer, the Administrator must satisfy the applicable opinion and disclosure requirements of Rule 10D-1 (“</w:t>
      </w:r>
      <w:r>
        <w:rPr>
          <w:rFonts w:ascii="Verdana" w:cs="Verdana" w:eastAsia="Verdana" w:hAnsi="Verdana"/>
          <w:sz w:val="18"/>
          <w:szCs w:val="18"/>
          <w:u w:val="single" w:color="auto"/>
          <w:color w:val="auto"/>
        </w:rPr>
        <w:t>Rule 10D-1</w:t>
      </w:r>
      <w:r>
        <w:rPr>
          <w:rFonts w:ascii="Verdana" w:cs="Verdana" w:eastAsia="Verdana" w:hAnsi="Verdana"/>
          <w:sz w:val="18"/>
          <w:szCs w:val="18"/>
          <w:color w:val="auto"/>
        </w:rPr>
        <w:t>”) promulgated under the Securities Exchange Act of 1934 and Nasdaq Listing Rule 5608 (the “</w:t>
      </w:r>
      <w:r>
        <w:rPr>
          <w:rFonts w:ascii="Verdana" w:cs="Verdana" w:eastAsia="Verdana" w:hAnsi="Verdana"/>
          <w:sz w:val="18"/>
          <w:szCs w:val="18"/>
          <w:u w:val="single" w:color="auto"/>
          <w:color w:val="auto"/>
        </w:rPr>
        <w:t>Listing Standards</w:t>
      </w:r>
      <w:r>
        <w:rPr>
          <w:rFonts w:ascii="Verdana" w:cs="Verdana" w:eastAsia="Verdana" w:hAnsi="Verdana"/>
          <w:sz w:val="18"/>
          <w:szCs w:val="18"/>
          <w:color w:val="auto"/>
        </w:rPr>
        <w:t>”); or</w:t>
      </w:r>
    </w:p>
    <w:p>
      <w:pPr>
        <w:spacing w:after="0" w:line="154" w:lineRule="exact"/>
        <w:rPr>
          <w:rFonts w:ascii="Verdana" w:cs="Verdana" w:eastAsia="Verdana" w:hAnsi="Verdana"/>
          <w:sz w:val="18"/>
          <w:szCs w:val="18"/>
          <w:color w:val="auto"/>
        </w:rPr>
      </w:pPr>
    </w:p>
    <w:p>
      <w:pPr>
        <w:ind w:left="980" w:hanging="581"/>
        <w:spacing w:after="0"/>
        <w:tabs>
          <w:tab w:leader="none" w:pos="980" w:val="left"/>
        </w:tabs>
        <w:numPr>
          <w:ilvl w:val="2"/>
          <w:numId w:val="75"/>
        </w:numPr>
        <w:rPr>
          <w:rFonts w:ascii="Verdana" w:cs="Verdana" w:eastAsia="Verdana" w:hAnsi="Verdana"/>
          <w:sz w:val="18"/>
          <w:szCs w:val="18"/>
          <w:color w:val="auto"/>
        </w:rPr>
      </w:pPr>
      <w:r>
        <w:rPr>
          <w:rFonts w:ascii="Verdana" w:cs="Verdana" w:eastAsia="Verdana" w:hAnsi="Verdana"/>
          <w:sz w:val="18"/>
          <w:szCs w:val="18"/>
          <w:color w:val="auto"/>
        </w:rPr>
        <w:t>Recovery would likely cause an otherwise tax-qualified retirement plan, under which benefits are broadly</w:t>
      </w:r>
    </w:p>
    <w:p>
      <w:pPr>
        <w:ind w:left="980"/>
        <w:spacing w:after="0" w:line="254" w:lineRule="auto"/>
        <w:rPr>
          <w:sz w:val="20"/>
          <w:szCs w:val="20"/>
          <w:color w:val="auto"/>
        </w:rPr>
      </w:pPr>
      <w:r>
        <w:rPr>
          <w:rFonts w:ascii="Verdana" w:cs="Verdana" w:eastAsia="Verdana" w:hAnsi="Verdana"/>
          <w:sz w:val="18"/>
          <w:szCs w:val="18"/>
          <w:color w:val="auto"/>
        </w:rPr>
        <w:t>available to employees of the Company, to fail to meet the requirements of 26 U.S.C. 401(a)(13) or 26 U.S.C. 411(a)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Page 2 of 6</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355" w:lineRule="exact"/>
        <w:rPr>
          <w:sz w:val="20"/>
          <w:szCs w:val="20"/>
          <w:color w:val="auto"/>
        </w:rPr>
      </w:pPr>
    </w:p>
    <w:p>
      <w:pPr>
        <w:jc w:val="both"/>
        <w:ind w:left="340" w:hanging="332"/>
        <w:spacing w:after="0"/>
        <w:tabs>
          <w:tab w:leader="none" w:pos="331" w:val="left"/>
        </w:tabs>
        <w:numPr>
          <w:ilvl w:val="0"/>
          <w:numId w:val="76"/>
        </w:numPr>
        <w:rPr>
          <w:rFonts w:ascii="Verdana" w:cs="Verdana" w:eastAsia="Verdana" w:hAnsi="Verdana"/>
          <w:sz w:val="18"/>
          <w:szCs w:val="18"/>
          <w:color w:val="auto"/>
        </w:rPr>
      </w:pPr>
      <w:r>
        <w:rPr>
          <w:rFonts w:ascii="Verdana" w:cs="Verdana" w:eastAsia="Verdana" w:hAnsi="Verdana"/>
          <w:sz w:val="18"/>
          <w:szCs w:val="18"/>
          <w:color w:val="auto"/>
        </w:rPr>
        <w:t xml:space="preserve">The Administrator may, to the extent it determines to be appropriate and consistent with the intent of this Policy, require a positive adjustment of any Covered Payments that are paid to the Covered Individual(s), if and to the extent that (a) the amount of such Incentive Compensation was formulaically calculated based upon certain financial results that were subsequently modified due to a Restatement, and (b) the Covered Payment amount actually earned, awarded, or paid was </w:t>
      </w:r>
      <w:r>
        <w:rPr>
          <w:rFonts w:ascii="Verdana" w:cs="Verdana" w:eastAsia="Verdana" w:hAnsi="Verdana"/>
          <w:sz w:val="18"/>
          <w:szCs w:val="18"/>
          <w:i w:val="1"/>
          <w:iCs w:val="1"/>
          <w:u w:val="single" w:color="auto"/>
          <w:color w:val="auto"/>
        </w:rPr>
        <w:t>less</w:t>
      </w:r>
      <w:r>
        <w:rPr>
          <w:rFonts w:ascii="Verdana" w:cs="Verdana" w:eastAsia="Verdana" w:hAnsi="Verdana"/>
          <w:sz w:val="18"/>
          <w:szCs w:val="18"/>
          <w:color w:val="auto"/>
        </w:rPr>
        <w:t xml:space="preserve"> than the amount that would have been made to the Covered Individual had the financial results been properly reported.</w:t>
      </w:r>
    </w:p>
    <w:p>
      <w:pPr>
        <w:spacing w:after="0" w:line="158" w:lineRule="exact"/>
        <w:rPr>
          <w:rFonts w:ascii="Verdana" w:cs="Verdana" w:eastAsia="Verdana" w:hAnsi="Verdana"/>
          <w:sz w:val="18"/>
          <w:szCs w:val="18"/>
          <w:color w:val="auto"/>
        </w:rPr>
      </w:pPr>
    </w:p>
    <w:p>
      <w:pPr>
        <w:jc w:val="both"/>
        <w:ind w:left="340" w:hanging="332"/>
        <w:spacing w:after="0" w:line="242" w:lineRule="auto"/>
        <w:tabs>
          <w:tab w:leader="none" w:pos="331" w:val="left"/>
        </w:tabs>
        <w:numPr>
          <w:ilvl w:val="0"/>
          <w:numId w:val="76"/>
        </w:numPr>
        <w:rPr>
          <w:rFonts w:ascii="Verdana" w:cs="Verdana" w:eastAsia="Verdana" w:hAnsi="Verdana"/>
          <w:sz w:val="18"/>
          <w:szCs w:val="18"/>
          <w:color w:val="auto"/>
        </w:rPr>
      </w:pPr>
      <w:r>
        <w:rPr>
          <w:rFonts w:ascii="Verdana" w:cs="Verdana" w:eastAsia="Verdana" w:hAnsi="Verdana"/>
          <w:sz w:val="18"/>
          <w:szCs w:val="18"/>
          <w:color w:val="auto"/>
        </w:rPr>
        <w:t>In addition to the Administrator’s responsibilities listed above, in the event the Company is required to prepare any Restatement or there is Misconduct, the Administrator may terminate the employment of the Covered Individual whose actions resulted in the need for any Restatement or Misconduct, authorize legal action against, or take such other action to enforce such Covered Individual’s obligations to the Company as it may deem appropriate.</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B. Covered Individual Responsibility</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Certain Covered Individuals, based on their roles or responsibilities to the Company or a subsidiary, have an obligation to attest to the accuracy of any financial statements or incentive metrics in determining his or her Incentive Compensation. The acceptance by such Covered Individual of any Incentive Compensation shall be deemed by the Company as an attestation that any incentive metrics or underlying financial statements are not based on materially inaccurate or fraudulent information.</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 Administration</w:t>
      </w:r>
    </w:p>
    <w:p>
      <w:pPr>
        <w:spacing w:after="0" w:line="173" w:lineRule="exact"/>
        <w:rPr>
          <w:sz w:val="20"/>
          <w:szCs w:val="20"/>
          <w:color w:val="auto"/>
        </w:rPr>
      </w:pPr>
    </w:p>
    <w:p>
      <w:pPr>
        <w:jc w:val="both"/>
        <w:ind w:left="340" w:hanging="332"/>
        <w:spacing w:after="0" w:line="242" w:lineRule="auto"/>
        <w:tabs>
          <w:tab w:leader="none" w:pos="331" w:val="left"/>
        </w:tabs>
        <w:numPr>
          <w:ilvl w:val="0"/>
          <w:numId w:val="77"/>
        </w:numPr>
        <w:rPr>
          <w:rFonts w:ascii="Verdana" w:cs="Verdana" w:eastAsia="Verdana" w:hAnsi="Verdana"/>
          <w:sz w:val="18"/>
          <w:szCs w:val="18"/>
          <w:color w:val="auto"/>
        </w:rPr>
      </w:pPr>
      <w:r>
        <w:rPr>
          <w:rFonts w:ascii="Verdana" w:cs="Verdana" w:eastAsia="Verdana" w:hAnsi="Verdana"/>
          <w:sz w:val="18"/>
          <w:szCs w:val="18"/>
          <w:color w:val="auto"/>
        </w:rPr>
        <w:t>This Policy shall be effective as of September 20, 2023 (the “</w:t>
      </w:r>
      <w:r>
        <w:rPr>
          <w:rFonts w:ascii="Verdana" w:cs="Verdana" w:eastAsia="Verdana" w:hAnsi="Verdana"/>
          <w:sz w:val="18"/>
          <w:szCs w:val="18"/>
          <w:u w:val="single" w:color="auto"/>
          <w:color w:val="auto"/>
        </w:rPr>
        <w:t>Effective Date</w:t>
      </w:r>
      <w:r>
        <w:rPr>
          <w:rFonts w:ascii="Verdana" w:cs="Verdana" w:eastAsia="Verdana" w:hAnsi="Verdana"/>
          <w:sz w:val="18"/>
          <w:szCs w:val="18"/>
          <w:color w:val="auto"/>
        </w:rPr>
        <w:t>”). With respect to a Dodd-Frank Restatement, the terms of this Policy shall only apply to any Incentive Compensation that is received by Covered Individual on or after the Effective Date, even if such Incentive Compensation was approved, awarded, granted or paid to the Covered Individual prior to the Effective Date.</w:t>
      </w:r>
    </w:p>
    <w:p>
      <w:pPr>
        <w:spacing w:after="0" w:line="170" w:lineRule="exact"/>
        <w:rPr>
          <w:rFonts w:ascii="Verdana" w:cs="Verdana" w:eastAsia="Verdana" w:hAnsi="Verdana"/>
          <w:sz w:val="18"/>
          <w:szCs w:val="18"/>
          <w:color w:val="auto"/>
        </w:rPr>
      </w:pPr>
    </w:p>
    <w:p>
      <w:pPr>
        <w:ind w:left="340" w:hanging="332"/>
        <w:spacing w:after="0" w:line="254" w:lineRule="auto"/>
        <w:tabs>
          <w:tab w:leader="none" w:pos="331" w:val="left"/>
        </w:tabs>
        <w:numPr>
          <w:ilvl w:val="0"/>
          <w:numId w:val="77"/>
        </w:numPr>
        <w:rPr>
          <w:rFonts w:ascii="Verdana" w:cs="Verdana" w:eastAsia="Verdana" w:hAnsi="Verdana"/>
          <w:sz w:val="18"/>
          <w:szCs w:val="18"/>
          <w:color w:val="auto"/>
        </w:rPr>
      </w:pPr>
      <w:r>
        <w:rPr>
          <w:rFonts w:ascii="Verdana" w:cs="Verdana" w:eastAsia="Verdana" w:hAnsi="Verdana"/>
          <w:sz w:val="18"/>
          <w:szCs w:val="18"/>
          <w:color w:val="auto"/>
        </w:rPr>
        <w:t>The remedies specified in this Policy shall not be exclusive and shall be in addition to every other right or remedy at law or in equity that may be available to the Company.</w:t>
      </w:r>
    </w:p>
    <w:p>
      <w:pPr>
        <w:spacing w:after="0" w:line="144" w:lineRule="exact"/>
        <w:rPr>
          <w:rFonts w:ascii="Verdana" w:cs="Verdana" w:eastAsia="Verdana" w:hAnsi="Verdana"/>
          <w:sz w:val="18"/>
          <w:szCs w:val="18"/>
          <w:color w:val="auto"/>
        </w:rPr>
      </w:pPr>
    </w:p>
    <w:p>
      <w:pPr>
        <w:ind w:left="340" w:hanging="332"/>
        <w:spacing w:after="0" w:line="254" w:lineRule="auto"/>
        <w:tabs>
          <w:tab w:leader="none" w:pos="331" w:val="left"/>
        </w:tabs>
        <w:numPr>
          <w:ilvl w:val="0"/>
          <w:numId w:val="77"/>
        </w:numPr>
        <w:rPr>
          <w:rFonts w:ascii="Verdana" w:cs="Verdana" w:eastAsia="Verdana" w:hAnsi="Verdana"/>
          <w:sz w:val="18"/>
          <w:szCs w:val="18"/>
          <w:color w:val="auto"/>
        </w:rPr>
      </w:pPr>
      <w:r>
        <w:rPr>
          <w:rFonts w:ascii="Verdana" w:cs="Verdana" w:eastAsia="Verdana" w:hAnsi="Verdana"/>
          <w:sz w:val="18"/>
          <w:szCs w:val="18"/>
          <w:color w:val="auto"/>
        </w:rPr>
        <w:t>Each award agreement or other document setting forth the terms and conditions of any incentive compensation shall be deemed to incorporate by reference the provisions of this Policy.</w:t>
      </w:r>
    </w:p>
    <w:p>
      <w:pPr>
        <w:spacing w:after="0" w:line="144" w:lineRule="exact"/>
        <w:rPr>
          <w:rFonts w:ascii="Verdana" w:cs="Verdana" w:eastAsia="Verdana" w:hAnsi="Verdana"/>
          <w:sz w:val="18"/>
          <w:szCs w:val="18"/>
          <w:color w:val="auto"/>
        </w:rPr>
      </w:pPr>
    </w:p>
    <w:p>
      <w:pPr>
        <w:jc w:val="both"/>
        <w:ind w:left="340" w:hanging="332"/>
        <w:spacing w:after="0" w:line="242" w:lineRule="auto"/>
        <w:tabs>
          <w:tab w:leader="none" w:pos="331" w:val="left"/>
        </w:tabs>
        <w:numPr>
          <w:ilvl w:val="0"/>
          <w:numId w:val="77"/>
        </w:numPr>
        <w:rPr>
          <w:rFonts w:ascii="Verdana" w:cs="Verdana" w:eastAsia="Verdana" w:hAnsi="Verdana"/>
          <w:sz w:val="18"/>
          <w:szCs w:val="18"/>
          <w:color w:val="auto"/>
        </w:rPr>
      </w:pPr>
      <w:r>
        <w:rPr>
          <w:rFonts w:ascii="Verdana" w:cs="Verdana" w:eastAsia="Verdana" w:hAnsi="Verdana"/>
          <w:sz w:val="18"/>
          <w:szCs w:val="18"/>
          <w:color w:val="auto"/>
        </w:rPr>
        <w:t>The Administrator acknowledges that this Policy shall be amended if and as required to comply with the SOX Act and Dodd-Frank Act. The Company shall seek to recover Incentive Compensation paid to any individual as required by the provisions of the SOX Act, Dodd-Frank Act or any other “clawback” provision required by law or applicable exchange listing standards.</w:t>
      </w:r>
    </w:p>
    <w:p>
      <w:pPr>
        <w:spacing w:after="0" w:line="170" w:lineRule="exact"/>
        <w:rPr>
          <w:rFonts w:ascii="Verdana" w:cs="Verdana" w:eastAsia="Verdana" w:hAnsi="Verdana"/>
          <w:sz w:val="18"/>
          <w:szCs w:val="18"/>
          <w:color w:val="auto"/>
        </w:rPr>
      </w:pPr>
    </w:p>
    <w:p>
      <w:pPr>
        <w:jc w:val="both"/>
        <w:ind w:left="340" w:hanging="332"/>
        <w:spacing w:after="0"/>
        <w:tabs>
          <w:tab w:leader="none" w:pos="331" w:val="left"/>
        </w:tabs>
        <w:numPr>
          <w:ilvl w:val="0"/>
          <w:numId w:val="77"/>
        </w:numPr>
        <w:rPr>
          <w:rFonts w:ascii="Verdana" w:cs="Verdana" w:eastAsia="Verdana" w:hAnsi="Verdana"/>
          <w:sz w:val="18"/>
          <w:szCs w:val="18"/>
          <w:color w:val="auto"/>
        </w:rPr>
      </w:pPr>
      <w:r>
        <w:rPr>
          <w:rFonts w:ascii="Verdana" w:cs="Verdana" w:eastAsia="Verdana" w:hAnsi="Verdana"/>
          <w:sz w:val="18"/>
          <w:szCs w:val="18"/>
          <w:color w:val="auto"/>
        </w:rPr>
        <w:t>The Administrator shall have the authority and discretion to administer, amend, interpret, and terminate this Policy, to establish, amend, and rescind any rules and regulations relating to this Policy, and to make all other determinations that may be necessary or advisable for the administration of this Policy. Any interpretation of this Policy by the Administrator and any decision made by it under this Policy shall be final and binding on all persons. The remedies specified in this Policy shall not be exclusive and shall be in addition to every other right or remedy at law or in equity that may be available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Page 3 of 6</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355" w:lineRule="exact"/>
        <w:rPr>
          <w:sz w:val="20"/>
          <w:szCs w:val="20"/>
          <w:color w:val="auto"/>
        </w:rPr>
      </w:pPr>
    </w:p>
    <w:p>
      <w:pPr>
        <w:jc w:val="both"/>
        <w:ind w:left="340" w:hanging="332"/>
        <w:spacing w:after="0" w:line="241" w:lineRule="auto"/>
        <w:tabs>
          <w:tab w:leader="none" w:pos="331" w:val="left"/>
        </w:tabs>
        <w:numPr>
          <w:ilvl w:val="0"/>
          <w:numId w:val="78"/>
        </w:numPr>
        <w:rPr>
          <w:rFonts w:ascii="Verdana" w:cs="Verdana" w:eastAsia="Verdana" w:hAnsi="Verdana"/>
          <w:sz w:val="18"/>
          <w:szCs w:val="18"/>
          <w:color w:val="auto"/>
        </w:rPr>
      </w:pPr>
      <w:r>
        <w:rPr>
          <w:rFonts w:ascii="Verdana" w:cs="Verdana" w:eastAsia="Verdana" w:hAnsi="Verdana"/>
          <w:sz w:val="18"/>
          <w:szCs w:val="18"/>
          <w:color w:val="auto"/>
        </w:rPr>
        <w:t>Any members of the Administrator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Administrator under applicable law or Company policy.</w:t>
      </w:r>
    </w:p>
    <w:p>
      <w:pPr>
        <w:spacing w:after="0" w:line="157" w:lineRule="exact"/>
        <w:rPr>
          <w:rFonts w:ascii="Verdana" w:cs="Verdana" w:eastAsia="Verdana" w:hAnsi="Verdana"/>
          <w:sz w:val="18"/>
          <w:szCs w:val="18"/>
          <w:color w:val="auto"/>
        </w:rPr>
      </w:pPr>
    </w:p>
    <w:p>
      <w:pPr>
        <w:jc w:val="both"/>
        <w:ind w:left="340" w:hanging="332"/>
        <w:spacing w:after="0" w:line="242" w:lineRule="auto"/>
        <w:tabs>
          <w:tab w:leader="none" w:pos="331" w:val="left"/>
        </w:tabs>
        <w:numPr>
          <w:ilvl w:val="0"/>
          <w:numId w:val="78"/>
        </w:numPr>
        <w:rPr>
          <w:rFonts w:ascii="Verdana" w:cs="Verdana" w:eastAsia="Verdana" w:hAnsi="Verdana"/>
          <w:sz w:val="18"/>
          <w:szCs w:val="18"/>
          <w:color w:val="auto"/>
        </w:rPr>
      </w:pPr>
      <w:r>
        <w:rPr>
          <w:rFonts w:ascii="Verdana" w:cs="Verdana" w:eastAsia="Verdana" w:hAnsi="Verdana"/>
          <w:sz w:val="18"/>
          <w:szCs w:val="18"/>
          <w:color w:val="auto"/>
        </w:rPr>
        <w:t>Notwithstanding the terms of any indemnification or insurance policy or any contractual arrangement with any Covered Individual that may be interpreted to the contrary, the Company shall not indemnify any Covered Individual against the loss of any Erroneously Awarded Compensation, including any payment or reimbursement for the cost of third-party insurance purchased by any Covered Individual to fund potential clawback obligations under this Policy.</w:t>
      </w:r>
    </w:p>
    <w:p>
      <w:pPr>
        <w:spacing w:after="0" w:line="157" w:lineRule="exact"/>
        <w:rPr>
          <w:rFonts w:ascii="Verdana" w:cs="Verdana" w:eastAsia="Verdana" w:hAnsi="Verdana"/>
          <w:sz w:val="18"/>
          <w:szCs w:val="18"/>
          <w:color w:val="auto"/>
        </w:rPr>
      </w:pPr>
    </w:p>
    <w:p>
      <w:pPr>
        <w:jc w:val="both"/>
        <w:ind w:left="340" w:hanging="332"/>
        <w:spacing w:after="0"/>
        <w:tabs>
          <w:tab w:leader="none" w:pos="331" w:val="left"/>
        </w:tabs>
        <w:numPr>
          <w:ilvl w:val="0"/>
          <w:numId w:val="78"/>
        </w:numPr>
        <w:rPr>
          <w:rFonts w:ascii="Verdana" w:cs="Verdana" w:eastAsia="Verdana" w:hAnsi="Verdana"/>
          <w:sz w:val="18"/>
          <w:szCs w:val="18"/>
          <w:color w:val="auto"/>
        </w:rPr>
      </w:pPr>
      <w:r>
        <w:rPr>
          <w:rFonts w:ascii="Verdana" w:cs="Verdana" w:eastAsia="Verdana" w:hAnsi="Verdana"/>
          <w:sz w:val="18"/>
          <w:szCs w:val="18"/>
          <w:color w:val="auto"/>
        </w:rPr>
        <w:t>Any action or proceeding seeking to enforce any provision of, or based on any right arising out of, this Policy, shall be brought exclusively in the courts of the State of Illinois, County of Champaign, or, if it has or can acquire jurisdiction, in the United States District court for the Central District of Illinois, and each Covered Individual consents to the exclusive jurisdiction of such courts (and of the appropriate appellate courts) in any such action or proceeding and waives any objection to venue laid therein. Process in any action or proceeding referred to in the preceding sentence may be served anywhere in the world.</w:t>
      </w:r>
    </w:p>
    <w:p>
      <w:pPr>
        <w:spacing w:after="0" w:line="172" w:lineRule="exact"/>
        <w:rPr>
          <w:rFonts w:ascii="Verdana" w:cs="Verdana" w:eastAsia="Verdana" w:hAnsi="Verdana"/>
          <w:sz w:val="18"/>
          <w:szCs w:val="18"/>
          <w:color w:val="auto"/>
        </w:rPr>
      </w:pPr>
    </w:p>
    <w:p>
      <w:pPr>
        <w:jc w:val="both"/>
        <w:ind w:left="340" w:hanging="332"/>
        <w:spacing w:after="0" w:line="245" w:lineRule="auto"/>
        <w:tabs>
          <w:tab w:leader="none" w:pos="331" w:val="left"/>
        </w:tabs>
        <w:numPr>
          <w:ilvl w:val="0"/>
          <w:numId w:val="78"/>
        </w:numPr>
        <w:rPr>
          <w:rFonts w:ascii="Verdana" w:cs="Verdana" w:eastAsia="Verdana" w:hAnsi="Verdana"/>
          <w:sz w:val="18"/>
          <w:szCs w:val="18"/>
          <w:color w:val="auto"/>
        </w:rPr>
      </w:pPr>
      <w:r>
        <w:rPr>
          <w:rFonts w:ascii="Verdana" w:cs="Verdana" w:eastAsia="Verdana" w:hAnsi="Verdana"/>
          <w:sz w:val="18"/>
          <w:szCs w:val="18"/>
          <w:color w:val="auto"/>
        </w:rPr>
        <w:t>If any Covered Individual fails or refuses to repay any Incentive Compensation that is subject to recovery by the Company pursuant to this Policy, the Covered Individual shall be solely liable for any and all of the Company’s costs and expenses (including, but not limited to legal fees) incurred in pursuing and obtaining such repayment.</w:t>
      </w:r>
    </w:p>
    <w:p>
      <w:pPr>
        <w:spacing w:after="0" w:line="153" w:lineRule="exact"/>
        <w:rPr>
          <w:rFonts w:ascii="Verdana" w:cs="Verdana" w:eastAsia="Verdana" w:hAnsi="Verdana"/>
          <w:sz w:val="18"/>
          <w:szCs w:val="18"/>
          <w:color w:val="auto"/>
        </w:rPr>
      </w:pPr>
    </w:p>
    <w:p>
      <w:pPr>
        <w:ind w:left="340" w:hanging="332"/>
        <w:spacing w:after="0" w:line="254" w:lineRule="auto"/>
        <w:tabs>
          <w:tab w:leader="none" w:pos="337" w:val="left"/>
        </w:tabs>
        <w:numPr>
          <w:ilvl w:val="0"/>
          <w:numId w:val="78"/>
        </w:numPr>
        <w:rPr>
          <w:rFonts w:ascii="Verdana" w:cs="Verdana" w:eastAsia="Verdana" w:hAnsi="Verdana"/>
          <w:sz w:val="18"/>
          <w:szCs w:val="18"/>
          <w:color w:val="auto"/>
        </w:rPr>
      </w:pPr>
      <w:r>
        <w:rPr>
          <w:rFonts w:ascii="Verdana" w:cs="Verdana" w:eastAsia="Verdana" w:hAnsi="Verdana"/>
          <w:sz w:val="18"/>
          <w:szCs w:val="18"/>
          <w:color w:val="auto"/>
        </w:rPr>
        <w:t>A copy of this Policy and any amendments thereto shall be posted on the Company’s website and filed as an exhibit to the Company’s annual report on Form 10-K.</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APPENDIX</w:t>
      </w:r>
    </w:p>
    <w:p>
      <w:pPr>
        <w:spacing w:after="0" w:line="186"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b w:val="1"/>
          <w:bCs w:val="1"/>
          <w:color w:val="auto"/>
        </w:rPr>
        <w:t>A.1.</w:t>
        <w:tab/>
        <w:t>Definitions</w:t>
      </w:r>
    </w:p>
    <w:p>
      <w:pPr>
        <w:spacing w:after="0" w:line="173"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w:t>
      </w:r>
      <w:r>
        <w:rPr>
          <w:rFonts w:ascii="Verdana" w:cs="Verdana" w:eastAsia="Verdana" w:hAnsi="Verdana"/>
          <w:sz w:val="18"/>
          <w:szCs w:val="18"/>
          <w:u w:val="single" w:color="auto"/>
          <w:color w:val="auto"/>
        </w:rPr>
        <w:t>Covered Individuals</w:t>
      </w:r>
      <w:r>
        <w:rPr>
          <w:rFonts w:ascii="Verdana" w:cs="Verdana" w:eastAsia="Verdana" w:hAnsi="Verdana"/>
          <w:sz w:val="18"/>
          <w:szCs w:val="18"/>
          <w:color w:val="auto"/>
        </w:rPr>
        <w:t>” shall mean: (a) with respect to a Restatement (other than a Dodd-Frank Restatement) or any Misconduct, the Company’s “named executive officers” (for SEC reporting purposes) during any Covered Period, as well as all participants in the incentive compensation plans of the Company and its subsidiaries during such Covered Period; and,</w:t>
      </w:r>
    </w:p>
    <w:p>
      <w:pPr>
        <w:spacing w:after="0" w:line="3" w:lineRule="exact"/>
        <w:rPr>
          <w:sz w:val="20"/>
          <w:szCs w:val="20"/>
          <w:color w:val="auto"/>
        </w:rPr>
      </w:pPr>
    </w:p>
    <w:p>
      <w:pPr>
        <w:jc w:val="both"/>
        <w:ind w:firstLine="8"/>
        <w:spacing w:after="0" w:line="245" w:lineRule="auto"/>
        <w:tabs>
          <w:tab w:leader="none" w:pos="398" w:val="left"/>
        </w:tabs>
        <w:numPr>
          <w:ilvl w:val="0"/>
          <w:numId w:val="79"/>
        </w:numPr>
        <w:rPr>
          <w:rFonts w:ascii="Verdana" w:cs="Verdana" w:eastAsia="Verdana" w:hAnsi="Verdana"/>
          <w:sz w:val="18"/>
          <w:szCs w:val="18"/>
          <w:color w:val="auto"/>
        </w:rPr>
      </w:pPr>
      <w:r>
        <w:rPr>
          <w:rFonts w:ascii="Verdana" w:cs="Verdana" w:eastAsia="Verdana" w:hAnsi="Verdana"/>
          <w:sz w:val="18"/>
          <w:szCs w:val="18"/>
          <w:color w:val="auto"/>
        </w:rPr>
        <w:t>with respect to a Dodd-Frank Restatement, the current and former executive officers of the Company and its subsidiaries, as determined by the Administrator in accordance with the definition of executive officer set forth in Rule 10D-1 and the Listing Standards.</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w:t>
      </w:r>
      <w:r>
        <w:rPr>
          <w:rFonts w:ascii="Verdana" w:cs="Verdana" w:eastAsia="Verdana" w:hAnsi="Verdana"/>
          <w:sz w:val="18"/>
          <w:szCs w:val="18"/>
          <w:u w:val="single" w:color="auto"/>
          <w:color w:val="auto"/>
        </w:rPr>
        <w:t>Covered Payments</w:t>
      </w:r>
      <w:r>
        <w:rPr>
          <w:rFonts w:ascii="Verdana" w:cs="Verdana" w:eastAsia="Verdana" w:hAnsi="Verdana"/>
          <w:sz w:val="18"/>
          <w:szCs w:val="18"/>
          <w:color w:val="auto"/>
        </w:rPr>
        <w:t>” shall mean, with respect to a Restatement (other than a Dodd-Frank Restatement) or any Misconduct, Incentive Compensation that has been paid to, or earned by, Covered Individuals for the portion of the applicable Covered Period during which the individual was a Covered Individual.</w:t>
      </w:r>
    </w:p>
    <w:p>
      <w:pPr>
        <w:spacing w:after="0" w:line="16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w:t>
      </w:r>
      <w:r>
        <w:rPr>
          <w:rFonts w:ascii="Verdana" w:cs="Verdana" w:eastAsia="Verdana" w:hAnsi="Verdana"/>
          <w:sz w:val="18"/>
          <w:szCs w:val="18"/>
          <w:u w:val="single" w:color="auto"/>
          <w:color w:val="auto"/>
        </w:rPr>
        <w:t>Covered Period</w:t>
      </w:r>
      <w:r>
        <w:rPr>
          <w:rFonts w:ascii="Verdana" w:cs="Verdana" w:eastAsia="Verdana" w:hAnsi="Verdana"/>
          <w:sz w:val="18"/>
          <w:szCs w:val="18"/>
          <w:color w:val="auto"/>
        </w:rPr>
        <w:t>” shall mean: (a) with respect to a Restatement (other than a Dodd-Frank Restatement) or any Misconduct, the three (3) year period preceding the date of any such Restatement or Misconduct; and, (b) with respect to a Dodd-Frank Restatement, the three (3) completed fiscal year period preceding the date that the Dodd-Frank Restatement was required, as well as any transition period (that results from a change in the Company’s fiscal year) within or immediately following those three (3) completed fiscal years (except that a transition period that comprises a period of at least nine months shall count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Page 4 of 6</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35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completed fiscal year). The date on which the Dodd-Frank Restatement is “required” is the earlier to occur of (i) the date the Administrator concludes, or reasonably should have concluded, that the Company is required to prepare a Dodd-Frank Restatement or (ii) the date a court, regulator or other legally authorized body directs the Company to prepare a Dodd-Frank Restatement, in each case regardless of if or when the restated financial statements are filed.</w:t>
      </w:r>
    </w:p>
    <w:p>
      <w:pPr>
        <w:spacing w:after="0" w:line="157"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w:t>
      </w:r>
      <w:r>
        <w:rPr>
          <w:rFonts w:ascii="Verdana" w:cs="Verdana" w:eastAsia="Verdana" w:hAnsi="Verdana"/>
          <w:sz w:val="18"/>
          <w:szCs w:val="18"/>
          <w:u w:val="single" w:color="auto"/>
          <w:color w:val="auto"/>
        </w:rPr>
        <w:t>Erroneously Awarded Compensation</w:t>
      </w:r>
      <w:r>
        <w:rPr>
          <w:rFonts w:ascii="Verdana" w:cs="Verdana" w:eastAsia="Verdana" w:hAnsi="Verdana"/>
          <w:sz w:val="18"/>
          <w:szCs w:val="18"/>
          <w:color w:val="auto"/>
        </w:rPr>
        <w:t>” shall mean, with respect to a Dodd-Frank Restatement, the amount of Incentive Compensation received by the Covered Individual that exceeds the amount of Incentive Compensation that would have been received by the Covered Individual had it been determined based on the restated amounts. Erroneously Awarded Compensation shall be computed by the Administrator without regard to any taxes paid by the Covered Individual on such compensation. By way of example, with respect to any compensation plans or programs that take into account Incentive Compensation, the amount of Erroneously Awarded Compensation subject to recovery hereunder includes, but is not limited to, the amount contributed to any notional account based on Erroneously Awarded Compensation and any earnings accrued to date on that notional amount. For Incentive Compensation based on stock price or total shareholder return (“</w:t>
      </w:r>
      <w:r>
        <w:rPr>
          <w:rFonts w:ascii="Verdana" w:cs="Verdana" w:eastAsia="Verdana" w:hAnsi="Verdana"/>
          <w:sz w:val="18"/>
          <w:szCs w:val="18"/>
          <w:u w:val="single" w:color="auto"/>
          <w:color w:val="auto"/>
        </w:rPr>
        <w:t>TSR</w:t>
      </w:r>
      <w:r>
        <w:rPr>
          <w:rFonts w:ascii="Verdana" w:cs="Verdana" w:eastAsia="Verdana" w:hAnsi="Verdana"/>
          <w:sz w:val="18"/>
          <w:szCs w:val="18"/>
          <w:color w:val="auto"/>
        </w:rPr>
        <w:t>”): (a) the Administrator shall determine the amount of Erroneously Awarded Compensation based on a reasonable estimate of the effect of the Restatement on the stock price or TSR upon which the Incentive Compensation was received; and (b) the Company shall maintain documentation of the determination of that reasonable estimate and provide such documentation to Nasdaq.</w:t>
      </w:r>
    </w:p>
    <w:p>
      <w:pPr>
        <w:spacing w:after="0" w:line="16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w:t>
      </w:r>
      <w:r>
        <w:rPr>
          <w:rFonts w:ascii="Verdana" w:cs="Verdana" w:eastAsia="Verdana" w:hAnsi="Verdana"/>
          <w:sz w:val="18"/>
          <w:szCs w:val="18"/>
          <w:u w:val="single" w:color="auto"/>
          <w:color w:val="auto"/>
        </w:rPr>
        <w:t>Financial Reporting Measure</w:t>
      </w:r>
      <w:r>
        <w:rPr>
          <w:rFonts w:ascii="Verdana" w:cs="Verdana" w:eastAsia="Verdana" w:hAnsi="Verdana"/>
          <w:sz w:val="18"/>
          <w:szCs w:val="18"/>
          <w:color w:val="auto"/>
        </w:rPr>
        <w:t>” 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TSR; revenues; net income; operating income; profitability of one or more reportable segments; financial ratios; earnings before interest, taxes, depreciation and amortization; funds from operations and adjusted funds from operations; liquidity measures (e.g., working capital, operating cash flow); return measures (e.g., return on equity, return on assets); earnings measures (e.g., earnings per share); any of such financial reporting measures relative to a peer group, where the Company’s financial reporting measure is subject to a Restatement; and tax basis income. A Financial Reporting Measure need not be presented within the Company’s financial statements or included in a filing with the SEC.</w:t>
      </w:r>
    </w:p>
    <w:p>
      <w:pPr>
        <w:spacing w:after="0" w:line="17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w:t>
      </w:r>
      <w:r>
        <w:rPr>
          <w:rFonts w:ascii="Verdana" w:cs="Verdana" w:eastAsia="Verdana" w:hAnsi="Verdana"/>
          <w:sz w:val="18"/>
          <w:szCs w:val="18"/>
          <w:u w:val="single" w:color="auto"/>
          <w:color w:val="auto"/>
        </w:rPr>
        <w:t>Incentive Compensation</w:t>
      </w:r>
      <w:r>
        <w:rPr>
          <w:rFonts w:ascii="Verdana" w:cs="Verdana" w:eastAsia="Verdana" w:hAnsi="Verdana"/>
          <w:sz w:val="18"/>
          <w:szCs w:val="18"/>
          <w:color w:val="auto"/>
        </w:rPr>
        <w:t>” shall mean: (a) with respect to a Restatement (other than a Dodd-Frank Restatement) or any Misconduct, any bonuses, incentive payments, or equity compensation awards that are specifically granted, vested or earned formulaically based upon objectively specified financial metrics; and, (b) with respect to a Dodd-Frank Restatement, any compensation that is granted, earned or vested based wholly or in part upon the attainment of a Financial Reporting Measure. With respect to a Dodd-Frank Restatement, Incentive Compensation is “</w:t>
      </w:r>
      <w:r>
        <w:rPr>
          <w:rFonts w:ascii="Verdana" w:cs="Verdana" w:eastAsia="Verdana" w:hAnsi="Verdana"/>
          <w:sz w:val="18"/>
          <w:szCs w:val="18"/>
          <w:b w:val="1"/>
          <w:bCs w:val="1"/>
          <w:i w:val="1"/>
          <w:iCs w:val="1"/>
          <w:color w:val="auto"/>
        </w:rPr>
        <w:t>received</w:t>
      </w:r>
      <w:r>
        <w:rPr>
          <w:rFonts w:ascii="Verdana" w:cs="Verdana" w:eastAsia="Verdana" w:hAnsi="Verdana"/>
          <w:sz w:val="18"/>
          <w:szCs w:val="18"/>
          <w:color w:val="auto"/>
        </w:rPr>
        <w:t>” in the Company’s fiscal period during which the Financial Reporting Measure specified in the Incentive Compensation award is attained, even if the payment or grant of such Incentive Compensation occurs after the end of that period.</w:t>
      </w:r>
    </w:p>
    <w:p>
      <w:pPr>
        <w:spacing w:after="0" w:line="16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w:t>
      </w:r>
      <w:r>
        <w:rPr>
          <w:rFonts w:ascii="Verdana" w:cs="Verdana" w:eastAsia="Verdana" w:hAnsi="Verdana"/>
          <w:sz w:val="18"/>
          <w:szCs w:val="18"/>
          <w:u w:val="single" w:color="auto"/>
          <w:color w:val="auto"/>
        </w:rPr>
        <w:t>Misconduct</w:t>
      </w:r>
      <w:r>
        <w:rPr>
          <w:rFonts w:ascii="Verdana" w:cs="Verdana" w:eastAsia="Verdana" w:hAnsi="Verdana"/>
          <w:sz w:val="18"/>
          <w:szCs w:val="18"/>
          <w:color w:val="auto"/>
        </w:rPr>
        <w:t>” shall mean the Administrator has determined that a Covered Individual: (a) has engaged in the willful commission of an act of fraud, misrepresentation, or dishonesty in connection with the Covered Individual’s employment with the Company or a subsidiary; (b) has knowingly violated a material banking or other regulatory rule; (c) is subject to termination for cause under an employment or similar agreement or policy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Page 5 of 6</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35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Company or a subsidiary; or (d) has engaged in conduct, whether an act or omission, that is or could be reasonably expected to be materially harmful to the Company or a subsidiary, whether such harm is financial, reputational or otherwise, and whether such conduct is lawful or unlawful.</w:t>
      </w:r>
    </w:p>
    <w:p>
      <w:pPr>
        <w:spacing w:after="0" w:line="15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w:t>
      </w:r>
      <w:r>
        <w:rPr>
          <w:rFonts w:ascii="Verdana" w:cs="Verdana" w:eastAsia="Verdana" w:hAnsi="Verdana"/>
          <w:sz w:val="18"/>
          <w:szCs w:val="18"/>
          <w:u w:val="single" w:color="auto"/>
          <w:color w:val="auto"/>
        </w:rPr>
        <w:t>Restatement</w:t>
      </w:r>
      <w:r>
        <w:rPr>
          <w:rFonts w:ascii="Verdana" w:cs="Verdana" w:eastAsia="Verdana" w:hAnsi="Verdana"/>
          <w:sz w:val="18"/>
          <w:szCs w:val="18"/>
          <w:color w:val="auto"/>
        </w:rPr>
        <w:t>” shall mean (a)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or (b) the Administrator has determined that there has been a misstatement of financial metrics used in the calculation or determination of Incentive Compensation. Restatement shall not require the occurrence of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Page 6 of 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2"/>
    </w:lvl>
  </w:abstractNum>
  <w:abstractNum w:abstractNumId="3">
    <w:nsid w:val="3855585C"/>
    <w:multiLevelType w:val="hybridMultilevel"/>
    <w:lvl w:ilvl="0">
      <w:lvlJc w:val="left"/>
      <w:lvlText w:val="\endash "/>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2"/>
    </w:lvl>
  </w:abstractNum>
  <w:abstractNum w:abstractNumId="8">
    <w:nsid w:val="725A06FB"/>
    <w:multiLevelType w:val="hybridMultilevel"/>
    <w:lvl w:ilvl="0">
      <w:lvlJc w:val="left"/>
      <w:lvlText w:val="(%1)"/>
      <w:numFmt w:val="decimal"/>
      <w:start w:val="2"/>
    </w:lvl>
  </w:abstractNum>
  <w:abstractNum w:abstractNumId="9">
    <w:nsid w:val="2CD89A32"/>
    <w:multiLevelType w:val="hybridMultilevel"/>
    <w:lvl w:ilvl="0">
      <w:lvlJc w:val="left"/>
      <w:lvlText w:val="(%1)"/>
      <w:numFmt w:val="decimal"/>
      <w:start w:val="2"/>
    </w:lvl>
  </w:abstractNum>
  <w:abstractNum w:abstractNumId="10">
    <w:nsid w:val="57E4CCAF"/>
    <w:multiLevelType w:val="hybridMultilevel"/>
    <w:lvl w:ilvl="0">
      <w:lvlJc w:val="left"/>
      <w:lvlText w:val="(%1)"/>
      <w:numFmt w:val="decimal"/>
      <w:start w:val="3"/>
    </w:lvl>
  </w:abstractNum>
  <w:abstractNum w:abstractNumId="11">
    <w:nsid w:val="7A6D8D3C"/>
    <w:multiLevelType w:val="hybridMultilevel"/>
    <w:lvl w:ilvl="0">
      <w:lvlJc w:val="left"/>
      <w:lvlText w:val="(%1)"/>
      <w:numFmt w:val="decimal"/>
      <w:start w:val="2"/>
    </w:lvl>
  </w:abstractNum>
  <w:abstractNum w:abstractNumId="12">
    <w:nsid w:val="4B588F54"/>
    <w:multiLevelType w:val="hybridMultilevel"/>
    <w:lvl w:ilvl="0">
      <w:lvlJc w:val="left"/>
      <w:lvlText w:val="(%1)"/>
      <w:numFmt w:val="decimal"/>
      <w:start w:val="3"/>
    </w:lvl>
  </w:abstractNum>
  <w:abstractNum w:abstractNumId="13">
    <w:nsid w:val="542289EC"/>
    <w:multiLevelType w:val="hybridMultilevel"/>
    <w:lvl w:ilvl="0">
      <w:lvlJc w:val="left"/>
      <w:lvlText w:val="(%1)"/>
      <w:numFmt w:val="decimal"/>
      <w:start w:val="3"/>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13"/>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2"/>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2"/>
      <w:numFmt w:val="bullet"/>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3"/>
      <w:numFmt w:val="bullet"/>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4"/>
      <w:numFmt w:val="bullet"/>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decimal"/>
      <w:start w:val="3"/>
    </w:lvl>
  </w:abstractNum>
  <w:abstractNum w:abstractNumId="48">
    <w:nsid w:val="310C50B3"/>
    <w:multiLevelType w:val="hybridMultilevel"/>
    <w:lvl w:ilvl="0">
      <w:lvlJc w:val="left"/>
      <w:lvlText w:val="(%1)"/>
      <w:numFmt w:val="decimal"/>
      <w:start w:val="3"/>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1)"/>
      <w:numFmt w:val="decimal"/>
      <w:start w:val="2"/>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104"/>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1)"/>
      <w:numFmt w:val="decimal"/>
      <w:start w:val="2"/>
    </w:lvl>
  </w:abstractNum>
  <w:abstractNum w:abstractNumId="70">
    <w:nsid w:val="7BD3EE7B"/>
    <w:multiLevelType w:val="hybridMultilevel"/>
    <w:lvl w:ilvl="0">
      <w:lvlJc w:val="left"/>
      <w:lvlText w:val="(%1)"/>
      <w:numFmt w:val="lowerLetter"/>
      <w:start w:val="2"/>
    </w:lvl>
  </w:abstractNum>
  <w:abstractNum w:abstractNumId="71">
    <w:nsid w:val="51D9C564"/>
    <w:multiLevelType w:val="hybridMultilevel"/>
    <w:lvl w:ilvl="0">
      <w:lvlJc w:val="left"/>
      <w:lvlText w:val="%1)"/>
      <w:numFmt w:val="decimal"/>
      <w:start w:val="1"/>
    </w:lvl>
    <w:lvl w:ilvl="1">
      <w:lvlJc w:val="left"/>
      <w:lvlText w:val="%2)"/>
      <w:numFmt w:val="lowerLetter"/>
      <w:start w:val="1"/>
    </w:lvl>
  </w:abstractNum>
  <w:abstractNum w:abstractNumId="72">
    <w:nsid w:val="613EFDC5"/>
    <w:multiLevelType w:val="hybridMultilevel"/>
    <w:lvl w:ilvl="0">
      <w:lvlJc w:val="left"/>
      <w:lvlText w:val="%1)"/>
      <w:numFmt w:val="decimal"/>
      <w:start w:val="1"/>
    </w:lvl>
    <w:lvl w:ilvl="1">
      <w:lvlJc w:val="left"/>
      <w:lvlText w:val="%2)"/>
      <w:numFmt w:val="lowerLetter"/>
      <w:start w:val="1"/>
    </w:lvl>
  </w:abstractNum>
  <w:abstractNum w:abstractNumId="73">
    <w:nsid w:val="BF72B14"/>
    <w:multiLevelType w:val="hybridMultilevel"/>
    <w:lvl w:ilvl="0">
      <w:lvlJc w:val="left"/>
      <w:lvlText w:val="%1."/>
      <w:numFmt w:val="decimal"/>
      <w:start w:val="1"/>
    </w:lvl>
    <w:lvl w:ilvl="1">
      <w:lvlJc w:val="left"/>
      <w:lvlText w:val="(%2)"/>
      <w:numFmt w:val="lowerLetter"/>
      <w:start w:val="3"/>
    </w:lvl>
  </w:abstractNum>
  <w:abstractNum w:abstractNumId="74">
    <w:nsid w:val="11447B7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5">
    <w:nsid w:val="42963E5A"/>
    <w:multiLevelType w:val="hybridMultilevel"/>
    <w:lvl w:ilvl="0">
      <w:lvlJc w:val="left"/>
      <w:lvlText w:val="%1."/>
      <w:numFmt w:val="decimal"/>
      <w:start w:val="5"/>
    </w:lvl>
  </w:abstractNum>
  <w:abstractNum w:abstractNumId="76">
    <w:nsid w:val="A0382C5"/>
    <w:multiLevelType w:val="hybridMultilevel"/>
    <w:lvl w:ilvl="0">
      <w:lvlJc w:val="left"/>
      <w:lvlText w:val="%1."/>
      <w:numFmt w:val="decimal"/>
      <w:start w:val="1"/>
    </w:lvl>
  </w:abstractNum>
  <w:abstractNum w:abstractNumId="77">
    <w:nsid w:val="8F2B15E"/>
    <w:multiLevelType w:val="hybridMultilevel"/>
    <w:lvl w:ilvl="0">
      <w:lvlJc w:val="left"/>
      <w:lvlText w:val="%1."/>
      <w:numFmt w:val="decimal"/>
      <w:start w:val="6"/>
    </w:lvl>
  </w:abstractNum>
  <w:abstractNum w:abstractNumId="78">
    <w:nsid w:val="1A32234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2"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9" Type="http://schemas.openxmlformats.org/officeDocument/2006/relationships/image" Target="media/image230.png"/><Relationship Id="rId260" Type="http://schemas.openxmlformats.org/officeDocument/2006/relationships/image" Target="media/image231.png"/><Relationship Id="rId271" Type="http://schemas.openxmlformats.org/officeDocument/2006/relationships/image" Target="media/image232.png"/><Relationship Id="rId280" Type="http://schemas.openxmlformats.org/officeDocument/2006/relationships/image" Target="media/image233.png"/><Relationship Id="rId281" Type="http://schemas.openxmlformats.org/officeDocument/2006/relationships/image" Target="media/image234.png"/><Relationship Id="rId282" Type="http://schemas.openxmlformats.org/officeDocument/2006/relationships/image" Target="media/image235.png"/><Relationship Id="rId283" Type="http://schemas.openxmlformats.org/officeDocument/2006/relationships/image" Target="media/image236.png"/><Relationship Id="rId284" Type="http://schemas.openxmlformats.org/officeDocument/2006/relationships/image" Target="media/image237.png"/><Relationship Id="rId285" Type="http://schemas.openxmlformats.org/officeDocument/2006/relationships/image" Target="media/image238.png"/><Relationship Id="rId286" Type="http://schemas.openxmlformats.org/officeDocument/2006/relationships/image" Target="media/image239.png"/><Relationship Id="rId287" Type="http://schemas.openxmlformats.org/officeDocument/2006/relationships/image" Target="media/image240.png"/><Relationship Id="rId288" Type="http://schemas.openxmlformats.org/officeDocument/2006/relationships/image" Target="media/image241.png"/><Relationship Id="rId81" Type="http://schemas.openxmlformats.org/officeDocument/2006/relationships/hyperlink" Target="https://www.sec.gov/ix?doc=/Archives/edgar/data/0000314489/000031448923000010/buse-20221231.htm#i5887e58b083b4ebe85d5c92e135ca21c_43" TargetMode="External"/><Relationship Id="rId82" Type="http://schemas.openxmlformats.org/officeDocument/2006/relationships/hyperlink" Target="https://www.sec.gov/ix?doc=/Archives/edgar/data/0000314489/000031448923000010/buse-20221231.htm" TargetMode="External"/><Relationship Id="rId150" Type="http://schemas.openxmlformats.org/officeDocument/2006/relationships/hyperlink" Target="https://www.sec.gov/Archives/edgar/data/314489/000104746920002220/a2241264zdef14a.htm" TargetMode="External"/><Relationship Id="rId151" Type="http://schemas.openxmlformats.org/officeDocument/2006/relationships/hyperlink" Target="https://www.sec.gov/ix?doc=/Archives/edgar/data/0000314489/000110465923045566/tm231845d3_def14a.htm" TargetMode="External"/><Relationship Id="rId153" Type="http://schemas.openxmlformats.org/officeDocument/2006/relationships/hyperlink" Target="https://www.sec.gov/Archives/edgar/data/314489/000110465921048078/tm212379-1_def14a.htm#tAPA" TargetMode="External"/><Relationship Id="rId154" Type="http://schemas.openxmlformats.org/officeDocument/2006/relationships/hyperlink" Target="https://www.sec.gov/Archives/edgar/data/314489/000110465921048078/tm212379-1_def14a.htm" TargetMode="External"/><Relationship Id="rId243" Type="http://schemas.openxmlformats.org/officeDocument/2006/relationships/hyperlink" Target="https://www.sec.gov/Archives/edgar/data/314489/000110465915076702/a15-17958_1ex3d1.htm" TargetMode="External"/><Relationship Id="rId244" Type="http://schemas.openxmlformats.org/officeDocument/2006/relationships/hyperlink" Target="https://www.sec.gov/Archives/edgar/data/314489/000110465920067637/tm2021060d1_ex4-2.htm" TargetMode="External"/><Relationship Id="rId245" Type="http://schemas.openxmlformats.org/officeDocument/2006/relationships/hyperlink" Target="https://www.sec.gov/Archives/edgar/data/314489/000110465923124338/tm2331239d7_ex3-1.htm" TargetMode="External"/><Relationship Id="rId246" Type="http://schemas.openxmlformats.org/officeDocument/2006/relationships/hyperlink" Target="https://www.sec.gov/Archives/edgar/data/1099777/000074353002000031/mainstreetexhb102.txt" TargetMode="External"/><Relationship Id="rId247" Type="http://schemas.openxmlformats.org/officeDocument/2006/relationships/hyperlink" Target="https://www.sec.gov/Archives/edgar/data/1099777/000110465906062236/a06-19967_1ex99d2.htm" TargetMode="External"/><Relationship Id="rId248" Type="http://schemas.openxmlformats.org/officeDocument/2006/relationships/hyperlink" Target="https://www.sec.gov/Archives/edgar/data/314489/000110465910028016/a10-6059_1ex10d1.htm" TargetMode="External"/><Relationship Id="rId250" Type="http://schemas.openxmlformats.org/officeDocument/2006/relationships/hyperlink" Target="https://www.sec.gov/Archives/edgar/data/314489/000110465912034508/a12-7600_1ex10d1.htm" TargetMode="External"/><Relationship Id="rId251" Type="http://schemas.openxmlformats.org/officeDocument/2006/relationships/hyperlink" Target="https://www.sec.gov/Archives/edgar/data/314489/000104746915003648/a2224197zdef14a.htm#21" TargetMode="External"/><Relationship Id="rId252" Type="http://schemas.openxmlformats.org/officeDocument/2006/relationships/hyperlink" Target="https://www.sec.gov/Archives/edgar/data/314489/000110465918013443/a18-1071_1ex10d27.htm" TargetMode="External"/><Relationship Id="rId253" Type="http://schemas.openxmlformats.org/officeDocument/2006/relationships/hyperlink" Target="https://www.sec.gov/Archives/edgar/data/1469134/000146913412000004/exhibit1011.htm" TargetMode="External"/><Relationship Id="rId254" Type="http://schemas.openxmlformats.org/officeDocument/2006/relationships/hyperlink" Target="https://www.sec.gov/Archives/edgar/data/1469134/000146913412000004/exhibit1012.htm" TargetMode="External"/><Relationship Id="rId255" Type="http://schemas.openxmlformats.org/officeDocument/2006/relationships/hyperlink" Target="https://www.sec.gov/Archives/edgar/data/1469134/000146913416000157/a108firstamendmento2013equ.htm" TargetMode="External"/><Relationship Id="rId256" Type="http://schemas.openxmlformats.org/officeDocument/2006/relationships/hyperlink" Target="https://www.sec.gov/Archives/edgar/data/314489/000110465918013443/a18-1071_1ex10d36.htm" TargetMode="External"/><Relationship Id="rId257" Type="http://schemas.openxmlformats.org/officeDocument/2006/relationships/hyperlink" Target="https://www.sec.gov/Archives/edgar/data/1469134/000146913416000185/exhibit44fcfp2016equityinc.htm" TargetMode="External"/><Relationship Id="rId258" Type="http://schemas.openxmlformats.org/officeDocument/2006/relationships/hyperlink" Target="https://www.sec.gov/Archives/edgar/data/314489/000110465918013443/a18-1071_1ex10d38.htm" TargetMode="External"/><Relationship Id="rId259" Type="http://schemas.openxmlformats.org/officeDocument/2006/relationships/hyperlink" Target="https://www.sec.gov/Archives/edgar/data/1469134/000146913416000185/exhibit47nonqualifiedstock.htm" TargetMode="External"/><Relationship Id="rId261" Type="http://schemas.openxmlformats.org/officeDocument/2006/relationships/hyperlink" Target="https://www.sec.gov/Archives/edgar/data/1469134/000146913416000185/exhibit48-formofincentivei.htm" TargetMode="External"/><Relationship Id="rId262" Type="http://schemas.openxmlformats.org/officeDocument/2006/relationships/hyperlink" Target="https://www.sec.gov/Archives/edgar/data/314489/000110465918013443/a18-1071_1ex10d41.htm" TargetMode="External"/><Relationship Id="rId263" Type="http://schemas.openxmlformats.org/officeDocument/2006/relationships/hyperlink" Target="https://www.sec.gov/Archives/edgar/data/314489/000110465918050151/a18-14092_1ex10d1.htm" TargetMode="External"/><Relationship Id="rId264" Type="http://schemas.openxmlformats.org/officeDocument/2006/relationships/hyperlink" Target="https://www.sec.gov/Archives/edgar/data/314489/000110465918050151/a18-14092_1ex10d2.htm" TargetMode="External"/><Relationship Id="rId265" Type="http://schemas.openxmlformats.org/officeDocument/2006/relationships/hyperlink" Target="https://www.sec.gov/Archives/edgar/data/314489/000110465919041964/a19-13333_1ex10d1.htm" TargetMode="External"/><Relationship Id="rId266" Type="http://schemas.openxmlformats.org/officeDocument/2006/relationships/hyperlink" Target="https://www.sec.gov/Archives/edgar/data/314489/000031448919000038/exhibit10_1.htm" TargetMode="External"/><Relationship Id="rId267" Type="http://schemas.openxmlformats.org/officeDocument/2006/relationships/hyperlink" Target="https://www.sec.gov/Archives/edgar/data/314489/000031448919000038/exhibit10_2.htm" TargetMode="External"/><Relationship Id="rId268" Type="http://schemas.openxmlformats.org/officeDocument/2006/relationships/hyperlink" Target="https://www.sec.gov/Archives/edgar/data/314489/000031448919000038/exhibit10_3.htm" TargetMode="External"/><Relationship Id="rId269" Type="http://schemas.openxmlformats.org/officeDocument/2006/relationships/hyperlink" Target="https://www.sec.gov/Archives/edgar/data/314489/000031448919000038/exhibit10_4.htm" TargetMode="External"/><Relationship Id="rId270" Type="http://schemas.openxmlformats.org/officeDocument/2006/relationships/hyperlink" Target="https://www.sec.gov/Archives/edgar/data/314489/000110465923045566/tm231845d3_def14a.htm#tAPA" TargetMode="External"/><Relationship Id="rId272" Type="http://schemas.openxmlformats.org/officeDocument/2006/relationships/hyperlink" Target="https://www.sec.gov/Archives/edgar/data/314489/000110465920067637/tm2021060d1_ex4-5.htm" TargetMode="External"/><Relationship Id="rId273" Type="http://schemas.openxmlformats.org/officeDocument/2006/relationships/hyperlink" Target="https://www.sec.gov/Archives/edgar/data/314489/000031448920000025/exhibit10_1.htm" TargetMode="External"/><Relationship Id="rId274" Type="http://schemas.openxmlformats.org/officeDocument/2006/relationships/hyperlink" Target="https://www.sec.gov/Archives/edgar/data/314489/000155837020009629/buse-20200630xex10d1.htm" TargetMode="External"/><Relationship Id="rId275" Type="http://schemas.openxmlformats.org/officeDocument/2006/relationships/hyperlink" Target="https://www.sec.gov/Archives/edgar/data/0000314489/000110465921048078/tm212379-1_def14a.htm#tAPA" TargetMode="External"/><Relationship Id="rId276" Type="http://schemas.openxmlformats.org/officeDocument/2006/relationships/hyperlink" Target="https://www.sec.gov/Archives/edgar/data/314489/000155837021006220/buse-20210331xex10d33.htm" TargetMode="External"/><Relationship Id="rId277" Type="http://schemas.openxmlformats.org/officeDocument/2006/relationships/hyperlink" Target="https://www.sec.gov/Archives/edgar/data/314489/000155837021007947/buse-20210528xex10d34.htm" TargetMode="External"/><Relationship Id="rId278" Type="http://schemas.openxmlformats.org/officeDocument/2006/relationships/hyperlink" Target="https://www.sec.gov/Archives/edgar/data/314489/000031448923000010/buse-20221231_ex1030.htm" TargetMode="External"/><Relationship Id="rId279" Type="http://schemas.openxmlformats.org/officeDocument/2006/relationships/hyperlink" Target="https://www.sec.gov/Archives/edgar/data/314489/000031448923000149/buse_20231024x23q3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2024-02-23T05:39:49Z</dcterms:created>
  <dcterms:modified xsi:type="dcterms:W3CDTF">2024-02-23T05:39:49Z</dcterms:modified>
</cp:coreProperties>
</file>